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629920</wp:posOffset>
                </wp:positionH>
                <wp:positionV relativeFrom="page">
                  <wp:posOffset>851535</wp:posOffset>
                </wp:positionV>
                <wp:extent cx="651192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1925"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6pt,67.05pt" to="562.35pt,67.05pt" o:allowincell="f" strokecolor="#231F20" strokeweight="0.472pt">
                <w10:wrap anchorx="page" anchory="page"/>
              </v:line>
            </w:pict>
          </mc:Fallback>
        </mc:AlternateContent>
        <mc:AlternateContent>
          <mc:Choice Requires="wps">
            <w:drawing>
              <wp:anchor simplePos="0" relativeHeight="251657728" behindDoc="1" locked="0" layoutInCell="0" allowOverlap="1">
                <wp:simplePos x="0" y="0"/>
                <wp:positionH relativeFrom="page">
                  <wp:posOffset>629920</wp:posOffset>
                </wp:positionH>
                <wp:positionV relativeFrom="page">
                  <wp:posOffset>863600</wp:posOffset>
                </wp:positionV>
                <wp:extent cx="651192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1925"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6pt,68pt" to="562.35pt,68pt" o:allowincell="f" strokecolor="#231F20" strokeweight="0.472pt">
                <w10:wrap anchorx="page" anchory="page"/>
              </v:line>
            </w:pict>
          </mc:Fallback>
        </mc:AlternateContent>
      </w:r>
    </w:p>
    <w:p>
      <w:pPr>
        <w:jc w:val="center"/>
        <w:spacing w:after="0"/>
        <w:rPr>
          <w:sz w:val="20"/>
          <w:szCs w:val="20"/>
          <w:color w:val="auto"/>
        </w:rPr>
      </w:pPr>
      <w:r>
        <w:rPr>
          <w:rFonts w:ascii="Arial" w:cs="Arial" w:eastAsia="Arial" w:hAnsi="Arial"/>
          <w:sz w:val="28"/>
          <w:szCs w:val="28"/>
          <w:b w:val="1"/>
          <w:bCs w:val="1"/>
          <w:color w:val="231F20"/>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231F20"/>
        </w:rPr>
        <w:t>SECURITIES AND EXCHANGE COMMISSION</w:t>
      </w:r>
    </w:p>
    <w:p>
      <w:pPr>
        <w:jc w:val="center"/>
        <w:spacing w:after="0"/>
        <w:rPr>
          <w:sz w:val="20"/>
          <w:szCs w:val="20"/>
          <w:color w:val="auto"/>
        </w:rPr>
      </w:pPr>
      <w:r>
        <w:rPr>
          <w:rFonts w:ascii="Arial" w:cs="Arial" w:eastAsia="Arial" w:hAnsi="Arial"/>
          <w:sz w:val="17"/>
          <w:szCs w:val="17"/>
          <w:b w:val="1"/>
          <w:bCs w:val="1"/>
          <w:color w:val="231F20"/>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2573020</wp:posOffset>
                </wp:positionH>
                <wp:positionV relativeFrom="paragraph">
                  <wp:posOffset>55245</wp:posOffset>
                </wp:positionV>
                <wp:extent cx="13303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0325" cy="4763"/>
                        </a:xfrm>
                        <a:prstGeom prst="line">
                          <a:avLst/>
                        </a:prstGeom>
                        <a:solidFill>
                          <a:srgbClr val="FFFFFF"/>
                        </a:solidFill>
                        <a:ln w="11988">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4.35pt" to="307.35pt,4.35pt" o:allowincell="f" strokecolor="#231F20" strokeweight="0.9439pt"/>
            </w:pict>
          </mc:Fallback>
        </mc:AlternateConten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31F20"/>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2573020</wp:posOffset>
                </wp:positionH>
                <wp:positionV relativeFrom="paragraph">
                  <wp:posOffset>83820</wp:posOffset>
                </wp:positionV>
                <wp:extent cx="133032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0325" cy="4763"/>
                        </a:xfrm>
                        <a:prstGeom prst="line">
                          <a:avLst/>
                        </a:prstGeom>
                        <a:solidFill>
                          <a:srgbClr val="FFFFFF"/>
                        </a:solidFill>
                        <a:ln w="11988">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6.6pt" to="307.35pt,6.6pt" o:allowincell="f" strokecolor="#231F20" strokeweight="0.9439pt"/>
            </w:pict>
          </mc:Fallback>
        </mc:AlternateContent>
      </w:r>
    </w:p>
    <w:p>
      <w:pPr>
        <w:spacing w:after="0" w:line="1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231F20"/>
        </w:rPr>
        <w:t>(Mark One)</w:t>
      </w:r>
    </w:p>
    <w:p>
      <w:pPr>
        <w:ind w:left="420" w:hanging="407"/>
        <w:spacing w:after="0" w:line="186" w:lineRule="auto"/>
        <w:tabs>
          <w:tab w:leader="none" w:pos="420" w:val="left"/>
        </w:tabs>
        <w:numPr>
          <w:ilvl w:val="0"/>
          <w:numId w:val="1"/>
        </w:numPr>
        <w:rPr>
          <w:rFonts w:ascii="PMingLiU" w:cs="PMingLiU" w:eastAsia="PMingLiU" w:hAnsi="PMingLiU"/>
          <w:sz w:val="23"/>
          <w:szCs w:val="23"/>
          <w:b w:val="1"/>
          <w:bCs w:val="1"/>
          <w:color w:val="231F20"/>
          <w:vertAlign w:val="subscript"/>
        </w:rPr>
      </w:pPr>
      <w:r>
        <w:rPr>
          <w:rFonts w:ascii="Arial" w:cs="Arial" w:eastAsia="Arial" w:hAnsi="Arial"/>
          <w:sz w:val="12"/>
          <w:szCs w:val="12"/>
          <w:b w:val="1"/>
          <w:bCs w:val="1"/>
          <w:color w:val="231F20"/>
        </w:rPr>
        <w:t>ANNUAL REPORT PURSUANT TO SECTION 13 OR 15(d) OF THE SECURITIES EXCHANGE ACT OF 1934</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231F20"/>
        </w:rPr>
        <w:t>For the fiscal year ended December 31, 2024</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231F20"/>
        </w:rPr>
        <w:t>OR</w:t>
      </w:r>
    </w:p>
    <w:p>
      <w:pPr>
        <w:ind w:left="420" w:hanging="407"/>
        <w:spacing w:after="0" w:line="181" w:lineRule="auto"/>
        <w:tabs>
          <w:tab w:leader="none" w:pos="420" w:val="left"/>
        </w:tabs>
        <w:numPr>
          <w:ilvl w:val="0"/>
          <w:numId w:val="2"/>
        </w:numPr>
        <w:rPr>
          <w:rFonts w:ascii="PMingLiU" w:cs="PMingLiU" w:eastAsia="PMingLiU" w:hAnsi="PMingLiU"/>
          <w:sz w:val="30"/>
          <w:szCs w:val="30"/>
          <w:b w:val="1"/>
          <w:bCs w:val="1"/>
          <w:color w:val="231F20"/>
          <w:vertAlign w:val="subscript"/>
        </w:rPr>
      </w:pPr>
      <w:r>
        <w:rPr>
          <w:rFonts w:ascii="Arial" w:cs="Arial" w:eastAsia="Arial" w:hAnsi="Arial"/>
          <w:sz w:val="14"/>
          <w:szCs w:val="14"/>
          <w:b w:val="1"/>
          <w:bCs w:val="1"/>
          <w:color w:val="231F20"/>
        </w:rPr>
        <w:t>TRANSITION REPORT PURSUANT TO SECTION 13 OR 15(d) OF THE SECURITIES EXCHANGE ACT OF 1934</w:t>
      </w:r>
    </w:p>
    <w:p>
      <w:pPr>
        <w:spacing w:after="0" w:line="39" w:lineRule="exact"/>
        <w:rPr>
          <w:sz w:val="24"/>
          <w:szCs w:val="24"/>
          <w:color w:val="auto"/>
        </w:rPr>
      </w:pPr>
    </w:p>
    <w:p>
      <w:pPr>
        <w:ind w:left="420"/>
        <w:spacing w:after="0"/>
        <w:tabs>
          <w:tab w:leader="none" w:pos="4060" w:val="left"/>
        </w:tabs>
        <w:rPr>
          <w:sz w:val="20"/>
          <w:szCs w:val="20"/>
          <w:color w:val="auto"/>
        </w:rPr>
      </w:pPr>
      <w:r>
        <w:rPr>
          <w:rFonts w:ascii="Arial" w:cs="Arial" w:eastAsia="Arial" w:hAnsi="Arial"/>
          <w:sz w:val="15"/>
          <w:szCs w:val="15"/>
          <w:b w:val="1"/>
          <w:bCs w:val="1"/>
          <w:color w:val="231F20"/>
        </w:rPr>
        <w:t>FOR THE TRANSITION PERIOD FROM</w:t>
      </w:r>
      <w:r>
        <w:rPr>
          <w:sz w:val="20"/>
          <w:szCs w:val="20"/>
          <w:color w:val="auto"/>
        </w:rPr>
        <w:tab/>
      </w:r>
      <w:r>
        <w:rPr>
          <w:rFonts w:ascii="Arial" w:cs="Arial" w:eastAsia="Arial" w:hAnsi="Arial"/>
          <w:sz w:val="15"/>
          <w:szCs w:val="15"/>
          <w:b w:val="1"/>
          <w:bCs w:val="1"/>
          <w:color w:val="231F20"/>
        </w:rPr>
        <w:t>TO</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231F20"/>
        </w:rPr>
        <w:t>Commission File Number 001-40430</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231F20"/>
        </w:rPr>
        <w:t>FLYWIRE CORPORATION</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2573020</wp:posOffset>
                </wp:positionH>
                <wp:positionV relativeFrom="paragraph">
                  <wp:posOffset>-255270</wp:posOffset>
                </wp:positionV>
                <wp:extent cx="133032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0325" cy="4763"/>
                        </a:xfrm>
                        <a:prstGeom prst="line">
                          <a:avLst/>
                        </a:prstGeom>
                        <a:solidFill>
                          <a:srgbClr val="FFFFFF"/>
                        </a:solidFill>
                        <a:ln w="11988">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20.0999pt" to="307.35pt,-20.0999pt" o:allowincell="f" strokecolor="#231F20" strokeweight="0.9439pt"/>
            </w:pict>
          </mc:Fallback>
        </mc:AlternateContent>
      </w:r>
    </w:p>
    <w:p>
      <w:pPr>
        <w:sectPr>
          <w:pgSz w:w="12240" w:h="15840" w:orient="portrait"/>
          <w:cols w:equalWidth="0" w:num="1">
            <w:col w:w="10200"/>
          </w:cols>
          <w:pgMar w:left="1020" w:top="1440" w:right="1020" w:bottom="1114" w:gutter="0" w:footer="0" w:header="0"/>
        </w:sectPr>
      </w:pPr>
    </w:p>
    <w:p>
      <w:pPr>
        <w:spacing w:after="0" w:line="46"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231F20"/>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2573020</wp:posOffset>
                </wp:positionH>
                <wp:positionV relativeFrom="paragraph">
                  <wp:posOffset>56515</wp:posOffset>
                </wp:positionV>
                <wp:extent cx="133032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0325" cy="4763"/>
                        </a:xfrm>
                        <a:prstGeom prst="line">
                          <a:avLst/>
                        </a:prstGeom>
                        <a:solidFill>
                          <a:srgbClr val="FFFFFF"/>
                        </a:solidFill>
                        <a:ln w="11988">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4.45pt" to="307.35pt,4.45pt" o:allowincell="f" strokecolor="#231F20" strokeweight="0.9439pt"/>
            </w:pict>
          </mc:Fallback>
        </mc:AlternateContent>
      </w:r>
    </w:p>
    <w:p>
      <w:pPr>
        <w:spacing w:after="0" w:line="126"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231F20"/>
        </w:rPr>
        <w:t>Delaware</w:t>
      </w:r>
    </w:p>
    <w:p>
      <w:pPr>
        <w:spacing w:after="0" w:line="23" w:lineRule="exact"/>
        <w:rPr>
          <w:sz w:val="24"/>
          <w:szCs w:val="24"/>
          <w:color w:val="auto"/>
        </w:rPr>
      </w:pPr>
    </w:p>
    <w:p>
      <w:pPr>
        <w:ind w:left="1640"/>
        <w:spacing w:after="0"/>
        <w:rPr>
          <w:sz w:val="20"/>
          <w:szCs w:val="20"/>
          <w:color w:val="auto"/>
        </w:rPr>
      </w:pPr>
      <w:r>
        <w:rPr>
          <w:rFonts w:ascii="Arial" w:cs="Arial" w:eastAsia="Arial" w:hAnsi="Arial"/>
          <w:sz w:val="13"/>
          <w:szCs w:val="13"/>
          <w:b w:val="1"/>
          <w:bCs w:val="1"/>
          <w:color w:val="231F20"/>
        </w:rPr>
        <w:t>(State or other jurisdiction of</w:t>
      </w:r>
    </w:p>
    <w:p>
      <w:pPr>
        <w:spacing w:after="0" w:line="3" w:lineRule="exact"/>
        <w:rPr>
          <w:sz w:val="24"/>
          <w:szCs w:val="24"/>
          <w:color w:val="auto"/>
        </w:rPr>
      </w:pPr>
    </w:p>
    <w:p>
      <w:pPr>
        <w:ind w:left="1600"/>
        <w:spacing w:after="0"/>
        <w:rPr>
          <w:sz w:val="20"/>
          <w:szCs w:val="20"/>
          <w:color w:val="auto"/>
        </w:rPr>
      </w:pPr>
      <w:r>
        <w:rPr>
          <w:rFonts w:ascii="Arial" w:cs="Arial" w:eastAsia="Arial" w:hAnsi="Arial"/>
          <w:sz w:val="13"/>
          <w:szCs w:val="13"/>
          <w:b w:val="1"/>
          <w:bCs w:val="1"/>
          <w:color w:val="231F20"/>
        </w:rPr>
        <w:t>incorporation or organization)</w:t>
      </w:r>
    </w:p>
    <w:p>
      <w:pPr>
        <w:spacing w:after="0" w:line="18"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231F20"/>
        </w:rPr>
        <w:t>141 Tremont St #10</w:t>
      </w:r>
    </w:p>
    <w:p>
      <w:pPr>
        <w:ind w:left="2080"/>
        <w:spacing w:after="0"/>
        <w:rPr>
          <w:sz w:val="20"/>
          <w:szCs w:val="20"/>
          <w:color w:val="auto"/>
        </w:rPr>
      </w:pPr>
      <w:r>
        <w:rPr>
          <w:rFonts w:ascii="Arial" w:cs="Arial" w:eastAsia="Arial" w:hAnsi="Arial"/>
          <w:sz w:val="17"/>
          <w:szCs w:val="17"/>
          <w:b w:val="1"/>
          <w:bCs w:val="1"/>
          <w:color w:val="231F20"/>
        </w:rPr>
        <w:t>Boston, MA</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100"/>
        <w:spacing w:after="0"/>
        <w:rPr>
          <w:sz w:val="20"/>
          <w:szCs w:val="20"/>
          <w:color w:val="auto"/>
        </w:rPr>
      </w:pPr>
      <w:r>
        <w:rPr>
          <w:rFonts w:ascii="Arial" w:cs="Arial" w:eastAsia="Arial" w:hAnsi="Arial"/>
          <w:sz w:val="17"/>
          <w:szCs w:val="17"/>
          <w:b w:val="1"/>
          <w:bCs w:val="1"/>
          <w:color w:val="231F20"/>
        </w:rPr>
        <w:t>27-0690799</w:t>
      </w:r>
    </w:p>
    <w:p>
      <w:pPr>
        <w:spacing w:after="0" w:line="37" w:lineRule="exact"/>
        <w:rPr>
          <w:sz w:val="24"/>
          <w:szCs w:val="24"/>
          <w:color w:val="auto"/>
        </w:rPr>
      </w:pPr>
    </w:p>
    <w:p>
      <w:pPr>
        <w:jc w:val="center"/>
        <w:ind w:right="2000"/>
        <w:spacing w:after="0"/>
        <w:rPr>
          <w:sz w:val="20"/>
          <w:szCs w:val="20"/>
          <w:color w:val="auto"/>
        </w:rPr>
      </w:pPr>
      <w:r>
        <w:rPr>
          <w:rFonts w:ascii="Arial" w:cs="Arial" w:eastAsia="Arial" w:hAnsi="Arial"/>
          <w:sz w:val="13"/>
          <w:szCs w:val="13"/>
          <w:b w:val="1"/>
          <w:bCs w:val="1"/>
          <w:color w:val="231F20"/>
        </w:rPr>
        <w:t>(I.R.S. Employer</w:t>
      </w:r>
    </w:p>
    <w:p>
      <w:pPr>
        <w:spacing w:after="0" w:line="3" w:lineRule="exact"/>
        <w:rPr>
          <w:sz w:val="24"/>
          <w:szCs w:val="24"/>
          <w:color w:val="auto"/>
        </w:rPr>
      </w:pPr>
    </w:p>
    <w:p>
      <w:pPr>
        <w:jc w:val="center"/>
        <w:ind w:right="2000"/>
        <w:spacing w:after="0"/>
        <w:rPr>
          <w:sz w:val="20"/>
          <w:szCs w:val="20"/>
          <w:color w:val="auto"/>
        </w:rPr>
      </w:pPr>
      <w:r>
        <w:rPr>
          <w:rFonts w:ascii="Arial" w:cs="Arial" w:eastAsia="Arial" w:hAnsi="Arial"/>
          <w:sz w:val="13"/>
          <w:szCs w:val="13"/>
          <w:b w:val="1"/>
          <w:bCs w:val="1"/>
          <w:color w:val="231F20"/>
        </w:rPr>
        <w:t>Identification No.)</w:t>
      </w:r>
    </w:p>
    <w:p>
      <w:pPr>
        <w:spacing w:after="0" w:line="194" w:lineRule="exact"/>
        <w:rPr>
          <w:sz w:val="24"/>
          <w:szCs w:val="24"/>
          <w:color w:val="auto"/>
        </w:rPr>
      </w:pPr>
    </w:p>
    <w:p>
      <w:pPr>
        <w:ind w:left="320"/>
        <w:spacing w:after="0"/>
        <w:rPr>
          <w:sz w:val="20"/>
          <w:szCs w:val="20"/>
          <w:color w:val="auto"/>
        </w:rPr>
      </w:pPr>
      <w:r>
        <w:rPr>
          <w:rFonts w:ascii="Arial" w:cs="Arial" w:eastAsia="Arial" w:hAnsi="Arial"/>
          <w:sz w:val="17"/>
          <w:szCs w:val="17"/>
          <w:b w:val="1"/>
          <w:bCs w:val="1"/>
          <w:color w:val="231F20"/>
        </w:rPr>
        <w:t>02111</w:t>
      </w:r>
    </w:p>
    <w:p>
      <w:pPr>
        <w:spacing w:after="0" w:line="23" w:lineRule="exact"/>
        <w:rPr>
          <w:sz w:val="24"/>
          <w:szCs w:val="24"/>
          <w:color w:val="auto"/>
        </w:rPr>
      </w:pPr>
    </w:p>
    <w:p>
      <w:pPr>
        <w:sectPr>
          <w:pgSz w:w="12240" w:h="15840" w:orient="portrait"/>
          <w:cols w:equalWidth="0" w:num="2">
            <w:col w:w="6960" w:space="120"/>
            <w:col w:w="3120"/>
          </w:cols>
          <w:pgMar w:left="1020" w:top="1440" w:right="1020" w:bottom="1114" w:gutter="0" w:footer="0" w:header="0"/>
          <w:type w:val="continuous"/>
        </w:sectPr>
      </w:pPr>
    </w:p>
    <w:p>
      <w:pPr>
        <w:ind w:left="1300"/>
        <w:spacing w:after="0"/>
        <w:tabs>
          <w:tab w:leader="none" w:pos="7300" w:val="left"/>
        </w:tabs>
        <w:rPr>
          <w:sz w:val="20"/>
          <w:szCs w:val="20"/>
          <w:color w:val="auto"/>
        </w:rPr>
      </w:pPr>
      <w:r>
        <w:rPr>
          <w:rFonts w:ascii="Arial" w:cs="Arial" w:eastAsia="Arial" w:hAnsi="Arial"/>
          <w:sz w:val="13"/>
          <w:szCs w:val="13"/>
          <w:b w:val="1"/>
          <w:bCs w:val="1"/>
          <w:color w:val="231F20"/>
        </w:rPr>
        <w:t>(Address of principal executive offices)</w:t>
      </w:r>
      <w:r>
        <w:rPr>
          <w:sz w:val="20"/>
          <w:szCs w:val="20"/>
          <w:color w:val="auto"/>
        </w:rPr>
        <w:tab/>
      </w:r>
      <w:r>
        <w:rPr>
          <w:rFonts w:ascii="Arial" w:cs="Arial" w:eastAsia="Arial" w:hAnsi="Arial"/>
          <w:sz w:val="12"/>
          <w:szCs w:val="12"/>
          <w:b w:val="1"/>
          <w:bCs w:val="1"/>
          <w:color w:val="231F20"/>
        </w:rPr>
        <w:t>(Zip Code)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231F20"/>
        </w:rPr>
        <w:t>Registrant’s telephone number, including area code: (617) 329-4524</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2573020</wp:posOffset>
                </wp:positionH>
                <wp:positionV relativeFrom="paragraph">
                  <wp:posOffset>70485</wp:posOffset>
                </wp:positionV>
                <wp:extent cx="133032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0325" cy="4763"/>
                        </a:xfrm>
                        <a:prstGeom prst="line">
                          <a:avLst/>
                        </a:prstGeom>
                        <a:solidFill>
                          <a:srgbClr val="FFFFFF"/>
                        </a:solidFill>
                        <a:ln w="11988">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5.55pt" to="307.35pt,5.55pt" o:allowincell="f" strokecolor="#231F20" strokeweight="0.9439pt"/>
            </w:pict>
          </mc:Fallback>
        </mc:AlternateConten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100" w:type="dxa"/>
            <w:vAlign w:val="bottom"/>
          </w:tcPr>
          <w:p>
            <w:pPr>
              <w:spacing w:after="0"/>
              <w:rPr>
                <w:sz w:val="20"/>
                <w:szCs w:val="20"/>
                <w:color w:val="auto"/>
              </w:rPr>
            </w:pPr>
            <w:r>
              <w:rPr>
                <w:rFonts w:ascii="Arial" w:cs="Arial" w:eastAsia="Arial" w:hAnsi="Arial"/>
                <w:sz w:val="15"/>
                <w:szCs w:val="15"/>
                <w:color w:val="231F20"/>
              </w:rPr>
              <w:t>Securities registered pursuant to Section 12(b) of the Act:</w:t>
            </w:r>
          </w:p>
        </w:tc>
        <w:tc>
          <w:tcPr>
            <w:tcW w:w="160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206"/>
        </w:trPr>
        <w:tc>
          <w:tcPr>
            <w:tcW w:w="4100" w:type="dxa"/>
            <w:vAlign w:val="bottom"/>
          </w:tcPr>
          <w:p>
            <w:pPr>
              <w:spacing w:after="0"/>
              <w:rPr>
                <w:sz w:val="17"/>
                <w:szCs w:val="17"/>
                <w:color w:val="auto"/>
              </w:rPr>
            </w:pPr>
          </w:p>
        </w:tc>
        <w:tc>
          <w:tcPr>
            <w:tcW w:w="1600" w:type="dxa"/>
            <w:vAlign w:val="bottom"/>
          </w:tcPr>
          <w:p>
            <w:pPr>
              <w:jc w:val="center"/>
              <w:ind w:right="244"/>
              <w:spacing w:after="0"/>
              <w:rPr>
                <w:sz w:val="20"/>
                <w:szCs w:val="20"/>
                <w:color w:val="auto"/>
              </w:rPr>
            </w:pPr>
            <w:r>
              <w:rPr>
                <w:rFonts w:ascii="Arial" w:cs="Arial" w:eastAsia="Arial" w:hAnsi="Arial"/>
                <w:sz w:val="15"/>
                <w:szCs w:val="15"/>
                <w:b w:val="1"/>
                <w:bCs w:val="1"/>
                <w:color w:val="231F20"/>
              </w:rPr>
              <w:t>Trading</w:t>
            </w:r>
          </w:p>
        </w:tc>
        <w:tc>
          <w:tcPr>
            <w:tcW w:w="4500" w:type="dxa"/>
            <w:vAlign w:val="bottom"/>
          </w:tcPr>
          <w:p>
            <w:pPr>
              <w:spacing w:after="0"/>
              <w:rPr>
                <w:sz w:val="17"/>
                <w:szCs w:val="17"/>
                <w:color w:val="auto"/>
              </w:rPr>
            </w:pPr>
          </w:p>
        </w:tc>
      </w:tr>
      <w:tr>
        <w:trPr>
          <w:trHeight w:val="191"/>
        </w:trPr>
        <w:tc>
          <w:tcPr>
            <w:tcW w:w="4100" w:type="dxa"/>
            <w:vAlign w:val="bottom"/>
            <w:tcBorders>
              <w:bottom w:val="single" w:sz="8" w:color="231F20"/>
            </w:tcBorders>
          </w:tcPr>
          <w:p>
            <w:pPr>
              <w:ind w:left="1280"/>
              <w:spacing w:after="0"/>
              <w:rPr>
                <w:sz w:val="20"/>
                <w:szCs w:val="20"/>
                <w:color w:val="auto"/>
              </w:rPr>
            </w:pPr>
            <w:r>
              <w:rPr>
                <w:rFonts w:ascii="Arial" w:cs="Arial" w:eastAsia="Arial" w:hAnsi="Arial"/>
                <w:sz w:val="15"/>
                <w:szCs w:val="15"/>
                <w:b w:val="1"/>
                <w:bCs w:val="1"/>
                <w:color w:val="231F20"/>
              </w:rPr>
              <w:t>Title of each class</w:t>
            </w:r>
          </w:p>
        </w:tc>
        <w:tc>
          <w:tcPr>
            <w:tcW w:w="1600" w:type="dxa"/>
            <w:vAlign w:val="bottom"/>
            <w:tcBorders>
              <w:bottom w:val="single" w:sz="8" w:color="231F20"/>
            </w:tcBorders>
          </w:tcPr>
          <w:p>
            <w:pPr>
              <w:jc w:val="center"/>
              <w:ind w:right="244"/>
              <w:spacing w:after="0"/>
              <w:rPr>
                <w:sz w:val="20"/>
                <w:szCs w:val="20"/>
                <w:color w:val="auto"/>
              </w:rPr>
            </w:pPr>
            <w:r>
              <w:rPr>
                <w:rFonts w:ascii="Arial" w:cs="Arial" w:eastAsia="Arial" w:hAnsi="Arial"/>
                <w:sz w:val="15"/>
                <w:szCs w:val="15"/>
                <w:b w:val="1"/>
                <w:bCs w:val="1"/>
                <w:color w:val="231F20"/>
                <w:w w:val="99"/>
              </w:rPr>
              <w:t>Symbol(s)</w:t>
            </w:r>
          </w:p>
        </w:tc>
        <w:tc>
          <w:tcPr>
            <w:tcW w:w="4500" w:type="dxa"/>
            <w:vAlign w:val="bottom"/>
            <w:tcBorders>
              <w:bottom w:val="single" w:sz="8" w:color="231F20"/>
            </w:tcBorders>
          </w:tcPr>
          <w:p>
            <w:pPr>
              <w:jc w:val="center"/>
              <w:ind w:right="24"/>
              <w:spacing w:after="0"/>
              <w:rPr>
                <w:sz w:val="20"/>
                <w:szCs w:val="20"/>
                <w:color w:val="auto"/>
              </w:rPr>
            </w:pPr>
            <w:r>
              <w:rPr>
                <w:rFonts w:ascii="Arial" w:cs="Arial" w:eastAsia="Arial" w:hAnsi="Arial"/>
                <w:sz w:val="15"/>
                <w:szCs w:val="15"/>
                <w:b w:val="1"/>
                <w:bCs w:val="1"/>
                <w:color w:val="231F20"/>
              </w:rPr>
              <w:t>Name of each exchange on which registered</w:t>
            </w:r>
          </w:p>
        </w:tc>
      </w:tr>
      <w:tr>
        <w:trPr>
          <w:trHeight w:val="168"/>
        </w:trPr>
        <w:tc>
          <w:tcPr>
            <w:tcW w:w="4100" w:type="dxa"/>
            <w:vAlign w:val="bottom"/>
          </w:tcPr>
          <w:p>
            <w:pPr>
              <w:spacing w:after="0" w:line="169" w:lineRule="exact"/>
              <w:rPr>
                <w:sz w:val="20"/>
                <w:szCs w:val="20"/>
                <w:color w:val="auto"/>
              </w:rPr>
            </w:pPr>
            <w:r>
              <w:rPr>
                <w:rFonts w:ascii="Arial" w:cs="Arial" w:eastAsia="Arial" w:hAnsi="Arial"/>
                <w:sz w:val="15"/>
                <w:szCs w:val="15"/>
                <w:b w:val="1"/>
                <w:bCs w:val="1"/>
                <w:color w:val="231F20"/>
              </w:rPr>
              <w:t>Voting common stock, $0.0001 par value per share</w:t>
            </w:r>
          </w:p>
        </w:tc>
        <w:tc>
          <w:tcPr>
            <w:tcW w:w="1600" w:type="dxa"/>
            <w:vAlign w:val="bottom"/>
          </w:tcPr>
          <w:p>
            <w:pPr>
              <w:jc w:val="center"/>
              <w:ind w:right="244"/>
              <w:spacing w:after="0" w:line="169" w:lineRule="exact"/>
              <w:rPr>
                <w:sz w:val="20"/>
                <w:szCs w:val="20"/>
                <w:color w:val="auto"/>
              </w:rPr>
            </w:pPr>
            <w:r>
              <w:rPr>
                <w:rFonts w:ascii="Arial" w:cs="Arial" w:eastAsia="Arial" w:hAnsi="Arial"/>
                <w:sz w:val="15"/>
                <w:szCs w:val="15"/>
                <w:b w:val="1"/>
                <w:bCs w:val="1"/>
                <w:color w:val="231F20"/>
              </w:rPr>
              <w:t>FLYW</w:t>
            </w:r>
          </w:p>
        </w:tc>
        <w:tc>
          <w:tcPr>
            <w:tcW w:w="4500" w:type="dxa"/>
            <w:vAlign w:val="bottom"/>
          </w:tcPr>
          <w:p>
            <w:pPr>
              <w:jc w:val="center"/>
              <w:ind w:right="4"/>
              <w:spacing w:after="0" w:line="169" w:lineRule="exact"/>
              <w:rPr>
                <w:sz w:val="20"/>
                <w:szCs w:val="20"/>
                <w:color w:val="auto"/>
              </w:rPr>
            </w:pPr>
            <w:r>
              <w:rPr>
                <w:rFonts w:ascii="Arial" w:cs="Arial" w:eastAsia="Arial" w:hAnsi="Arial"/>
                <w:sz w:val="15"/>
                <w:szCs w:val="15"/>
                <w:b w:val="1"/>
                <w:bCs w:val="1"/>
                <w:color w:val="231F20"/>
              </w:rPr>
              <w:t>The Nasdaq Stock Market LLC</w:t>
            </w:r>
          </w:p>
        </w:tc>
      </w:tr>
    </w:tbl>
    <w:p>
      <w:pPr>
        <w:ind w:left="6820"/>
        <w:spacing w:after="0"/>
        <w:rPr>
          <w:sz w:val="20"/>
          <w:szCs w:val="20"/>
          <w:color w:val="auto"/>
        </w:rPr>
      </w:pPr>
      <w:r>
        <w:rPr>
          <w:rFonts w:ascii="Arial" w:cs="Arial" w:eastAsia="Arial" w:hAnsi="Arial"/>
          <w:sz w:val="15"/>
          <w:szCs w:val="15"/>
          <w:b w:val="1"/>
          <w:bCs w:val="1"/>
          <w:color w:val="231F20"/>
        </w:rPr>
        <w:t>(Nasdaq Global Select Market)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231F20"/>
        </w:rPr>
        <w:t xml:space="preserve">Securities registered pursuant to Section 12(g) of the Act: </w:t>
      </w:r>
      <w:r>
        <w:rPr>
          <w:rFonts w:ascii="Arial" w:cs="Arial" w:eastAsia="Arial" w:hAnsi="Arial"/>
          <w:sz w:val="13"/>
          <w:szCs w:val="13"/>
          <w:b w:val="1"/>
          <w:bCs w:val="1"/>
          <w:color w:val="231F20"/>
        </w:rPr>
        <w:t>None</w:t>
      </w:r>
    </w:p>
    <w:p>
      <w:pPr>
        <w:spacing w:after="0" w:line="41" w:lineRule="exact"/>
        <w:rPr>
          <w:sz w:val="24"/>
          <w:szCs w:val="24"/>
          <w:color w:val="auto"/>
        </w:rPr>
      </w:pPr>
    </w:p>
    <w:p>
      <w:pPr>
        <w:ind w:right="2400"/>
        <w:spacing w:after="0" w:line="224" w:lineRule="exact"/>
        <w:rPr>
          <w:sz w:val="20"/>
          <w:szCs w:val="20"/>
          <w:color w:val="auto"/>
        </w:rPr>
      </w:pPr>
      <w:r>
        <w:rPr>
          <w:rFonts w:ascii="Arial" w:cs="Arial" w:eastAsia="Arial" w:hAnsi="Arial"/>
          <w:sz w:val="13"/>
          <w:szCs w:val="13"/>
          <w:color w:val="231F20"/>
        </w:rPr>
        <w:t xml:space="preserve">Indicate by check mark if the registrant is a well-known seasoned issuer, as defined in Rule 405 of the Securities Act. Yes </w:t>
      </w:r>
      <w:r>
        <w:rPr>
          <w:rFonts w:ascii="PMingLiU" w:cs="PMingLiU" w:eastAsia="PMingLiU" w:hAnsi="PMingLiU"/>
          <w:sz w:val="13"/>
          <w:szCs w:val="13"/>
          <w:b w:val="1"/>
          <w:bCs w:val="1"/>
          <w:color w:val="231F20"/>
        </w:rPr>
        <w:t/>
      </w:r>
      <w:r>
        <w:rPr>
          <w:rFonts w:ascii="Arial" w:cs="Arial" w:eastAsia="Arial" w:hAnsi="Arial"/>
          <w:sz w:val="13"/>
          <w:szCs w:val="13"/>
          <w:color w:val="231F20"/>
        </w:rPr>
        <w:t xml:space="preserve"> No </w:t>
      </w:r>
      <w:r>
        <w:rPr>
          <w:rFonts w:ascii="PMingLiU" w:cs="PMingLiU" w:eastAsia="PMingLiU" w:hAnsi="PMingLiU"/>
          <w:sz w:val="13"/>
          <w:szCs w:val="13"/>
          <w:b w:val="1"/>
          <w:bCs w:val="1"/>
          <w:color w:val="231F20"/>
        </w:rPr>
        <w:t/>
      </w:r>
      <w:r>
        <w:rPr>
          <w:rFonts w:ascii="Arial" w:cs="Arial" w:eastAsia="Arial" w:hAnsi="Arial"/>
          <w:sz w:val="13"/>
          <w:szCs w:val="13"/>
          <w:color w:val="231F20"/>
        </w:rPr>
        <w:t xml:space="preserve"> Indicate by check mark if the registrant is not required to file reports pursuant to Section 13 or 15(d) of the Act. Yes </w:t>
      </w:r>
      <w:r>
        <w:rPr>
          <w:rFonts w:ascii="PMingLiU" w:cs="PMingLiU" w:eastAsia="PMingLiU" w:hAnsi="PMingLiU"/>
          <w:sz w:val="13"/>
          <w:szCs w:val="13"/>
          <w:b w:val="1"/>
          <w:bCs w:val="1"/>
          <w:color w:val="231F20"/>
        </w:rPr>
        <w:t/>
      </w:r>
      <w:r>
        <w:rPr>
          <w:rFonts w:ascii="Arial" w:cs="Arial" w:eastAsia="Arial" w:hAnsi="Arial"/>
          <w:sz w:val="13"/>
          <w:szCs w:val="13"/>
          <w:color w:val="231F20"/>
        </w:rPr>
        <w:t xml:space="preserve"> No </w:t>
      </w:r>
      <w:r>
        <w:rPr>
          <w:rFonts w:ascii="PMingLiU" w:cs="PMingLiU" w:eastAsia="PMingLiU" w:hAnsi="PMingLiU"/>
          <w:sz w:val="13"/>
          <w:szCs w:val="13"/>
          <w:b w:val="1"/>
          <w:bCs w:val="1"/>
          <w:color w:val="231F20"/>
        </w:rPr>
        <w:t/>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231F20"/>
        </w:rPr>
        <w:t>Indicate by check mark whether the registrant: (1) has filed all reports required to be filed by Section 13 or 15(d) of the Securities Exchange Act of 1934 during the preceding</w:t>
      </w:r>
    </w:p>
    <w:p>
      <w:pPr>
        <w:spacing w:after="0" w:line="14" w:lineRule="exact"/>
        <w:rPr>
          <w:sz w:val="24"/>
          <w:szCs w:val="24"/>
          <w:color w:val="auto"/>
        </w:rPr>
      </w:pPr>
    </w:p>
    <w:p>
      <w:pPr>
        <w:ind w:right="200"/>
        <w:spacing w:after="0" w:line="188" w:lineRule="exact"/>
        <w:rPr>
          <w:sz w:val="20"/>
          <w:szCs w:val="20"/>
          <w:color w:val="auto"/>
        </w:rPr>
      </w:pPr>
      <w:r>
        <w:rPr>
          <w:rFonts w:ascii="Arial" w:cs="Arial" w:eastAsia="Arial" w:hAnsi="Arial"/>
          <w:sz w:val="13"/>
          <w:szCs w:val="13"/>
          <w:color w:val="231F20"/>
        </w:rPr>
        <w:t xml:space="preserve">12 months (or for such shorter period that the registrant was required to file such reports), and (2) has been subject to such filing requirements for the past 90 days. Yes </w:t>
      </w:r>
      <w:r>
        <w:rPr>
          <w:rFonts w:ascii="PMingLiU" w:cs="PMingLiU" w:eastAsia="PMingLiU" w:hAnsi="PMingLiU"/>
          <w:sz w:val="13"/>
          <w:szCs w:val="13"/>
          <w:b w:val="1"/>
          <w:bCs w:val="1"/>
          <w:color w:val="231F20"/>
        </w:rPr>
        <w:t/>
      </w:r>
      <w:r>
        <w:rPr>
          <w:rFonts w:ascii="Arial" w:cs="Arial" w:eastAsia="Arial" w:hAnsi="Arial"/>
          <w:sz w:val="13"/>
          <w:szCs w:val="13"/>
          <w:color w:val="231F20"/>
        </w:rPr>
        <w:t xml:space="preserve"> No </w:t>
      </w:r>
      <w:r>
        <w:rPr>
          <w:rFonts w:ascii="PMingLiU" w:cs="PMingLiU" w:eastAsia="PMingLiU" w:hAnsi="PMingLiU"/>
          <w:sz w:val="13"/>
          <w:szCs w:val="13"/>
          <w:b w:val="1"/>
          <w:bCs w:val="1"/>
          <w:color w:val="231F20"/>
        </w:rPr>
        <w:t/>
      </w:r>
    </w:p>
    <w:p>
      <w:pPr>
        <w:spacing w:after="0" w:line="209" w:lineRule="exact"/>
        <w:rPr>
          <w:sz w:val="24"/>
          <w:szCs w:val="24"/>
          <w:color w:val="auto"/>
        </w:rPr>
      </w:pPr>
    </w:p>
    <w:p>
      <w:pPr>
        <w:ind w:right="500"/>
        <w:spacing w:after="0" w:line="182" w:lineRule="exact"/>
        <w:rPr>
          <w:sz w:val="20"/>
          <w:szCs w:val="20"/>
          <w:color w:val="auto"/>
        </w:rPr>
      </w:pPr>
      <w:r>
        <w:rPr>
          <w:rFonts w:ascii="Arial" w:cs="Arial" w:eastAsia="Arial" w:hAnsi="Arial"/>
          <w:sz w:val="13"/>
          <w:szCs w:val="13"/>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PMingLiU" w:cs="PMingLiU" w:eastAsia="PMingLiU" w:hAnsi="PMingLiU"/>
          <w:sz w:val="13"/>
          <w:szCs w:val="13"/>
          <w:b w:val="1"/>
          <w:bCs w:val="1"/>
          <w:color w:val="231F20"/>
        </w:rPr>
        <w:t/>
      </w:r>
      <w:r>
        <w:rPr>
          <w:rFonts w:ascii="Arial" w:cs="Arial" w:eastAsia="Arial" w:hAnsi="Arial"/>
          <w:sz w:val="13"/>
          <w:szCs w:val="13"/>
          <w:color w:val="231F20"/>
        </w:rPr>
        <w:t xml:space="preserve"> No </w:t>
      </w:r>
      <w:r>
        <w:rPr>
          <w:rFonts w:ascii="PMingLiU" w:cs="PMingLiU" w:eastAsia="PMingLiU" w:hAnsi="PMingLiU"/>
          <w:sz w:val="13"/>
          <w:szCs w:val="13"/>
          <w:b w:val="1"/>
          <w:bCs w:val="1"/>
          <w:color w:val="231F20"/>
        </w:rPr>
        <w:t/>
      </w:r>
    </w:p>
    <w:p>
      <w:pPr>
        <w:spacing w:after="0" w:line="21" w:lineRule="exact"/>
        <w:rPr>
          <w:sz w:val="24"/>
          <w:szCs w:val="24"/>
          <w:color w:val="auto"/>
        </w:rPr>
      </w:pPr>
    </w:p>
    <w:p>
      <w:pPr>
        <w:ind w:right="100"/>
        <w:spacing w:after="0" w:line="289" w:lineRule="auto"/>
        <w:rPr>
          <w:sz w:val="20"/>
          <w:szCs w:val="20"/>
          <w:color w:val="auto"/>
        </w:rPr>
      </w:pPr>
      <w:r>
        <w:rPr>
          <w:rFonts w:ascii="Arial" w:cs="Arial" w:eastAsia="Arial" w:hAnsi="Arial"/>
          <w:sz w:val="13"/>
          <w:szCs w:val="13"/>
          <w:color w:val="231F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680" w:type="dxa"/>
            <w:vAlign w:val="bottom"/>
          </w:tcPr>
          <w:p>
            <w:pPr>
              <w:spacing w:after="0"/>
              <w:rPr>
                <w:sz w:val="20"/>
                <w:szCs w:val="20"/>
                <w:color w:val="auto"/>
              </w:rPr>
            </w:pPr>
            <w:r>
              <w:rPr>
                <w:rFonts w:ascii="Arial" w:cs="Arial" w:eastAsia="Arial" w:hAnsi="Arial"/>
                <w:sz w:val="13"/>
                <w:szCs w:val="13"/>
                <w:color w:val="231F20"/>
              </w:rPr>
              <w:t>Large accelerated filer</w:t>
            </w:r>
          </w:p>
        </w:tc>
        <w:tc>
          <w:tcPr>
            <w:tcW w:w="3320" w:type="dxa"/>
            <w:vAlign w:val="bottom"/>
          </w:tcPr>
          <w:p>
            <w:pPr>
              <w:jc w:val="right"/>
              <w:ind w:right="2774"/>
              <w:spacing w:after="0" w:line="156" w:lineRule="exact"/>
              <w:rPr>
                <w:sz w:val="20"/>
                <w:szCs w:val="20"/>
                <w:color w:val="auto"/>
              </w:rPr>
            </w:pPr>
            <w:r>
              <w:rPr>
                <w:rFonts w:ascii="PMingLiU" w:cs="PMingLiU" w:eastAsia="PMingLiU" w:hAnsi="PMingLiU"/>
                <w:sz w:val="13"/>
                <w:szCs w:val="13"/>
                <w:b w:val="1"/>
                <w:bCs w:val="1"/>
                <w:color w:val="231F20"/>
              </w:rPr>
              <w:t/>
            </w:r>
          </w:p>
        </w:tc>
        <w:tc>
          <w:tcPr>
            <w:tcW w:w="4700" w:type="dxa"/>
            <w:vAlign w:val="bottom"/>
          </w:tcPr>
          <w:p>
            <w:pPr>
              <w:ind w:left="2840"/>
              <w:spacing w:after="0"/>
              <w:rPr>
                <w:sz w:val="20"/>
                <w:szCs w:val="20"/>
                <w:color w:val="auto"/>
              </w:rPr>
            </w:pPr>
            <w:r>
              <w:rPr>
                <w:rFonts w:ascii="Arial" w:cs="Arial" w:eastAsia="Arial" w:hAnsi="Arial"/>
                <w:sz w:val="13"/>
                <w:szCs w:val="13"/>
                <w:color w:val="231F20"/>
              </w:rPr>
              <w:t>Accelerated filer</w:t>
            </w:r>
          </w:p>
        </w:tc>
        <w:tc>
          <w:tcPr>
            <w:tcW w:w="420" w:type="dxa"/>
            <w:vAlign w:val="bottom"/>
          </w:tcPr>
          <w:p>
            <w:pPr>
              <w:jc w:val="right"/>
              <w:spacing w:after="0" w:line="156" w:lineRule="exact"/>
              <w:rPr>
                <w:sz w:val="20"/>
                <w:szCs w:val="20"/>
                <w:color w:val="auto"/>
              </w:rPr>
            </w:pPr>
            <w:r>
              <w:rPr>
                <w:rFonts w:ascii="PMingLiU" w:cs="PMingLiU" w:eastAsia="PMingLiU" w:hAnsi="PMingLiU"/>
                <w:sz w:val="13"/>
                <w:szCs w:val="13"/>
                <w:b w:val="1"/>
                <w:bCs w:val="1"/>
                <w:color w:val="231F20"/>
              </w:rPr>
              <w:t/>
            </w:r>
          </w:p>
        </w:tc>
      </w:tr>
      <w:tr>
        <w:trPr>
          <w:trHeight w:val="354"/>
        </w:trPr>
        <w:tc>
          <w:tcPr>
            <w:tcW w:w="1680" w:type="dxa"/>
            <w:vAlign w:val="bottom"/>
          </w:tcPr>
          <w:p>
            <w:pPr>
              <w:spacing w:after="0"/>
              <w:rPr>
                <w:sz w:val="20"/>
                <w:szCs w:val="20"/>
                <w:color w:val="auto"/>
              </w:rPr>
            </w:pPr>
            <w:r>
              <w:rPr>
                <w:rFonts w:ascii="Arial" w:cs="Arial" w:eastAsia="Arial" w:hAnsi="Arial"/>
                <w:sz w:val="13"/>
                <w:szCs w:val="13"/>
                <w:color w:val="231F20"/>
              </w:rPr>
              <w:t>Non-accelerated filer</w:t>
            </w:r>
          </w:p>
        </w:tc>
        <w:tc>
          <w:tcPr>
            <w:tcW w:w="3320" w:type="dxa"/>
            <w:vAlign w:val="bottom"/>
          </w:tcPr>
          <w:p>
            <w:pPr>
              <w:jc w:val="right"/>
              <w:ind w:right="2774"/>
              <w:spacing w:after="0" w:line="156" w:lineRule="exact"/>
              <w:rPr>
                <w:sz w:val="20"/>
                <w:szCs w:val="20"/>
                <w:color w:val="auto"/>
              </w:rPr>
            </w:pPr>
            <w:r>
              <w:rPr>
                <w:rFonts w:ascii="PMingLiU" w:cs="PMingLiU" w:eastAsia="PMingLiU" w:hAnsi="PMingLiU"/>
                <w:sz w:val="13"/>
                <w:szCs w:val="13"/>
                <w:b w:val="1"/>
                <w:bCs w:val="1"/>
                <w:color w:val="231F20"/>
              </w:rPr>
              <w:t/>
            </w:r>
          </w:p>
        </w:tc>
        <w:tc>
          <w:tcPr>
            <w:tcW w:w="4700" w:type="dxa"/>
            <w:vAlign w:val="bottom"/>
          </w:tcPr>
          <w:p>
            <w:pPr>
              <w:ind w:left="2840"/>
              <w:spacing w:after="0"/>
              <w:rPr>
                <w:sz w:val="20"/>
                <w:szCs w:val="20"/>
                <w:color w:val="auto"/>
              </w:rPr>
            </w:pPr>
            <w:r>
              <w:rPr>
                <w:rFonts w:ascii="Arial" w:cs="Arial" w:eastAsia="Arial" w:hAnsi="Arial"/>
                <w:sz w:val="13"/>
                <w:szCs w:val="13"/>
                <w:color w:val="231F20"/>
              </w:rPr>
              <w:t>Smaller reporting company</w:t>
            </w:r>
          </w:p>
        </w:tc>
        <w:tc>
          <w:tcPr>
            <w:tcW w:w="420" w:type="dxa"/>
            <w:vAlign w:val="bottom"/>
          </w:tcPr>
          <w:p>
            <w:pPr>
              <w:jc w:val="right"/>
              <w:spacing w:after="0" w:line="156" w:lineRule="exact"/>
              <w:rPr>
                <w:sz w:val="20"/>
                <w:szCs w:val="20"/>
                <w:color w:val="auto"/>
              </w:rPr>
            </w:pPr>
            <w:r>
              <w:rPr>
                <w:rFonts w:ascii="PMingLiU" w:cs="PMingLiU" w:eastAsia="PMingLiU" w:hAnsi="PMingLiU"/>
                <w:sz w:val="13"/>
                <w:szCs w:val="13"/>
                <w:b w:val="1"/>
                <w:bCs w:val="1"/>
                <w:color w:val="231F20"/>
              </w:rPr>
              <w:t/>
            </w:r>
          </w:p>
        </w:tc>
      </w:tr>
      <w:tr>
        <w:trPr>
          <w:trHeight w:val="354"/>
        </w:trPr>
        <w:tc>
          <w:tcPr>
            <w:tcW w:w="1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700" w:type="dxa"/>
            <w:vAlign w:val="bottom"/>
          </w:tcPr>
          <w:p>
            <w:pPr>
              <w:ind w:left="2840"/>
              <w:spacing w:after="0"/>
              <w:rPr>
                <w:sz w:val="20"/>
                <w:szCs w:val="20"/>
                <w:color w:val="auto"/>
              </w:rPr>
            </w:pPr>
            <w:r>
              <w:rPr>
                <w:rFonts w:ascii="Arial" w:cs="Arial" w:eastAsia="Arial" w:hAnsi="Arial"/>
                <w:sz w:val="13"/>
                <w:szCs w:val="13"/>
                <w:color w:val="231F20"/>
              </w:rPr>
              <w:t>Emerging growth company</w:t>
            </w:r>
          </w:p>
        </w:tc>
        <w:tc>
          <w:tcPr>
            <w:tcW w:w="420" w:type="dxa"/>
            <w:vAlign w:val="bottom"/>
          </w:tcPr>
          <w:p>
            <w:pPr>
              <w:jc w:val="right"/>
              <w:spacing w:after="0" w:line="156" w:lineRule="exact"/>
              <w:rPr>
                <w:sz w:val="20"/>
                <w:szCs w:val="20"/>
                <w:color w:val="auto"/>
              </w:rPr>
            </w:pPr>
            <w:r>
              <w:rPr>
                <w:rFonts w:ascii="PMingLiU" w:cs="PMingLiU" w:eastAsia="PMingLiU" w:hAnsi="PMingLiU"/>
                <w:sz w:val="13"/>
                <w:szCs w:val="13"/>
                <w:b w:val="1"/>
                <w:bCs w:val="1"/>
                <w:color w:val="231F20"/>
              </w:rPr>
              <w:t/>
            </w:r>
          </w:p>
        </w:tc>
      </w:tr>
    </w:tbl>
    <w:p>
      <w:pPr>
        <w:spacing w:after="0" w:line="20" w:lineRule="exact"/>
        <w:rPr>
          <w:sz w:val="24"/>
          <w:szCs w:val="24"/>
          <w:color w:val="auto"/>
        </w:rPr>
      </w:pPr>
    </w:p>
    <w:p>
      <w:pPr>
        <w:ind w:right="140"/>
        <w:spacing w:after="0" w:line="182" w:lineRule="exact"/>
        <w:rPr>
          <w:sz w:val="20"/>
          <w:szCs w:val="20"/>
          <w:color w:val="auto"/>
        </w:rPr>
      </w:pPr>
      <w:r>
        <w:rPr>
          <w:rFonts w:ascii="Arial" w:cs="Arial" w:eastAsia="Arial" w:hAnsi="Arial"/>
          <w:sz w:val="13"/>
          <w:szCs w:val="13"/>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3"/>
          <w:szCs w:val="13"/>
          <w:b w:val="1"/>
          <w:bCs w:val="1"/>
          <w:color w:val="231F20"/>
        </w:rPr>
        <w:t/>
      </w:r>
    </w:p>
    <w:p>
      <w:pPr>
        <w:spacing w:after="0" w:line="21" w:lineRule="exact"/>
        <w:rPr>
          <w:sz w:val="24"/>
          <w:szCs w:val="24"/>
          <w:color w:val="auto"/>
        </w:rPr>
      </w:pPr>
    </w:p>
    <w:p>
      <w:pPr>
        <w:ind w:right="240"/>
        <w:spacing w:after="0" w:line="182" w:lineRule="exact"/>
        <w:rPr>
          <w:sz w:val="20"/>
          <w:szCs w:val="20"/>
          <w:color w:val="auto"/>
        </w:rPr>
      </w:pPr>
      <w:r>
        <w:rPr>
          <w:rFonts w:ascii="Arial" w:cs="Arial" w:eastAsia="Arial" w:hAnsi="Arial"/>
          <w:sz w:val="13"/>
          <w:szCs w:val="13"/>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3"/>
          <w:szCs w:val="13"/>
          <w:b w:val="1"/>
          <w:bCs w:val="1"/>
          <w:color w:val="231F20"/>
        </w:rPr>
        <w:t/>
      </w:r>
    </w:p>
    <w:p>
      <w:pPr>
        <w:spacing w:after="0" w:line="21" w:lineRule="exact"/>
        <w:rPr>
          <w:sz w:val="24"/>
          <w:szCs w:val="24"/>
          <w:color w:val="auto"/>
        </w:rPr>
      </w:pPr>
    </w:p>
    <w:p>
      <w:pPr>
        <w:ind w:right="440"/>
        <w:spacing w:after="0" w:line="182" w:lineRule="exact"/>
        <w:rPr>
          <w:sz w:val="20"/>
          <w:szCs w:val="20"/>
          <w:color w:val="auto"/>
        </w:rPr>
      </w:pPr>
      <w:r>
        <w:rPr>
          <w:rFonts w:ascii="Arial" w:cs="Arial" w:eastAsia="Arial" w:hAnsi="Arial"/>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3"/>
          <w:szCs w:val="13"/>
          <w:b w:val="1"/>
          <w:bCs w:val="1"/>
          <w:color w:val="231F20"/>
        </w:rPr>
        <w:t/>
      </w:r>
    </w:p>
    <w:p>
      <w:pPr>
        <w:spacing w:after="0" w:line="21" w:lineRule="exact"/>
        <w:rPr>
          <w:sz w:val="24"/>
          <w:szCs w:val="24"/>
          <w:color w:val="auto"/>
        </w:rPr>
      </w:pPr>
    </w:p>
    <w:p>
      <w:pPr>
        <w:ind w:right="300"/>
        <w:spacing w:after="0" w:line="182" w:lineRule="exact"/>
        <w:rPr>
          <w:sz w:val="20"/>
          <w:szCs w:val="20"/>
          <w:color w:val="auto"/>
        </w:rPr>
      </w:pPr>
      <w:r>
        <w:rPr>
          <w:rFonts w:ascii="Arial" w:cs="Arial" w:eastAsia="Arial" w:hAnsi="Arial"/>
          <w:sz w:val="13"/>
          <w:szCs w:val="13"/>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3"/>
          <w:szCs w:val="13"/>
          <w:b w:val="1"/>
          <w:bCs w:val="1"/>
          <w:color w:val="231F20"/>
        </w:rPr>
        <w:t/>
      </w:r>
    </w:p>
    <w:p>
      <w:pPr>
        <w:spacing w:after="0" w:line="19" w:lineRule="exact"/>
        <w:rPr>
          <w:sz w:val="24"/>
          <w:szCs w:val="24"/>
          <w:color w:val="auto"/>
        </w:rPr>
      </w:pPr>
    </w:p>
    <w:p>
      <w:pPr>
        <w:spacing w:after="0" w:line="158" w:lineRule="exact"/>
        <w:tabs>
          <w:tab w:leader="none" w:pos="7220" w:val="left"/>
        </w:tabs>
        <w:rPr>
          <w:sz w:val="20"/>
          <w:szCs w:val="20"/>
          <w:color w:val="auto"/>
        </w:rPr>
      </w:pPr>
      <w:r>
        <w:rPr>
          <w:rFonts w:ascii="Arial" w:cs="Arial" w:eastAsia="Arial" w:hAnsi="Arial"/>
          <w:sz w:val="13"/>
          <w:szCs w:val="13"/>
          <w:color w:val="231F20"/>
        </w:rPr>
        <w:t xml:space="preserve">Indicate by check mark whether the registrant is a shell company (as defined in Rule 12b-2 of the Exchange Act). Yes </w:t>
      </w:r>
      <w:r>
        <w:rPr>
          <w:rFonts w:ascii="PMingLiU" w:cs="PMingLiU" w:eastAsia="PMingLiU" w:hAnsi="PMingLiU"/>
          <w:sz w:val="13"/>
          <w:szCs w:val="13"/>
          <w:b w:val="1"/>
          <w:bCs w:val="1"/>
          <w:color w:val="231F20"/>
        </w:rPr>
        <w:t/>
      </w:r>
      <w:r>
        <w:rPr>
          <w:rFonts w:ascii="Arial" w:cs="Arial" w:eastAsia="Arial" w:hAnsi="Arial"/>
          <w:sz w:val="13"/>
          <w:szCs w:val="13"/>
          <w:color w:val="231F20"/>
        </w:rPr>
        <w:tab/>
        <w:t xml:space="preserve">No </w:t>
      </w:r>
      <w:r>
        <w:rPr>
          <w:rFonts w:ascii="PMingLiU" w:cs="PMingLiU" w:eastAsia="PMingLiU" w:hAnsi="PMingLiU"/>
          <w:sz w:val="13"/>
          <w:szCs w:val="13"/>
          <w:b w:val="1"/>
          <w:bCs w:val="1"/>
          <w:color w:val="231F20"/>
        </w:rPr>
        <w:t/>
      </w:r>
    </w:p>
    <w:p>
      <w:pPr>
        <w:spacing w:after="0" w:line="77" w:lineRule="exact"/>
        <w:rPr>
          <w:sz w:val="24"/>
          <w:szCs w:val="24"/>
          <w:color w:val="auto"/>
        </w:rPr>
      </w:pPr>
    </w:p>
    <w:p>
      <w:pPr>
        <w:ind w:right="180"/>
        <w:spacing w:after="0" w:line="259" w:lineRule="auto"/>
        <w:rPr>
          <w:sz w:val="20"/>
          <w:szCs w:val="20"/>
          <w:color w:val="auto"/>
        </w:rPr>
      </w:pPr>
      <w:r>
        <w:rPr>
          <w:rFonts w:ascii="Arial" w:cs="Arial" w:eastAsia="Arial" w:hAnsi="Arial"/>
          <w:sz w:val="13"/>
          <w:szCs w:val="13"/>
          <w:color w:val="231F20"/>
        </w:rPr>
        <w:t>As of June 28, 2024, the last business day of the registrant’s mostly recently completed second fiscal quarter, the aggregate market value of the voting and non-voting common stock held by non-affiliates of the registrant was $1,976,147,414 based upon the closing sale price of our voting common stock of $16.39 per share on that date. Shares of voting common stock held by each executive officer, director and stockholders known by the registrant to be affiliated with such individuals based on public filings and other information known to the registrant have been excluded since such persons may be deemed affiliates.</w:t>
      </w:r>
    </w:p>
    <w:p>
      <w:pPr>
        <w:spacing w:after="0" w:line="19" w:lineRule="exact"/>
        <w:rPr>
          <w:sz w:val="24"/>
          <w:szCs w:val="24"/>
          <w:color w:val="auto"/>
        </w:rPr>
      </w:pPr>
    </w:p>
    <w:p>
      <w:pPr>
        <w:ind w:right="440"/>
        <w:spacing w:after="0" w:line="287" w:lineRule="auto"/>
        <w:rPr>
          <w:sz w:val="20"/>
          <w:szCs w:val="20"/>
          <w:color w:val="auto"/>
        </w:rPr>
      </w:pPr>
      <w:r>
        <w:rPr>
          <w:rFonts w:ascii="Arial" w:cs="Arial" w:eastAsia="Arial" w:hAnsi="Arial"/>
          <w:sz w:val="13"/>
          <w:szCs w:val="13"/>
          <w:color w:val="231F20"/>
        </w:rPr>
        <w:t>As of February 20, 2025, the registrant had 121,719,438 shares of voting common stock, $0.0001 par value per share, outstanding and 1,873,320 shares of non-voting common stock $0.0001 par value per share, outstanding.</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DOCUMENTS INCORPORATED BY REFERENCE</w:t>
      </w:r>
    </w:p>
    <w:p>
      <w:pPr>
        <w:spacing w:after="0" w:line="61" w:lineRule="exact"/>
        <w:rPr>
          <w:sz w:val="24"/>
          <w:szCs w:val="24"/>
          <w:color w:val="auto"/>
        </w:rPr>
      </w:pPr>
    </w:p>
    <w:p>
      <w:pPr>
        <w:spacing w:after="0" w:line="289" w:lineRule="auto"/>
        <w:rPr>
          <w:sz w:val="20"/>
          <w:szCs w:val="20"/>
          <w:color w:val="auto"/>
        </w:rPr>
      </w:pPr>
      <w:r>
        <w:rPr>
          <w:rFonts w:ascii="Arial" w:cs="Arial" w:eastAsia="Arial" w:hAnsi="Arial"/>
          <w:sz w:val="13"/>
          <w:szCs w:val="13"/>
          <w:color w:val="231F20"/>
        </w:rPr>
        <w:t>Portions of the registrant’s proxy statement for the 2025 annual meeting of stockholders to be filed pursuant to Regulation 14A within 120 days after the registrant’s fiscal year ended December 31, 2024, are incorporated by reference in Part III of this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70485</wp:posOffset>
                </wp:positionV>
                <wp:extent cx="651129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1290"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5.55pt" to="511.35pt,5.55pt" o:allowincell="f" strokecolor="#231F20" strokeweight="0.472pt"/>
            </w:pict>
          </mc:Fallback>
        </mc:AlternateContent>
        <mc:AlternateContent>
          <mc:Choice Requires="wps">
            <w:drawing>
              <wp:anchor simplePos="0" relativeHeight="251657728" behindDoc="1" locked="0" layoutInCell="0" allowOverlap="1">
                <wp:simplePos x="0" y="0"/>
                <wp:positionH relativeFrom="column">
                  <wp:posOffset>-17145</wp:posOffset>
                </wp:positionH>
                <wp:positionV relativeFrom="paragraph">
                  <wp:posOffset>58420</wp:posOffset>
                </wp:positionV>
                <wp:extent cx="651129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1290"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4.6pt" to="511.35pt,4.6pt" o:allowincell="f" strokecolor="#231F20" strokeweight="0.472pt"/>
            </w:pict>
          </mc:Fallback>
        </mc:AlternateContent>
      </w:r>
    </w:p>
    <w:p>
      <w:pPr>
        <w:sectPr>
          <w:pgSz w:w="12240" w:h="15840" w:orient="portrait"/>
          <w:cols w:equalWidth="0" w:num="1">
            <w:col w:w="10200"/>
          </w:cols>
          <w:pgMar w:left="1020" w:top="1440" w:right="1020" w:bottom="1114" w:gutter="0" w:footer="0" w:header="0"/>
          <w:type w:val="continuous"/>
        </w:sectPr>
      </w:pPr>
    </w:p>
    <w:bookmarkStart w:id="1" w:name="page2"/>
    <w:bookmarkEnd w:id="1"/>
    <w:p>
      <w:pPr>
        <w:spacing w:after="0" w:line="338" w:lineRule="exact"/>
        <w:rPr>
          <w:sz w:val="20"/>
          <w:szCs w:val="20"/>
          <w:color w:val="auto"/>
        </w:rPr>
      </w:pPr>
    </w:p>
    <w:tbl>
      <w:tblPr>
        <w:tblLayout w:type="fixed"/>
        <w:tblInd w:w="260" w:type="dxa"/>
        <w:tblCellMar>
          <w:top w:w="0" w:type="dxa"/>
          <w:left w:w="0" w:type="dxa"/>
          <w:bottom w:w="0" w:type="dxa"/>
          <w:right w:w="0" w:type="dxa"/>
        </w:tblCellMar>
      </w:tblPr>
      <w:tr>
        <w:trPr>
          <w:trHeight w:val="269"/>
        </w:trPr>
        <w:tc>
          <w:tcPr>
            <w:tcW w:w="980" w:type="dxa"/>
            <w:vAlign w:val="bottom"/>
          </w:tcPr>
          <w:p>
            <w:pPr>
              <w:spacing w:after="0"/>
              <w:rPr>
                <w:sz w:val="23"/>
                <w:szCs w:val="23"/>
                <w:color w:val="auto"/>
              </w:rPr>
            </w:pPr>
          </w:p>
        </w:tc>
        <w:tc>
          <w:tcPr>
            <w:tcW w:w="7240" w:type="dxa"/>
            <w:vAlign w:val="bottom"/>
          </w:tcPr>
          <w:p>
            <w:pPr>
              <w:ind w:left="2640"/>
              <w:spacing w:after="0"/>
              <w:rPr>
                <w:sz w:val="20"/>
                <w:szCs w:val="20"/>
                <w:color w:val="auto"/>
              </w:rPr>
            </w:pPr>
            <w:r>
              <w:rPr>
                <w:rFonts w:ascii="Arial" w:cs="Arial" w:eastAsia="Arial" w:hAnsi="Arial"/>
                <w:sz w:val="19"/>
                <w:szCs w:val="19"/>
                <w:b w:val="1"/>
                <w:bCs w:val="1"/>
                <w:color w:val="231F20"/>
              </w:rPr>
              <w:t>Table of Contents</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80" w:type="dxa"/>
            <w:vAlign w:val="bottom"/>
            <w:shd w:val="clear" w:color="auto" w:fill="FDFDFC"/>
          </w:tcPr>
          <w:p>
            <w:pPr>
              <w:spacing w:after="0"/>
              <w:rPr>
                <w:sz w:val="18"/>
                <w:szCs w:val="18"/>
                <w:color w:val="auto"/>
              </w:rPr>
            </w:pPr>
          </w:p>
        </w:tc>
        <w:tc>
          <w:tcPr>
            <w:tcW w:w="7240" w:type="dxa"/>
            <w:vAlign w:val="bottom"/>
            <w:shd w:val="clear" w:color="auto" w:fill="FDFDFC"/>
          </w:tcPr>
          <w:p>
            <w:pPr>
              <w:spacing w:after="0"/>
              <w:rPr>
                <w:sz w:val="18"/>
                <w:szCs w:val="18"/>
                <w:color w:val="auto"/>
              </w:rPr>
            </w:pPr>
          </w:p>
        </w:tc>
        <w:tc>
          <w:tcPr>
            <w:tcW w:w="620" w:type="dxa"/>
            <w:vAlign w:val="bottom"/>
            <w:gridSpan w:val="3"/>
            <w:shd w:val="clear" w:color="auto" w:fill="FDFDFC"/>
          </w:tcPr>
          <w:p>
            <w:pPr>
              <w:jc w:val="right"/>
              <w:ind w:right="100"/>
              <w:spacing w:after="0" w:line="212" w:lineRule="exact"/>
              <w:rPr>
                <w:sz w:val="20"/>
                <w:szCs w:val="20"/>
                <w:color w:val="auto"/>
              </w:rPr>
            </w:pPr>
            <w:r>
              <w:rPr>
                <w:rFonts w:ascii="Arial" w:cs="Arial" w:eastAsia="Arial" w:hAnsi="Arial"/>
                <w:sz w:val="19"/>
                <w:szCs w:val="19"/>
                <w:b w:val="1"/>
                <w:bCs w:val="1"/>
                <w:color w:val="231F20"/>
              </w:rPr>
              <w:t>Page</w:t>
            </w:r>
          </w:p>
        </w:tc>
        <w:tc>
          <w:tcPr>
            <w:tcW w:w="0" w:type="dxa"/>
            <w:vAlign w:val="bottom"/>
          </w:tcPr>
          <w:p>
            <w:pPr>
              <w:spacing w:after="0"/>
              <w:rPr>
                <w:sz w:val="1"/>
                <w:szCs w:val="1"/>
                <w:color w:val="auto"/>
              </w:rPr>
            </w:pPr>
          </w:p>
        </w:tc>
      </w:tr>
      <w:tr>
        <w:trPr>
          <w:trHeight w:val="20"/>
        </w:trPr>
        <w:tc>
          <w:tcPr>
            <w:tcW w:w="980" w:type="dxa"/>
            <w:vAlign w:val="bottom"/>
            <w:shd w:val="clear" w:color="auto" w:fill="FDFDFC"/>
          </w:tcPr>
          <w:p>
            <w:pPr>
              <w:spacing w:after="0" w:line="20" w:lineRule="exact"/>
              <w:rPr>
                <w:sz w:val="1"/>
                <w:szCs w:val="1"/>
                <w:color w:val="auto"/>
              </w:rPr>
            </w:pPr>
          </w:p>
        </w:tc>
        <w:tc>
          <w:tcPr>
            <w:tcW w:w="7240" w:type="dxa"/>
            <w:vAlign w:val="bottom"/>
            <w:shd w:val="clear" w:color="auto" w:fill="FDFDFC"/>
          </w:tcPr>
          <w:p>
            <w:pPr>
              <w:spacing w:after="0" w:line="20" w:lineRule="exact"/>
              <w:rPr>
                <w:sz w:val="1"/>
                <w:szCs w:val="1"/>
                <w:color w:val="auto"/>
              </w:rPr>
            </w:pPr>
          </w:p>
        </w:tc>
        <w:tc>
          <w:tcPr>
            <w:tcW w:w="80" w:type="dxa"/>
            <w:vAlign w:val="bottom"/>
            <w:shd w:val="clear" w:color="auto" w:fill="FDFDFC"/>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100" w:type="dxa"/>
            <w:vAlign w:val="bottom"/>
            <w:shd w:val="clear" w:color="auto" w:fill="FDFD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980" w:type="dxa"/>
            <w:vAlign w:val="bottom"/>
            <w:shd w:val="clear" w:color="auto" w:fill="FDFDFC"/>
          </w:tcPr>
          <w:p>
            <w:pPr>
              <w:spacing w:after="0"/>
              <w:rPr>
                <w:sz w:val="20"/>
                <w:szCs w:val="20"/>
                <w:color w:val="auto"/>
              </w:rPr>
            </w:pP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Special Note Regarding Forward-Looking Statements</w:t>
            </w:r>
          </w:p>
        </w:tc>
        <w:tc>
          <w:tcPr>
            <w:tcW w:w="80" w:type="dxa"/>
            <w:vAlign w:val="bottom"/>
            <w:shd w:val="clear" w:color="auto" w:fill="FDFDFC"/>
          </w:tcPr>
          <w:p>
            <w:pPr>
              <w:spacing w:after="0"/>
              <w:rPr>
                <w:sz w:val="20"/>
                <w:szCs w:val="20"/>
                <w:color w:val="auto"/>
              </w:rPr>
            </w:pPr>
          </w:p>
        </w:tc>
        <w:tc>
          <w:tcPr>
            <w:tcW w:w="54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2</w:t>
            </w:r>
          </w:p>
        </w:tc>
        <w:tc>
          <w:tcPr>
            <w:tcW w:w="0" w:type="dxa"/>
            <w:vAlign w:val="bottom"/>
          </w:tcPr>
          <w:p>
            <w:pPr>
              <w:spacing w:after="0"/>
              <w:rPr>
                <w:sz w:val="1"/>
                <w:szCs w:val="1"/>
                <w:color w:val="auto"/>
              </w:rPr>
            </w:pPr>
          </w:p>
        </w:tc>
      </w:tr>
      <w:tr>
        <w:trPr>
          <w:trHeight w:val="463"/>
        </w:trPr>
        <w:tc>
          <w:tcPr>
            <w:tcW w:w="980" w:type="dxa"/>
            <w:vAlign w:val="bottom"/>
            <w:shd w:val="clear" w:color="auto" w:fill="FDFDFC"/>
          </w:tcPr>
          <w:p>
            <w:pPr>
              <w:spacing w:after="0"/>
              <w:rPr>
                <w:sz w:val="20"/>
                <w:szCs w:val="20"/>
                <w:color w:val="auto"/>
              </w:rPr>
            </w:pPr>
            <w:r>
              <w:rPr>
                <w:rFonts w:ascii="Arial" w:cs="Arial" w:eastAsia="Arial" w:hAnsi="Arial"/>
                <w:sz w:val="19"/>
                <w:szCs w:val="19"/>
                <w:b w:val="1"/>
                <w:bCs w:val="1"/>
                <w:color w:val="231F20"/>
              </w:rPr>
              <w:t>PART I</w:t>
            </w:r>
          </w:p>
        </w:tc>
        <w:tc>
          <w:tcPr>
            <w:tcW w:w="7240" w:type="dxa"/>
            <w:vAlign w:val="bottom"/>
            <w:shd w:val="clear" w:color="auto" w:fill="FDFDFC"/>
          </w:tcPr>
          <w:p>
            <w:pPr>
              <w:spacing w:after="0"/>
              <w:rPr>
                <w:sz w:val="24"/>
                <w:szCs w:val="24"/>
                <w:color w:val="auto"/>
              </w:rPr>
            </w:pPr>
          </w:p>
        </w:tc>
        <w:tc>
          <w:tcPr>
            <w:tcW w:w="80" w:type="dxa"/>
            <w:vAlign w:val="bottom"/>
            <w:shd w:val="clear" w:color="auto" w:fill="FDFDFC"/>
          </w:tcPr>
          <w:p>
            <w:pPr>
              <w:spacing w:after="0"/>
              <w:rPr>
                <w:sz w:val="24"/>
                <w:szCs w:val="24"/>
                <w:color w:val="auto"/>
              </w:rPr>
            </w:pPr>
          </w:p>
        </w:tc>
        <w:tc>
          <w:tcPr>
            <w:tcW w:w="440" w:type="dxa"/>
            <w:vAlign w:val="bottom"/>
            <w:shd w:val="clear" w:color="auto" w:fill="FDFDFC"/>
          </w:tcPr>
          <w:p>
            <w:pPr>
              <w:spacing w:after="0"/>
              <w:rPr>
                <w:sz w:val="24"/>
                <w:szCs w:val="24"/>
                <w:color w:val="auto"/>
              </w:rPr>
            </w:pPr>
          </w:p>
        </w:tc>
        <w:tc>
          <w:tcPr>
            <w:tcW w:w="100" w:type="dxa"/>
            <w:vAlign w:val="bottom"/>
            <w:shd w:val="clear" w:color="auto" w:fill="FDFDFC"/>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1.</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Business</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4</w:t>
            </w: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1A.</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17489D"/>
              </w:rPr>
              <w:t>Risk Factors</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28</w:t>
            </w: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1B.</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Unresolved Staff Comments</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74</w:t>
            </w: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1C.</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Cybersecurity</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74</w:t>
            </w: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2.</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Properties</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75</w:t>
            </w: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3.</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Legal Proceedings</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75</w:t>
            </w:r>
          </w:p>
        </w:tc>
        <w:tc>
          <w:tcPr>
            <w:tcW w:w="0" w:type="dxa"/>
            <w:vAlign w:val="bottom"/>
          </w:tcPr>
          <w:p>
            <w:pPr>
              <w:spacing w:after="0"/>
              <w:rPr>
                <w:sz w:val="1"/>
                <w:szCs w:val="1"/>
                <w:color w:val="auto"/>
              </w:rPr>
            </w:pPr>
          </w:p>
        </w:tc>
      </w:tr>
      <w:tr>
        <w:trPr>
          <w:trHeight w:val="255"/>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4.</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Mine Safety Disclosures</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76</w:t>
            </w:r>
          </w:p>
        </w:tc>
        <w:tc>
          <w:tcPr>
            <w:tcW w:w="0" w:type="dxa"/>
            <w:vAlign w:val="bottom"/>
          </w:tcPr>
          <w:p>
            <w:pPr>
              <w:spacing w:after="0"/>
              <w:rPr>
                <w:sz w:val="1"/>
                <w:szCs w:val="1"/>
                <w:color w:val="auto"/>
              </w:rPr>
            </w:pPr>
          </w:p>
        </w:tc>
      </w:tr>
      <w:tr>
        <w:trPr>
          <w:trHeight w:val="211"/>
        </w:trPr>
        <w:tc>
          <w:tcPr>
            <w:tcW w:w="980" w:type="dxa"/>
            <w:vAlign w:val="bottom"/>
            <w:shd w:val="clear" w:color="auto" w:fill="FDFDFC"/>
          </w:tcPr>
          <w:p>
            <w:pPr>
              <w:spacing w:after="0"/>
              <w:rPr>
                <w:sz w:val="18"/>
                <w:szCs w:val="18"/>
                <w:color w:val="auto"/>
              </w:rPr>
            </w:pPr>
          </w:p>
        </w:tc>
        <w:tc>
          <w:tcPr>
            <w:tcW w:w="724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4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spacing w:after="0"/>
              <w:rPr>
                <w:sz w:val="20"/>
                <w:szCs w:val="20"/>
                <w:color w:val="auto"/>
              </w:rPr>
            </w:pPr>
            <w:r>
              <w:rPr>
                <w:rFonts w:ascii="Arial" w:cs="Arial" w:eastAsia="Arial" w:hAnsi="Arial"/>
                <w:sz w:val="19"/>
                <w:szCs w:val="19"/>
                <w:b w:val="1"/>
                <w:bCs w:val="1"/>
                <w:color w:val="231F20"/>
              </w:rPr>
              <w:t>PART II</w:t>
            </w:r>
          </w:p>
        </w:tc>
        <w:tc>
          <w:tcPr>
            <w:tcW w:w="724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980" w:type="dxa"/>
            <w:vAlign w:val="bottom"/>
            <w:shd w:val="clear" w:color="auto" w:fill="FDFDFC"/>
          </w:tcPr>
          <w:p>
            <w:pPr>
              <w:ind w:left="120"/>
              <w:spacing w:after="0" w:line="214" w:lineRule="exact"/>
              <w:rPr>
                <w:sz w:val="20"/>
                <w:szCs w:val="20"/>
                <w:color w:val="auto"/>
              </w:rPr>
            </w:pPr>
            <w:r>
              <w:rPr>
                <w:rFonts w:ascii="Arial" w:cs="Arial" w:eastAsia="Arial" w:hAnsi="Arial"/>
                <w:sz w:val="19"/>
                <w:szCs w:val="19"/>
                <w:color w:val="231F20"/>
              </w:rPr>
              <w:t>Item 5.</w:t>
            </w:r>
          </w:p>
        </w:tc>
        <w:tc>
          <w:tcPr>
            <w:tcW w:w="7240" w:type="dxa"/>
            <w:vAlign w:val="bottom"/>
            <w:shd w:val="clear" w:color="auto" w:fill="FDFDFC"/>
          </w:tcPr>
          <w:p>
            <w:pPr>
              <w:spacing w:after="0" w:line="214" w:lineRule="exact"/>
              <w:rPr>
                <w:sz w:val="20"/>
                <w:szCs w:val="20"/>
                <w:color w:val="auto"/>
              </w:rPr>
            </w:pPr>
            <w:r>
              <w:rPr>
                <w:rFonts w:ascii="Arial" w:cs="Arial" w:eastAsia="Arial" w:hAnsi="Arial"/>
                <w:sz w:val="19"/>
                <w:szCs w:val="19"/>
                <w:color w:val="231F20"/>
              </w:rPr>
              <w:t>Market for Registrant’s Common Equity, Related Stockholder Matters and Issuer</w:t>
            </w:r>
          </w:p>
        </w:tc>
        <w:tc>
          <w:tcPr>
            <w:tcW w:w="620" w:type="dxa"/>
            <w:vAlign w:val="bottom"/>
            <w:gridSpan w:val="3"/>
            <w:vMerge w:val="restart"/>
            <w:shd w:val="clear" w:color="auto" w:fill="FDFDFC"/>
          </w:tcPr>
          <w:p>
            <w:pPr>
              <w:jc w:val="right"/>
              <w:ind w:right="20"/>
              <w:spacing w:after="0"/>
              <w:rPr>
                <w:sz w:val="20"/>
                <w:szCs w:val="20"/>
                <w:color w:val="auto"/>
              </w:rPr>
            </w:pPr>
            <w:r>
              <w:rPr>
                <w:rFonts w:ascii="Arial" w:cs="Arial" w:eastAsia="Arial" w:hAnsi="Arial"/>
                <w:sz w:val="19"/>
                <w:szCs w:val="19"/>
                <w:color w:val="231F20"/>
              </w:rPr>
              <w:t>77</w:t>
            </w:r>
          </w:p>
        </w:tc>
        <w:tc>
          <w:tcPr>
            <w:tcW w:w="0" w:type="dxa"/>
            <w:vAlign w:val="bottom"/>
          </w:tcPr>
          <w:p>
            <w:pPr>
              <w:spacing w:after="0"/>
              <w:rPr>
                <w:sz w:val="1"/>
                <w:szCs w:val="1"/>
                <w:color w:val="auto"/>
              </w:rPr>
            </w:pPr>
          </w:p>
        </w:tc>
      </w:tr>
      <w:tr>
        <w:trPr>
          <w:trHeight w:val="235"/>
        </w:trPr>
        <w:tc>
          <w:tcPr>
            <w:tcW w:w="980" w:type="dxa"/>
            <w:vAlign w:val="bottom"/>
            <w:shd w:val="clear" w:color="auto" w:fill="FDFDFC"/>
          </w:tcPr>
          <w:p>
            <w:pPr>
              <w:spacing w:after="0"/>
              <w:rPr>
                <w:sz w:val="20"/>
                <w:szCs w:val="20"/>
                <w:color w:val="auto"/>
              </w:rPr>
            </w:pP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Purchases of Equity Securities</w:t>
            </w:r>
          </w:p>
        </w:tc>
        <w:tc>
          <w:tcPr>
            <w:tcW w:w="620" w:type="dxa"/>
            <w:vAlign w:val="bottom"/>
            <w:gridSpan w:val="3"/>
            <w:vMerge w:val="continue"/>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6.</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[Reserved]</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78</w:t>
            </w:r>
          </w:p>
        </w:tc>
        <w:tc>
          <w:tcPr>
            <w:tcW w:w="0" w:type="dxa"/>
            <w:vAlign w:val="bottom"/>
          </w:tcPr>
          <w:p>
            <w:pPr>
              <w:spacing w:after="0"/>
              <w:rPr>
                <w:sz w:val="1"/>
                <w:szCs w:val="1"/>
                <w:color w:val="auto"/>
              </w:rPr>
            </w:pPr>
          </w:p>
        </w:tc>
      </w:tr>
      <w:tr>
        <w:trPr>
          <w:trHeight w:val="217"/>
        </w:trPr>
        <w:tc>
          <w:tcPr>
            <w:tcW w:w="980" w:type="dxa"/>
            <w:vAlign w:val="bottom"/>
            <w:shd w:val="clear" w:color="auto" w:fill="FDFDFC"/>
          </w:tcPr>
          <w:p>
            <w:pPr>
              <w:ind w:left="120"/>
              <w:spacing w:after="0" w:line="217" w:lineRule="exact"/>
              <w:rPr>
                <w:sz w:val="20"/>
                <w:szCs w:val="20"/>
                <w:color w:val="auto"/>
              </w:rPr>
            </w:pPr>
            <w:r>
              <w:rPr>
                <w:rFonts w:ascii="Arial" w:cs="Arial" w:eastAsia="Arial" w:hAnsi="Arial"/>
                <w:sz w:val="19"/>
                <w:szCs w:val="19"/>
                <w:color w:val="231F20"/>
              </w:rPr>
              <w:t>Item 7.</w:t>
            </w:r>
          </w:p>
        </w:tc>
        <w:tc>
          <w:tcPr>
            <w:tcW w:w="72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Management’s Discussion and Analysis of Financial Condition and Results of</w:t>
            </w:r>
          </w:p>
        </w:tc>
        <w:tc>
          <w:tcPr>
            <w:tcW w:w="620" w:type="dxa"/>
            <w:vAlign w:val="bottom"/>
            <w:gridSpan w:val="3"/>
            <w:vMerge w:val="restart"/>
            <w:shd w:val="clear" w:color="auto" w:fill="FDFDFC"/>
          </w:tcPr>
          <w:p>
            <w:pPr>
              <w:jc w:val="right"/>
              <w:ind w:right="20"/>
              <w:spacing w:after="0"/>
              <w:rPr>
                <w:sz w:val="20"/>
                <w:szCs w:val="20"/>
                <w:color w:val="auto"/>
              </w:rPr>
            </w:pPr>
            <w:r>
              <w:rPr>
                <w:rFonts w:ascii="Arial" w:cs="Arial" w:eastAsia="Arial" w:hAnsi="Arial"/>
                <w:sz w:val="19"/>
                <w:szCs w:val="19"/>
                <w:color w:val="231F20"/>
              </w:rPr>
              <w:t>79</w:t>
            </w: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spacing w:after="0"/>
              <w:rPr>
                <w:sz w:val="20"/>
                <w:szCs w:val="20"/>
                <w:color w:val="auto"/>
              </w:rPr>
            </w:pP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Operations</w:t>
            </w:r>
          </w:p>
        </w:tc>
        <w:tc>
          <w:tcPr>
            <w:tcW w:w="620" w:type="dxa"/>
            <w:vAlign w:val="bottom"/>
            <w:gridSpan w:val="3"/>
            <w:vMerge w:val="continue"/>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7A.</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Quantitative and Qualitative Disclosures About Market Risk</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104</w:t>
            </w: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8.</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Financial Statements and Supplementary Data</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106</w:t>
            </w:r>
          </w:p>
        </w:tc>
        <w:tc>
          <w:tcPr>
            <w:tcW w:w="0" w:type="dxa"/>
            <w:vAlign w:val="bottom"/>
          </w:tcPr>
          <w:p>
            <w:pPr>
              <w:spacing w:after="0"/>
              <w:rPr>
                <w:sz w:val="1"/>
                <w:szCs w:val="1"/>
                <w:color w:val="auto"/>
              </w:rPr>
            </w:pPr>
          </w:p>
        </w:tc>
      </w:tr>
      <w:tr>
        <w:trPr>
          <w:trHeight w:val="217"/>
        </w:trPr>
        <w:tc>
          <w:tcPr>
            <w:tcW w:w="980" w:type="dxa"/>
            <w:vAlign w:val="bottom"/>
            <w:shd w:val="clear" w:color="auto" w:fill="FDFDFC"/>
          </w:tcPr>
          <w:p>
            <w:pPr>
              <w:ind w:left="120"/>
              <w:spacing w:after="0" w:line="217" w:lineRule="exact"/>
              <w:rPr>
                <w:sz w:val="20"/>
                <w:szCs w:val="20"/>
                <w:color w:val="auto"/>
              </w:rPr>
            </w:pPr>
            <w:r>
              <w:rPr>
                <w:rFonts w:ascii="Arial" w:cs="Arial" w:eastAsia="Arial" w:hAnsi="Arial"/>
                <w:sz w:val="19"/>
                <w:szCs w:val="19"/>
                <w:color w:val="231F20"/>
              </w:rPr>
              <w:t>Item 9.</w:t>
            </w:r>
          </w:p>
        </w:tc>
        <w:tc>
          <w:tcPr>
            <w:tcW w:w="72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Changes in and Disagreements with Accountants on Accounting and Financial</w:t>
            </w:r>
          </w:p>
        </w:tc>
        <w:tc>
          <w:tcPr>
            <w:tcW w:w="620" w:type="dxa"/>
            <w:vAlign w:val="bottom"/>
            <w:gridSpan w:val="3"/>
            <w:vMerge w:val="restart"/>
            <w:shd w:val="clear" w:color="auto" w:fill="FDFDFC"/>
          </w:tcPr>
          <w:p>
            <w:pPr>
              <w:jc w:val="right"/>
              <w:ind w:right="20"/>
              <w:spacing w:after="0"/>
              <w:rPr>
                <w:sz w:val="20"/>
                <w:szCs w:val="20"/>
                <w:color w:val="auto"/>
              </w:rPr>
            </w:pPr>
            <w:r>
              <w:rPr>
                <w:rFonts w:ascii="Arial" w:cs="Arial" w:eastAsia="Arial" w:hAnsi="Arial"/>
                <w:sz w:val="19"/>
                <w:szCs w:val="19"/>
                <w:color w:val="231F20"/>
              </w:rPr>
              <w:t>151</w:t>
            </w: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spacing w:after="0"/>
              <w:rPr>
                <w:sz w:val="20"/>
                <w:szCs w:val="20"/>
                <w:color w:val="auto"/>
              </w:rPr>
            </w:pP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Disclosure</w:t>
            </w:r>
          </w:p>
        </w:tc>
        <w:tc>
          <w:tcPr>
            <w:tcW w:w="620" w:type="dxa"/>
            <w:vAlign w:val="bottom"/>
            <w:gridSpan w:val="3"/>
            <w:vMerge w:val="continue"/>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9A.</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Controls and Procedures</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151</w:t>
            </w: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9B.</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Other Information</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152</w:t>
            </w:r>
          </w:p>
        </w:tc>
        <w:tc>
          <w:tcPr>
            <w:tcW w:w="0" w:type="dxa"/>
            <w:vAlign w:val="bottom"/>
          </w:tcPr>
          <w:p>
            <w:pPr>
              <w:spacing w:after="0"/>
              <w:rPr>
                <w:sz w:val="1"/>
                <w:szCs w:val="1"/>
                <w:color w:val="auto"/>
              </w:rPr>
            </w:pPr>
          </w:p>
        </w:tc>
      </w:tr>
      <w:tr>
        <w:trPr>
          <w:trHeight w:val="255"/>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9C.</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Disclosure Regarding Foreign Jurisdictions that Prevent Inspections</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152</w:t>
            </w:r>
          </w:p>
        </w:tc>
        <w:tc>
          <w:tcPr>
            <w:tcW w:w="0" w:type="dxa"/>
            <w:vAlign w:val="bottom"/>
          </w:tcPr>
          <w:p>
            <w:pPr>
              <w:spacing w:after="0"/>
              <w:rPr>
                <w:sz w:val="1"/>
                <w:szCs w:val="1"/>
                <w:color w:val="auto"/>
              </w:rPr>
            </w:pPr>
          </w:p>
        </w:tc>
      </w:tr>
      <w:tr>
        <w:trPr>
          <w:trHeight w:val="439"/>
        </w:trPr>
        <w:tc>
          <w:tcPr>
            <w:tcW w:w="980" w:type="dxa"/>
            <w:vAlign w:val="bottom"/>
            <w:shd w:val="clear" w:color="auto" w:fill="FDFDFC"/>
          </w:tcPr>
          <w:p>
            <w:pPr>
              <w:spacing w:after="0"/>
              <w:rPr>
                <w:sz w:val="20"/>
                <w:szCs w:val="20"/>
                <w:color w:val="auto"/>
              </w:rPr>
            </w:pPr>
            <w:r>
              <w:rPr>
                <w:rFonts w:ascii="Arial" w:cs="Arial" w:eastAsia="Arial" w:hAnsi="Arial"/>
                <w:sz w:val="19"/>
                <w:szCs w:val="19"/>
                <w:b w:val="1"/>
                <w:bCs w:val="1"/>
                <w:color w:val="231F20"/>
              </w:rPr>
              <w:t>PART III</w:t>
            </w:r>
          </w:p>
        </w:tc>
        <w:tc>
          <w:tcPr>
            <w:tcW w:w="7240" w:type="dxa"/>
            <w:vAlign w:val="bottom"/>
            <w:shd w:val="clear" w:color="auto" w:fill="FDFDFC"/>
          </w:tcPr>
          <w:p>
            <w:pPr>
              <w:spacing w:after="0"/>
              <w:rPr>
                <w:sz w:val="24"/>
                <w:szCs w:val="24"/>
                <w:color w:val="auto"/>
              </w:rPr>
            </w:pPr>
          </w:p>
        </w:tc>
        <w:tc>
          <w:tcPr>
            <w:tcW w:w="80" w:type="dxa"/>
            <w:vAlign w:val="bottom"/>
            <w:shd w:val="clear" w:color="auto" w:fill="FDFDFC"/>
          </w:tcPr>
          <w:p>
            <w:pPr>
              <w:spacing w:after="0"/>
              <w:rPr>
                <w:sz w:val="24"/>
                <w:szCs w:val="24"/>
                <w:color w:val="auto"/>
              </w:rPr>
            </w:pPr>
          </w:p>
        </w:tc>
        <w:tc>
          <w:tcPr>
            <w:tcW w:w="440" w:type="dxa"/>
            <w:vAlign w:val="bottom"/>
            <w:shd w:val="clear" w:color="auto" w:fill="FDFDFC"/>
          </w:tcPr>
          <w:p>
            <w:pPr>
              <w:spacing w:after="0"/>
              <w:rPr>
                <w:sz w:val="24"/>
                <w:szCs w:val="24"/>
                <w:color w:val="auto"/>
              </w:rPr>
            </w:pPr>
          </w:p>
        </w:tc>
        <w:tc>
          <w:tcPr>
            <w:tcW w:w="100" w:type="dxa"/>
            <w:vAlign w:val="bottom"/>
            <w:shd w:val="clear" w:color="auto" w:fill="FDFDFC"/>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10.</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Directors, Executive Officers and Corporate Governance</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153</w:t>
            </w: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11.</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Executive Compensation</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153</w:t>
            </w:r>
          </w:p>
        </w:tc>
        <w:tc>
          <w:tcPr>
            <w:tcW w:w="0" w:type="dxa"/>
            <w:vAlign w:val="bottom"/>
          </w:tcPr>
          <w:p>
            <w:pPr>
              <w:spacing w:after="0"/>
              <w:rPr>
                <w:sz w:val="1"/>
                <w:szCs w:val="1"/>
                <w:color w:val="auto"/>
              </w:rPr>
            </w:pPr>
          </w:p>
        </w:tc>
      </w:tr>
      <w:tr>
        <w:trPr>
          <w:trHeight w:val="217"/>
        </w:trPr>
        <w:tc>
          <w:tcPr>
            <w:tcW w:w="980" w:type="dxa"/>
            <w:vAlign w:val="bottom"/>
            <w:shd w:val="clear" w:color="auto" w:fill="FDFDFC"/>
          </w:tcPr>
          <w:p>
            <w:pPr>
              <w:ind w:left="120"/>
              <w:spacing w:after="0" w:line="217" w:lineRule="exact"/>
              <w:rPr>
                <w:sz w:val="20"/>
                <w:szCs w:val="20"/>
                <w:color w:val="auto"/>
              </w:rPr>
            </w:pPr>
            <w:r>
              <w:rPr>
                <w:rFonts w:ascii="Arial" w:cs="Arial" w:eastAsia="Arial" w:hAnsi="Arial"/>
                <w:sz w:val="19"/>
                <w:szCs w:val="19"/>
                <w:color w:val="231F20"/>
              </w:rPr>
              <w:t>Item 12.</w:t>
            </w:r>
          </w:p>
        </w:tc>
        <w:tc>
          <w:tcPr>
            <w:tcW w:w="72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Security Ownership of Certain Beneficial Owners and Management and Related</w:t>
            </w:r>
          </w:p>
        </w:tc>
        <w:tc>
          <w:tcPr>
            <w:tcW w:w="620" w:type="dxa"/>
            <w:vAlign w:val="bottom"/>
            <w:gridSpan w:val="3"/>
            <w:vMerge w:val="restart"/>
            <w:shd w:val="clear" w:color="auto" w:fill="FDFDFC"/>
          </w:tcPr>
          <w:p>
            <w:pPr>
              <w:jc w:val="right"/>
              <w:ind w:right="20"/>
              <w:spacing w:after="0"/>
              <w:rPr>
                <w:sz w:val="20"/>
                <w:szCs w:val="20"/>
                <w:color w:val="auto"/>
              </w:rPr>
            </w:pPr>
            <w:r>
              <w:rPr>
                <w:rFonts w:ascii="Arial" w:cs="Arial" w:eastAsia="Arial" w:hAnsi="Arial"/>
                <w:sz w:val="19"/>
                <w:szCs w:val="19"/>
                <w:color w:val="231F20"/>
              </w:rPr>
              <w:t>153</w:t>
            </w: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spacing w:after="0"/>
              <w:rPr>
                <w:sz w:val="20"/>
                <w:szCs w:val="20"/>
                <w:color w:val="auto"/>
              </w:rPr>
            </w:pP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Stockholder Matters</w:t>
            </w:r>
          </w:p>
        </w:tc>
        <w:tc>
          <w:tcPr>
            <w:tcW w:w="620" w:type="dxa"/>
            <w:vAlign w:val="bottom"/>
            <w:gridSpan w:val="3"/>
            <w:vMerge w:val="continue"/>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13.</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Certain Relationships and Related Transactions, and Director Independence</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154</w:t>
            </w:r>
          </w:p>
        </w:tc>
        <w:tc>
          <w:tcPr>
            <w:tcW w:w="0" w:type="dxa"/>
            <w:vAlign w:val="bottom"/>
          </w:tcPr>
          <w:p>
            <w:pPr>
              <w:spacing w:after="0"/>
              <w:rPr>
                <w:sz w:val="1"/>
                <w:szCs w:val="1"/>
                <w:color w:val="auto"/>
              </w:rPr>
            </w:pPr>
          </w:p>
        </w:tc>
      </w:tr>
      <w:tr>
        <w:trPr>
          <w:trHeight w:val="255"/>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14.</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Principal Accounting Fees and Services</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154</w:t>
            </w:r>
          </w:p>
        </w:tc>
        <w:tc>
          <w:tcPr>
            <w:tcW w:w="0" w:type="dxa"/>
            <w:vAlign w:val="bottom"/>
          </w:tcPr>
          <w:p>
            <w:pPr>
              <w:spacing w:after="0"/>
              <w:rPr>
                <w:sz w:val="1"/>
                <w:szCs w:val="1"/>
                <w:color w:val="auto"/>
              </w:rPr>
            </w:pPr>
          </w:p>
        </w:tc>
      </w:tr>
      <w:tr>
        <w:trPr>
          <w:trHeight w:val="439"/>
        </w:trPr>
        <w:tc>
          <w:tcPr>
            <w:tcW w:w="980" w:type="dxa"/>
            <w:vAlign w:val="bottom"/>
            <w:shd w:val="clear" w:color="auto" w:fill="FDFDFC"/>
          </w:tcPr>
          <w:p>
            <w:pPr>
              <w:spacing w:after="0"/>
              <w:rPr>
                <w:sz w:val="20"/>
                <w:szCs w:val="20"/>
                <w:color w:val="auto"/>
              </w:rPr>
            </w:pPr>
            <w:r>
              <w:rPr>
                <w:rFonts w:ascii="Arial" w:cs="Arial" w:eastAsia="Arial" w:hAnsi="Arial"/>
                <w:sz w:val="19"/>
                <w:szCs w:val="19"/>
                <w:b w:val="1"/>
                <w:bCs w:val="1"/>
                <w:color w:val="231F20"/>
              </w:rPr>
              <w:t>PART IV</w:t>
            </w:r>
          </w:p>
        </w:tc>
        <w:tc>
          <w:tcPr>
            <w:tcW w:w="7240" w:type="dxa"/>
            <w:vAlign w:val="bottom"/>
            <w:shd w:val="clear" w:color="auto" w:fill="FDFDFC"/>
          </w:tcPr>
          <w:p>
            <w:pPr>
              <w:spacing w:after="0"/>
              <w:rPr>
                <w:sz w:val="24"/>
                <w:szCs w:val="24"/>
                <w:color w:val="auto"/>
              </w:rPr>
            </w:pPr>
          </w:p>
        </w:tc>
        <w:tc>
          <w:tcPr>
            <w:tcW w:w="80" w:type="dxa"/>
            <w:vAlign w:val="bottom"/>
            <w:shd w:val="clear" w:color="auto" w:fill="FDFDFC"/>
          </w:tcPr>
          <w:p>
            <w:pPr>
              <w:spacing w:after="0"/>
              <w:rPr>
                <w:sz w:val="24"/>
                <w:szCs w:val="24"/>
                <w:color w:val="auto"/>
              </w:rPr>
            </w:pPr>
          </w:p>
        </w:tc>
        <w:tc>
          <w:tcPr>
            <w:tcW w:w="440" w:type="dxa"/>
            <w:vAlign w:val="bottom"/>
            <w:shd w:val="clear" w:color="auto" w:fill="FDFDFC"/>
          </w:tcPr>
          <w:p>
            <w:pPr>
              <w:spacing w:after="0"/>
              <w:rPr>
                <w:sz w:val="24"/>
                <w:szCs w:val="24"/>
                <w:color w:val="auto"/>
              </w:rPr>
            </w:pPr>
          </w:p>
        </w:tc>
        <w:tc>
          <w:tcPr>
            <w:tcW w:w="100" w:type="dxa"/>
            <w:vAlign w:val="bottom"/>
            <w:shd w:val="clear" w:color="auto" w:fill="FDFDFC"/>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15.</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Exhibits, Financial Statement Schedules</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155</w:t>
            </w:r>
          </w:p>
        </w:tc>
        <w:tc>
          <w:tcPr>
            <w:tcW w:w="0" w:type="dxa"/>
            <w:vAlign w:val="bottom"/>
          </w:tcPr>
          <w:p>
            <w:pPr>
              <w:spacing w:after="0"/>
              <w:rPr>
                <w:sz w:val="1"/>
                <w:szCs w:val="1"/>
                <w:color w:val="auto"/>
              </w:rPr>
            </w:pPr>
          </w:p>
        </w:tc>
      </w:tr>
      <w:tr>
        <w:trPr>
          <w:trHeight w:val="235"/>
        </w:trPr>
        <w:tc>
          <w:tcPr>
            <w:tcW w:w="980" w:type="dxa"/>
            <w:vAlign w:val="bottom"/>
            <w:shd w:val="clear" w:color="auto" w:fill="FDFDFC"/>
          </w:tcPr>
          <w:p>
            <w:pPr>
              <w:ind w:left="120"/>
              <w:spacing w:after="0"/>
              <w:rPr>
                <w:sz w:val="20"/>
                <w:szCs w:val="20"/>
                <w:color w:val="auto"/>
              </w:rPr>
            </w:pPr>
            <w:r>
              <w:rPr>
                <w:rFonts w:ascii="Arial" w:cs="Arial" w:eastAsia="Arial" w:hAnsi="Arial"/>
                <w:sz w:val="19"/>
                <w:szCs w:val="19"/>
                <w:color w:val="231F20"/>
              </w:rPr>
              <w:t>Item 16.</w:t>
            </w: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Form 10-K Summary</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157</w:t>
            </w:r>
          </w:p>
        </w:tc>
        <w:tc>
          <w:tcPr>
            <w:tcW w:w="0" w:type="dxa"/>
            <w:vAlign w:val="bottom"/>
          </w:tcPr>
          <w:p>
            <w:pPr>
              <w:spacing w:after="0"/>
              <w:rPr>
                <w:sz w:val="1"/>
                <w:szCs w:val="1"/>
                <w:color w:val="auto"/>
              </w:rPr>
            </w:pPr>
          </w:p>
        </w:tc>
      </w:tr>
      <w:tr>
        <w:trPr>
          <w:trHeight w:val="231"/>
        </w:trPr>
        <w:tc>
          <w:tcPr>
            <w:tcW w:w="980" w:type="dxa"/>
            <w:vAlign w:val="bottom"/>
            <w:shd w:val="clear" w:color="auto" w:fill="FDFDFC"/>
          </w:tcPr>
          <w:p>
            <w:pPr>
              <w:spacing w:after="0"/>
              <w:rPr>
                <w:sz w:val="20"/>
                <w:szCs w:val="20"/>
                <w:color w:val="auto"/>
              </w:rPr>
            </w:pPr>
          </w:p>
        </w:tc>
        <w:tc>
          <w:tcPr>
            <w:tcW w:w="7240" w:type="dxa"/>
            <w:vAlign w:val="bottom"/>
            <w:shd w:val="clear" w:color="auto" w:fill="FDFDFC"/>
          </w:tcPr>
          <w:p>
            <w:pPr>
              <w:spacing w:after="0"/>
              <w:rPr>
                <w:sz w:val="20"/>
                <w:szCs w:val="20"/>
                <w:color w:val="auto"/>
              </w:rPr>
            </w:pPr>
            <w:r>
              <w:rPr>
                <w:rFonts w:ascii="Arial" w:cs="Arial" w:eastAsia="Arial" w:hAnsi="Arial"/>
                <w:sz w:val="19"/>
                <w:szCs w:val="19"/>
                <w:color w:val="231F20"/>
              </w:rPr>
              <w:t>Signatures</w:t>
            </w:r>
          </w:p>
        </w:tc>
        <w:tc>
          <w:tcPr>
            <w:tcW w:w="6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158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231F20"/>
        </w:rPr>
        <w:t> </w:t>
      </w:r>
    </w:p>
    <w:p>
      <w:pPr>
        <w:sectPr>
          <w:pgSz w:w="12240" w:h="15840" w:orient="portrait"/>
          <w:cols w:equalWidth="0" w:num="1">
            <w:col w:w="9360"/>
          </w:cols>
          <w:pgMar w:left="1440" w:top="1440" w:right="1440" w:bottom="5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i</w:t>
      </w:r>
    </w:p>
    <w:p>
      <w:pPr>
        <w:sectPr>
          <w:pgSz w:w="12240" w:h="15840" w:orient="portrait"/>
          <w:cols w:equalWidth="0" w:num="1">
            <w:col w:w="9360"/>
          </w:cols>
          <w:pgMar w:left="1440" w:top="1440" w:right="1440" w:bottom="583" w:gutter="0" w:footer="0" w:header="0"/>
          <w:type w:val="continuous"/>
        </w:sectPr>
      </w:pPr>
    </w:p>
    <w:bookmarkStart w:id="2" w:name="page3"/>
    <w:bookmarkEnd w:id="2"/>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231F20"/>
        </w:rPr>
        <w:t>SPECIAL NOTE REGARDING FORWARD-LOOKING STATEMENTS</w:t>
      </w:r>
    </w:p>
    <w:p>
      <w:pPr>
        <w:spacing w:after="0" w:line="192"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This Annual Report on Form 10-K,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90" w:lineRule="exact"/>
        <w:rPr>
          <w:sz w:val="20"/>
          <w:szCs w:val="20"/>
          <w:color w:val="auto"/>
        </w:rPr>
      </w:pPr>
    </w:p>
    <w:p>
      <w:pPr>
        <w:ind w:left="920" w:right="260" w:hanging="458"/>
        <w:spacing w:after="0" w:line="251" w:lineRule="auto"/>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80" w:lineRule="exact"/>
        <w:rPr>
          <w:rFonts w:ascii="Arial" w:cs="Arial" w:eastAsia="Arial" w:hAnsi="Arial"/>
          <w:sz w:val="19"/>
          <w:szCs w:val="19"/>
          <w:color w:val="231F20"/>
        </w:rPr>
      </w:pPr>
    </w:p>
    <w:p>
      <w:pPr>
        <w:ind w:left="920" w:hanging="458"/>
        <w:spacing w:after="0"/>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business plan and our ability to effectively manage our growth;</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cross-border expansion plans and ability to expand internationally;</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anticipated trends, growth rates, and challenges in our business and in the markets in which we operate;</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the sufficiency of, and ability to access, our cash and cash equivalents to meet our liquidity needs;</w:t>
      </w:r>
    </w:p>
    <w:p>
      <w:pPr>
        <w:spacing w:after="0" w:line="124" w:lineRule="exact"/>
        <w:rPr>
          <w:rFonts w:ascii="Arial" w:cs="Arial" w:eastAsia="Arial" w:hAnsi="Arial"/>
          <w:sz w:val="19"/>
          <w:szCs w:val="19"/>
          <w:color w:val="231F20"/>
        </w:rPr>
      </w:pPr>
    </w:p>
    <w:p>
      <w:pPr>
        <w:jc w:val="both"/>
        <w:ind w:left="920" w:right="380" w:hanging="458"/>
        <w:spacing w:after="0" w:line="258" w:lineRule="auto"/>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political, economic, foreign currency exchange rate, inflation, tariffs, banking, legal, immigration, social and health risks and public health measures that may affect cross-border commerce, education and travel, our business or the global economy;</w:t>
      </w:r>
    </w:p>
    <w:p>
      <w:pPr>
        <w:spacing w:after="0" w:line="73" w:lineRule="exact"/>
        <w:rPr>
          <w:rFonts w:ascii="Arial" w:cs="Arial" w:eastAsia="Arial" w:hAnsi="Arial"/>
          <w:sz w:val="19"/>
          <w:szCs w:val="19"/>
          <w:color w:val="231F20"/>
        </w:rPr>
      </w:pPr>
    </w:p>
    <w:p>
      <w:pPr>
        <w:ind w:left="920" w:hanging="458"/>
        <w:spacing w:after="0"/>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beliefs and objectives for future operations;</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ability to develop and protect our brand;</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ability to maintain and grow the payment volume that we process;</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ability to further attract, retain, and expand our client base;</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ability to develop new solutions and services and bring them to market in a timely manner;</w:t>
      </w:r>
    </w:p>
    <w:p>
      <w:pPr>
        <w:spacing w:after="0" w:line="124" w:lineRule="exact"/>
        <w:rPr>
          <w:rFonts w:ascii="Arial" w:cs="Arial" w:eastAsia="Arial" w:hAnsi="Arial"/>
          <w:sz w:val="19"/>
          <w:szCs w:val="19"/>
          <w:color w:val="231F20"/>
        </w:rPr>
      </w:pPr>
    </w:p>
    <w:p>
      <w:pPr>
        <w:ind w:left="920" w:right="680" w:hanging="458"/>
        <w:spacing w:after="0" w:line="278" w:lineRule="auto"/>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expectations concerning relationships with third parties, including financial institutions and strategic partners;</w:t>
      </w:r>
    </w:p>
    <w:p>
      <w:pPr>
        <w:spacing w:after="0" w:line="54" w:lineRule="exact"/>
        <w:rPr>
          <w:rFonts w:ascii="Arial" w:cs="Arial" w:eastAsia="Arial" w:hAnsi="Arial"/>
          <w:sz w:val="19"/>
          <w:szCs w:val="19"/>
          <w:color w:val="231F20"/>
        </w:rPr>
      </w:pPr>
    </w:p>
    <w:p>
      <w:pPr>
        <w:ind w:left="920" w:hanging="458"/>
        <w:spacing w:after="0"/>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the effects of increased competition in our markets and our ability to compete effectively;</w:t>
      </w:r>
    </w:p>
    <w:p>
      <w:pPr>
        <w:spacing w:after="0" w:line="124" w:lineRule="exact"/>
        <w:rPr>
          <w:rFonts w:ascii="Arial" w:cs="Arial" w:eastAsia="Arial" w:hAnsi="Arial"/>
          <w:sz w:val="19"/>
          <w:szCs w:val="19"/>
          <w:color w:val="231F20"/>
        </w:rPr>
      </w:pPr>
    </w:p>
    <w:p>
      <w:pPr>
        <w:ind w:left="920" w:right="620" w:hanging="458"/>
        <w:spacing w:after="0" w:line="258" w:lineRule="auto"/>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recent and future acquisitions or investments in complementary companies, products, services, or technologies, including the expected benefits and synergies of the acquisition of Sertifi LLC (Sertifi), the benefits of Sertifi’s platform, financial results and margins;</w:t>
      </w:r>
    </w:p>
    <w:p>
      <w:pPr>
        <w:spacing w:after="0" w:line="73" w:lineRule="exact"/>
        <w:rPr>
          <w:rFonts w:ascii="Arial" w:cs="Arial" w:eastAsia="Arial" w:hAnsi="Arial"/>
          <w:sz w:val="19"/>
          <w:szCs w:val="19"/>
          <w:color w:val="231F20"/>
        </w:rPr>
      </w:pPr>
    </w:p>
    <w:p>
      <w:pPr>
        <w:ind w:left="920" w:right="440" w:hanging="458"/>
        <w:spacing w:after="0" w:line="278" w:lineRule="auto"/>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ability to enter new client verticals and sub-verticals, including our relatively new business-to-business (B2B) sector;</w:t>
      </w:r>
    </w:p>
    <w:p>
      <w:pPr>
        <w:spacing w:after="0" w:line="54" w:lineRule="exact"/>
        <w:rPr>
          <w:rFonts w:ascii="Arial" w:cs="Arial" w:eastAsia="Arial" w:hAnsi="Arial"/>
          <w:sz w:val="19"/>
          <w:szCs w:val="19"/>
          <w:color w:val="231F20"/>
        </w:rPr>
      </w:pPr>
    </w:p>
    <w:p>
      <w:pPr>
        <w:ind w:left="920" w:right="240" w:hanging="458"/>
        <w:spacing w:after="0" w:line="278" w:lineRule="auto"/>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expectations regarding anticipated technology needs and developments and our ability to address those needs and developments with our solutions;</w:t>
      </w:r>
    </w:p>
    <w:p>
      <w:pPr>
        <w:spacing w:after="0" w:line="54" w:lineRule="exact"/>
        <w:rPr>
          <w:rFonts w:ascii="Arial" w:cs="Arial" w:eastAsia="Arial" w:hAnsi="Arial"/>
          <w:sz w:val="19"/>
          <w:szCs w:val="19"/>
          <w:color w:val="231F20"/>
        </w:rPr>
      </w:pPr>
    </w:p>
    <w:p>
      <w:pPr>
        <w:ind w:left="920" w:hanging="458"/>
        <w:spacing w:after="0"/>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expectations regarding litigation and legal and regulatory matters;</w:t>
      </w:r>
    </w:p>
    <w:p>
      <w:pPr>
        <w:spacing w:after="0" w:line="124" w:lineRule="exact"/>
        <w:rPr>
          <w:rFonts w:ascii="Arial" w:cs="Arial" w:eastAsia="Arial" w:hAnsi="Arial"/>
          <w:sz w:val="19"/>
          <w:szCs w:val="19"/>
          <w:color w:val="231F20"/>
        </w:rPr>
      </w:pPr>
    </w:p>
    <w:p>
      <w:pPr>
        <w:ind w:left="920" w:right="140" w:hanging="458"/>
        <w:spacing w:after="0" w:line="278" w:lineRule="auto"/>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expectations regarding our ability to meet existing performance obligations and maintain the operability of our solutions;</w:t>
      </w:r>
    </w:p>
    <w:p>
      <w:pPr>
        <w:spacing w:after="0" w:line="54" w:lineRule="exact"/>
        <w:rPr>
          <w:rFonts w:ascii="Arial" w:cs="Arial" w:eastAsia="Arial" w:hAnsi="Arial"/>
          <w:sz w:val="19"/>
          <w:szCs w:val="19"/>
          <w:color w:val="231F20"/>
        </w:rPr>
      </w:pPr>
    </w:p>
    <w:p>
      <w:pPr>
        <w:ind w:left="920" w:right="180" w:hanging="458"/>
        <w:spacing w:after="0" w:line="258" w:lineRule="auto"/>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our expectations regarding the effects of existing and developing laws and regulations, including with respect to payments and other financial services, economic and trade sanctions, anti-money laundering (AML) and countering the financing of terrorism (CFT), taxation, privacy and data protection;</w:t>
      </w:r>
    </w:p>
    <w:p>
      <w:pPr>
        <w:spacing w:after="0" w:line="73" w:lineRule="exact"/>
        <w:rPr>
          <w:rFonts w:ascii="Arial" w:cs="Arial" w:eastAsia="Arial" w:hAnsi="Arial"/>
          <w:sz w:val="19"/>
          <w:szCs w:val="19"/>
          <w:color w:val="231F20"/>
        </w:rPr>
      </w:pPr>
    </w:p>
    <w:p>
      <w:pPr>
        <w:ind w:left="920" w:hanging="458"/>
        <w:spacing w:after="0"/>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economic and industry trends, projected growth, or trend analysis;</w:t>
      </w:r>
    </w:p>
    <w:p>
      <w:pPr>
        <w:spacing w:after="0" w:line="124" w:lineRule="exact"/>
        <w:rPr>
          <w:rFonts w:ascii="Arial" w:cs="Arial" w:eastAsia="Arial" w:hAnsi="Arial"/>
          <w:sz w:val="19"/>
          <w:szCs w:val="19"/>
          <w:color w:val="231F20"/>
        </w:rPr>
      </w:pPr>
    </w:p>
    <w:p>
      <w:pPr>
        <w:ind w:left="920" w:right="440" w:hanging="458"/>
        <w:spacing w:after="0" w:line="278" w:lineRule="auto"/>
        <w:tabs>
          <w:tab w:leader="none" w:pos="920" w:val="left"/>
        </w:tabs>
        <w:numPr>
          <w:ilvl w:val="0"/>
          <w:numId w:val="3"/>
        </w:numPr>
        <w:rPr>
          <w:rFonts w:ascii="Arial" w:cs="Arial" w:eastAsia="Arial" w:hAnsi="Arial"/>
          <w:sz w:val="19"/>
          <w:szCs w:val="19"/>
          <w:color w:val="231F20"/>
        </w:rPr>
      </w:pPr>
      <w:r>
        <w:rPr>
          <w:rFonts w:ascii="Arial" w:cs="Arial" w:eastAsia="Arial" w:hAnsi="Arial"/>
          <w:sz w:val="19"/>
          <w:szCs w:val="19"/>
          <w:color w:val="231F20"/>
        </w:rPr>
        <w:t>the effects of global events and geopolitical conflict, including without limitation the continuing hostilities in Ukraine and involving Israel;</w:t>
      </w:r>
    </w:p>
    <w:p>
      <w:pPr>
        <w:sectPr>
          <w:pgSz w:w="12240" w:h="15840" w:orient="portrait"/>
          <w:cols w:equalWidth="0" w:num="1">
            <w:col w:w="10180"/>
          </w:cols>
          <w:pgMar w:left="1020" w:top="1440" w:right="1040" w:bottom="572" w:gutter="0" w:footer="0" w:header="0"/>
        </w:sectPr>
      </w:pP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2</w:t>
      </w:r>
    </w:p>
    <w:p>
      <w:pPr>
        <w:sectPr>
          <w:pgSz w:w="12240" w:h="15840" w:orient="portrait"/>
          <w:cols w:equalWidth="0" w:num="1">
            <w:col w:w="10180"/>
          </w:cols>
          <w:pgMar w:left="1020" w:top="1440" w:right="1040" w:bottom="572" w:gutter="0" w:footer="0" w:header="0"/>
          <w:type w:val="continuous"/>
        </w:sectPr>
      </w:pPr>
    </w:p>
    <w:bookmarkStart w:id="3" w:name="page4"/>
    <w:bookmarkEnd w:id="3"/>
    <w:p>
      <w:pPr>
        <w:spacing w:after="0" w:line="109" w:lineRule="exact"/>
        <w:rPr>
          <w:sz w:val="20"/>
          <w:szCs w:val="20"/>
          <w:color w:val="auto"/>
        </w:rPr>
      </w:pPr>
    </w:p>
    <w:p>
      <w:pPr>
        <w:ind w:left="920" w:right="660" w:hanging="458"/>
        <w:spacing w:after="0" w:line="278" w:lineRule="auto"/>
        <w:tabs>
          <w:tab w:leader="none" w:pos="920" w:val="left"/>
        </w:tabs>
        <w:numPr>
          <w:ilvl w:val="0"/>
          <w:numId w:val="4"/>
        </w:numPr>
        <w:rPr>
          <w:rFonts w:ascii="Arial" w:cs="Arial" w:eastAsia="Arial" w:hAnsi="Arial"/>
          <w:sz w:val="19"/>
          <w:szCs w:val="19"/>
          <w:color w:val="231F20"/>
        </w:rPr>
      </w:pPr>
      <w:r>
        <w:rPr>
          <w:rFonts w:ascii="Arial" w:cs="Arial" w:eastAsia="Arial" w:hAnsi="Arial"/>
          <w:sz w:val="19"/>
          <w:szCs w:val="19"/>
          <w:color w:val="231F20"/>
        </w:rPr>
        <w:t>our ability to adapt to changes in U.S. federal income or other tax laws or the interpretation of tax laws, including the Inflation Reduction Act of 2022;</w:t>
      </w:r>
    </w:p>
    <w:p>
      <w:pPr>
        <w:spacing w:after="0" w:line="54" w:lineRule="exact"/>
        <w:rPr>
          <w:rFonts w:ascii="Arial" w:cs="Arial" w:eastAsia="Arial" w:hAnsi="Arial"/>
          <w:sz w:val="19"/>
          <w:szCs w:val="19"/>
          <w:color w:val="231F20"/>
        </w:rPr>
      </w:pPr>
    </w:p>
    <w:p>
      <w:pPr>
        <w:ind w:left="920" w:hanging="458"/>
        <w:spacing w:after="0"/>
        <w:tabs>
          <w:tab w:leader="none" w:pos="920" w:val="left"/>
        </w:tabs>
        <w:numPr>
          <w:ilvl w:val="0"/>
          <w:numId w:val="4"/>
        </w:numPr>
        <w:rPr>
          <w:rFonts w:ascii="Arial" w:cs="Arial" w:eastAsia="Arial" w:hAnsi="Arial"/>
          <w:sz w:val="19"/>
          <w:szCs w:val="19"/>
          <w:color w:val="231F20"/>
        </w:rPr>
      </w:pPr>
      <w:r>
        <w:rPr>
          <w:rFonts w:ascii="Arial" w:cs="Arial" w:eastAsia="Arial" w:hAnsi="Arial"/>
          <w:sz w:val="19"/>
          <w:szCs w:val="19"/>
          <w:color w:val="231F20"/>
        </w:rPr>
        <w:t>our ability to attract and retain qualified employees;</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4"/>
        </w:numPr>
        <w:rPr>
          <w:rFonts w:ascii="Arial" w:cs="Arial" w:eastAsia="Arial" w:hAnsi="Arial"/>
          <w:sz w:val="19"/>
          <w:szCs w:val="19"/>
          <w:color w:val="231F20"/>
        </w:rPr>
      </w:pPr>
      <w:r>
        <w:rPr>
          <w:rFonts w:ascii="Arial" w:cs="Arial" w:eastAsia="Arial" w:hAnsi="Arial"/>
          <w:sz w:val="19"/>
          <w:szCs w:val="19"/>
          <w:color w:val="231F20"/>
        </w:rPr>
        <w:t>our ability to maintain, protect, and enhance our intellectual property;</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4"/>
        </w:numPr>
        <w:rPr>
          <w:rFonts w:ascii="Arial" w:cs="Arial" w:eastAsia="Arial" w:hAnsi="Arial"/>
          <w:sz w:val="19"/>
          <w:szCs w:val="19"/>
          <w:color w:val="231F20"/>
        </w:rPr>
      </w:pPr>
      <w:r>
        <w:rPr>
          <w:rFonts w:ascii="Arial" w:cs="Arial" w:eastAsia="Arial" w:hAnsi="Arial"/>
          <w:sz w:val="19"/>
          <w:szCs w:val="19"/>
          <w:color w:val="231F20"/>
        </w:rPr>
        <w:t>our ability to maintain the security and availability of our solutions;</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4"/>
        </w:numPr>
        <w:rPr>
          <w:rFonts w:ascii="Arial" w:cs="Arial" w:eastAsia="Arial" w:hAnsi="Arial"/>
          <w:sz w:val="19"/>
          <w:szCs w:val="19"/>
          <w:color w:val="231F20"/>
        </w:rPr>
      </w:pPr>
      <w:r>
        <w:rPr>
          <w:rFonts w:ascii="Arial" w:cs="Arial" w:eastAsia="Arial" w:hAnsi="Arial"/>
          <w:sz w:val="19"/>
          <w:szCs w:val="19"/>
          <w:color w:val="231F20"/>
        </w:rPr>
        <w:t>the increased expenses associated with being a public company; and</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4"/>
        </w:numPr>
        <w:rPr>
          <w:rFonts w:ascii="Arial" w:cs="Arial" w:eastAsia="Arial" w:hAnsi="Arial"/>
          <w:sz w:val="19"/>
          <w:szCs w:val="19"/>
          <w:color w:val="231F20"/>
        </w:rPr>
      </w:pPr>
      <w:r>
        <w:rPr>
          <w:rFonts w:ascii="Arial" w:cs="Arial" w:eastAsia="Arial" w:hAnsi="Arial"/>
          <w:sz w:val="19"/>
          <w:szCs w:val="19"/>
          <w:color w:val="231F20"/>
        </w:rPr>
        <w:t>the future market price of our common stock.</w:t>
      </w:r>
    </w:p>
    <w:p>
      <w:pPr>
        <w:spacing w:after="0" w:line="188" w:lineRule="exact"/>
        <w:rPr>
          <w:sz w:val="20"/>
          <w:szCs w:val="20"/>
          <w:color w:val="auto"/>
        </w:rPr>
      </w:pPr>
    </w:p>
    <w:p>
      <w:pPr>
        <w:ind w:right="100" w:firstLine="463"/>
        <w:spacing w:after="0" w:line="261" w:lineRule="auto"/>
        <w:rPr>
          <w:sz w:val="20"/>
          <w:szCs w:val="20"/>
          <w:color w:val="auto"/>
        </w:rPr>
      </w:pPr>
      <w:r>
        <w:rPr>
          <w:rFonts w:ascii="Arial" w:cs="Arial" w:eastAsia="Arial" w:hAnsi="Arial"/>
          <w:sz w:val="18"/>
          <w:szCs w:val="18"/>
          <w:color w:val="231F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Annual Report on Form</w:t>
      </w:r>
    </w:p>
    <w:p>
      <w:pPr>
        <w:spacing w:after="0" w:line="242" w:lineRule="auto"/>
        <w:rPr>
          <w:sz w:val="20"/>
          <w:szCs w:val="20"/>
          <w:color w:val="auto"/>
        </w:rPr>
      </w:pPr>
      <w:r>
        <w:rPr>
          <w:rFonts w:ascii="Arial" w:cs="Arial" w:eastAsia="Arial" w:hAnsi="Arial"/>
          <w:sz w:val="19"/>
          <w:szCs w:val="19"/>
          <w:color w:val="231F20"/>
        </w:rPr>
        <w:t>10-K. Other sections of this Annual Report on Form 10-K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49" w:lineRule="exact"/>
        <w:rPr>
          <w:sz w:val="20"/>
          <w:szCs w:val="20"/>
          <w:color w:val="auto"/>
        </w:rPr>
      </w:pPr>
    </w:p>
    <w:p>
      <w:pPr>
        <w:ind w:right="20" w:firstLine="463"/>
        <w:spacing w:after="0" w:line="244" w:lineRule="auto"/>
        <w:rPr>
          <w:sz w:val="20"/>
          <w:szCs w:val="20"/>
          <w:color w:val="auto"/>
        </w:rPr>
      </w:pPr>
      <w:r>
        <w:rPr>
          <w:rFonts w:ascii="Arial" w:cs="Arial" w:eastAsia="Arial" w:hAnsi="Arial"/>
          <w:sz w:val="19"/>
          <w:szCs w:val="19"/>
          <w:color w:val="231F20"/>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Annual Report on Form 10-K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50" w:lineRule="exact"/>
        <w:rPr>
          <w:sz w:val="20"/>
          <w:szCs w:val="20"/>
          <w:color w:val="auto"/>
        </w:rPr>
      </w:pPr>
    </w:p>
    <w:p>
      <w:pPr>
        <w:ind w:right="160" w:firstLine="463"/>
        <w:spacing w:after="0" w:line="246" w:lineRule="auto"/>
        <w:rPr>
          <w:sz w:val="20"/>
          <w:szCs w:val="20"/>
          <w:color w:val="auto"/>
        </w:rPr>
      </w:pPr>
      <w:r>
        <w:rPr>
          <w:rFonts w:ascii="Arial" w:cs="Arial" w:eastAsia="Arial" w:hAnsi="Arial"/>
          <w:sz w:val="19"/>
          <w:szCs w:val="19"/>
          <w:color w:val="231F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8" w:lineRule="exact"/>
        <w:rPr>
          <w:sz w:val="20"/>
          <w:szCs w:val="20"/>
          <w:color w:val="auto"/>
        </w:rPr>
      </w:pPr>
    </w:p>
    <w:p>
      <w:pPr>
        <w:ind w:right="40" w:firstLine="463"/>
        <w:spacing w:after="0" w:line="278" w:lineRule="auto"/>
        <w:rPr>
          <w:sz w:val="20"/>
          <w:szCs w:val="20"/>
          <w:color w:val="auto"/>
        </w:rPr>
      </w:pPr>
      <w:r>
        <w:rPr>
          <w:rFonts w:ascii="Arial" w:cs="Arial" w:eastAsia="Arial" w:hAnsi="Arial"/>
          <w:sz w:val="19"/>
          <w:szCs w:val="19"/>
          <w:color w:val="231F20"/>
        </w:rPr>
        <w:t>Unless otherwise noted or unless the context provides otherwise, all references in this Annual Report on Form 10-K to our “common stock” refer to our voting common stock.</w:t>
      </w:r>
    </w:p>
    <w:p>
      <w:pPr>
        <w:sectPr>
          <w:pgSz w:w="12240" w:h="15840" w:orient="portrait"/>
          <w:cols w:equalWidth="0" w:num="1">
            <w:col w:w="10140"/>
          </w:cols>
          <w:pgMar w:left="1020" w:top="1440" w:right="108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231F20"/>
        </w:rPr>
        <w:t>3</w:t>
      </w:r>
    </w:p>
    <w:p>
      <w:pPr>
        <w:sectPr>
          <w:pgSz w:w="12240" w:h="15840" w:orient="portrait"/>
          <w:cols w:equalWidth="0" w:num="1">
            <w:col w:w="10140"/>
          </w:cols>
          <w:pgMar w:left="1020" w:top="1440" w:right="1080" w:bottom="572" w:gutter="0" w:footer="0" w:header="0"/>
          <w:type w:val="continuous"/>
        </w:sectPr>
      </w:pPr>
    </w:p>
    <w:bookmarkStart w:id="4" w:name="page5"/>
    <w:bookmarkEnd w:id="4"/>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PART I</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 Business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Mission</w:t>
      </w:r>
    </w:p>
    <w:p>
      <w:pPr>
        <w:spacing w:after="0" w:line="192" w:lineRule="exact"/>
        <w:rPr>
          <w:sz w:val="20"/>
          <w:szCs w:val="20"/>
          <w:color w:val="auto"/>
        </w:rPr>
      </w:pPr>
    </w:p>
    <w:p>
      <w:pPr>
        <w:ind w:right="400" w:firstLine="463"/>
        <w:spacing w:after="0" w:line="278" w:lineRule="auto"/>
        <w:rPr>
          <w:sz w:val="20"/>
          <w:szCs w:val="20"/>
          <w:color w:val="auto"/>
        </w:rPr>
      </w:pPr>
      <w:r>
        <w:rPr>
          <w:rFonts w:ascii="Arial" w:cs="Arial" w:eastAsia="Arial" w:hAnsi="Arial"/>
          <w:sz w:val="19"/>
          <w:szCs w:val="19"/>
          <w:color w:val="231F20"/>
        </w:rPr>
        <w:t>Our mission is to deliver the most important and complex payments. In an increasingly digital world, getting paid means Flywire.</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Company</w:t>
      </w:r>
    </w:p>
    <w:p>
      <w:pPr>
        <w:spacing w:after="0" w:line="192" w:lineRule="exact"/>
        <w:rPr>
          <w:sz w:val="20"/>
          <w:szCs w:val="20"/>
          <w:color w:val="auto"/>
        </w:rPr>
      </w:pPr>
    </w:p>
    <w:p>
      <w:pPr>
        <w:ind w:right="220" w:firstLine="463"/>
        <w:spacing w:after="0" w:line="245" w:lineRule="auto"/>
        <w:rPr>
          <w:sz w:val="20"/>
          <w:szCs w:val="20"/>
          <w:color w:val="auto"/>
        </w:rPr>
      </w:pPr>
      <w:r>
        <w:rPr>
          <w:rFonts w:ascii="Arial" w:cs="Arial" w:eastAsia="Arial" w:hAnsi="Arial"/>
          <w:sz w:val="19"/>
          <w:szCs w:val="19"/>
          <w:color w:val="231F20"/>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48"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There have been substantial strides made in payments technology in the retail and e-commerce industries; however, massive sectors of our global economy—including education, healthcare, travel, and B2B payments—are still in the early stages of digital transformation.</w:t>
      </w:r>
    </w:p>
    <w:p>
      <w:pPr>
        <w:spacing w:after="0" w:line="136" w:lineRule="exact"/>
        <w:rPr>
          <w:sz w:val="20"/>
          <w:szCs w:val="20"/>
          <w:color w:val="auto"/>
        </w:rPr>
      </w:pPr>
    </w:p>
    <w:p>
      <w:pPr>
        <w:ind w:right="20" w:firstLine="463"/>
        <w:spacing w:after="0" w:line="244" w:lineRule="auto"/>
        <w:rPr>
          <w:sz w:val="20"/>
          <w:szCs w:val="20"/>
          <w:color w:val="auto"/>
        </w:rPr>
      </w:pPr>
      <w:r>
        <w:rPr>
          <w:rFonts w:ascii="Arial" w:cs="Arial" w:eastAsia="Arial" w:hAnsi="Arial"/>
          <w:sz w:val="19"/>
          <w:szCs w:val="19"/>
          <w:color w:val="231F20"/>
        </w:rPr>
        <w:t>Our clients, and the types of organizations we serve in education, healthcare, travel, and B2B,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spacing w:after="0" w:line="150" w:lineRule="exact"/>
        <w:rPr>
          <w:sz w:val="20"/>
          <w:szCs w:val="20"/>
          <w:color w:val="auto"/>
        </w:rPr>
      </w:pPr>
    </w:p>
    <w:p>
      <w:pPr>
        <w:ind w:right="20" w:firstLine="463"/>
        <w:spacing w:after="0" w:line="246" w:lineRule="auto"/>
        <w:rPr>
          <w:sz w:val="20"/>
          <w:szCs w:val="20"/>
          <w:color w:val="auto"/>
        </w:rPr>
      </w:pPr>
      <w:r>
        <w:rPr>
          <w:rFonts w:ascii="Arial" w:cs="Arial" w:eastAsia="Arial" w:hAnsi="Arial"/>
          <w:sz w:val="19"/>
          <w:szCs w:val="19"/>
          <w:color w:val="231F20"/>
        </w:rPr>
        <w:t>Flywire was founded to solve these challenges. We aim to power the transformation of our clients’ accounts receivable functions by automating paper and check-based business processes in addition to creating interactive, digital payment experiences for their customers. As a result, clients who implement our cross-border and in-country domestic payments and software solutions can experience improved accounts receivable, higher enrollment in payment plans, and a reduction in customer support inquiries. We help our clients turn their accounts receivable functions into strategic, value-enhancing areas of their organizations.</w:t>
      </w:r>
    </w:p>
    <w:p>
      <w:pPr>
        <w:spacing w:after="0" w:line="148" w:lineRule="exact"/>
        <w:rPr>
          <w:sz w:val="20"/>
          <w:szCs w:val="20"/>
          <w:color w:val="auto"/>
        </w:rPr>
      </w:pPr>
    </w:p>
    <w:p>
      <w:pPr>
        <w:ind w:right="60" w:firstLine="463"/>
        <w:spacing w:after="0" w:line="245" w:lineRule="auto"/>
        <w:rPr>
          <w:sz w:val="20"/>
          <w:szCs w:val="20"/>
          <w:color w:val="auto"/>
        </w:rPr>
      </w:pPr>
      <w:r>
        <w:rPr>
          <w:rFonts w:ascii="Arial" w:cs="Arial" w:eastAsia="Arial" w:hAnsi="Arial"/>
          <w:sz w:val="19"/>
          <w:szCs w:val="19"/>
          <w:color w:val="231F20"/>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short message service (sms), chat, email, text, or phone) to enhance our clients’ ability to engage with their customers through a digital-first user experience. The result of these investments is our </w:t>
      </w:r>
      <w:r>
        <w:rPr>
          <w:rFonts w:ascii="Arial" w:cs="Arial" w:eastAsia="Arial" w:hAnsi="Arial"/>
          <w:sz w:val="19"/>
          <w:szCs w:val="19"/>
          <w:i w:val="1"/>
          <w:iCs w:val="1"/>
          <w:color w:val="231F20"/>
        </w:rPr>
        <w:t>Flywire Advantage</w:t>
      </w:r>
      <w:r>
        <w:rPr>
          <w:rFonts w:ascii="Arial" w:cs="Arial" w:eastAsia="Arial" w:hAnsi="Arial"/>
          <w:sz w:val="19"/>
          <w:szCs w:val="19"/>
          <w:color w:val="231F20"/>
        </w:rPr>
        <w:t>.</w:t>
      </w:r>
    </w:p>
    <w:p>
      <w:pPr>
        <w:spacing w:after="0" w:line="148" w:lineRule="exact"/>
        <w:rPr>
          <w:sz w:val="20"/>
          <w:szCs w:val="20"/>
          <w:color w:val="auto"/>
        </w:rPr>
      </w:pPr>
    </w:p>
    <w:p>
      <w:pPr>
        <w:ind w:right="220" w:firstLine="463"/>
        <w:spacing w:after="0" w:line="278" w:lineRule="auto"/>
        <w:rPr>
          <w:sz w:val="20"/>
          <w:szCs w:val="20"/>
          <w:color w:val="auto"/>
        </w:rPr>
      </w:pPr>
      <w:r>
        <w:rPr>
          <w:rFonts w:ascii="Arial" w:cs="Arial" w:eastAsia="Arial" w:hAnsi="Arial"/>
          <w:sz w:val="19"/>
          <w:szCs w:val="19"/>
          <w:color w:val="231F20"/>
        </w:rPr>
        <w:t xml:space="preserve">Our </w:t>
      </w:r>
      <w:r>
        <w:rPr>
          <w:rFonts w:ascii="Arial" w:cs="Arial" w:eastAsia="Arial" w:hAnsi="Arial"/>
          <w:sz w:val="19"/>
          <w:szCs w:val="19"/>
          <w:i w:val="1"/>
          <w:iCs w:val="1"/>
          <w:color w:val="231F20"/>
        </w:rPr>
        <w:t>Flywire Advantage</w:t>
      </w:r>
      <w:r>
        <w:rPr>
          <w:rFonts w:ascii="Arial" w:cs="Arial" w:eastAsia="Arial" w:hAnsi="Arial"/>
          <w:sz w:val="19"/>
          <w:szCs w:val="19"/>
          <w:color w:val="231F20"/>
        </w:rPr>
        <w:t xml:space="preserve"> is derived from three core elements: (i) our next-gen payments platform; (ii) our proprietary global payment network; and (iii) our vertical-specific software backed by our deep industry expertise.</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4</w:t>
      </w:r>
    </w:p>
    <w:p>
      <w:pPr>
        <w:sectPr>
          <w:pgSz w:w="12240" w:h="15840" w:orient="portrait"/>
          <w:cols w:equalWidth="0" w:num="1">
            <w:col w:w="10200"/>
          </w:cols>
          <w:pgMar w:left="1020" w:top="1440" w:right="1020" w:bottom="572"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1421130</wp:posOffset>
            </wp:positionH>
            <wp:positionV relativeFrom="page">
              <wp:posOffset>986790</wp:posOffset>
            </wp:positionV>
            <wp:extent cx="5223510" cy="3940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223510" cy="394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0" w:right="60" w:hanging="458"/>
        <w:spacing w:after="0" w:line="244" w:lineRule="auto"/>
        <w:tabs>
          <w:tab w:leader="none" w:pos="500" w:val="left"/>
        </w:tabs>
        <w:numPr>
          <w:ilvl w:val="0"/>
          <w:numId w:val="5"/>
        </w:numPr>
        <w:rPr>
          <w:rFonts w:ascii="Arial" w:cs="Arial" w:eastAsia="Arial" w:hAnsi="Arial"/>
          <w:sz w:val="19"/>
          <w:szCs w:val="19"/>
          <w:color w:val="231F20"/>
        </w:rPr>
      </w:pPr>
      <w:r>
        <w:rPr>
          <w:rFonts w:ascii="Arial" w:cs="Arial" w:eastAsia="Arial" w:hAnsi="Arial"/>
          <w:sz w:val="19"/>
          <w:szCs w:val="19"/>
          <w:b w:val="1"/>
          <w:bCs w:val="1"/>
          <w:color w:val="231F20"/>
        </w:rPr>
        <w:t xml:space="preserve">Next-Gen Payments Platform. </w:t>
      </w:r>
      <w:r>
        <w:rPr>
          <w:rFonts w:ascii="Arial" w:cs="Arial" w:eastAsia="Arial" w:hAnsi="Arial"/>
          <w:sz w:val="19"/>
          <w:szCs w:val="19"/>
          <w:color w:val="231F20"/>
        </w:rPr>
        <w:t>Our platform improves the legacy accounts receivable value chain by</w:t>
      </w:r>
      <w:r>
        <w:rPr>
          <w:rFonts w:ascii="Arial" w:cs="Arial" w:eastAsia="Arial" w:hAnsi="Arial"/>
          <w:sz w:val="19"/>
          <w:szCs w:val="19"/>
          <w:b w:val="1"/>
          <w:bCs w:val="1"/>
          <w:color w:val="231F20"/>
        </w:rPr>
        <w:t xml:space="preserve"> </w:t>
      </w:r>
      <w:r>
        <w:rPr>
          <w:rFonts w:ascii="Arial" w:cs="Arial" w:eastAsia="Arial" w:hAnsi="Arial"/>
          <w:sz w:val="19"/>
          <w:szCs w:val="19"/>
          <w:color w:val="231F20"/>
        </w:rPr>
        <w:t>facilitating global payment flows across multiple currencies, payment types, and payment options. We do not simply collect payments and track money flows. Rather, our clients 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spacing w:after="0" w:line="157" w:lineRule="exact"/>
        <w:rPr>
          <w:rFonts w:ascii="Arial" w:cs="Arial" w:eastAsia="Arial" w:hAnsi="Arial"/>
          <w:sz w:val="19"/>
          <w:szCs w:val="19"/>
          <w:color w:val="231F20"/>
        </w:rPr>
      </w:pPr>
    </w:p>
    <w:p>
      <w:pPr>
        <w:ind w:left="500" w:hanging="458"/>
        <w:spacing w:after="0" w:line="243" w:lineRule="auto"/>
        <w:tabs>
          <w:tab w:leader="none" w:pos="500" w:val="left"/>
        </w:tabs>
        <w:numPr>
          <w:ilvl w:val="0"/>
          <w:numId w:val="5"/>
        </w:numPr>
        <w:rPr>
          <w:rFonts w:ascii="Arial" w:cs="Arial" w:eastAsia="Arial" w:hAnsi="Arial"/>
          <w:sz w:val="19"/>
          <w:szCs w:val="19"/>
          <w:color w:val="231F20"/>
        </w:rPr>
      </w:pPr>
      <w:r>
        <w:rPr>
          <w:rFonts w:ascii="Arial" w:cs="Arial" w:eastAsia="Arial" w:hAnsi="Arial"/>
          <w:sz w:val="19"/>
          <w:szCs w:val="19"/>
          <w:b w:val="1"/>
          <w:bCs w:val="1"/>
          <w:color w:val="231F20"/>
        </w:rPr>
        <w:t xml:space="preserve">Proprietary Global Payment Network. </w:t>
      </w:r>
      <w:r>
        <w:rPr>
          <w:rFonts w:ascii="Arial" w:cs="Arial" w:eastAsia="Arial" w:hAnsi="Arial"/>
          <w:sz w:val="19"/>
          <w:szCs w:val="19"/>
          <w:color w:val="231F20"/>
        </w:rPr>
        <w:t>At the core of our business is our network of global, regional and</w:t>
      </w:r>
      <w:r>
        <w:rPr>
          <w:rFonts w:ascii="Arial" w:cs="Arial" w:eastAsia="Arial" w:hAnsi="Arial"/>
          <w:sz w:val="19"/>
          <w:szCs w:val="19"/>
          <w:b w:val="1"/>
          <w:bCs w:val="1"/>
          <w:color w:val="231F20"/>
        </w:rPr>
        <w:t xml:space="preserve"> </w:t>
      </w:r>
      <w:r>
        <w:rPr>
          <w:rFonts w:ascii="Arial" w:cs="Arial" w:eastAsia="Arial" w:hAnsi="Arial"/>
          <w:sz w:val="19"/>
          <w:szCs w:val="19"/>
          <w:color w:val="231F20"/>
        </w:rPr>
        <w:t>local banking partners which we have been strategically expanding for over a decade. With a single connection to Flywire, our clients have access to a unique set of payment methods including banks, third-party payment providers, payment networks and digital wallets—making it possible to accept and settle payments in over 240 countries and territories and in over 140 currencies. Our global payment network also provides direct connections to alternative payment methods such as Alipay, Boleto, PayPal / 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spacing w:after="0" w:line="161" w:lineRule="exact"/>
        <w:rPr>
          <w:rFonts w:ascii="Arial" w:cs="Arial" w:eastAsia="Arial" w:hAnsi="Arial"/>
          <w:sz w:val="19"/>
          <w:szCs w:val="19"/>
          <w:color w:val="231F20"/>
        </w:rPr>
      </w:pPr>
    </w:p>
    <w:p>
      <w:pPr>
        <w:ind w:left="500" w:right="40" w:hanging="458"/>
        <w:spacing w:after="0" w:line="263" w:lineRule="auto"/>
        <w:tabs>
          <w:tab w:leader="none" w:pos="500" w:val="left"/>
        </w:tabs>
        <w:numPr>
          <w:ilvl w:val="0"/>
          <w:numId w:val="5"/>
        </w:numPr>
        <w:rPr>
          <w:rFonts w:ascii="Arial" w:cs="Arial" w:eastAsia="Arial" w:hAnsi="Arial"/>
          <w:sz w:val="18"/>
          <w:szCs w:val="18"/>
          <w:color w:val="231F20"/>
        </w:rPr>
      </w:pPr>
      <w:r>
        <w:rPr>
          <w:rFonts w:ascii="Arial" w:cs="Arial" w:eastAsia="Arial" w:hAnsi="Arial"/>
          <w:sz w:val="18"/>
          <w:szCs w:val="18"/>
          <w:b w:val="1"/>
          <w:bCs w:val="1"/>
          <w:color w:val="231F20"/>
        </w:rPr>
        <w:t>Vertical-Specific Software Backed by Deep Industry Expertise</w:t>
      </w:r>
      <w:r>
        <w:rPr>
          <w:rFonts w:ascii="Arial" w:cs="Arial" w:eastAsia="Arial" w:hAnsi="Arial"/>
          <w:sz w:val="18"/>
          <w:szCs w:val="18"/>
          <w:color w:val="231F20"/>
        </w:rPr>
        <w:t>. We go beyond payments by offering</w:t>
      </w:r>
      <w:r>
        <w:rPr>
          <w:rFonts w:ascii="Arial" w:cs="Arial" w:eastAsia="Arial" w:hAnsi="Arial"/>
          <w:sz w:val="18"/>
          <w:szCs w:val="18"/>
          <w:b w:val="1"/>
          <w:bCs w:val="1"/>
          <w:color w:val="231F20"/>
        </w:rPr>
        <w:t xml:space="preserve"> </w:t>
      </w:r>
      <w:r>
        <w:rPr>
          <w:rFonts w:ascii="Arial" w:cs="Arial" w:eastAsia="Arial" w:hAnsi="Arial"/>
          <w:sz w:val="18"/>
          <w:szCs w:val="18"/>
          <w:color w:val="231F20"/>
        </w:rPr>
        <w:t>seamless integration 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over 10,000 client payment portals, each built on our shared payments platform and global payment network but tailored to our clients’ brands and</w:t>
      </w:r>
    </w:p>
    <w:p>
      <w:pPr>
        <w:spacing w:after="0" w:line="259" w:lineRule="exact"/>
        <w:rPr>
          <w:sz w:val="20"/>
          <w:szCs w:val="20"/>
          <w:color w:val="auto"/>
        </w:rPr>
      </w:pPr>
    </w:p>
    <w:p>
      <w:pPr>
        <w:jc w:val="center"/>
        <w:ind w:right="400"/>
        <w:spacing w:after="0"/>
        <w:rPr>
          <w:sz w:val="20"/>
          <w:szCs w:val="20"/>
          <w:color w:val="auto"/>
        </w:rPr>
      </w:pPr>
      <w:r>
        <w:rPr>
          <w:rFonts w:ascii="Arial" w:cs="Arial" w:eastAsia="Arial" w:hAnsi="Arial"/>
          <w:sz w:val="19"/>
          <w:szCs w:val="19"/>
          <w:color w:val="231F20"/>
        </w:rPr>
        <w:t>5</w:t>
      </w:r>
    </w:p>
    <w:p>
      <w:pPr>
        <w:sectPr>
          <w:pgSz w:w="12240" w:h="15840" w:orient="portrait"/>
          <w:cols w:equalWidth="0" w:num="1">
            <w:col w:w="9760"/>
          </w:cols>
          <w:pgMar w:left="1440" w:top="1440" w:right="1040" w:bottom="572" w:gutter="0" w:footer="0" w:header="0"/>
        </w:sectPr>
      </w:pPr>
    </w:p>
    <w:bookmarkStart w:id="6" w:name="page7"/>
    <w:bookmarkEnd w:id="6"/>
    <w:p>
      <w:pPr>
        <w:spacing w:after="0" w:line="97" w:lineRule="exact"/>
        <w:rPr>
          <w:sz w:val="20"/>
          <w:szCs w:val="20"/>
          <w:color w:val="auto"/>
        </w:rPr>
      </w:pPr>
    </w:p>
    <w:p>
      <w:pPr>
        <w:ind w:left="920" w:right="40"/>
        <w:spacing w:after="0" w:line="251" w:lineRule="auto"/>
        <w:rPr>
          <w:sz w:val="20"/>
          <w:szCs w:val="20"/>
          <w:color w:val="auto"/>
        </w:rPr>
      </w:pPr>
      <w:r>
        <w:rPr>
          <w:rFonts w:ascii="Arial" w:cs="Arial" w:eastAsia="Arial" w:hAnsi="Arial"/>
          <w:sz w:val="19"/>
          <w:szCs w:val="19"/>
          <w:color w:val="231F20"/>
        </w:rPr>
        <w:t>needs. In addition, our software solutions include interactive dashboards to manage payments, reporting tools to streamline reconciliation and customer communication tools to personalize and digitize engagement. This enables us to be a hub of omni-channel connectivity, augmenting the relationship between our clients and their customers.</w:t>
      </w:r>
    </w:p>
    <w:p>
      <w:pPr>
        <w:spacing w:after="0" w:line="144" w:lineRule="exact"/>
        <w:rPr>
          <w:sz w:val="20"/>
          <w:szCs w:val="20"/>
          <w:color w:val="auto"/>
        </w:rPr>
      </w:pPr>
    </w:p>
    <w:p>
      <w:pPr>
        <w:ind w:firstLine="463"/>
        <w:spacing w:after="0" w:line="244" w:lineRule="auto"/>
        <w:rPr>
          <w:sz w:val="20"/>
          <w:szCs w:val="20"/>
          <w:color w:val="auto"/>
        </w:rPr>
      </w:pPr>
      <w:r>
        <w:rPr>
          <w:rFonts w:ascii="Arial" w:cs="Arial" w:eastAsia="Arial" w:hAnsi="Arial"/>
          <w:sz w:val="19"/>
          <w:szCs w:val="19"/>
          <w:color w:val="231F20"/>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 As shown in the illustration below, as the number of clients using our next-gen payments platform grows, we are able to continue to enhance our end-to-end solutions, tailor our vertical-specific software and expand our global payment network to support more local payment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106045</wp:posOffset>
            </wp:positionV>
            <wp:extent cx="5784215" cy="3309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extLst>
                    </a:blip>
                    <a:srcRect/>
                    <a:stretch>
                      <a:fillRect/>
                    </a:stretch>
                  </pic:blipFill>
                  <pic:spPr bwMode="auto">
                    <a:xfrm>
                      <a:off x="0" y="0"/>
                      <a:ext cx="5784215" cy="330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40" w:firstLine="463"/>
        <w:spacing w:after="0" w:line="248" w:lineRule="auto"/>
        <w:rPr>
          <w:sz w:val="20"/>
          <w:szCs w:val="20"/>
          <w:color w:val="auto"/>
        </w:rPr>
      </w:pPr>
      <w:r>
        <w:rPr>
          <w:rFonts w:ascii="Arial" w:cs="Arial" w:eastAsia="Arial" w:hAnsi="Arial"/>
          <w:sz w:val="19"/>
          <w:szCs w:val="19"/>
          <w:color w:val="231F20"/>
        </w:rPr>
        <w:t>The benefits of our flywheel are visible in the significant scale we have achieved to date. As of December 31, 2024, we serve approximately 4,500 clients around the world, excluding clients acquired from the acquisition of Invoiced Inc. (Invoiced). In education, we serve more than 3,100 institutions. In healthcare, we serve more than 100 healthcare systems, including four of the top 10 healthcare systems in the United States ranked by hospital size. In our travel and B2B verticals, we have a growing portfolio of approximately 1,300 clients.</w:t>
      </w:r>
    </w:p>
    <w:p>
      <w:pPr>
        <w:spacing w:after="0" w:line="146" w:lineRule="exact"/>
        <w:rPr>
          <w:sz w:val="20"/>
          <w:szCs w:val="20"/>
          <w:color w:val="auto"/>
        </w:rPr>
      </w:pPr>
    </w:p>
    <w:p>
      <w:pPr>
        <w:ind w:right="40" w:firstLine="463"/>
        <w:spacing w:after="0" w:line="251" w:lineRule="auto"/>
        <w:rPr>
          <w:sz w:val="20"/>
          <w:szCs w:val="20"/>
          <w:color w:val="auto"/>
        </w:rPr>
      </w:pPr>
      <w:r>
        <w:rPr>
          <w:rFonts w:ascii="Arial" w:cs="Arial" w:eastAsia="Arial" w:hAnsi="Arial"/>
          <w:sz w:val="19"/>
          <w:szCs w:val="19"/>
          <w:color w:val="231F20"/>
        </w:rPr>
        <w:t>Our business model is designed to encourage rapid, widespread utilization of our solutions. We enable our clients to scale the use of Flywire to an unlimited number of customers with favorable unit economics. For the years ended December 31, 2024 and 2023, we enabled over $29.7 billion and over $24.0 billion, respectively, of total payment volume across more than 140 currencies.</w:t>
      </w:r>
    </w:p>
    <w:p>
      <w:pPr>
        <w:spacing w:after="0" w:line="144" w:lineRule="exact"/>
        <w:rPr>
          <w:sz w:val="20"/>
          <w:szCs w:val="20"/>
          <w:color w:val="auto"/>
        </w:rPr>
      </w:pPr>
    </w:p>
    <w:p>
      <w:pPr>
        <w:ind w:right="40" w:firstLine="463"/>
        <w:spacing w:after="0" w:line="246" w:lineRule="auto"/>
        <w:rPr>
          <w:sz w:val="20"/>
          <w:szCs w:val="20"/>
          <w:color w:val="auto"/>
        </w:rPr>
      </w:pPr>
      <w:r>
        <w:rPr>
          <w:rFonts w:ascii="Arial" w:cs="Arial" w:eastAsia="Arial" w:hAnsi="Arial"/>
          <w:sz w:val="19"/>
          <w:szCs w:val="19"/>
          <w:color w:val="231F20"/>
        </w:rPr>
        <w:t xml:space="preserve">The value of our </w:t>
      </w:r>
      <w:r>
        <w:rPr>
          <w:rFonts w:ascii="Arial" w:cs="Arial" w:eastAsia="Arial" w:hAnsi="Arial"/>
          <w:sz w:val="19"/>
          <w:szCs w:val="19"/>
          <w:i w:val="1"/>
          <w:iCs w:val="1"/>
          <w:color w:val="231F20"/>
        </w:rPr>
        <w:t>Flywire Advantage</w:t>
      </w:r>
      <w:r>
        <w:rPr>
          <w:rFonts w:ascii="Arial" w:cs="Arial" w:eastAsia="Arial" w:hAnsi="Arial"/>
          <w:sz w:val="19"/>
          <w:szCs w:val="19"/>
          <w:color w:val="231F20"/>
        </w:rPr>
        <w:t xml:space="preserve"> has been recognized, with global financial institutions and technology providers choosing to form channel partnerships with us. Our channel partners include financial institutions such as Bank of America Corporation; payment providers such as China UnionPay Co. Ltd. and Adyen N.V.; and software companies that serve as the core systems in our verticals such as Ellucian Company, L.P. in education and Cerner Corporation in healthcare. These partnerships promote organic referral and lead generation opportunities and enhance our indirect sales strategy.</w:t>
      </w:r>
    </w:p>
    <w:p>
      <w:pPr>
        <w:spacing w:after="0" w:line="148" w:lineRule="exact"/>
        <w:rPr>
          <w:sz w:val="20"/>
          <w:szCs w:val="20"/>
          <w:color w:val="auto"/>
        </w:rPr>
      </w:pPr>
    </w:p>
    <w:p>
      <w:pPr>
        <w:ind w:right="80" w:firstLine="463"/>
        <w:spacing w:after="0" w:line="307" w:lineRule="auto"/>
        <w:rPr>
          <w:sz w:val="20"/>
          <w:szCs w:val="20"/>
          <w:color w:val="auto"/>
        </w:rPr>
      </w:pPr>
      <w:r>
        <w:rPr>
          <w:rFonts w:ascii="Arial" w:cs="Arial" w:eastAsia="Arial" w:hAnsi="Arial"/>
          <w:sz w:val="18"/>
          <w:szCs w:val="18"/>
          <w:color w:val="231F20"/>
        </w:rPr>
        <w:t>We also reach clients through our direct channel. Our domain-experienced sales and relationship management teams bring vertical expertise and regional and local reach that drives high dollar-based net retention. For the year ended</w:t>
      </w:r>
    </w:p>
    <w:p>
      <w:pPr>
        <w:sectPr>
          <w:pgSz w:w="12240" w:h="15840" w:orient="portrait"/>
          <w:cols w:equalWidth="0" w:num="1">
            <w:col w:w="10200"/>
          </w:cols>
          <w:pgMar w:left="1020" w:top="1440" w:right="1020" w:bottom="572"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6</w:t>
      </w:r>
    </w:p>
    <w:p>
      <w:pPr>
        <w:sectPr>
          <w:pgSz w:w="12240" w:h="15840" w:orient="portrait"/>
          <w:cols w:equalWidth="0" w:num="1">
            <w:col w:w="10200"/>
          </w:cols>
          <w:pgMar w:left="1020" w:top="1440" w:right="1020" w:bottom="572" w:gutter="0" w:footer="0" w:header="0"/>
          <w:type w:val="continuous"/>
        </w:sectPr>
      </w:pPr>
    </w:p>
    <w:bookmarkStart w:id="7" w:name="page8"/>
    <w:bookmarkEnd w:id="7"/>
    <w:p>
      <w:pPr>
        <w:spacing w:after="0" w:line="97"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231F20"/>
        </w:rPr>
        <w:t>December 31, 2024, our annual net dollar-based retention rate was approximately 114%. For the year ended December 31, 2023, our annual net dollar-based retention rate was approximately 125%. For the year ended December 31, 2022, our annual net dollar-based retention rate was approximately 124%. In addition, our client and customer service combines high-tech and high-touch functions backed by 24x7 multilingual customer support, resulting in high client and customer satisfaction.</w:t>
      </w:r>
    </w:p>
    <w:p>
      <w:pPr>
        <w:spacing w:after="0" w:line="146" w:lineRule="exact"/>
        <w:rPr>
          <w:sz w:val="20"/>
          <w:szCs w:val="20"/>
          <w:color w:val="auto"/>
        </w:rPr>
      </w:pPr>
    </w:p>
    <w:p>
      <w:pPr>
        <w:ind w:right="80" w:firstLine="463"/>
        <w:spacing w:after="0" w:line="241" w:lineRule="auto"/>
        <w:rPr>
          <w:sz w:val="20"/>
          <w:szCs w:val="20"/>
          <w:color w:val="auto"/>
        </w:rPr>
      </w:pPr>
      <w:r>
        <w:rPr>
          <w:rFonts w:ascii="Arial" w:cs="Arial" w:eastAsia="Arial" w:hAnsi="Arial"/>
          <w:sz w:val="19"/>
          <w:szCs w:val="19"/>
          <w:color w:val="231F20"/>
        </w:rPr>
        <w:t>We have grown rapidly since our founding. We generated revenue of $492.1 million, $403.1 million and $289.4 million for the years ended December 31, 2024, 2023 and 2022, respectively, and incurred net income of $2.9 million for the year ended December 31, 2024 and net losses of $8.6 million and $39.3 million for the years ended December 31, 2023 and 2022, respectively. In February 2025, we acquired Sertifi, a vertical software and payments platform digitizing hospitality-specific workflows and associated payments. In August 2024, we acquired Invoiced, a U.S.-based software as a service (SaaS) B2B company that provides accounts receivable software that automates all aspects of billing, collections, payments, reporting and forecasting within a single online platform. In November 2023, we acquired Learning Information Systems Pty Ltd. (StudyLink),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In July 2022, we acquired Cohort Solutions Pty Ltd. (Cohort Go), an Australian-based education payments provider that simplifies the student recruitment process by bringing together students, agents and essential student services such as health insurance into one platform.</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Benefits of the Flywire Advantage to Our Clients and Their Customers</w:t>
      </w:r>
    </w:p>
    <w:p>
      <w:pPr>
        <w:spacing w:after="0" w:line="192" w:lineRule="exact"/>
        <w:rPr>
          <w:sz w:val="20"/>
          <w:szCs w:val="20"/>
          <w:color w:val="auto"/>
        </w:rPr>
      </w:pPr>
    </w:p>
    <w:p>
      <w:pPr>
        <w:ind w:firstLine="463"/>
        <w:spacing w:after="0" w:line="251" w:lineRule="auto"/>
        <w:rPr>
          <w:sz w:val="20"/>
          <w:szCs w:val="20"/>
          <w:color w:val="auto"/>
        </w:rPr>
      </w:pPr>
      <w:r>
        <w:rPr>
          <w:rFonts w:ascii="Arial" w:cs="Arial" w:eastAsia="Arial" w:hAnsi="Arial"/>
          <w:sz w:val="19"/>
          <w:szCs w:val="19"/>
          <w:color w:val="231F20"/>
        </w:rPr>
        <w:t>Flywire sits in between our clients, which include educational institutions, hospitals, travel providers, businesses, and their customers: students, patients, travelers, and businesses. We believe this two-sided relationship makes us strategically important for our clients–who rely on us for their complex accounts receivable needs, and for our clients’ customers–who rely on us to deliver their most important payments.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Benefits of the Flywire Advantage to Our Clients</w:t>
      </w:r>
    </w:p>
    <w:p>
      <w:pPr>
        <w:spacing w:after="0" w:line="184" w:lineRule="exact"/>
        <w:rPr>
          <w:sz w:val="20"/>
          <w:szCs w:val="20"/>
          <w:color w:val="auto"/>
        </w:rPr>
      </w:pPr>
    </w:p>
    <w:p>
      <w:pPr>
        <w:ind w:right="180" w:firstLine="463"/>
        <w:spacing w:after="0" w:line="258" w:lineRule="auto"/>
        <w:rPr>
          <w:sz w:val="20"/>
          <w:szCs w:val="20"/>
          <w:color w:val="auto"/>
        </w:rPr>
      </w:pPr>
      <w:r>
        <w:rPr>
          <w:rFonts w:ascii="Arial" w:cs="Arial" w:eastAsia="Arial" w:hAnsi="Arial"/>
          <w:sz w:val="19"/>
          <w:szCs w:val="19"/>
          <w:color w:val="231F20"/>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p>
    <w:p>
      <w:pPr>
        <w:spacing w:after="0" w:line="145" w:lineRule="exact"/>
        <w:rPr>
          <w:sz w:val="20"/>
          <w:szCs w:val="20"/>
          <w:color w:val="auto"/>
        </w:rPr>
      </w:pPr>
    </w:p>
    <w:p>
      <w:pPr>
        <w:ind w:left="800" w:right="20" w:hanging="229"/>
        <w:spacing w:after="0" w:line="247" w:lineRule="auto"/>
        <w:tabs>
          <w:tab w:leader="none" w:pos="800" w:val="left"/>
        </w:tabs>
        <w:numPr>
          <w:ilvl w:val="0"/>
          <w:numId w:val="6"/>
        </w:numPr>
        <w:rPr>
          <w:rFonts w:ascii="Arial" w:cs="Arial" w:eastAsia="Arial" w:hAnsi="Arial"/>
          <w:sz w:val="19"/>
          <w:szCs w:val="19"/>
          <w:color w:val="231F20"/>
        </w:rPr>
      </w:pPr>
      <w:r>
        <w:rPr>
          <w:rFonts w:ascii="Arial" w:cs="Arial" w:eastAsia="Arial" w:hAnsi="Arial"/>
          <w:sz w:val="19"/>
          <w:szCs w:val="19"/>
          <w:b w:val="1"/>
          <w:bCs w:val="1"/>
          <w:color w:val="231F20"/>
        </w:rPr>
        <w:t xml:space="preserve">Modern customer-focused payment experience. </w:t>
      </w:r>
      <w:r>
        <w:rPr>
          <w:rFonts w:ascii="Arial" w:cs="Arial" w:eastAsia="Arial" w:hAnsi="Arial"/>
          <w:sz w:val="19"/>
          <w:szCs w:val="19"/>
          <w:color w:val="231F20"/>
        </w:rPr>
        <w:t>We enable a convenient and secure online payment</w:t>
      </w:r>
      <w:r>
        <w:rPr>
          <w:rFonts w:ascii="Arial" w:cs="Arial" w:eastAsia="Arial" w:hAnsi="Arial"/>
          <w:sz w:val="19"/>
          <w:szCs w:val="19"/>
          <w:b w:val="1"/>
          <w:bCs w:val="1"/>
          <w:color w:val="231F20"/>
        </w:rPr>
        <w:t xml:space="preserve"> </w:t>
      </w:r>
      <w:r>
        <w:rPr>
          <w:rFonts w:ascii="Arial" w:cs="Arial" w:eastAsia="Arial" w:hAnsi="Arial"/>
          <w:sz w:val="19"/>
          <w:szCs w:val="19"/>
          <w:color w:val="231F20"/>
        </w:rPr>
        <w:t>experience which can be configured by country, currency, client, and vertical. Our personalization engine leverages our data and applies artificial intelligence (AI) and machine learning (ML) to match the payment preferences of our clients’ customers with the right payment options. By streamlining a previously cumbersome and highly-manual process, our clients have the ability to extend transparency to their customers and proactively engage them through their preferred communication methods.</w:t>
      </w:r>
    </w:p>
    <w:p>
      <w:pPr>
        <w:spacing w:after="0" w:line="155" w:lineRule="exact"/>
        <w:rPr>
          <w:rFonts w:ascii="Arial" w:cs="Arial" w:eastAsia="Arial" w:hAnsi="Arial"/>
          <w:sz w:val="19"/>
          <w:szCs w:val="19"/>
          <w:color w:val="231F20"/>
        </w:rPr>
      </w:pPr>
    </w:p>
    <w:p>
      <w:pPr>
        <w:ind w:left="800" w:right="20" w:hanging="229"/>
        <w:spacing w:after="0" w:line="249" w:lineRule="auto"/>
        <w:tabs>
          <w:tab w:leader="none" w:pos="800" w:val="left"/>
        </w:tabs>
        <w:numPr>
          <w:ilvl w:val="0"/>
          <w:numId w:val="6"/>
        </w:numPr>
        <w:rPr>
          <w:rFonts w:ascii="Arial" w:cs="Arial" w:eastAsia="Arial" w:hAnsi="Arial"/>
          <w:sz w:val="19"/>
          <w:szCs w:val="19"/>
          <w:color w:val="231F20"/>
        </w:rPr>
      </w:pPr>
      <w:r>
        <w:rPr>
          <w:rFonts w:ascii="Arial" w:cs="Arial" w:eastAsia="Arial" w:hAnsi="Arial"/>
          <w:sz w:val="19"/>
          <w:szCs w:val="19"/>
          <w:b w:val="1"/>
          <w:bCs w:val="1"/>
          <w:color w:val="231F20"/>
        </w:rPr>
        <w:t xml:space="preserve">Simplify payments complexity. </w:t>
      </w:r>
      <w:r>
        <w:rPr>
          <w:rFonts w:ascii="Arial" w:cs="Arial" w:eastAsia="Arial" w:hAnsi="Arial"/>
          <w:sz w:val="19"/>
          <w:szCs w:val="19"/>
          <w:color w:val="231F20"/>
        </w:rPr>
        <w:t>We address complexity in payments by providing our clients with a “one-stop</w:t>
      </w:r>
      <w:r>
        <w:rPr>
          <w:rFonts w:ascii="Arial" w:cs="Arial" w:eastAsia="Arial" w:hAnsi="Arial"/>
          <w:sz w:val="19"/>
          <w:szCs w:val="19"/>
          <w:b w:val="1"/>
          <w:bCs w:val="1"/>
          <w:color w:val="231F20"/>
        </w:rPr>
        <w:t xml:space="preserve"> </w:t>
      </w:r>
      <w:r>
        <w:rPr>
          <w:rFonts w:ascii="Arial" w:cs="Arial" w:eastAsia="Arial" w:hAnsi="Arial"/>
          <w:sz w:val="19"/>
          <w:szCs w:val="19"/>
          <w:color w:val="231F20"/>
        </w:rPr>
        <w:t>shop” offering, substantially reducing the need to work with and manage multiple disparate vendors and systems. Our clients can experience a seamless workflow from start to finish with end-to-end visibility, from invoice to payment to receipt and reconciliation. This helps accelerate funds flow while streamlining operational expenses.</w:t>
      </w:r>
    </w:p>
    <w:p>
      <w:pPr>
        <w:spacing w:after="0" w:line="154" w:lineRule="exact"/>
        <w:rPr>
          <w:rFonts w:ascii="Arial" w:cs="Arial" w:eastAsia="Arial" w:hAnsi="Arial"/>
          <w:sz w:val="19"/>
          <w:szCs w:val="19"/>
          <w:color w:val="231F20"/>
        </w:rPr>
      </w:pPr>
    </w:p>
    <w:p>
      <w:pPr>
        <w:ind w:left="800" w:right="60" w:hanging="229"/>
        <w:spacing w:after="0" w:line="247" w:lineRule="auto"/>
        <w:tabs>
          <w:tab w:leader="none" w:pos="800" w:val="left"/>
        </w:tabs>
        <w:numPr>
          <w:ilvl w:val="0"/>
          <w:numId w:val="6"/>
        </w:numPr>
        <w:rPr>
          <w:rFonts w:ascii="Arial" w:cs="Arial" w:eastAsia="Arial" w:hAnsi="Arial"/>
          <w:sz w:val="19"/>
          <w:szCs w:val="19"/>
          <w:color w:val="231F20"/>
        </w:rPr>
      </w:pPr>
      <w:r>
        <w:rPr>
          <w:rFonts w:ascii="Arial" w:cs="Arial" w:eastAsia="Arial" w:hAnsi="Arial"/>
          <w:sz w:val="19"/>
          <w:szCs w:val="19"/>
          <w:b w:val="1"/>
          <w:bCs w:val="1"/>
          <w:color w:val="231F20"/>
        </w:rPr>
        <w:t xml:space="preserve">Processing cost savings and enhanced payments yield. </w:t>
      </w:r>
      <w:r>
        <w:rPr>
          <w:rFonts w:ascii="Arial" w:cs="Arial" w:eastAsia="Arial" w:hAnsi="Arial"/>
          <w:sz w:val="19"/>
          <w:szCs w:val="19"/>
          <w:color w:val="231F20"/>
        </w:rPr>
        <w:t>We leverage our significant global volume and in-house currency 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 We believe this results in our clients getting paid more quickly and consistently.</w:t>
      </w:r>
    </w:p>
    <w:p>
      <w:pPr>
        <w:spacing w:after="0" w:line="155" w:lineRule="exact"/>
        <w:rPr>
          <w:rFonts w:ascii="Arial" w:cs="Arial" w:eastAsia="Arial" w:hAnsi="Arial"/>
          <w:sz w:val="19"/>
          <w:szCs w:val="19"/>
          <w:color w:val="231F20"/>
        </w:rPr>
      </w:pPr>
    </w:p>
    <w:p>
      <w:pPr>
        <w:ind w:left="800" w:right="100" w:hanging="229"/>
        <w:spacing w:after="0" w:line="253" w:lineRule="auto"/>
        <w:tabs>
          <w:tab w:leader="none" w:pos="800" w:val="left"/>
        </w:tabs>
        <w:numPr>
          <w:ilvl w:val="0"/>
          <w:numId w:val="6"/>
        </w:numPr>
        <w:rPr>
          <w:rFonts w:ascii="Arial" w:cs="Arial" w:eastAsia="Arial" w:hAnsi="Arial"/>
          <w:sz w:val="19"/>
          <w:szCs w:val="19"/>
          <w:color w:val="231F20"/>
        </w:rPr>
      </w:pPr>
      <w:r>
        <w:rPr>
          <w:rFonts w:ascii="Arial" w:cs="Arial" w:eastAsia="Arial" w:hAnsi="Arial"/>
          <w:sz w:val="19"/>
          <w:szCs w:val="19"/>
          <w:b w:val="1"/>
          <w:bCs w:val="1"/>
          <w:color w:val="231F20"/>
        </w:rPr>
        <w:t xml:space="preserve">Ease of integration. </w:t>
      </w:r>
      <w:r>
        <w:rPr>
          <w:rFonts w:ascii="Arial" w:cs="Arial" w:eastAsia="Arial" w:hAnsi="Arial"/>
          <w:sz w:val="19"/>
          <w:szCs w:val="19"/>
          <w:color w:val="231F20"/>
        </w:rPr>
        <w:t>Built on open architecture, Flywire integrates with existing systems and technology,</w:t>
      </w:r>
      <w:r>
        <w:rPr>
          <w:rFonts w:ascii="Arial" w:cs="Arial" w:eastAsia="Arial" w:hAnsi="Arial"/>
          <w:sz w:val="19"/>
          <w:szCs w:val="19"/>
          <w:b w:val="1"/>
          <w:bCs w:val="1"/>
          <w:color w:val="231F20"/>
        </w:rPr>
        <w:t xml:space="preserve"> </w:t>
      </w:r>
      <w:r>
        <w:rPr>
          <w:rFonts w:ascii="Arial" w:cs="Arial" w:eastAsia="Arial" w:hAnsi="Arial"/>
          <w:sz w:val="19"/>
          <w:szCs w:val="19"/>
          <w:color w:val="231F20"/>
        </w:rPr>
        <w:t>allowing clients to consolidate transactions and accounts, automate payment plans and cash management, and optimize processing through aligned billing-related tools. This ease of integration enables our clients to serve their customers better and faster, increasing satisfaction while reducing costs.</w:t>
      </w:r>
    </w:p>
    <w:p>
      <w:pPr>
        <w:spacing w:after="0" w:line="149" w:lineRule="exact"/>
        <w:rPr>
          <w:rFonts w:ascii="Arial" w:cs="Arial" w:eastAsia="Arial" w:hAnsi="Arial"/>
          <w:sz w:val="19"/>
          <w:szCs w:val="19"/>
          <w:color w:val="231F20"/>
        </w:rPr>
      </w:pPr>
    </w:p>
    <w:p>
      <w:pPr>
        <w:ind w:left="800" w:right="40" w:hanging="229"/>
        <w:spacing w:after="0" w:line="283" w:lineRule="auto"/>
        <w:tabs>
          <w:tab w:leader="none" w:pos="800" w:val="left"/>
        </w:tabs>
        <w:numPr>
          <w:ilvl w:val="0"/>
          <w:numId w:val="6"/>
        </w:numPr>
        <w:rPr>
          <w:rFonts w:ascii="Arial" w:cs="Arial" w:eastAsia="Arial" w:hAnsi="Arial"/>
          <w:sz w:val="19"/>
          <w:szCs w:val="19"/>
          <w:color w:val="231F20"/>
        </w:rPr>
      </w:pPr>
      <w:r>
        <w:rPr>
          <w:rFonts w:ascii="Arial" w:cs="Arial" w:eastAsia="Arial" w:hAnsi="Arial"/>
          <w:sz w:val="19"/>
          <w:szCs w:val="19"/>
          <w:b w:val="1"/>
          <w:bCs w:val="1"/>
          <w:color w:val="231F20"/>
        </w:rPr>
        <w:t xml:space="preserve">Trusted expertise and a trusted brand. </w:t>
      </w:r>
      <w:r>
        <w:rPr>
          <w:rFonts w:ascii="Arial" w:cs="Arial" w:eastAsia="Arial" w:hAnsi="Arial"/>
          <w:sz w:val="19"/>
          <w:szCs w:val="19"/>
          <w:color w:val="231F20"/>
        </w:rPr>
        <w:t>Our clients and their customers view Flywire as a trusted technology</w:t>
      </w:r>
      <w:r>
        <w:rPr>
          <w:rFonts w:ascii="Arial" w:cs="Arial" w:eastAsia="Arial" w:hAnsi="Arial"/>
          <w:sz w:val="19"/>
          <w:szCs w:val="19"/>
          <w:b w:val="1"/>
          <w:bCs w:val="1"/>
          <w:color w:val="231F20"/>
        </w:rPr>
        <w:t xml:space="preserve"> </w:t>
      </w:r>
      <w:r>
        <w:rPr>
          <w:rFonts w:ascii="Arial" w:cs="Arial" w:eastAsia="Arial" w:hAnsi="Arial"/>
          <w:sz w:val="19"/>
          <w:szCs w:val="19"/>
          <w:color w:val="231F20"/>
        </w:rPr>
        <w:t>partner. With deep roots in each industry we serve, our thought leadership, guidance, and innovation in our</w:t>
      </w:r>
    </w:p>
    <w:p>
      <w:pPr>
        <w:sectPr>
          <w:pgSz w:w="12240" w:h="15840" w:orient="portrait"/>
          <w:cols w:equalWidth="0" w:num="1">
            <w:col w:w="10200"/>
          </w:cols>
          <w:pgMar w:left="1020" w:top="1440" w:right="1020" w:bottom="572"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7</w:t>
      </w:r>
    </w:p>
    <w:p>
      <w:pPr>
        <w:sectPr>
          <w:pgSz w:w="12240" w:h="15840" w:orient="portrait"/>
          <w:cols w:equalWidth="0" w:num="1">
            <w:col w:w="10200"/>
          </w:cols>
          <w:pgMar w:left="1020" w:top="1440" w:right="1020" w:bottom="572" w:gutter="0" w:footer="0" w:header="0"/>
          <w:type w:val="continuous"/>
        </w:sectPr>
      </w:pPr>
    </w:p>
    <w:bookmarkStart w:id="8" w:name="page9"/>
    <w:bookmarkEnd w:id="8"/>
    <w:p>
      <w:pPr>
        <w:spacing w:after="0" w:line="97" w:lineRule="exact"/>
        <w:rPr>
          <w:sz w:val="20"/>
          <w:szCs w:val="20"/>
          <w:color w:val="auto"/>
        </w:rPr>
      </w:pPr>
    </w:p>
    <w:p>
      <w:pPr>
        <w:ind w:left="800" w:right="60"/>
        <w:spacing w:after="0" w:line="248" w:lineRule="auto"/>
        <w:rPr>
          <w:sz w:val="20"/>
          <w:szCs w:val="20"/>
          <w:color w:val="auto"/>
        </w:rPr>
      </w:pPr>
      <w:r>
        <w:rPr>
          <w:rFonts w:ascii="Arial" w:cs="Arial" w:eastAsia="Arial" w:hAnsi="Arial"/>
          <w:sz w:val="19"/>
          <w:szCs w:val="19"/>
          <w:color w:val="231F20"/>
        </w:rPr>
        <w:t>solutions, have built confidence and advocacy in Flywire throughout our clients and their customers around the world. We believe we bring a new level of transparency, efficiency, and value to industries that are traditionally characterized by complex operations and held back by services of legacy providers. Additionally, we believe the strength of our information security and compliance that underpins our solutions is a core differentiator that drives client trust.</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Benefits of the Flywire Advantage to Our Clients’ Customers</w:t>
      </w:r>
    </w:p>
    <w:p>
      <w:pPr>
        <w:spacing w:after="0" w:line="184" w:lineRule="exact"/>
        <w:rPr>
          <w:sz w:val="20"/>
          <w:szCs w:val="20"/>
          <w:color w:val="auto"/>
        </w:rPr>
      </w:pPr>
    </w:p>
    <w:p>
      <w:pPr>
        <w:ind w:right="420" w:firstLine="463"/>
        <w:spacing w:after="0" w:line="278" w:lineRule="auto"/>
        <w:rPr>
          <w:sz w:val="20"/>
          <w:szCs w:val="20"/>
          <w:color w:val="auto"/>
        </w:rPr>
      </w:pPr>
      <w:r>
        <w:rPr>
          <w:rFonts w:ascii="Arial" w:cs="Arial" w:eastAsia="Arial" w:hAnsi="Arial"/>
          <w:sz w:val="19"/>
          <w:szCs w:val="19"/>
          <w:color w:val="231F20"/>
        </w:rPr>
        <w:t>Our digital-first customer experience is designed to make the process of paying invoices simple. For our clients’ customers, key benefits of our solutions include:</w:t>
      </w:r>
    </w:p>
    <w:p>
      <w:pPr>
        <w:spacing w:after="0" w:line="126" w:lineRule="exact"/>
        <w:rPr>
          <w:sz w:val="20"/>
          <w:szCs w:val="20"/>
          <w:color w:val="auto"/>
        </w:rPr>
      </w:pPr>
    </w:p>
    <w:p>
      <w:pPr>
        <w:ind w:left="800" w:right="20" w:hanging="229"/>
        <w:spacing w:after="0" w:line="247" w:lineRule="auto"/>
        <w:tabs>
          <w:tab w:leader="none" w:pos="800" w:val="left"/>
        </w:tabs>
        <w:numPr>
          <w:ilvl w:val="0"/>
          <w:numId w:val="7"/>
        </w:numPr>
        <w:rPr>
          <w:rFonts w:ascii="Arial" w:cs="Arial" w:eastAsia="Arial" w:hAnsi="Arial"/>
          <w:sz w:val="19"/>
          <w:szCs w:val="19"/>
          <w:color w:val="231F20"/>
        </w:rPr>
      </w:pPr>
      <w:r>
        <w:rPr>
          <w:rFonts w:ascii="Arial" w:cs="Arial" w:eastAsia="Arial" w:hAnsi="Arial"/>
          <w:sz w:val="19"/>
          <w:szCs w:val="19"/>
          <w:b w:val="1"/>
          <w:bCs w:val="1"/>
          <w:color w:val="231F20"/>
        </w:rPr>
        <w:t xml:space="preserve">Superior and simple payment experiences. </w:t>
      </w:r>
      <w:r>
        <w:rPr>
          <w:rFonts w:ascii="Arial" w:cs="Arial" w:eastAsia="Arial" w:hAnsi="Arial"/>
          <w:sz w:val="19"/>
          <w:szCs w:val="19"/>
          <w:color w:val="231F20"/>
        </w:rPr>
        <w:t>Our customer value proposition is simple: we provide a fast and</w:t>
      </w:r>
      <w:r>
        <w:rPr>
          <w:rFonts w:ascii="Arial" w:cs="Arial" w:eastAsia="Arial" w:hAnsi="Arial"/>
          <w:sz w:val="19"/>
          <w:szCs w:val="19"/>
          <w:b w:val="1"/>
          <w:bCs w:val="1"/>
          <w:color w:val="231F20"/>
        </w:rPr>
        <w:t xml:space="preserve"> </w:t>
      </w:r>
      <w:r>
        <w:rPr>
          <w:rFonts w:ascii="Arial" w:cs="Arial" w:eastAsia="Arial" w:hAnsi="Arial"/>
          <w:sz w:val="19"/>
          <w:szCs w:val="19"/>
          <w:color w:val="231F20"/>
        </w:rPr>
        <w:t>nearly frictionless 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w:t>
      </w:r>
    </w:p>
    <w:p>
      <w:pPr>
        <w:spacing w:after="0" w:line="155" w:lineRule="exact"/>
        <w:rPr>
          <w:rFonts w:ascii="Arial" w:cs="Arial" w:eastAsia="Arial" w:hAnsi="Arial"/>
          <w:sz w:val="19"/>
          <w:szCs w:val="19"/>
          <w:color w:val="231F20"/>
        </w:rPr>
      </w:pPr>
    </w:p>
    <w:p>
      <w:pPr>
        <w:ind w:left="800" w:right="140" w:hanging="229"/>
        <w:spacing w:after="0" w:line="271" w:lineRule="auto"/>
        <w:tabs>
          <w:tab w:leader="none" w:pos="800" w:val="left"/>
        </w:tabs>
        <w:numPr>
          <w:ilvl w:val="0"/>
          <w:numId w:val="7"/>
        </w:numPr>
        <w:rPr>
          <w:rFonts w:ascii="Arial" w:cs="Arial" w:eastAsia="Arial" w:hAnsi="Arial"/>
          <w:sz w:val="18"/>
          <w:szCs w:val="18"/>
          <w:color w:val="231F20"/>
        </w:rPr>
      </w:pPr>
      <w:r>
        <w:rPr>
          <w:rFonts w:ascii="Arial" w:cs="Arial" w:eastAsia="Arial" w:hAnsi="Arial"/>
          <w:sz w:val="18"/>
          <w:szCs w:val="18"/>
          <w:b w:val="1"/>
          <w:bCs w:val="1"/>
          <w:color w:val="231F20"/>
        </w:rPr>
        <w:t xml:space="preserve">Customer preference. </w:t>
      </w:r>
      <w:r>
        <w:rPr>
          <w:rFonts w:ascii="Arial" w:cs="Arial" w:eastAsia="Arial" w:hAnsi="Arial"/>
          <w:sz w:val="18"/>
          <w:szCs w:val="18"/>
          <w:color w:val="231F20"/>
        </w:rPr>
        <w:t>Using Flywire, our clients’ customers can choose their preferred payment method,</w:t>
      </w:r>
      <w:r>
        <w:rPr>
          <w:rFonts w:ascii="Arial" w:cs="Arial" w:eastAsia="Arial" w:hAnsi="Arial"/>
          <w:sz w:val="18"/>
          <w:szCs w:val="18"/>
          <w:b w:val="1"/>
          <w:bCs w:val="1"/>
          <w:color w:val="231F20"/>
        </w:rPr>
        <w:t xml:space="preserve"> </w:t>
      </w:r>
      <w:r>
        <w:rPr>
          <w:rFonts w:ascii="Arial" w:cs="Arial" w:eastAsia="Arial" w:hAnsi="Arial"/>
          <w:sz w:val="18"/>
          <w:szCs w:val="18"/>
          <w:color w:val="231F20"/>
        </w:rPr>
        <w:t>currency, and communication channel, such as sms, chat, email, text, or phone. We make it possible to accept and settle payments in over 240 countries and territories and in more than 140 currencies, so our clients’ customers can choose the way they pay using local payment methods that they are most comfortable using.</w:t>
      </w:r>
    </w:p>
    <w:p>
      <w:pPr>
        <w:spacing w:after="0" w:line="135" w:lineRule="exact"/>
        <w:rPr>
          <w:rFonts w:ascii="Arial" w:cs="Arial" w:eastAsia="Arial" w:hAnsi="Arial"/>
          <w:sz w:val="18"/>
          <w:szCs w:val="18"/>
          <w:color w:val="231F20"/>
        </w:rPr>
      </w:pPr>
    </w:p>
    <w:p>
      <w:pPr>
        <w:ind w:left="800" w:hanging="229"/>
        <w:spacing w:after="0" w:line="249" w:lineRule="auto"/>
        <w:tabs>
          <w:tab w:leader="none" w:pos="800" w:val="left"/>
        </w:tabs>
        <w:numPr>
          <w:ilvl w:val="0"/>
          <w:numId w:val="7"/>
        </w:numPr>
        <w:rPr>
          <w:rFonts w:ascii="Arial" w:cs="Arial" w:eastAsia="Arial" w:hAnsi="Arial"/>
          <w:sz w:val="19"/>
          <w:szCs w:val="19"/>
          <w:color w:val="231F20"/>
        </w:rPr>
      </w:pPr>
      <w:r>
        <w:rPr>
          <w:rFonts w:ascii="Arial" w:cs="Arial" w:eastAsia="Arial" w:hAnsi="Arial"/>
          <w:sz w:val="19"/>
          <w:szCs w:val="19"/>
          <w:b w:val="1"/>
          <w:bCs w:val="1"/>
          <w:color w:val="231F20"/>
        </w:rPr>
        <w:t xml:space="preserve">Flexible on-demand payment options. </w:t>
      </w:r>
      <w:r>
        <w:rPr>
          <w:rFonts w:ascii="Arial" w:cs="Arial" w:eastAsia="Arial" w:hAnsi="Arial"/>
          <w:sz w:val="19"/>
          <w:szCs w:val="19"/>
          <w:color w:val="231F20"/>
        </w:rPr>
        <w:t>We believe we provide favorable and transparent payment plans that</w:t>
      </w:r>
      <w:r>
        <w:rPr>
          <w:rFonts w:ascii="Arial" w:cs="Arial" w:eastAsia="Arial" w:hAnsi="Arial"/>
          <w:sz w:val="19"/>
          <w:szCs w:val="19"/>
          <w:b w:val="1"/>
          <w:bCs w:val="1"/>
          <w:color w:val="231F20"/>
        </w:rPr>
        <w:t xml:space="preserve"> </w:t>
      </w:r>
      <w:r>
        <w:rPr>
          <w:rFonts w:ascii="Arial" w:cs="Arial" w:eastAsia="Arial" w:hAnsi="Arial"/>
          <w:sz w:val="19"/>
          <w:szCs w:val="19"/>
          <w:color w:val="231F20"/>
        </w:rPr>
        <w:t>can lead to increased engagement and enrollment by our clients’ customers. As a result, our clients’ customers can spread expenses across smaller, easier-to-manage payments. Our payments platform also enables our clients to offer their customers the choice to either front-load payment plans or provide extension options beyond service delivery.</w:t>
      </w:r>
    </w:p>
    <w:p>
      <w:pPr>
        <w:spacing w:after="0" w:line="154" w:lineRule="exact"/>
        <w:rPr>
          <w:rFonts w:ascii="Arial" w:cs="Arial" w:eastAsia="Arial" w:hAnsi="Arial"/>
          <w:sz w:val="19"/>
          <w:szCs w:val="19"/>
          <w:color w:val="231F20"/>
        </w:rPr>
      </w:pPr>
    </w:p>
    <w:p>
      <w:pPr>
        <w:ind w:left="800" w:right="80" w:hanging="229"/>
        <w:spacing w:after="0" w:line="253" w:lineRule="auto"/>
        <w:tabs>
          <w:tab w:leader="none" w:pos="800" w:val="left"/>
        </w:tabs>
        <w:numPr>
          <w:ilvl w:val="0"/>
          <w:numId w:val="7"/>
        </w:numPr>
        <w:rPr>
          <w:rFonts w:ascii="Arial" w:cs="Arial" w:eastAsia="Arial" w:hAnsi="Arial"/>
          <w:sz w:val="19"/>
          <w:szCs w:val="19"/>
          <w:color w:val="231F20"/>
        </w:rPr>
      </w:pPr>
      <w:r>
        <w:rPr>
          <w:rFonts w:ascii="Arial" w:cs="Arial" w:eastAsia="Arial" w:hAnsi="Arial"/>
          <w:sz w:val="19"/>
          <w:szCs w:val="19"/>
          <w:b w:val="1"/>
          <w:bCs w:val="1"/>
          <w:color w:val="231F20"/>
        </w:rPr>
        <w:t xml:space="preserve">Customer confidence. </w:t>
      </w:r>
      <w:r>
        <w:rPr>
          <w:rFonts w:ascii="Arial" w:cs="Arial" w:eastAsia="Arial" w:hAnsi="Arial"/>
          <w:sz w:val="19"/>
          <w:szCs w:val="19"/>
          <w:color w:val="231F20"/>
        </w:rPr>
        <w:t>Navigating the world of complex cross-border payments can be overwhelming for our</w:t>
      </w:r>
      <w:r>
        <w:rPr>
          <w:rFonts w:ascii="Arial" w:cs="Arial" w:eastAsia="Arial" w:hAnsi="Arial"/>
          <w:sz w:val="19"/>
          <w:szCs w:val="19"/>
          <w:b w:val="1"/>
          <w:bCs w:val="1"/>
          <w:color w:val="231F20"/>
        </w:rPr>
        <w:t xml:space="preserve"> </w:t>
      </w:r>
      <w:r>
        <w:rPr>
          <w:rFonts w:ascii="Arial" w:cs="Arial" w:eastAsia="Arial" w:hAnsi="Arial"/>
          <w:sz w:val="19"/>
          <w:szCs w:val="19"/>
          <w:color w:val="231F20"/>
        </w:rPr>
        <w:t>clients’ customers. With our superior customer experience including around the clock multilingual support, we believe that we give customers the confidence that their payments are delivered securely, accurately, and on time.</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How Our Flywire Advantage Works</w:t>
      </w:r>
    </w:p>
    <w:p>
      <w:pPr>
        <w:spacing w:after="0" w:line="192" w:lineRule="exact"/>
        <w:rPr>
          <w:sz w:val="20"/>
          <w:szCs w:val="20"/>
          <w:color w:val="auto"/>
        </w:rPr>
      </w:pPr>
    </w:p>
    <w:p>
      <w:pPr>
        <w:ind w:right="140" w:firstLine="463"/>
        <w:spacing w:after="0" w:line="251" w:lineRule="auto"/>
        <w:rPr>
          <w:sz w:val="20"/>
          <w:szCs w:val="20"/>
          <w:color w:val="auto"/>
        </w:rPr>
      </w:pPr>
      <w:r>
        <w:rPr>
          <w:rFonts w:ascii="Arial" w:cs="Arial" w:eastAsia="Arial" w:hAnsi="Arial"/>
          <w:sz w:val="19"/>
          <w:szCs w:val="19"/>
          <w:color w:val="231F20"/>
        </w:rPr>
        <w:t>Our clients’ needs extend beyond simple payment processing. Enabling our clients to use enhanced payment functionality to drive business value as well as streamlining and automating their domestic and cross-border payment operations, requires a specialized approach that combines a secure, reliable, and robust suite of payments and software solutions with a seamless customer experience.</w:t>
      </w:r>
    </w:p>
    <w:p>
      <w:pPr>
        <w:spacing w:after="0" w:line="144" w:lineRule="exact"/>
        <w:rPr>
          <w:sz w:val="20"/>
          <w:szCs w:val="20"/>
          <w:color w:val="auto"/>
        </w:rPr>
      </w:pPr>
    </w:p>
    <w:p>
      <w:pPr>
        <w:ind w:right="20" w:firstLine="463"/>
        <w:spacing w:after="0" w:line="307" w:lineRule="auto"/>
        <w:rPr>
          <w:sz w:val="20"/>
          <w:szCs w:val="20"/>
          <w:color w:val="auto"/>
        </w:rPr>
      </w:pPr>
      <w:r>
        <w:rPr>
          <w:rFonts w:ascii="Arial" w:cs="Arial" w:eastAsia="Arial" w:hAnsi="Arial"/>
          <w:sz w:val="18"/>
          <w:szCs w:val="18"/>
          <w:color w:val="231F20"/>
        </w:rPr>
        <w:t xml:space="preserve">To achieve this, we leverage our </w:t>
      </w:r>
      <w:r>
        <w:rPr>
          <w:rFonts w:ascii="Arial" w:cs="Arial" w:eastAsia="Arial" w:hAnsi="Arial"/>
          <w:sz w:val="18"/>
          <w:szCs w:val="18"/>
          <w:i w:val="1"/>
          <w:iCs w:val="1"/>
          <w:color w:val="231F20"/>
        </w:rPr>
        <w:t>Flywire Advantage</w:t>
      </w:r>
      <w:r>
        <w:rPr>
          <w:rFonts w:ascii="Arial" w:cs="Arial" w:eastAsia="Arial" w:hAnsi="Arial"/>
          <w:sz w:val="18"/>
          <w:szCs w:val="18"/>
          <w:color w:val="231F20"/>
        </w:rPr>
        <w:t xml:space="preserve"> and its three core elements: (i) our next-gen payments platform; (ii) our proprietary global payment network; and (iii) our vertical-specific software backed by our deep industry expertise.</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Next-Gen Payments Platform</w:t>
      </w:r>
    </w:p>
    <w:p>
      <w:pPr>
        <w:spacing w:after="0" w:line="184" w:lineRule="exact"/>
        <w:rPr>
          <w:sz w:val="20"/>
          <w:szCs w:val="20"/>
          <w:color w:val="auto"/>
        </w:rPr>
      </w:pPr>
    </w:p>
    <w:p>
      <w:pPr>
        <w:ind w:right="140" w:firstLine="463"/>
        <w:spacing w:after="0" w:line="251" w:lineRule="auto"/>
        <w:rPr>
          <w:sz w:val="20"/>
          <w:szCs w:val="20"/>
          <w:color w:val="auto"/>
        </w:rPr>
      </w:pPr>
      <w:r>
        <w:rPr>
          <w:rFonts w:ascii="Arial" w:cs="Arial" w:eastAsia="Arial" w:hAnsi="Arial"/>
          <w:sz w:val="19"/>
          <w:szCs w:val="19"/>
          <w:color w:val="231F20"/>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p>
    <w:p>
      <w:pPr>
        <w:spacing w:after="0" w:line="144" w:lineRule="exact"/>
        <w:rPr>
          <w:sz w:val="20"/>
          <w:szCs w:val="20"/>
          <w:color w:val="auto"/>
        </w:rPr>
      </w:pPr>
    </w:p>
    <w:p>
      <w:pPr>
        <w:ind w:right="40" w:firstLine="463"/>
        <w:spacing w:after="0" w:line="248" w:lineRule="auto"/>
        <w:rPr>
          <w:sz w:val="20"/>
          <w:szCs w:val="20"/>
          <w:color w:val="auto"/>
        </w:rPr>
      </w:pPr>
      <w:r>
        <w:rPr>
          <w:rFonts w:ascii="Arial" w:cs="Arial" w:eastAsia="Arial" w:hAnsi="Arial"/>
          <w:sz w:val="19"/>
          <w:szCs w:val="19"/>
          <w:color w:val="231F20"/>
        </w:rPr>
        <w:t>For the years ended December 31, 2024 and 2023, we enabled over $29.7 billion and over $24.0 billion, respectively, in total payment volume across multiple payment types, including local bank transfer, credit, debit and other alternative payment methods such as Alipay, Boleto, PayPal / Venmo, and Trustly. The majority of our payment volume is not card related and is completed over our global payment network. This reflects the myriad of payment options enabled by our global payment network that are critical for the larger, more complex payments that we handle.</w:t>
      </w:r>
    </w:p>
    <w:p>
      <w:pPr>
        <w:sectPr>
          <w:pgSz w:w="12240" w:h="15840" w:orient="portrait"/>
          <w:cols w:equalWidth="0" w:num="1">
            <w:col w:w="10180"/>
          </w:cols>
          <w:pgMar w:left="1020" w:top="1440" w:right="104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8</w:t>
      </w:r>
    </w:p>
    <w:p>
      <w:pPr>
        <w:sectPr>
          <w:pgSz w:w="12240" w:h="15840" w:orient="portrait"/>
          <w:cols w:equalWidth="0" w:num="1">
            <w:col w:w="10180"/>
          </w:cols>
          <w:pgMar w:left="1020" w:top="1440" w:right="1040" w:bottom="572" w:gutter="0" w:footer="0" w:header="0"/>
          <w:type w:val="continuous"/>
        </w:sectPr>
      </w:pPr>
    </w:p>
    <w:bookmarkStart w:id="9" w:name="page10"/>
    <w:bookmarkEnd w:id="9"/>
    <w:p>
      <w:pPr>
        <w:spacing w:after="0" w:line="97"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We designed our next-gen payments platform to be:</w:t>
      </w:r>
    </w:p>
    <w:p>
      <w:pPr>
        <w:spacing w:after="0" w:line="196" w:lineRule="exact"/>
        <w:rPr>
          <w:sz w:val="20"/>
          <w:szCs w:val="20"/>
          <w:color w:val="auto"/>
        </w:rPr>
      </w:pPr>
    </w:p>
    <w:p>
      <w:pPr>
        <w:ind w:left="800" w:right="320" w:hanging="229"/>
        <w:spacing w:after="0" w:line="283" w:lineRule="auto"/>
        <w:tabs>
          <w:tab w:leader="none" w:pos="800" w:val="left"/>
        </w:tabs>
        <w:numPr>
          <w:ilvl w:val="0"/>
          <w:numId w:val="8"/>
        </w:numPr>
        <w:rPr>
          <w:rFonts w:ascii="Arial" w:cs="Arial" w:eastAsia="Arial" w:hAnsi="Arial"/>
          <w:sz w:val="19"/>
          <w:szCs w:val="19"/>
          <w:color w:val="231F20"/>
        </w:rPr>
      </w:pPr>
      <w:r>
        <w:rPr>
          <w:rFonts w:ascii="Arial" w:cs="Arial" w:eastAsia="Arial" w:hAnsi="Arial"/>
          <w:sz w:val="19"/>
          <w:szCs w:val="19"/>
          <w:b w:val="1"/>
          <w:bCs w:val="1"/>
          <w:color w:val="231F20"/>
        </w:rPr>
        <w:t>Integrated</w:t>
      </w:r>
      <w:r>
        <w:rPr>
          <w:rFonts w:ascii="Arial" w:cs="Arial" w:eastAsia="Arial" w:hAnsi="Arial"/>
          <w:sz w:val="19"/>
          <w:szCs w:val="19"/>
          <w:color w:val="231F20"/>
        </w:rPr>
        <w:t>. Fully unified and seamlessly connected to a broad range of core operating systems, facilitating</w:t>
      </w:r>
      <w:r>
        <w:rPr>
          <w:rFonts w:ascii="Arial" w:cs="Arial" w:eastAsia="Arial" w:hAnsi="Arial"/>
          <w:sz w:val="19"/>
          <w:szCs w:val="19"/>
          <w:b w:val="1"/>
          <w:bCs w:val="1"/>
          <w:color w:val="231F20"/>
        </w:rPr>
        <w:t xml:space="preserve"> </w:t>
      </w:r>
      <w:r>
        <w:rPr>
          <w:rFonts w:ascii="Arial" w:cs="Arial" w:eastAsia="Arial" w:hAnsi="Arial"/>
          <w:sz w:val="19"/>
          <w:szCs w:val="19"/>
          <w:color w:val="231F20"/>
        </w:rPr>
        <w:t>easy data capture and compatibility across a broad range of solutions;</w:t>
      </w:r>
    </w:p>
    <w:p>
      <w:pPr>
        <w:spacing w:after="0" w:line="120" w:lineRule="exact"/>
        <w:rPr>
          <w:rFonts w:ascii="Arial" w:cs="Arial" w:eastAsia="Arial" w:hAnsi="Arial"/>
          <w:sz w:val="19"/>
          <w:szCs w:val="19"/>
          <w:color w:val="231F20"/>
        </w:rPr>
      </w:pPr>
    </w:p>
    <w:p>
      <w:pPr>
        <w:ind w:left="800" w:right="480" w:hanging="229"/>
        <w:spacing w:after="0" w:line="283" w:lineRule="auto"/>
        <w:tabs>
          <w:tab w:leader="none" w:pos="800" w:val="left"/>
        </w:tabs>
        <w:numPr>
          <w:ilvl w:val="0"/>
          <w:numId w:val="8"/>
        </w:numPr>
        <w:rPr>
          <w:rFonts w:ascii="Arial" w:cs="Arial" w:eastAsia="Arial" w:hAnsi="Arial"/>
          <w:sz w:val="19"/>
          <w:szCs w:val="19"/>
          <w:color w:val="231F20"/>
        </w:rPr>
      </w:pPr>
      <w:r>
        <w:rPr>
          <w:rFonts w:ascii="Arial" w:cs="Arial" w:eastAsia="Arial" w:hAnsi="Arial"/>
          <w:sz w:val="19"/>
          <w:szCs w:val="19"/>
          <w:b w:val="1"/>
          <w:bCs w:val="1"/>
          <w:color w:val="231F20"/>
        </w:rPr>
        <w:t>Flexible</w:t>
      </w:r>
      <w:r>
        <w:rPr>
          <w:rFonts w:ascii="Arial" w:cs="Arial" w:eastAsia="Arial" w:hAnsi="Arial"/>
          <w:sz w:val="19"/>
          <w:szCs w:val="19"/>
          <w:color w:val="231F20"/>
        </w:rPr>
        <w:t>. Supports complex workflows and payment experiences for both in-country domestic and cross-border payments; and</w:t>
      </w:r>
    </w:p>
    <w:p>
      <w:pPr>
        <w:spacing w:after="0" w:line="120" w:lineRule="exact"/>
        <w:rPr>
          <w:rFonts w:ascii="Arial" w:cs="Arial" w:eastAsia="Arial" w:hAnsi="Arial"/>
          <w:sz w:val="19"/>
          <w:szCs w:val="19"/>
          <w:color w:val="231F20"/>
        </w:rPr>
      </w:pPr>
    </w:p>
    <w:p>
      <w:pPr>
        <w:ind w:left="800" w:right="60" w:hanging="229"/>
        <w:spacing w:after="0" w:line="283" w:lineRule="auto"/>
        <w:tabs>
          <w:tab w:leader="none" w:pos="800" w:val="left"/>
        </w:tabs>
        <w:numPr>
          <w:ilvl w:val="0"/>
          <w:numId w:val="8"/>
        </w:numPr>
        <w:rPr>
          <w:rFonts w:ascii="Arial" w:cs="Arial" w:eastAsia="Arial" w:hAnsi="Arial"/>
          <w:sz w:val="19"/>
          <w:szCs w:val="19"/>
          <w:color w:val="231F20"/>
        </w:rPr>
      </w:pPr>
      <w:r>
        <w:rPr>
          <w:rFonts w:ascii="Arial" w:cs="Arial" w:eastAsia="Arial" w:hAnsi="Arial"/>
          <w:sz w:val="19"/>
          <w:szCs w:val="19"/>
          <w:b w:val="1"/>
          <w:bCs w:val="1"/>
          <w:color w:val="231F20"/>
        </w:rPr>
        <w:t>Secure</w:t>
      </w:r>
      <w:r>
        <w:rPr>
          <w:rFonts w:ascii="Arial" w:cs="Arial" w:eastAsia="Arial" w:hAnsi="Arial"/>
          <w:sz w:val="19"/>
          <w:szCs w:val="19"/>
          <w:color w:val="231F20"/>
        </w:rPr>
        <w:t>. Leverages Payment Card Industry-validated Point-to-Point Encryption tokenization and other best-in-class and regulatory-compliant security measures.</w:t>
      </w:r>
    </w:p>
    <w:p>
      <w:pPr>
        <w:spacing w:after="0" w:line="112" w:lineRule="exact"/>
        <w:rPr>
          <w:sz w:val="20"/>
          <w:szCs w:val="20"/>
          <w:color w:val="auto"/>
        </w:rPr>
      </w:pPr>
    </w:p>
    <w:p>
      <w:pPr>
        <w:ind w:right="40" w:firstLine="463"/>
        <w:spacing w:after="0" w:line="251" w:lineRule="auto"/>
        <w:rPr>
          <w:sz w:val="20"/>
          <w:szCs w:val="20"/>
          <w:color w:val="auto"/>
        </w:rPr>
      </w:pPr>
      <w:r>
        <w:rPr>
          <w:rFonts w:ascii="Arial" w:cs="Arial" w:eastAsia="Arial" w:hAnsi="Arial"/>
          <w:sz w:val="19"/>
          <w:szCs w:val="19"/>
          <w:color w:val="231F20"/>
        </w:rPr>
        <w:t>By utilizing predictive analytics, ML and AI, we handle the complexities of money movement across borders while providing fast, compliant, and transparent receipt of payments. Our AI and ML enabled fraud detection risk engine has trained against millions of automated clearing house (ACH), check, card, and wire transactions. As a result, the enhanced power of our risk engine enables us to mitigate fraud.</w:t>
      </w:r>
    </w:p>
    <w:p>
      <w:pPr>
        <w:spacing w:after="0" w:line="144" w:lineRule="exact"/>
        <w:rPr>
          <w:sz w:val="20"/>
          <w:szCs w:val="20"/>
          <w:color w:val="auto"/>
        </w:rPr>
      </w:pPr>
    </w:p>
    <w:p>
      <w:pPr>
        <w:ind w:right="540" w:firstLine="463"/>
        <w:spacing w:after="0" w:line="258" w:lineRule="auto"/>
        <w:rPr>
          <w:sz w:val="20"/>
          <w:szCs w:val="20"/>
          <w:color w:val="auto"/>
        </w:rPr>
      </w:pPr>
      <w:r>
        <w:rPr>
          <w:rFonts w:ascii="Arial" w:cs="Arial" w:eastAsia="Arial" w:hAnsi="Arial"/>
          <w:sz w:val="19"/>
          <w:szCs w:val="19"/>
          <w:color w:val="231F20"/>
        </w:rPr>
        <w:t>Our comprehensive payments offering enables our clients to provide their customers a choice of cost-effective payment methods, currencies, and terms while enjoying a seamless digital experience. Our offering, supported by Flywire’s security, risk, and compliance monitoring tools, includes:</w:t>
      </w:r>
    </w:p>
    <w:p>
      <w:pPr>
        <w:spacing w:after="0" w:line="149" w:lineRule="exact"/>
        <w:rPr>
          <w:sz w:val="20"/>
          <w:szCs w:val="20"/>
          <w:color w:val="auto"/>
        </w:rPr>
      </w:pPr>
    </w:p>
    <w:p>
      <w:pPr>
        <w:ind w:left="800" w:right="260" w:hanging="229"/>
        <w:spacing w:after="0" w:line="278" w:lineRule="auto"/>
        <w:tabs>
          <w:tab w:leader="none" w:pos="800" w:val="left"/>
        </w:tabs>
        <w:numPr>
          <w:ilvl w:val="0"/>
          <w:numId w:val="9"/>
        </w:numPr>
        <w:rPr>
          <w:rFonts w:ascii="Arial" w:cs="Arial" w:eastAsia="Arial" w:hAnsi="Arial"/>
          <w:sz w:val="19"/>
          <w:szCs w:val="19"/>
          <w:color w:val="231F20"/>
        </w:rPr>
      </w:pPr>
      <w:r>
        <w:rPr>
          <w:rFonts w:ascii="Arial" w:cs="Arial" w:eastAsia="Arial" w:hAnsi="Arial"/>
          <w:sz w:val="19"/>
          <w:szCs w:val="19"/>
          <w:color w:val="231F20"/>
        </w:rPr>
        <w:t>enhanced invoicing, settlement and reconciliation tools that simplify billing and customer payments and better manage cash flow and revenue;</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9"/>
        </w:numPr>
        <w:rPr>
          <w:rFonts w:ascii="Arial" w:cs="Arial" w:eastAsia="Arial" w:hAnsi="Arial"/>
          <w:sz w:val="19"/>
          <w:szCs w:val="19"/>
          <w:color w:val="231F20"/>
        </w:rPr>
      </w:pPr>
      <w:r>
        <w:rPr>
          <w:rFonts w:ascii="Arial" w:cs="Arial" w:eastAsia="Arial" w:hAnsi="Arial"/>
          <w:sz w:val="19"/>
          <w:szCs w:val="19"/>
          <w:color w:val="231F20"/>
        </w:rPr>
        <w:t>end-to-end processing, from authorization to clearing to settlement and reconciliation;</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9"/>
        </w:numPr>
        <w:rPr>
          <w:rFonts w:ascii="Arial" w:cs="Arial" w:eastAsia="Arial" w:hAnsi="Arial"/>
          <w:sz w:val="19"/>
          <w:szCs w:val="19"/>
          <w:color w:val="231F20"/>
        </w:rPr>
      </w:pPr>
      <w:r>
        <w:rPr>
          <w:rFonts w:ascii="Arial" w:cs="Arial" w:eastAsia="Arial" w:hAnsi="Arial"/>
          <w:sz w:val="19"/>
          <w:szCs w:val="19"/>
          <w:color w:val="231F20"/>
        </w:rPr>
        <w:t>turnkey solution for enhanced and secure single sign-on and checkout;</w:t>
      </w:r>
    </w:p>
    <w:p>
      <w:pPr>
        <w:spacing w:after="0" w:line="200" w:lineRule="exact"/>
        <w:rPr>
          <w:rFonts w:ascii="Arial" w:cs="Arial" w:eastAsia="Arial" w:hAnsi="Arial"/>
          <w:sz w:val="19"/>
          <w:szCs w:val="19"/>
          <w:color w:val="231F20"/>
        </w:rPr>
      </w:pPr>
    </w:p>
    <w:p>
      <w:pPr>
        <w:ind w:left="800" w:right="500" w:hanging="229"/>
        <w:spacing w:after="0" w:line="278" w:lineRule="auto"/>
        <w:tabs>
          <w:tab w:leader="none" w:pos="800" w:val="left"/>
        </w:tabs>
        <w:numPr>
          <w:ilvl w:val="0"/>
          <w:numId w:val="9"/>
        </w:numPr>
        <w:rPr>
          <w:rFonts w:ascii="Arial" w:cs="Arial" w:eastAsia="Arial" w:hAnsi="Arial"/>
          <w:sz w:val="19"/>
          <w:szCs w:val="19"/>
          <w:color w:val="231F20"/>
        </w:rPr>
      </w:pPr>
      <w:r>
        <w:rPr>
          <w:rFonts w:ascii="Arial" w:cs="Arial" w:eastAsia="Arial" w:hAnsi="Arial"/>
          <w:sz w:val="19"/>
          <w:szCs w:val="19"/>
          <w:color w:val="231F20"/>
        </w:rPr>
        <w:t>recurring, split and flexible payment options, including robust payment plan logic that can be tailored in our vertical-specific implementations; and</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9"/>
        </w:numPr>
        <w:rPr>
          <w:rFonts w:ascii="Arial" w:cs="Arial" w:eastAsia="Arial" w:hAnsi="Arial"/>
          <w:sz w:val="19"/>
          <w:szCs w:val="19"/>
          <w:color w:val="231F20"/>
        </w:rPr>
      </w:pPr>
      <w:r>
        <w:rPr>
          <w:rFonts w:ascii="Arial" w:cs="Arial" w:eastAsia="Arial" w:hAnsi="Arial"/>
          <w:sz w:val="19"/>
          <w:szCs w:val="19"/>
          <w:color w:val="231F20"/>
        </w:rPr>
        <w:t>unified reporting and analytics tools through direct integrations to client back-end infrastructure.</w:t>
      </w:r>
    </w:p>
    <w:p>
      <w:pPr>
        <w:spacing w:after="0" w:line="188" w:lineRule="exact"/>
        <w:rPr>
          <w:sz w:val="20"/>
          <w:szCs w:val="20"/>
          <w:color w:val="auto"/>
        </w:rPr>
      </w:pPr>
    </w:p>
    <w:p>
      <w:pPr>
        <w:ind w:firstLine="463"/>
        <w:spacing w:after="0" w:line="270" w:lineRule="auto"/>
        <w:rPr>
          <w:sz w:val="20"/>
          <w:szCs w:val="20"/>
          <w:color w:val="auto"/>
        </w:rPr>
      </w:pPr>
      <w:r>
        <w:rPr>
          <w:rFonts w:ascii="Arial" w:cs="Arial" w:eastAsia="Arial" w:hAnsi="Arial"/>
          <w:sz w:val="18"/>
          <w:szCs w:val="18"/>
          <w:color w:val="231F20"/>
        </w:rPr>
        <w:t>Below is a sample funds flow for a traveler from Australia taking a ski vacation in Japan paying in their local currency and with their preferred method of payment, such as a bank transfer of Australian Dollars to Japanese Yen, without incurring hidden fees, and with exchange rate protection. The illustration shows how our next-gen payments platform can be configured and activated at the client level, and deliver a seamless experience from any country of payment or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105410</wp:posOffset>
            </wp:positionV>
            <wp:extent cx="5996940" cy="3146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extLst>
                    </a:blip>
                    <a:srcRect/>
                    <a:stretch>
                      <a:fillRect/>
                    </a:stretch>
                  </pic:blipFill>
                  <pic:spPr bwMode="auto">
                    <a:xfrm>
                      <a:off x="0" y="0"/>
                      <a:ext cx="5996940" cy="3146425"/>
                    </a:xfrm>
                    <a:prstGeom prst="rect">
                      <a:avLst/>
                    </a:prstGeom>
                    <a:noFill/>
                  </pic:spPr>
                </pic:pic>
              </a:graphicData>
            </a:graphic>
          </wp:anchor>
        </w:drawing>
      </w:r>
    </w:p>
    <w:p>
      <w:pPr>
        <w:sectPr>
          <w:pgSz w:w="12240" w:h="15840" w:orient="portrait"/>
          <w:cols w:equalWidth="0" w:num="1">
            <w:col w:w="10180"/>
          </w:cols>
          <w:pgMar w:left="1020" w:top="1440" w:right="104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9</w:t>
      </w:r>
    </w:p>
    <w:p>
      <w:pPr>
        <w:sectPr>
          <w:pgSz w:w="12240" w:h="15840" w:orient="portrait"/>
          <w:cols w:equalWidth="0" w:num="1">
            <w:col w:w="10180"/>
          </w:cols>
          <w:pgMar w:left="1020" w:top="1440" w:right="1040" w:bottom="572" w:gutter="0" w:footer="0" w:header="0"/>
          <w:type w:val="continuous"/>
        </w:sectPr>
      </w:pPr>
    </w:p>
    <w:bookmarkStart w:id="10" w:name="page11"/>
    <w:bookmarkEnd w:id="10"/>
    <w:p>
      <w:pPr>
        <w:spacing w:after="0" w:line="97" w:lineRule="exact"/>
        <w:rPr>
          <w:sz w:val="20"/>
          <w:szCs w:val="20"/>
          <w:color w:val="auto"/>
        </w:rPr>
      </w:pPr>
    </w:p>
    <w:p>
      <w:pPr>
        <w:ind w:right="20" w:firstLine="463"/>
        <w:spacing w:after="0" w:line="245" w:lineRule="auto"/>
        <w:rPr>
          <w:sz w:val="20"/>
          <w:szCs w:val="20"/>
          <w:color w:val="auto"/>
        </w:rPr>
      </w:pPr>
      <w:r>
        <w:rPr>
          <w:rFonts w:ascii="Arial" w:cs="Arial" w:eastAsia="Arial" w:hAnsi="Arial"/>
          <w:sz w:val="19"/>
          <w:szCs w:val="19"/>
          <w:color w:val="231F20"/>
        </w:rPr>
        <w:t>In addition to international expansion, we are accelerating the growth of our in-country domestic accounts receivable business with the goal of both selling new solutions to existing clients and gaining new clients. Many of our clients who successfully use our payments platform to process cross-border payments require a similar solution for in-country domestic payments, which have similar challenges: they are reliant on home-grown or legacy solutions with limited or inflexible capabilities and often require time consuming manual updates. With our payments platform, clients are able to streamline payment processes and offer their customers flexible payment options, without the expense of building their own systems—for both in-country domestic and cross-border transactions.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Proprietary Global Payment Network</w:t>
      </w:r>
    </w:p>
    <w:p>
      <w:pPr>
        <w:spacing w:after="0" w:line="184" w:lineRule="exact"/>
        <w:rPr>
          <w:sz w:val="20"/>
          <w:szCs w:val="20"/>
          <w:color w:val="auto"/>
        </w:rPr>
      </w:pPr>
    </w:p>
    <w:p>
      <w:pPr>
        <w:ind w:right="40" w:firstLine="463"/>
        <w:spacing w:after="0" w:line="248" w:lineRule="auto"/>
        <w:rPr>
          <w:sz w:val="20"/>
          <w:szCs w:val="20"/>
          <w:color w:val="auto"/>
        </w:rPr>
      </w:pPr>
      <w:r>
        <w:rPr>
          <w:rFonts w:ascii="Arial" w:cs="Arial" w:eastAsia="Arial" w:hAnsi="Arial"/>
          <w:sz w:val="19"/>
          <w:szCs w:val="19"/>
          <w:color w:val="231F20"/>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p>
    <w:p>
      <w:pPr>
        <w:spacing w:after="0" w:line="146" w:lineRule="exact"/>
        <w:rPr>
          <w:sz w:val="20"/>
          <w:szCs w:val="20"/>
          <w:color w:val="auto"/>
        </w:rPr>
      </w:pPr>
    </w:p>
    <w:p>
      <w:pPr>
        <w:jc w:val="both"/>
        <w:ind w:right="40" w:firstLine="463"/>
        <w:spacing w:after="0" w:line="258" w:lineRule="auto"/>
        <w:rPr>
          <w:sz w:val="20"/>
          <w:szCs w:val="20"/>
          <w:color w:val="auto"/>
        </w:rPr>
      </w:pPr>
      <w:r>
        <w:rPr>
          <w:rFonts w:ascii="Arial" w:cs="Arial" w:eastAsia="Arial" w:hAnsi="Arial"/>
          <w:sz w:val="19"/>
          <w:szCs w:val="19"/>
          <w:color w:val="231F20"/>
        </w:rPr>
        <w:t>With Flywire’s network, our clients can take advantage of our “local-in / local-out strategy”—providing access to pay-in options, such as local bank transfers, card-based payments, and alternative payment methods, while enabling pay-out capabilities in our clients’ preferred local payment methods.</w:t>
      </w:r>
    </w:p>
    <w:p>
      <w:pPr>
        <w:spacing w:after="0" w:line="136" w:lineRule="exact"/>
        <w:rPr>
          <w:sz w:val="20"/>
          <w:szCs w:val="20"/>
          <w:color w:val="auto"/>
        </w:rPr>
      </w:pPr>
    </w:p>
    <w:p>
      <w:pPr>
        <w:ind w:right="180" w:firstLine="463"/>
        <w:spacing w:after="0" w:line="251" w:lineRule="auto"/>
        <w:rPr>
          <w:sz w:val="20"/>
          <w:szCs w:val="20"/>
          <w:color w:val="auto"/>
        </w:rPr>
      </w:pPr>
      <w:r>
        <w:rPr>
          <w:rFonts w:ascii="Arial" w:cs="Arial" w:eastAsia="Arial" w:hAnsi="Arial"/>
          <w:sz w:val="19"/>
          <w:szCs w:val="19"/>
          <w:color w:val="231F20"/>
        </w:rPr>
        <w:t>We believe our receive-side network sets us apart. Flywire clients, no matter the vertical or market they are in, can receive a single daily payment in their preferred currency that aggregates and reconciles all their customer payments made via Flywire from around the globe—across approximately 5,000 geographic corridors for 2024 representing transaction flows between payers and payees.</w:t>
      </w:r>
    </w:p>
    <w:p>
      <w:pPr>
        <w:spacing w:after="0" w:line="144" w:lineRule="exact"/>
        <w:rPr>
          <w:sz w:val="20"/>
          <w:szCs w:val="20"/>
          <w:color w:val="auto"/>
        </w:rPr>
      </w:pPr>
    </w:p>
    <w:p>
      <w:pPr>
        <w:ind w:right="340" w:firstLine="463"/>
        <w:spacing w:after="0" w:line="278" w:lineRule="auto"/>
        <w:rPr>
          <w:sz w:val="20"/>
          <w:szCs w:val="20"/>
          <w:color w:val="auto"/>
        </w:rPr>
      </w:pPr>
      <w:r>
        <w:rPr>
          <w:rFonts w:ascii="Arial" w:cs="Arial" w:eastAsia="Arial" w:hAnsi="Arial"/>
          <w:sz w:val="19"/>
          <w:szCs w:val="19"/>
          <w:color w:val="231F20"/>
        </w:rPr>
        <w:t>Once our clients are connected to our global payment network, they can leverage an extended range of services and capabilities, including:</w:t>
      </w:r>
    </w:p>
    <w:p>
      <w:pPr>
        <w:spacing w:after="0" w:line="126" w:lineRule="exact"/>
        <w:rPr>
          <w:sz w:val="20"/>
          <w:szCs w:val="20"/>
          <w:color w:val="auto"/>
        </w:rPr>
      </w:pPr>
    </w:p>
    <w:p>
      <w:pPr>
        <w:ind w:left="800" w:right="100" w:hanging="229"/>
        <w:spacing w:after="0" w:line="249" w:lineRule="auto"/>
        <w:tabs>
          <w:tab w:leader="none" w:pos="800" w:val="left"/>
        </w:tabs>
        <w:numPr>
          <w:ilvl w:val="0"/>
          <w:numId w:val="10"/>
        </w:numPr>
        <w:rPr>
          <w:rFonts w:ascii="Arial" w:cs="Arial" w:eastAsia="Arial" w:hAnsi="Arial"/>
          <w:sz w:val="19"/>
          <w:szCs w:val="19"/>
          <w:color w:val="231F20"/>
        </w:rPr>
      </w:pPr>
      <w:r>
        <w:rPr>
          <w:rFonts w:ascii="Arial" w:cs="Arial" w:eastAsia="Arial" w:hAnsi="Arial"/>
          <w:sz w:val="19"/>
          <w:szCs w:val="19"/>
          <w:b w:val="1"/>
          <w:bCs w:val="1"/>
          <w:color w:val="231F20"/>
        </w:rPr>
        <w:t>Transaction routing optimized for cost, risk and compliance management</w:t>
      </w:r>
      <w:r>
        <w:rPr>
          <w:rFonts w:ascii="Arial" w:cs="Arial" w:eastAsia="Arial" w:hAnsi="Arial"/>
          <w:sz w:val="19"/>
          <w:szCs w:val="19"/>
          <w:color w:val="231F20"/>
        </w:rPr>
        <w:t>. We leverage the “plug and</w:t>
      </w:r>
      <w:r>
        <w:rPr>
          <w:rFonts w:ascii="Arial" w:cs="Arial" w:eastAsia="Arial" w:hAnsi="Arial"/>
          <w:sz w:val="19"/>
          <w:szCs w:val="19"/>
          <w:b w:val="1"/>
          <w:bCs w:val="1"/>
          <w:color w:val="231F20"/>
        </w:rPr>
        <w:t xml:space="preserve"> </w:t>
      </w:r>
      <w:r>
        <w:rPr>
          <w:rFonts w:ascii="Arial" w:cs="Arial" w:eastAsia="Arial" w:hAnsi="Arial"/>
          <w:sz w:val="19"/>
          <w:szCs w:val="19"/>
          <w:color w:val="231F20"/>
        </w:rPr>
        <w:t>play” configuration of our global payment network and our proprietary payment-routing engine to analyze costs, currency exchange rates and payment acceptance data. Based on our analytics, we can configure optimal transaction routing that increases authorization rates in a secure and compliant manner, while reducing our processing costs and the costs to our clients’ customers.</w:t>
      </w:r>
    </w:p>
    <w:p>
      <w:pPr>
        <w:spacing w:after="0" w:line="154" w:lineRule="exact"/>
        <w:rPr>
          <w:rFonts w:ascii="Arial" w:cs="Arial" w:eastAsia="Arial" w:hAnsi="Arial"/>
          <w:sz w:val="19"/>
          <w:szCs w:val="19"/>
          <w:color w:val="231F20"/>
        </w:rPr>
      </w:pPr>
    </w:p>
    <w:p>
      <w:pPr>
        <w:ind w:left="800" w:right="20" w:hanging="229"/>
        <w:spacing w:after="0" w:line="249" w:lineRule="auto"/>
        <w:tabs>
          <w:tab w:leader="none" w:pos="800" w:val="left"/>
        </w:tabs>
        <w:numPr>
          <w:ilvl w:val="0"/>
          <w:numId w:val="10"/>
        </w:numPr>
        <w:rPr>
          <w:rFonts w:ascii="Arial" w:cs="Arial" w:eastAsia="Arial" w:hAnsi="Arial"/>
          <w:sz w:val="19"/>
          <w:szCs w:val="19"/>
          <w:color w:val="231F20"/>
        </w:rPr>
      </w:pPr>
      <w:r>
        <w:rPr>
          <w:rFonts w:ascii="Arial" w:cs="Arial" w:eastAsia="Arial" w:hAnsi="Arial"/>
          <w:sz w:val="19"/>
          <w:szCs w:val="19"/>
          <w:b w:val="1"/>
          <w:bCs w:val="1"/>
          <w:color w:val="231F20"/>
        </w:rPr>
        <w:t>Local clearing capabilities</w:t>
      </w:r>
      <w:r>
        <w:rPr>
          <w:rFonts w:ascii="Arial" w:cs="Arial" w:eastAsia="Arial" w:hAnsi="Arial"/>
          <w:sz w:val="19"/>
          <w:szCs w:val="19"/>
          <w:color w:val="231F20"/>
        </w:rPr>
        <w:t>. Our clients’ customers have the ability to authorize and clear transactions in over</w:t>
      </w:r>
      <w:r>
        <w:rPr>
          <w:rFonts w:ascii="Arial" w:cs="Arial" w:eastAsia="Arial" w:hAnsi="Arial"/>
          <w:sz w:val="19"/>
          <w:szCs w:val="19"/>
          <w:b w:val="1"/>
          <w:bCs w:val="1"/>
          <w:color w:val="231F20"/>
        </w:rPr>
        <w:t xml:space="preserve"> </w:t>
      </w:r>
      <w:r>
        <w:rPr>
          <w:rFonts w:ascii="Arial" w:cs="Arial" w:eastAsia="Arial" w:hAnsi="Arial"/>
          <w:sz w:val="19"/>
          <w:szCs w:val="19"/>
          <w:color w:val="231F20"/>
        </w:rPr>
        <w:t>240 countries and territories through our connectivity to banks and major payment networks. Payments are made through direct connections to global, regional and local banks or through relationships with our payments partners including Citigroup Inc. These connections and relationships help us create local clearing hubs which enable our clients and their customers to have a local payments experience.</w:t>
      </w:r>
    </w:p>
    <w:p>
      <w:pPr>
        <w:spacing w:after="0" w:line="154" w:lineRule="exact"/>
        <w:rPr>
          <w:rFonts w:ascii="Arial" w:cs="Arial" w:eastAsia="Arial" w:hAnsi="Arial"/>
          <w:sz w:val="19"/>
          <w:szCs w:val="19"/>
          <w:color w:val="231F20"/>
        </w:rPr>
      </w:pPr>
    </w:p>
    <w:p>
      <w:pPr>
        <w:ind w:left="800" w:hanging="229"/>
        <w:spacing w:after="0" w:line="253" w:lineRule="auto"/>
        <w:tabs>
          <w:tab w:leader="none" w:pos="800" w:val="left"/>
        </w:tabs>
        <w:numPr>
          <w:ilvl w:val="0"/>
          <w:numId w:val="10"/>
        </w:numPr>
        <w:rPr>
          <w:rFonts w:ascii="Arial" w:cs="Arial" w:eastAsia="Arial" w:hAnsi="Arial"/>
          <w:sz w:val="19"/>
          <w:szCs w:val="19"/>
          <w:color w:val="231F20"/>
        </w:rPr>
      </w:pPr>
      <w:r>
        <w:rPr>
          <w:rFonts w:ascii="Arial" w:cs="Arial" w:eastAsia="Arial" w:hAnsi="Arial"/>
          <w:sz w:val="19"/>
          <w:szCs w:val="19"/>
          <w:b w:val="1"/>
          <w:bCs w:val="1"/>
          <w:color w:val="231F20"/>
        </w:rPr>
        <w:t>Ecosystem of alternative payment methods</w:t>
      </w:r>
      <w:r>
        <w:rPr>
          <w:rFonts w:ascii="Arial" w:cs="Arial" w:eastAsia="Arial" w:hAnsi="Arial"/>
          <w:sz w:val="19"/>
          <w:szCs w:val="19"/>
          <w:color w:val="231F20"/>
        </w:rPr>
        <w:t>. We offer a myriad of alternative payment methods, such as</w:t>
      </w:r>
      <w:r>
        <w:rPr>
          <w:rFonts w:ascii="Arial" w:cs="Arial" w:eastAsia="Arial" w:hAnsi="Arial"/>
          <w:sz w:val="19"/>
          <w:szCs w:val="19"/>
          <w:b w:val="1"/>
          <w:bCs w:val="1"/>
          <w:color w:val="231F20"/>
        </w:rPr>
        <w:t xml:space="preserve"> </w:t>
      </w:r>
      <w:r>
        <w:rPr>
          <w:rFonts w:ascii="Arial" w:cs="Arial" w:eastAsia="Arial" w:hAnsi="Arial"/>
          <w:sz w:val="19"/>
          <w:szCs w:val="19"/>
          <w:color w:val="231F20"/>
        </w:rPr>
        <w:t>Alipay, Boleto, PayPal / Venmo, and Trustly, to allow our clients’ customers to choose how they pay. We believe this helps promote greater adoption of our payments platform, higher levels of engagement and satisfaction, and increased value across our ecosystem.</w:t>
      </w:r>
    </w:p>
    <w:p>
      <w:pPr>
        <w:spacing w:after="0" w:line="149" w:lineRule="exact"/>
        <w:rPr>
          <w:rFonts w:ascii="Arial" w:cs="Arial" w:eastAsia="Arial" w:hAnsi="Arial"/>
          <w:sz w:val="19"/>
          <w:szCs w:val="19"/>
          <w:color w:val="231F20"/>
        </w:rPr>
      </w:pPr>
    </w:p>
    <w:p>
      <w:pPr>
        <w:ind w:left="800" w:right="180" w:hanging="229"/>
        <w:spacing w:after="0" w:line="260" w:lineRule="auto"/>
        <w:tabs>
          <w:tab w:leader="none" w:pos="800" w:val="left"/>
        </w:tabs>
        <w:numPr>
          <w:ilvl w:val="0"/>
          <w:numId w:val="10"/>
        </w:numPr>
        <w:rPr>
          <w:rFonts w:ascii="Arial" w:cs="Arial" w:eastAsia="Arial" w:hAnsi="Arial"/>
          <w:sz w:val="19"/>
          <w:szCs w:val="19"/>
          <w:color w:val="231F20"/>
        </w:rPr>
      </w:pPr>
      <w:r>
        <w:rPr>
          <w:rFonts w:ascii="Arial" w:cs="Arial" w:eastAsia="Arial" w:hAnsi="Arial"/>
          <w:sz w:val="19"/>
          <w:szCs w:val="19"/>
          <w:b w:val="1"/>
          <w:bCs w:val="1"/>
          <w:color w:val="231F20"/>
        </w:rPr>
        <w:t>Global pay-out</w:t>
      </w:r>
      <w:r>
        <w:rPr>
          <w:rFonts w:ascii="Arial" w:cs="Arial" w:eastAsia="Arial" w:hAnsi="Arial"/>
          <w:sz w:val="19"/>
          <w:szCs w:val="19"/>
          <w:color w:val="231F20"/>
        </w:rPr>
        <w:t>. We enable our clients to automate disbursements and seamlessly settle in over 140</w:t>
      </w:r>
      <w:r>
        <w:rPr>
          <w:rFonts w:ascii="Arial" w:cs="Arial" w:eastAsia="Arial" w:hAnsi="Arial"/>
          <w:sz w:val="19"/>
          <w:szCs w:val="19"/>
          <w:b w:val="1"/>
          <w:bCs w:val="1"/>
          <w:color w:val="231F20"/>
        </w:rPr>
        <w:t xml:space="preserve"> </w:t>
      </w:r>
      <w:r>
        <w:rPr>
          <w:rFonts w:ascii="Arial" w:cs="Arial" w:eastAsia="Arial" w:hAnsi="Arial"/>
          <w:sz w:val="19"/>
          <w:szCs w:val="19"/>
          <w:color w:val="231F20"/>
        </w:rPr>
        <w:t>currencies via pay-out options including local currency bank deposits. We believe we are able to settle pay-out more quickly given our end-to-end control and visibility of the transaction process.</w:t>
      </w:r>
    </w:p>
    <w:p>
      <w:pPr>
        <w:spacing w:after="0" w:line="143" w:lineRule="exact"/>
        <w:rPr>
          <w:rFonts w:ascii="Arial" w:cs="Arial" w:eastAsia="Arial" w:hAnsi="Arial"/>
          <w:sz w:val="19"/>
          <w:szCs w:val="19"/>
          <w:color w:val="231F20"/>
        </w:rPr>
      </w:pPr>
    </w:p>
    <w:p>
      <w:pPr>
        <w:ind w:left="800" w:hanging="229"/>
        <w:spacing w:after="0" w:line="247" w:lineRule="auto"/>
        <w:tabs>
          <w:tab w:leader="none" w:pos="800" w:val="left"/>
        </w:tabs>
        <w:numPr>
          <w:ilvl w:val="0"/>
          <w:numId w:val="10"/>
        </w:numPr>
        <w:rPr>
          <w:rFonts w:ascii="Arial" w:cs="Arial" w:eastAsia="Arial" w:hAnsi="Arial"/>
          <w:sz w:val="19"/>
          <w:szCs w:val="19"/>
          <w:color w:val="231F20"/>
        </w:rPr>
      </w:pPr>
      <w:r>
        <w:rPr>
          <w:rFonts w:ascii="Arial" w:cs="Arial" w:eastAsia="Arial" w:hAnsi="Arial"/>
          <w:sz w:val="19"/>
          <w:szCs w:val="19"/>
          <w:b w:val="1"/>
          <w:bCs w:val="1"/>
          <w:color w:val="231F20"/>
        </w:rPr>
        <w:t>Tailored and scalable regulatory and compliance infrastructure</w:t>
      </w:r>
      <w:r>
        <w:rPr>
          <w:rFonts w:ascii="Arial" w:cs="Arial" w:eastAsia="Arial" w:hAnsi="Arial"/>
          <w:sz w:val="19"/>
          <w:szCs w:val="19"/>
          <w:color w:val="231F20"/>
        </w:rPr>
        <w:t>. This foundational element underpins our</w:t>
      </w:r>
      <w:r>
        <w:rPr>
          <w:rFonts w:ascii="Arial" w:cs="Arial" w:eastAsia="Arial" w:hAnsi="Arial"/>
          <w:sz w:val="19"/>
          <w:szCs w:val="19"/>
          <w:b w:val="1"/>
          <w:bCs w:val="1"/>
          <w:color w:val="231F20"/>
        </w:rPr>
        <w:t xml:space="preserve"> </w:t>
      </w:r>
      <w:r>
        <w:rPr>
          <w:rFonts w:ascii="Arial" w:cs="Arial" w:eastAsia="Arial" w:hAnsi="Arial"/>
          <w:sz w:val="19"/>
          <w:szCs w:val="19"/>
          <w:color w:val="231F20"/>
        </w:rPr>
        <w:t>global payment network. We have fraud and transaction monitoring tools designed to accommodate multiple industry verticals. We combine this with the application of know-your customer (KYC) and anti-money laundering (AML) standards that are tailored to meet the applicable requirements of the jurisdictions where our clients operate. In addition, we leverage our in-depth knowledge of the markets in which we operate to execute tactically while complying with local licensing and regulatory requirements.</w:t>
      </w:r>
    </w:p>
    <w:p>
      <w:pPr>
        <w:sectPr>
          <w:pgSz w:w="12240" w:h="15840" w:orient="portrait"/>
          <w:cols w:equalWidth="0" w:num="1">
            <w:col w:w="10180"/>
          </w:cols>
          <w:pgMar w:left="1020" w:top="1440" w:right="104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10</w:t>
      </w:r>
    </w:p>
    <w:p>
      <w:pPr>
        <w:sectPr>
          <w:pgSz w:w="12240" w:h="15840" w:orient="portrait"/>
          <w:cols w:equalWidth="0" w:num="1">
            <w:col w:w="10180"/>
          </w:cols>
          <w:pgMar w:left="1020" w:top="1440" w:right="1040" w:bottom="595" w:gutter="0" w:footer="0" w:header="0"/>
          <w:type w:val="continuous"/>
        </w:sectPr>
      </w:pPr>
    </w:p>
    <w:bookmarkStart w:id="11" w:name="page12"/>
    <w:bookmarkEnd w:id="11"/>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Vertical-Specific Software Backed by Deep Industry Expertise</w:t>
      </w:r>
    </w:p>
    <w:p>
      <w:pPr>
        <w:spacing w:after="0" w:line="184" w:lineRule="exact"/>
        <w:rPr>
          <w:sz w:val="20"/>
          <w:szCs w:val="20"/>
          <w:color w:val="auto"/>
        </w:rPr>
      </w:pPr>
    </w:p>
    <w:p>
      <w:pPr>
        <w:jc w:val="both"/>
        <w:ind w:right="400" w:firstLine="463"/>
        <w:spacing w:after="0" w:line="279" w:lineRule="auto"/>
        <w:rPr>
          <w:sz w:val="20"/>
          <w:szCs w:val="20"/>
          <w:color w:val="auto"/>
        </w:rPr>
      </w:pPr>
      <w:r>
        <w:rPr>
          <w:rFonts w:ascii="Arial" w:cs="Arial" w:eastAsia="Arial" w:hAnsi="Arial"/>
          <w:sz w:val="18"/>
          <w:szCs w:val="18"/>
          <w:color w:val="231F20"/>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spacing w:after="0" w:line="119" w:lineRule="exact"/>
        <w:rPr>
          <w:sz w:val="20"/>
          <w:szCs w:val="20"/>
          <w:color w:val="auto"/>
        </w:rPr>
      </w:pPr>
    </w:p>
    <w:p>
      <w:pPr>
        <w:ind w:right="140" w:firstLine="463"/>
        <w:spacing w:after="0" w:line="246" w:lineRule="auto"/>
        <w:rPr>
          <w:sz w:val="20"/>
          <w:szCs w:val="20"/>
          <w:color w:val="auto"/>
        </w:rPr>
      </w:pPr>
      <w:r>
        <w:rPr>
          <w:rFonts w:ascii="Arial" w:cs="Arial" w:eastAsia="Arial" w:hAnsi="Arial"/>
          <w:sz w:val="19"/>
          <w:szCs w:val="19"/>
          <w:color w:val="231F20"/>
        </w:rPr>
        <w:t>We offer deep integration within our clients’ existing apps and workflows for seamless payment acceptance and reconciliation. Our integrations, supported by our application programming interfaces (APIs), include some of the largest and most recognized accounting and enterprise resource planning (ERP) systems, such as Ellucian Company, L.P. and Tribal in education, Epic Systems Corporation in healthcare, Rezdy Pty Ltd in travel, and Oracle Corporation in B2B payments. Through these integrations, our clients are able to reduce the number of banks and technology and payment providers on which they rely, while achieving faster settlements and lower wire and transaction fees.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Specific features of our vertical-specific software include:</w:t>
      </w:r>
    </w:p>
    <w:p>
      <w:pPr>
        <w:spacing w:after="0" w:line="196" w:lineRule="exact"/>
        <w:rPr>
          <w:sz w:val="20"/>
          <w:szCs w:val="20"/>
          <w:color w:val="auto"/>
        </w:rPr>
      </w:pPr>
    </w:p>
    <w:p>
      <w:pPr>
        <w:ind w:left="800" w:right="20" w:hanging="229"/>
        <w:spacing w:after="0" w:line="261" w:lineRule="auto"/>
        <w:tabs>
          <w:tab w:leader="none" w:pos="80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231F20"/>
        </w:rPr>
        <w:t>Vertical-specific digital workflows</w:t>
      </w:r>
      <w:r>
        <w:rPr>
          <w:rFonts w:ascii="Arial" w:cs="Arial" w:eastAsia="Arial" w:hAnsi="Arial"/>
          <w:sz w:val="18"/>
          <w:szCs w:val="18"/>
          <w:color w:val="231F20"/>
        </w:rPr>
        <w:t>. We help our clients automate the accounts receivable process from</w:t>
      </w:r>
      <w:r>
        <w:rPr>
          <w:rFonts w:ascii="Arial" w:cs="Arial" w:eastAsia="Arial" w:hAnsi="Arial"/>
          <w:sz w:val="18"/>
          <w:szCs w:val="18"/>
          <w:b w:val="1"/>
          <w:bCs w:val="1"/>
          <w:color w:val="231F20"/>
        </w:rPr>
        <w:t xml:space="preserve"> </w:t>
      </w:r>
      <w:r>
        <w:rPr>
          <w:rFonts w:ascii="Arial" w:cs="Arial" w:eastAsia="Arial" w:hAnsi="Arial"/>
          <w:sz w:val="18"/>
          <w:szCs w:val="18"/>
          <w:color w:val="231F20"/>
        </w:rPr>
        <w:t>creation of an invoice to delivery to the customer, to receipt of funds and synchronization back to their ERP system. In these workflows, we provide enhanced capabilities that improve customer satisfaction and may increase the collectability of amounts owed (e.g., offering patients of a health system the option to create a payment plan if they are unwilling or unable to pay their full amount due in a single payment). We provide timely status updates of financial inflows and outflows by indicating when invoices are delivered, opened, and paid. Our robust reporting tools provide our clients with a real time overview of their business’ payments profile.</w:t>
      </w:r>
    </w:p>
    <w:p>
      <w:pPr>
        <w:spacing w:after="0" w:line="146" w:lineRule="exact"/>
        <w:rPr>
          <w:rFonts w:ascii="Arial" w:cs="Arial" w:eastAsia="Arial" w:hAnsi="Arial"/>
          <w:sz w:val="18"/>
          <w:szCs w:val="18"/>
          <w:color w:val="231F20"/>
        </w:rPr>
      </w:pPr>
    </w:p>
    <w:p>
      <w:pPr>
        <w:ind w:left="800" w:hanging="229"/>
        <w:spacing w:after="0" w:line="253" w:lineRule="auto"/>
        <w:tabs>
          <w:tab w:leader="none" w:pos="800" w:val="left"/>
        </w:tabs>
        <w:numPr>
          <w:ilvl w:val="0"/>
          <w:numId w:val="11"/>
        </w:numPr>
        <w:rPr>
          <w:rFonts w:ascii="Arial" w:cs="Arial" w:eastAsia="Arial" w:hAnsi="Arial"/>
          <w:sz w:val="19"/>
          <w:szCs w:val="19"/>
          <w:color w:val="231F20"/>
        </w:rPr>
      </w:pPr>
      <w:r>
        <w:rPr>
          <w:rFonts w:ascii="Arial" w:cs="Arial" w:eastAsia="Arial" w:hAnsi="Arial"/>
          <w:sz w:val="19"/>
          <w:szCs w:val="19"/>
          <w:b w:val="1"/>
          <w:bCs w:val="1"/>
          <w:color w:val="231F20"/>
        </w:rPr>
        <w:t>Integration and synchronization to core and industry specific systems</w:t>
      </w:r>
      <w:r>
        <w:rPr>
          <w:rFonts w:ascii="Arial" w:cs="Arial" w:eastAsia="Arial" w:hAnsi="Arial"/>
          <w:sz w:val="19"/>
          <w:szCs w:val="19"/>
          <w:color w:val="231F20"/>
        </w:rPr>
        <w:t>. Our software is designed to</w:t>
      </w:r>
      <w:r>
        <w:rPr>
          <w:rFonts w:ascii="Arial" w:cs="Arial" w:eastAsia="Arial" w:hAnsi="Arial"/>
          <w:sz w:val="19"/>
          <w:szCs w:val="19"/>
          <w:b w:val="1"/>
          <w:bCs w:val="1"/>
          <w:color w:val="231F20"/>
        </w:rPr>
        <w:t xml:space="preserve"> </w:t>
      </w:r>
      <w:r>
        <w:rPr>
          <w:rFonts w:ascii="Arial" w:cs="Arial" w:eastAsia="Arial" w:hAnsi="Arial"/>
          <w:sz w:val="19"/>
          <w:szCs w:val="19"/>
          <w:color w:val="231F20"/>
        </w:rPr>
        <w:t>automate accounts receivable reconciliation by synchronizing customer transactions with our client’s accounting and ERP systems. Our synchronization capabilities substantially reduce double data-entry and increase efficiency.</w:t>
      </w:r>
    </w:p>
    <w:p>
      <w:pPr>
        <w:spacing w:after="0" w:line="149" w:lineRule="exact"/>
        <w:rPr>
          <w:rFonts w:ascii="Arial" w:cs="Arial" w:eastAsia="Arial" w:hAnsi="Arial"/>
          <w:sz w:val="19"/>
          <w:szCs w:val="19"/>
          <w:color w:val="231F20"/>
        </w:rPr>
      </w:pPr>
    </w:p>
    <w:p>
      <w:pPr>
        <w:ind w:left="800" w:right="320" w:hanging="229"/>
        <w:spacing w:after="0" w:line="312" w:lineRule="auto"/>
        <w:tabs>
          <w:tab w:leader="none" w:pos="80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231F20"/>
        </w:rPr>
        <w:t>Real-time access</w:t>
      </w:r>
      <w:r>
        <w:rPr>
          <w:rFonts w:ascii="Arial" w:cs="Arial" w:eastAsia="Arial" w:hAnsi="Arial"/>
          <w:sz w:val="18"/>
          <w:szCs w:val="18"/>
          <w:color w:val="231F20"/>
        </w:rPr>
        <w:t>. By leveraging our data, our clients can access real-time invoice and payment status</w:t>
      </w:r>
      <w:r>
        <w:rPr>
          <w:rFonts w:ascii="Arial" w:cs="Arial" w:eastAsia="Arial" w:hAnsi="Arial"/>
          <w:sz w:val="18"/>
          <w:szCs w:val="18"/>
          <w:b w:val="1"/>
          <w:bCs w:val="1"/>
          <w:color w:val="231F20"/>
        </w:rPr>
        <w:t xml:space="preserve"> </w:t>
      </w:r>
      <w:r>
        <w:rPr>
          <w:rFonts w:ascii="Arial" w:cs="Arial" w:eastAsia="Arial" w:hAnsi="Arial"/>
          <w:sz w:val="18"/>
          <w:szCs w:val="18"/>
          <w:color w:val="231F20"/>
        </w:rPr>
        <w:t>updates, facilitate seamless communication with customers and easily track payments from their customers.</w:t>
      </w:r>
    </w:p>
    <w:p>
      <w:pPr>
        <w:spacing w:after="0" w:line="97" w:lineRule="exact"/>
        <w:rPr>
          <w:rFonts w:ascii="Arial" w:cs="Arial" w:eastAsia="Arial" w:hAnsi="Arial"/>
          <w:sz w:val="18"/>
          <w:szCs w:val="18"/>
          <w:color w:val="231F20"/>
        </w:rPr>
      </w:pPr>
    </w:p>
    <w:p>
      <w:pPr>
        <w:ind w:left="800" w:right="40" w:hanging="229"/>
        <w:spacing w:after="0" w:line="249" w:lineRule="auto"/>
        <w:tabs>
          <w:tab w:leader="none" w:pos="800" w:val="left"/>
        </w:tabs>
        <w:numPr>
          <w:ilvl w:val="0"/>
          <w:numId w:val="11"/>
        </w:numPr>
        <w:rPr>
          <w:rFonts w:ascii="Arial" w:cs="Arial" w:eastAsia="Arial" w:hAnsi="Arial"/>
          <w:sz w:val="19"/>
          <w:szCs w:val="19"/>
          <w:color w:val="231F20"/>
        </w:rPr>
      </w:pPr>
      <w:r>
        <w:rPr>
          <w:rFonts w:ascii="Arial" w:cs="Arial" w:eastAsia="Arial" w:hAnsi="Arial"/>
          <w:sz w:val="19"/>
          <w:szCs w:val="19"/>
          <w:b w:val="1"/>
          <w:bCs w:val="1"/>
          <w:color w:val="231F20"/>
        </w:rPr>
        <w:t>Predictive analytics</w:t>
      </w:r>
      <w:r>
        <w:rPr>
          <w:rFonts w:ascii="Arial" w:cs="Arial" w:eastAsia="Arial" w:hAnsi="Arial"/>
          <w:sz w:val="19"/>
          <w:szCs w:val="19"/>
          <w:color w:val="231F20"/>
        </w:rPr>
        <w:t>. We have robust predictive analytics capabilities to assess payment transactions across</w:t>
      </w:r>
      <w:r>
        <w:rPr>
          <w:rFonts w:ascii="Arial" w:cs="Arial" w:eastAsia="Arial" w:hAnsi="Arial"/>
          <w:sz w:val="19"/>
          <w:szCs w:val="19"/>
          <w:b w:val="1"/>
          <w:bCs w:val="1"/>
          <w:color w:val="231F20"/>
        </w:rPr>
        <w:t xml:space="preserve"> </w:t>
      </w:r>
      <w:r>
        <w:rPr>
          <w:rFonts w:ascii="Arial" w:cs="Arial" w:eastAsia="Arial" w:hAnsi="Arial"/>
          <w:sz w:val="19"/>
          <w:szCs w:val="19"/>
          <w:color w:val="231F20"/>
        </w:rPr>
        <w:t>our client base and to intelligently determine the appropriate pricing or payment plans. For example, in healthcare, we have built a personalization engine that enables hospitals and healthcare systems to better predict a patient’s capacity to pay and tailor the payment options they are offered, all in accordance with the hospital’s business rules.</w:t>
      </w:r>
    </w:p>
    <w:p>
      <w:pPr>
        <w:spacing w:after="0" w:line="146" w:lineRule="exact"/>
        <w:rPr>
          <w:sz w:val="20"/>
          <w:szCs w:val="20"/>
          <w:color w:val="auto"/>
        </w:rPr>
      </w:pPr>
    </w:p>
    <w:p>
      <w:pPr>
        <w:ind w:firstLine="515"/>
        <w:spacing w:after="0" w:line="246" w:lineRule="auto"/>
        <w:rPr>
          <w:sz w:val="20"/>
          <w:szCs w:val="20"/>
          <w:color w:val="auto"/>
        </w:rPr>
      </w:pPr>
      <w:r>
        <w:rPr>
          <w:rFonts w:ascii="Arial" w:cs="Arial" w:eastAsia="Arial" w:hAnsi="Arial"/>
          <w:sz w:val="19"/>
          <w:szCs w:val="19"/>
          <w:color w:val="231F20"/>
        </w:rPr>
        <w:t>Below is an illustration of how a large hospital client utilizes our software to personalize patient engagement with payment options and billing conversations. We solve capacity to pay for our clients’ customers (with payment plans or other intelligent promotional financing) and we engage with them through their preferred communication methods (e.g., sms, chat, email, text, or phone). In turn, our clients are able to maximize yield on their accounts receivable potential, resulting in higher net payments, lower call volume, lower debt outstanding and most importantly, lower costs and happier patients.</w:t>
      </w:r>
    </w:p>
    <w:p>
      <w:pPr>
        <w:sectPr>
          <w:pgSz w:w="12240" w:h="15840" w:orient="portrait"/>
          <w:cols w:equalWidth="0" w:num="1">
            <w:col w:w="10140"/>
          </w:cols>
          <w:pgMar w:left="1020" w:top="1440" w:right="108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231F20"/>
        </w:rPr>
        <w:t>11</w:t>
      </w:r>
    </w:p>
    <w:p>
      <w:pPr>
        <w:sectPr>
          <w:pgSz w:w="12240" w:h="15840" w:orient="portrait"/>
          <w:cols w:equalWidth="0" w:num="1">
            <w:col w:w="10140"/>
          </w:cols>
          <w:pgMar w:left="1020" w:top="1440" w:right="1080" w:bottom="595"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1976755</wp:posOffset>
            </wp:positionH>
            <wp:positionV relativeFrom="page">
              <wp:posOffset>986790</wp:posOffset>
            </wp:positionV>
            <wp:extent cx="4112260" cy="4050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112260" cy="405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Industry</w:t>
      </w:r>
    </w:p>
    <w:p>
      <w:pPr>
        <w:spacing w:after="0" w:line="192" w:lineRule="exact"/>
        <w:rPr>
          <w:sz w:val="20"/>
          <w:szCs w:val="20"/>
          <w:color w:val="auto"/>
        </w:rPr>
      </w:pPr>
    </w:p>
    <w:p>
      <w:pPr>
        <w:ind w:right="440" w:firstLine="463"/>
        <w:spacing w:after="0" w:line="251" w:lineRule="auto"/>
        <w:rPr>
          <w:sz w:val="20"/>
          <w:szCs w:val="20"/>
          <w:color w:val="auto"/>
        </w:rPr>
      </w:pPr>
      <w:r>
        <w:rPr>
          <w:rFonts w:ascii="Arial" w:cs="Arial" w:eastAsia="Arial" w:hAnsi="Arial"/>
          <w:sz w:val="19"/>
          <w:szCs w:val="19"/>
          <w:color w:val="231F20"/>
        </w:rPr>
        <w:t>We believe Flywire plays a critical role in helping digitize transactions in traditionally underserved markets, facilitating in-country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spacing w:after="0" w:line="148" w:lineRule="exact"/>
        <w:rPr>
          <w:sz w:val="20"/>
          <w:szCs w:val="20"/>
          <w:color w:val="auto"/>
        </w:rPr>
      </w:pPr>
    </w:p>
    <w:p>
      <w:pPr>
        <w:ind w:right="360"/>
        <w:spacing w:after="0" w:line="285" w:lineRule="auto"/>
        <w:rPr>
          <w:sz w:val="20"/>
          <w:szCs w:val="20"/>
          <w:color w:val="auto"/>
        </w:rPr>
      </w:pPr>
      <w:r>
        <w:rPr>
          <w:rFonts w:ascii="Arial" w:cs="Arial" w:eastAsia="Arial" w:hAnsi="Arial"/>
          <w:sz w:val="19"/>
          <w:szCs w:val="19"/>
          <w:b w:val="1"/>
          <w:bCs w:val="1"/>
          <w:i w:val="1"/>
          <w:iCs w:val="1"/>
          <w:color w:val="231F20"/>
        </w:rPr>
        <w:t>Globalization—and the rise of a “borderless” economy—requires global, cross-border and local payment and regulatory expertise</w:t>
      </w:r>
    </w:p>
    <w:p>
      <w:pPr>
        <w:spacing w:after="0" w:line="100" w:lineRule="exact"/>
        <w:rPr>
          <w:sz w:val="20"/>
          <w:szCs w:val="20"/>
          <w:color w:val="auto"/>
        </w:rPr>
      </w:pPr>
    </w:p>
    <w:p>
      <w:pPr>
        <w:ind w:right="60" w:firstLine="463"/>
        <w:spacing w:after="0" w:line="244" w:lineRule="auto"/>
        <w:rPr>
          <w:sz w:val="20"/>
          <w:szCs w:val="20"/>
          <w:color w:val="auto"/>
        </w:rPr>
      </w:pPr>
      <w:r>
        <w:rPr>
          <w:rFonts w:ascii="Arial" w:cs="Arial" w:eastAsia="Arial" w:hAnsi="Arial"/>
          <w:sz w:val="19"/>
          <w:szCs w:val="19"/>
          <w:color w:val="231F20"/>
        </w:rPr>
        <w:t>As the world becomes more connected, it is both easier and harder to do business. Consumers want to make payments across borders with ease and want to have a personalized experience in their language and in their local currency. Businesses are attempting to satisfy this demand, but we believe they often struggle to deliver truly global capabilities. Providing a solution that meets the needs of our global client base extends beyond simple payment processing. Enabling, streamlining, and automating our clients’ in-country domestic and cross-border payment operations requires a specialized approach that combines a secure, reliable, and robust suite of payments and software solutions with a seamless customer experience. We believe we can deliver extensive global reach and bring local market knowledge and expertise to keep up with the rapidly changing payments landscape.</w:t>
      </w:r>
    </w:p>
    <w:p>
      <w:pPr>
        <w:spacing w:after="0" w:line="150"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Globalization has also increased the complexity of the regulatory landscape that our clients need to navigate. Consumers and businesses are required to understand and adhere to extensive and often incongruous sets of laws and regulations in both local and cross-border regimes. For example, many countries with significant cross-border flows require distinct paperwork to be collected, validated and recorded as part of currency export compliance for high-value payments. Furthermore, we believe that clients often lack the policies, procedures and systems in order to implement and monitor strict compliance. We believe that the result is often costly and manual review processes, which can also increase the client’s risk of penalties and fines. We endeavor to actively manage the global complexities of regulation for our clients’ payments while implementing innovative solutions intended to make the entire process more efficient and user-friendly.</w:t>
      </w:r>
    </w:p>
    <w:p>
      <w:pPr>
        <w:sectPr>
          <w:pgSz w:w="12240" w:h="15840" w:orient="portrait"/>
          <w:cols w:equalWidth="0" w:num="1">
            <w:col w:w="10180"/>
          </w:cols>
          <w:pgMar w:left="1020" w:top="1440" w:right="1040" w:bottom="595"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12</w:t>
      </w:r>
    </w:p>
    <w:p>
      <w:pPr>
        <w:sectPr>
          <w:pgSz w:w="12240" w:h="15840" w:orient="portrait"/>
          <w:cols w:equalWidth="0" w:num="1">
            <w:col w:w="10180"/>
          </w:cols>
          <w:pgMar w:left="1020" w:top="1440" w:right="1040" w:bottom="595" w:gutter="0" w:footer="0" w:header="0"/>
          <w:type w:val="continuous"/>
        </w:sectPr>
      </w:pPr>
    </w:p>
    <w:bookmarkStart w:id="13" w:name="page14"/>
    <w:bookmarkEnd w:id="13"/>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The shift to software-integrated digital payments is accelerating</w:t>
      </w:r>
    </w:p>
    <w:p>
      <w:pPr>
        <w:spacing w:after="0" w:line="184" w:lineRule="exact"/>
        <w:rPr>
          <w:sz w:val="20"/>
          <w:szCs w:val="20"/>
          <w:color w:val="auto"/>
        </w:rPr>
      </w:pPr>
    </w:p>
    <w:p>
      <w:pPr>
        <w:ind w:right="20" w:firstLine="463"/>
        <w:spacing w:after="0" w:line="245" w:lineRule="auto"/>
        <w:rPr>
          <w:sz w:val="20"/>
          <w:szCs w:val="20"/>
          <w:color w:val="auto"/>
        </w:rPr>
      </w:pPr>
      <w:r>
        <w:rPr>
          <w:rFonts w:ascii="Arial" w:cs="Arial" w:eastAsia="Arial" w:hAnsi="Arial"/>
          <w:sz w:val="19"/>
          <w:szCs w:val="19"/>
          <w:color w:val="231F20"/>
        </w:rPr>
        <w:t>As business and consumer transaction expectations shift with digitization, providers of modern payments platforms with industry-specific software have begun to displace legacy systems. Businesses and consumers have come to expect that all payment flows, especially for high-value services, are settled with the same ease as typical e-commerce purchases. We expect these trends will impact all industries and force many businesses to accept new digital payment methods. We believe fully integrated payments and software solutions, including those provided by us, enable businesses to offer seamless payment experiences, minimize friction at the point-of-sale and respond to evolving customer preferences.</w:t>
      </w:r>
    </w:p>
    <w:p>
      <w:pPr>
        <w:spacing w:after="0" w:line="152" w:lineRule="exact"/>
        <w:rPr>
          <w:sz w:val="20"/>
          <w:szCs w:val="20"/>
          <w:color w:val="auto"/>
        </w:rPr>
      </w:pPr>
    </w:p>
    <w:p>
      <w:pPr>
        <w:ind w:right="280"/>
        <w:spacing w:after="0" w:line="285" w:lineRule="auto"/>
        <w:rPr>
          <w:sz w:val="20"/>
          <w:szCs w:val="20"/>
          <w:color w:val="auto"/>
        </w:rPr>
      </w:pPr>
      <w:r>
        <w:rPr>
          <w:rFonts w:ascii="Arial" w:cs="Arial" w:eastAsia="Arial" w:hAnsi="Arial"/>
          <w:sz w:val="19"/>
          <w:szCs w:val="19"/>
          <w:b w:val="1"/>
          <w:bCs w:val="1"/>
          <w:i w:val="1"/>
          <w:iCs w:val="1"/>
          <w:color w:val="231F20"/>
        </w:rPr>
        <w:t>Legacy payment and accounts receivable management infrastructure has significant limitations and is ripe for innovation</w:t>
      </w:r>
    </w:p>
    <w:p>
      <w:pPr>
        <w:spacing w:after="0" w:line="100" w:lineRule="exact"/>
        <w:rPr>
          <w:sz w:val="20"/>
          <w:szCs w:val="20"/>
          <w:color w:val="auto"/>
        </w:rPr>
      </w:pPr>
    </w:p>
    <w:p>
      <w:pPr>
        <w:ind w:right="200" w:firstLine="463"/>
        <w:spacing w:after="0" w:line="258" w:lineRule="auto"/>
        <w:rPr>
          <w:sz w:val="20"/>
          <w:szCs w:val="20"/>
          <w:color w:val="auto"/>
        </w:rPr>
      </w:pPr>
      <w:r>
        <w:rPr>
          <w:rFonts w:ascii="Arial" w:cs="Arial" w:eastAsia="Arial" w:hAnsi="Arial"/>
          <w:sz w:val="19"/>
          <w:szCs w:val="19"/>
          <w:color w:val="231F20"/>
        </w:rPr>
        <w:t>Even in some of the largest industries in the world, such as education, healthcare, and travel, legacy payment and accounts receivable infrastructure has not evolved to streamline complexities nor enhance efficiency as demanded by organizations or their customers. This legacy infrastructure has the following limitations:</w:t>
      </w:r>
    </w:p>
    <w:p>
      <w:pPr>
        <w:spacing w:after="0" w:line="145" w:lineRule="exact"/>
        <w:rPr>
          <w:sz w:val="20"/>
          <w:szCs w:val="20"/>
          <w:color w:val="auto"/>
        </w:rPr>
      </w:pPr>
    </w:p>
    <w:p>
      <w:pPr>
        <w:ind w:left="800" w:right="40" w:hanging="229"/>
        <w:spacing w:after="0" w:line="246" w:lineRule="auto"/>
        <w:tabs>
          <w:tab w:leader="none" w:pos="800" w:val="left"/>
        </w:tabs>
        <w:numPr>
          <w:ilvl w:val="0"/>
          <w:numId w:val="12"/>
        </w:numPr>
        <w:rPr>
          <w:rFonts w:ascii="Arial" w:cs="Arial" w:eastAsia="Arial" w:hAnsi="Arial"/>
          <w:sz w:val="19"/>
          <w:szCs w:val="19"/>
          <w:color w:val="231F20"/>
        </w:rPr>
      </w:pPr>
      <w:r>
        <w:rPr>
          <w:rFonts w:ascii="Arial" w:cs="Arial" w:eastAsia="Arial" w:hAnsi="Arial"/>
          <w:sz w:val="19"/>
          <w:szCs w:val="19"/>
          <w:b w:val="1"/>
          <w:bCs w:val="1"/>
          <w:color w:val="231F20"/>
        </w:rPr>
        <w:t xml:space="preserve">Paper-based. </w:t>
      </w:r>
      <w:r>
        <w:rPr>
          <w:rFonts w:ascii="Arial" w:cs="Arial" w:eastAsia="Arial" w:hAnsi="Arial"/>
          <w:sz w:val="19"/>
          <w:szCs w:val="19"/>
          <w:color w:val="231F20"/>
        </w:rPr>
        <w:t>The accounts receivable process, from creation of an invoice to delivery to the customer, is</w:t>
      </w:r>
      <w:r>
        <w:rPr>
          <w:rFonts w:ascii="Arial" w:cs="Arial" w:eastAsia="Arial" w:hAnsi="Arial"/>
          <w:sz w:val="19"/>
          <w:szCs w:val="19"/>
          <w:b w:val="1"/>
          <w:bCs w:val="1"/>
          <w:color w:val="231F20"/>
        </w:rPr>
        <w:t xml:space="preserve"> </w:t>
      </w:r>
      <w:r>
        <w:rPr>
          <w:rFonts w:ascii="Arial" w:cs="Arial" w:eastAsia="Arial" w:hAnsi="Arial"/>
          <w:sz w:val="19"/>
          <w:szCs w:val="19"/>
          <w:color w:val="231F20"/>
        </w:rPr>
        <w:t>most often still dependent on paper. This paper-based workflow not only results in payment flows that are slow, error-prone, and less secure, but is also costly for businesses. According to studies that we commissioned, 55% of businesses surveyed lost 4-5% of revenue each month due to payment inefficiencies and 89% experience lost opportunity cost due to time spent dealing with accounts receivable challenges. We digitize and automate the accounts receivable process from start to finish, allowing clients to rely on our solutions and save on their accounts receivable transaction and processing costs.</w:t>
      </w:r>
    </w:p>
    <w:p>
      <w:pPr>
        <w:spacing w:after="0" w:line="154" w:lineRule="exact"/>
        <w:rPr>
          <w:rFonts w:ascii="Arial" w:cs="Arial" w:eastAsia="Arial" w:hAnsi="Arial"/>
          <w:sz w:val="19"/>
          <w:szCs w:val="19"/>
          <w:color w:val="231F20"/>
        </w:rPr>
      </w:pPr>
    </w:p>
    <w:p>
      <w:pPr>
        <w:ind w:left="800" w:right="220" w:hanging="229"/>
        <w:spacing w:after="0" w:line="244" w:lineRule="auto"/>
        <w:tabs>
          <w:tab w:leader="none" w:pos="800" w:val="left"/>
        </w:tabs>
        <w:numPr>
          <w:ilvl w:val="0"/>
          <w:numId w:val="12"/>
        </w:numPr>
        <w:rPr>
          <w:rFonts w:ascii="Arial" w:cs="Arial" w:eastAsia="Arial" w:hAnsi="Arial"/>
          <w:sz w:val="19"/>
          <w:szCs w:val="19"/>
          <w:color w:val="231F20"/>
        </w:rPr>
      </w:pPr>
      <w:r>
        <w:rPr>
          <w:rFonts w:ascii="Arial" w:cs="Arial" w:eastAsia="Arial" w:hAnsi="Arial"/>
          <w:sz w:val="19"/>
          <w:szCs w:val="19"/>
          <w:b w:val="1"/>
          <w:bCs w:val="1"/>
          <w:color w:val="231F20"/>
        </w:rPr>
        <w:t xml:space="preserve">Manual. </w:t>
      </w:r>
      <w:r>
        <w:rPr>
          <w:rFonts w:ascii="Arial" w:cs="Arial" w:eastAsia="Arial" w:hAnsi="Arial"/>
          <w:sz w:val="19"/>
          <w:szCs w:val="19"/>
          <w:color w:val="231F20"/>
        </w:rPr>
        <w:t>Legacy workflows require manual input of employees at every stage of the accounts receivable</w:t>
      </w:r>
      <w:r>
        <w:rPr>
          <w:rFonts w:ascii="Arial" w:cs="Arial" w:eastAsia="Arial" w:hAnsi="Arial"/>
          <w:sz w:val="19"/>
          <w:szCs w:val="19"/>
          <w:b w:val="1"/>
          <w:bCs w:val="1"/>
          <w:color w:val="231F20"/>
        </w:rPr>
        <w:t xml:space="preserve"> </w:t>
      </w:r>
      <w:r>
        <w:rPr>
          <w:rFonts w:ascii="Arial" w:cs="Arial" w:eastAsia="Arial" w:hAnsi="Arial"/>
          <w:sz w:val="19"/>
          <w:szCs w:val="19"/>
          <w:color w:val="231F20"/>
        </w:rPr>
        <w:t>process: from opening an envelope, logging the receipt, getting approvals, cashing the check, to proper accounting and compliance. This repetitive employee engagement significantly slows down payment flows, increases likelihood of error, and is more expensive for businesses. Organizations that automatically generate the vast majority of their invoices reported processing almost twice as many invoices per invoicing full-time equivalent (FTE) compared to those that do not, according to survey data from the American Productivity and Quality Center (APQC). Our clients can easily leverage our solutions for traditional back-office tasks, with less manual labor involved from start to finish.</w:t>
      </w:r>
    </w:p>
    <w:p>
      <w:pPr>
        <w:spacing w:after="0" w:line="162" w:lineRule="exact"/>
        <w:rPr>
          <w:rFonts w:ascii="Arial" w:cs="Arial" w:eastAsia="Arial" w:hAnsi="Arial"/>
          <w:sz w:val="19"/>
          <w:szCs w:val="19"/>
          <w:color w:val="231F20"/>
        </w:rPr>
      </w:pPr>
    </w:p>
    <w:p>
      <w:pPr>
        <w:ind w:left="800" w:hanging="229"/>
        <w:spacing w:after="0" w:line="247" w:lineRule="auto"/>
        <w:tabs>
          <w:tab w:leader="none" w:pos="800" w:val="left"/>
        </w:tabs>
        <w:numPr>
          <w:ilvl w:val="0"/>
          <w:numId w:val="12"/>
        </w:numPr>
        <w:rPr>
          <w:rFonts w:ascii="Arial" w:cs="Arial" w:eastAsia="Arial" w:hAnsi="Arial"/>
          <w:sz w:val="19"/>
          <w:szCs w:val="19"/>
          <w:color w:val="231F20"/>
        </w:rPr>
      </w:pPr>
      <w:r>
        <w:rPr>
          <w:rFonts w:ascii="Arial" w:cs="Arial" w:eastAsia="Arial" w:hAnsi="Arial"/>
          <w:sz w:val="19"/>
          <w:szCs w:val="19"/>
          <w:b w:val="1"/>
          <w:bCs w:val="1"/>
          <w:color w:val="231F20"/>
        </w:rPr>
        <w:t xml:space="preserve">Disparate. </w:t>
      </w:r>
      <w:r>
        <w:rPr>
          <w:rFonts w:ascii="Arial" w:cs="Arial" w:eastAsia="Arial" w:hAnsi="Arial"/>
          <w:sz w:val="19"/>
          <w:szCs w:val="19"/>
          <w:color w:val="231F20"/>
        </w:rPr>
        <w:t>Many businesses deal with multiple accounting and reconciliation systems to process a single</w:t>
      </w:r>
      <w:r>
        <w:rPr>
          <w:rFonts w:ascii="Arial" w:cs="Arial" w:eastAsia="Arial" w:hAnsi="Arial"/>
          <w:sz w:val="19"/>
          <w:szCs w:val="19"/>
          <w:b w:val="1"/>
          <w:bCs w:val="1"/>
          <w:color w:val="231F20"/>
        </w:rPr>
        <w:t xml:space="preserve"> </w:t>
      </w:r>
      <w:r>
        <w:rPr>
          <w:rFonts w:ascii="Arial" w:cs="Arial" w:eastAsia="Arial" w:hAnsi="Arial"/>
          <w:sz w:val="19"/>
          <w:szCs w:val="19"/>
          <w:color w:val="231F20"/>
        </w:rPr>
        <w:t>transaction flow. According to APQC survey data, inefficient processing of receivables requires almost 2.5 times as many FTE resources compared to top-performing organizations for the same dollar volume. Instead of relying on stacks of disparate technology systems that were not built to work together in the context of a seamless experience, our clients can use our solutions to automatically synchronize customer transactions while leveraging their existing IT infrastructure.</w:t>
      </w:r>
    </w:p>
    <w:p>
      <w:pPr>
        <w:spacing w:after="0" w:line="155" w:lineRule="exact"/>
        <w:rPr>
          <w:rFonts w:ascii="Arial" w:cs="Arial" w:eastAsia="Arial" w:hAnsi="Arial"/>
          <w:sz w:val="19"/>
          <w:szCs w:val="19"/>
          <w:color w:val="231F20"/>
        </w:rPr>
      </w:pPr>
    </w:p>
    <w:p>
      <w:pPr>
        <w:ind w:left="800" w:right="60" w:hanging="229"/>
        <w:spacing w:after="0" w:line="244" w:lineRule="auto"/>
        <w:tabs>
          <w:tab w:leader="none" w:pos="800" w:val="left"/>
        </w:tabs>
        <w:numPr>
          <w:ilvl w:val="0"/>
          <w:numId w:val="12"/>
        </w:numPr>
        <w:rPr>
          <w:rFonts w:ascii="Arial" w:cs="Arial" w:eastAsia="Arial" w:hAnsi="Arial"/>
          <w:sz w:val="19"/>
          <w:szCs w:val="19"/>
          <w:color w:val="231F20"/>
        </w:rPr>
      </w:pPr>
      <w:r>
        <w:rPr>
          <w:rFonts w:ascii="Arial" w:cs="Arial" w:eastAsia="Arial" w:hAnsi="Arial"/>
          <w:sz w:val="19"/>
          <w:szCs w:val="19"/>
          <w:b w:val="1"/>
          <w:bCs w:val="1"/>
          <w:color w:val="231F20"/>
        </w:rPr>
        <w:t xml:space="preserve">Lacking functionality and capabilities that drive value. </w:t>
      </w:r>
      <w:r>
        <w:rPr>
          <w:rFonts w:ascii="Arial" w:cs="Arial" w:eastAsia="Arial" w:hAnsi="Arial"/>
          <w:sz w:val="19"/>
          <w:szCs w:val="19"/>
          <w:color w:val="231F20"/>
        </w:rPr>
        <w:t>A large number of businesses attempt to use their</w:t>
      </w:r>
      <w:r>
        <w:rPr>
          <w:rFonts w:ascii="Arial" w:cs="Arial" w:eastAsia="Arial" w:hAnsi="Arial"/>
          <w:sz w:val="19"/>
          <w:szCs w:val="19"/>
          <w:b w:val="1"/>
          <w:bCs w:val="1"/>
          <w:color w:val="231F20"/>
        </w:rPr>
        <w:t xml:space="preserve"> </w:t>
      </w:r>
      <w:r>
        <w:rPr>
          <w:rFonts w:ascii="Arial" w:cs="Arial" w:eastAsia="Arial" w:hAnsi="Arial"/>
          <w:sz w:val="19"/>
          <w:szCs w:val="19"/>
          <w:color w:val="231F20"/>
        </w:rPr>
        <w:t>current accounting or ERP systems for accounts receivable management. These systems often lack functional and analytical capabilities to calibrate and present optimal payment options that could improve customer experience and maximize client yield on their accounts receivable. In contrast, our predictive analytics capabilities provide valuable insights to help drive business decisions and allow our clients to tailor their offerings. For example, our clients can see when a payment plan may be helpful to one of their customers, allowing them or their customers to initiate a payment plan. This insight and functionality can ultimately increase the speed and frequency of collection and improve customer satisfaction.</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Accelerating digitization of B2B payments</w:t>
      </w:r>
    </w:p>
    <w:p>
      <w:pPr>
        <w:spacing w:after="0" w:line="184" w:lineRule="exact"/>
        <w:rPr>
          <w:sz w:val="20"/>
          <w:szCs w:val="20"/>
          <w:color w:val="auto"/>
        </w:rPr>
      </w:pPr>
    </w:p>
    <w:p>
      <w:pPr>
        <w:ind w:right="200" w:firstLine="463"/>
        <w:spacing w:after="0" w:line="245" w:lineRule="auto"/>
        <w:rPr>
          <w:sz w:val="20"/>
          <w:szCs w:val="20"/>
          <w:color w:val="auto"/>
        </w:rPr>
      </w:pPr>
      <w:r>
        <w:rPr>
          <w:rFonts w:ascii="Arial" w:cs="Arial" w:eastAsia="Arial" w:hAnsi="Arial"/>
          <w:sz w:val="19"/>
          <w:szCs w:val="19"/>
          <w:color w:val="231F20"/>
        </w:rPr>
        <w:t>We believe the B2B payments market remains one of the largest untapped opportunities in the payments industry. Few payments and software companies have end-to-end integrated payments solutions including accounts receivable software, omni-channel offerings, cross-border capabilities and other value-added services. Most often, providers only offer one or two of these capabilities and require clients to employ other piecemeal point solutions. The unique combination of our next-gen payments platform, proprietary global payment network, and vertical-specific software enables us to design and deliver a comprehensive suite of solutions that help our business clients get paid by their customers.</w:t>
      </w:r>
    </w:p>
    <w:p>
      <w:pPr>
        <w:sectPr>
          <w:pgSz w:w="12240" w:h="15840" w:orient="portrait"/>
          <w:cols w:equalWidth="0" w:num="1">
            <w:col w:w="10180"/>
          </w:cols>
          <w:pgMar w:left="1020" w:top="1440" w:right="1040" w:bottom="595"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13</w:t>
      </w:r>
    </w:p>
    <w:p>
      <w:pPr>
        <w:sectPr>
          <w:pgSz w:w="12240" w:h="15840" w:orient="portrait"/>
          <w:cols w:equalWidth="0" w:num="1">
            <w:col w:w="10180"/>
          </w:cols>
          <w:pgMar w:left="1020" w:top="1440" w:right="1040" w:bottom="595" w:gutter="0" w:footer="0" w:header="0"/>
          <w:type w:val="continuous"/>
        </w:sectPr>
      </w:pPr>
    </w:p>
    <w:bookmarkStart w:id="14" w:name="page15"/>
    <w:bookmarkEnd w:id="14"/>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Market Opportunity</w:t>
      </w:r>
    </w:p>
    <w:p>
      <w:pPr>
        <w:spacing w:after="0" w:line="192" w:lineRule="exact"/>
        <w:rPr>
          <w:sz w:val="20"/>
          <w:szCs w:val="20"/>
          <w:color w:val="auto"/>
        </w:rPr>
      </w:pPr>
    </w:p>
    <w:p>
      <w:pPr>
        <w:ind w:right="400" w:firstLine="463"/>
        <w:spacing w:after="0" w:line="251" w:lineRule="auto"/>
        <w:rPr>
          <w:sz w:val="20"/>
          <w:szCs w:val="20"/>
          <w:color w:val="auto"/>
        </w:rPr>
      </w:pPr>
      <w:r>
        <w:rPr>
          <w:rFonts w:ascii="Arial" w:cs="Arial" w:eastAsia="Arial" w:hAnsi="Arial"/>
          <w:sz w:val="19"/>
          <w:szCs w:val="19"/>
          <w:color w:val="231F20"/>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spacing w:after="0" w:line="144" w:lineRule="exact"/>
        <w:rPr>
          <w:sz w:val="20"/>
          <w:szCs w:val="20"/>
          <w:color w:val="auto"/>
        </w:rPr>
      </w:pPr>
    </w:p>
    <w:p>
      <w:pPr>
        <w:ind w:right="40" w:firstLine="463"/>
        <w:spacing w:after="0" w:line="244" w:lineRule="auto"/>
        <w:rPr>
          <w:sz w:val="20"/>
          <w:szCs w:val="20"/>
          <w:color w:val="auto"/>
        </w:rPr>
      </w:pPr>
      <w:r>
        <w:rPr>
          <w:rFonts w:ascii="Arial" w:cs="Arial" w:eastAsia="Arial" w:hAnsi="Arial"/>
          <w:sz w:val="19"/>
          <w:szCs w:val="19"/>
          <w:color w:val="231F20"/>
        </w:rPr>
        <w:t>Many industries still lack the digital payments infrastructure that is necessary to meet customer demand and solve operational inefficiencies. For example, the majority of healthcare payments are still made by check. Likewise, in education, budget shortfalls, along with rising tuition costs, have added financial strain and created collections problems. Despite these shortfalls, the demand for domestic and cross-border money movement continues to accelerate and global payments present one of the largest market opportunities. Given Flywire’s existing penetration of key verticals, ability to integrate with a broad range of core systems and continued investments in our next-gen payments platform, proprietary global payment network, and vertical-specific software, we believe we have the opportunity to capture a meaningful share of this payment volume.</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Growth Strategy</w:t>
      </w:r>
    </w:p>
    <w:p>
      <w:pPr>
        <w:spacing w:after="0" w:line="192" w:lineRule="exact"/>
        <w:rPr>
          <w:sz w:val="20"/>
          <w:szCs w:val="20"/>
          <w:color w:val="auto"/>
        </w:rPr>
      </w:pPr>
    </w:p>
    <w:p>
      <w:pPr>
        <w:ind w:right="200" w:firstLine="463"/>
        <w:spacing w:after="0" w:line="278" w:lineRule="auto"/>
        <w:rPr>
          <w:sz w:val="20"/>
          <w:szCs w:val="20"/>
          <w:color w:val="auto"/>
        </w:rPr>
      </w:pPr>
      <w:r>
        <w:rPr>
          <w:rFonts w:ascii="Arial" w:cs="Arial" w:eastAsia="Arial" w:hAnsi="Arial"/>
          <w:sz w:val="19"/>
          <w:szCs w:val="19"/>
          <w:color w:val="231F20"/>
        </w:rPr>
        <w:t>We believe we have a significant opportunity to build on our success and momentum to date. The key elements of our growth strategy include:</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Expand Our Client Reach</w:t>
      </w:r>
    </w:p>
    <w:p>
      <w:pPr>
        <w:spacing w:after="0" w:line="192" w:lineRule="exact"/>
        <w:rPr>
          <w:sz w:val="20"/>
          <w:szCs w:val="20"/>
          <w:color w:val="auto"/>
        </w:rPr>
      </w:pPr>
    </w:p>
    <w:p>
      <w:pPr>
        <w:ind w:left="800" w:right="20" w:hanging="229"/>
        <w:spacing w:after="0" w:line="247" w:lineRule="auto"/>
        <w:tabs>
          <w:tab w:leader="none" w:pos="800" w:val="left"/>
        </w:tabs>
        <w:numPr>
          <w:ilvl w:val="0"/>
          <w:numId w:val="13"/>
        </w:numPr>
        <w:rPr>
          <w:rFonts w:ascii="Arial" w:cs="Arial" w:eastAsia="Arial" w:hAnsi="Arial"/>
          <w:sz w:val="19"/>
          <w:szCs w:val="19"/>
          <w:color w:val="231F20"/>
        </w:rPr>
      </w:pPr>
      <w:r>
        <w:rPr>
          <w:rFonts w:ascii="Arial" w:cs="Arial" w:eastAsia="Arial" w:hAnsi="Arial"/>
          <w:sz w:val="19"/>
          <w:szCs w:val="19"/>
          <w:b w:val="1"/>
          <w:bCs w:val="1"/>
          <w:color w:val="231F20"/>
        </w:rPr>
        <w:t xml:space="preserve">Grow with existing clients. </w:t>
      </w:r>
      <w:r>
        <w:rPr>
          <w:rFonts w:ascii="Arial" w:cs="Arial" w:eastAsia="Arial" w:hAnsi="Arial"/>
          <w:sz w:val="19"/>
          <w:szCs w:val="19"/>
          <w:color w:val="231F20"/>
        </w:rPr>
        <w:t>We intend to continue to become a more integral part of our clients’ businesses</w:t>
      </w:r>
      <w:r>
        <w:rPr>
          <w:rFonts w:ascii="Arial" w:cs="Arial" w:eastAsia="Arial" w:hAnsi="Arial"/>
          <w:sz w:val="19"/>
          <w:szCs w:val="19"/>
          <w:b w:val="1"/>
          <w:bCs w:val="1"/>
          <w:color w:val="231F20"/>
        </w:rPr>
        <w:t xml:space="preserve"> </w:t>
      </w:r>
      <w:r>
        <w:rPr>
          <w:rFonts w:ascii="Arial" w:cs="Arial" w:eastAsia="Arial" w:hAnsi="Arial"/>
          <w:sz w:val="19"/>
          <w:szCs w:val="19"/>
          <w:color w:val="231F20"/>
        </w:rPr>
        <w:t>as the number of our clients’ customers who utilize our solutions increases. Our track record of organic growth with our clients is demonstrated by our three-year average annual net dollar-based retention rate, which averaged approximately 121% for the years ended December 31, 2022 through December 31, 2024. As our clients transform and digitize their operational workflows, we plan to encourage them to add additional solutions, such as tailored invoicing, payment plans, and eStore marketplace.</w:t>
      </w:r>
    </w:p>
    <w:p>
      <w:pPr>
        <w:spacing w:after="0" w:line="155" w:lineRule="exact"/>
        <w:rPr>
          <w:rFonts w:ascii="Arial" w:cs="Arial" w:eastAsia="Arial" w:hAnsi="Arial"/>
          <w:sz w:val="19"/>
          <w:szCs w:val="19"/>
          <w:color w:val="231F20"/>
        </w:rPr>
      </w:pPr>
    </w:p>
    <w:p>
      <w:pPr>
        <w:ind w:left="800" w:right="140" w:hanging="229"/>
        <w:spacing w:after="0" w:line="260" w:lineRule="auto"/>
        <w:tabs>
          <w:tab w:leader="none" w:pos="800" w:val="left"/>
        </w:tabs>
        <w:numPr>
          <w:ilvl w:val="0"/>
          <w:numId w:val="13"/>
        </w:numPr>
        <w:rPr>
          <w:rFonts w:ascii="Arial" w:cs="Arial" w:eastAsia="Arial" w:hAnsi="Arial"/>
          <w:sz w:val="19"/>
          <w:szCs w:val="19"/>
          <w:color w:val="231F20"/>
        </w:rPr>
      </w:pPr>
      <w:r>
        <w:rPr>
          <w:rFonts w:ascii="Arial" w:cs="Arial" w:eastAsia="Arial" w:hAnsi="Arial"/>
          <w:sz w:val="19"/>
          <w:szCs w:val="19"/>
          <w:b w:val="1"/>
          <w:bCs w:val="1"/>
          <w:color w:val="231F20"/>
        </w:rPr>
        <w:t xml:space="preserve">Continue to win new clients. </w:t>
      </w:r>
      <w:r>
        <w:rPr>
          <w:rFonts w:ascii="Arial" w:cs="Arial" w:eastAsia="Arial" w:hAnsi="Arial"/>
          <w:sz w:val="19"/>
          <w:szCs w:val="19"/>
          <w:color w:val="231F20"/>
        </w:rPr>
        <w:t>We plan to expand our sales and marketing efforts to increase brand</w:t>
      </w:r>
      <w:r>
        <w:rPr>
          <w:rFonts w:ascii="Arial" w:cs="Arial" w:eastAsia="Arial" w:hAnsi="Arial"/>
          <w:sz w:val="19"/>
          <w:szCs w:val="19"/>
          <w:b w:val="1"/>
          <w:bCs w:val="1"/>
          <w:color w:val="231F20"/>
        </w:rPr>
        <w:t xml:space="preserve"> </w:t>
      </w:r>
      <w:r>
        <w:rPr>
          <w:rFonts w:ascii="Arial" w:cs="Arial" w:eastAsia="Arial" w:hAnsi="Arial"/>
          <w:sz w:val="19"/>
          <w:szCs w:val="19"/>
          <w:color w:val="231F20"/>
        </w:rPr>
        <w:t>awareness and highlight the value of our solutions. We believe this will attract new clients to Flywire and as we add more clients, we can accelerate the effects of our flywheel.</w:t>
      </w:r>
    </w:p>
    <w:p>
      <w:pPr>
        <w:spacing w:after="0" w:line="143" w:lineRule="exact"/>
        <w:rPr>
          <w:rFonts w:ascii="Arial" w:cs="Arial" w:eastAsia="Arial" w:hAnsi="Arial"/>
          <w:sz w:val="19"/>
          <w:szCs w:val="19"/>
          <w:color w:val="231F20"/>
        </w:rPr>
      </w:pPr>
    </w:p>
    <w:p>
      <w:pPr>
        <w:ind w:left="800" w:right="200" w:hanging="229"/>
        <w:spacing w:after="0" w:line="253" w:lineRule="auto"/>
        <w:tabs>
          <w:tab w:leader="none" w:pos="800" w:val="left"/>
        </w:tabs>
        <w:numPr>
          <w:ilvl w:val="0"/>
          <w:numId w:val="13"/>
        </w:numPr>
        <w:rPr>
          <w:rFonts w:ascii="Arial" w:cs="Arial" w:eastAsia="Arial" w:hAnsi="Arial"/>
          <w:sz w:val="19"/>
          <w:szCs w:val="19"/>
          <w:color w:val="231F20"/>
        </w:rPr>
      </w:pPr>
      <w:r>
        <w:rPr>
          <w:rFonts w:ascii="Arial" w:cs="Arial" w:eastAsia="Arial" w:hAnsi="Arial"/>
          <w:sz w:val="19"/>
          <w:szCs w:val="19"/>
          <w:b w:val="1"/>
          <w:bCs w:val="1"/>
          <w:color w:val="231F20"/>
        </w:rPr>
        <w:t xml:space="preserve">Increase payments platform monetization. </w:t>
      </w:r>
      <w:r>
        <w:rPr>
          <w:rFonts w:ascii="Arial" w:cs="Arial" w:eastAsia="Arial" w:hAnsi="Arial"/>
          <w:sz w:val="19"/>
          <w:szCs w:val="19"/>
          <w:color w:val="231F20"/>
        </w:rPr>
        <w:t>We have the opportunity to offer additional complementary</w:t>
      </w:r>
      <w:r>
        <w:rPr>
          <w:rFonts w:ascii="Arial" w:cs="Arial" w:eastAsia="Arial" w:hAnsi="Arial"/>
          <w:sz w:val="19"/>
          <w:szCs w:val="19"/>
          <w:b w:val="1"/>
          <w:bCs w:val="1"/>
          <w:color w:val="231F20"/>
        </w:rPr>
        <w:t xml:space="preserve"> </w:t>
      </w:r>
      <w:r>
        <w:rPr>
          <w:rFonts w:ascii="Arial" w:cs="Arial" w:eastAsia="Arial" w:hAnsi="Arial"/>
          <w:sz w:val="19"/>
          <w:szCs w:val="19"/>
          <w:color w:val="231F20"/>
        </w:rPr>
        <w:t xml:space="preserve">payment services to our clients’ customers in support of our clients’ business goals. We intend to leverage our </w:t>
      </w:r>
      <w:r>
        <w:rPr>
          <w:rFonts w:ascii="Arial" w:cs="Arial" w:eastAsia="Arial" w:hAnsi="Arial"/>
          <w:sz w:val="19"/>
          <w:szCs w:val="19"/>
          <w:i w:val="1"/>
          <w:iCs w:val="1"/>
          <w:color w:val="231F20"/>
        </w:rPr>
        <w:t xml:space="preserve">Flywire Advantage </w:t>
      </w:r>
      <w:r>
        <w:rPr>
          <w:rFonts w:ascii="Arial" w:cs="Arial" w:eastAsia="Arial" w:hAnsi="Arial"/>
          <w:sz w:val="19"/>
          <w:szCs w:val="19"/>
          <w:color w:val="231F20"/>
        </w:rPr>
        <w:t>by expanding the number of use cases we can address such as handling payables in</w:t>
      </w:r>
      <w:r>
        <w:rPr>
          <w:rFonts w:ascii="Arial" w:cs="Arial" w:eastAsia="Arial" w:hAnsi="Arial"/>
          <w:sz w:val="19"/>
          <w:szCs w:val="19"/>
          <w:i w:val="1"/>
          <w:iCs w:val="1"/>
          <w:color w:val="231F20"/>
        </w:rPr>
        <w:t xml:space="preserve"> </w:t>
      </w:r>
      <w:r>
        <w:rPr>
          <w:rFonts w:ascii="Arial" w:cs="Arial" w:eastAsia="Arial" w:hAnsi="Arial"/>
          <w:sz w:val="19"/>
          <w:szCs w:val="19"/>
          <w:color w:val="231F20"/>
        </w:rPr>
        <w:t>education, business invoices in hospitals, and commissions in travel.</w:t>
      </w:r>
    </w:p>
    <w:p>
      <w:pPr>
        <w:spacing w:after="0" w:line="149" w:lineRule="exact"/>
        <w:rPr>
          <w:rFonts w:ascii="Arial" w:cs="Arial" w:eastAsia="Arial" w:hAnsi="Arial"/>
          <w:sz w:val="19"/>
          <w:szCs w:val="19"/>
          <w:color w:val="231F20"/>
        </w:rPr>
      </w:pPr>
    </w:p>
    <w:p>
      <w:pPr>
        <w:ind w:left="800" w:right="360" w:hanging="229"/>
        <w:spacing w:after="0" w:line="283" w:lineRule="auto"/>
        <w:tabs>
          <w:tab w:leader="none" w:pos="800" w:val="left"/>
        </w:tabs>
        <w:numPr>
          <w:ilvl w:val="0"/>
          <w:numId w:val="13"/>
        </w:numPr>
        <w:rPr>
          <w:rFonts w:ascii="Arial" w:cs="Arial" w:eastAsia="Arial" w:hAnsi="Arial"/>
          <w:sz w:val="19"/>
          <w:szCs w:val="19"/>
          <w:color w:val="231F20"/>
        </w:rPr>
      </w:pPr>
      <w:r>
        <w:rPr>
          <w:rFonts w:ascii="Arial" w:cs="Arial" w:eastAsia="Arial" w:hAnsi="Arial"/>
          <w:sz w:val="19"/>
          <w:szCs w:val="19"/>
          <w:b w:val="1"/>
          <w:bCs w:val="1"/>
          <w:color w:val="231F20"/>
        </w:rPr>
        <w:t xml:space="preserve">Expand our solution portfolio. </w:t>
      </w:r>
      <w:r>
        <w:rPr>
          <w:rFonts w:ascii="Arial" w:cs="Arial" w:eastAsia="Arial" w:hAnsi="Arial"/>
          <w:sz w:val="19"/>
          <w:szCs w:val="19"/>
          <w:color w:val="231F20"/>
        </w:rPr>
        <w:t>We expect to continue investing in our solution portfolio by expanding the</w:t>
      </w:r>
      <w:r>
        <w:rPr>
          <w:rFonts w:ascii="Arial" w:cs="Arial" w:eastAsia="Arial" w:hAnsi="Arial"/>
          <w:sz w:val="19"/>
          <w:szCs w:val="19"/>
          <w:b w:val="1"/>
          <w:bCs w:val="1"/>
          <w:color w:val="231F20"/>
        </w:rPr>
        <w:t xml:space="preserve"> </w:t>
      </w:r>
      <w:r>
        <w:rPr>
          <w:rFonts w:ascii="Arial" w:cs="Arial" w:eastAsia="Arial" w:hAnsi="Arial"/>
          <w:sz w:val="19"/>
          <w:szCs w:val="19"/>
          <w:color w:val="231F20"/>
        </w:rPr>
        <w:t>breadth and depth of our payments and software capabilities.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Expand Our Ecosystem Through Channel Partnerships</w:t>
      </w:r>
    </w:p>
    <w:p>
      <w:pPr>
        <w:spacing w:after="0" w:line="184" w:lineRule="exact"/>
        <w:rPr>
          <w:sz w:val="20"/>
          <w:szCs w:val="20"/>
          <w:color w:val="auto"/>
        </w:rPr>
      </w:pPr>
    </w:p>
    <w:p>
      <w:pPr>
        <w:ind w:firstLine="463"/>
        <w:spacing w:after="0" w:line="248" w:lineRule="auto"/>
        <w:rPr>
          <w:sz w:val="20"/>
          <w:szCs w:val="20"/>
          <w:color w:val="auto"/>
        </w:rPr>
      </w:pPr>
      <w:r>
        <w:rPr>
          <w:rFonts w:ascii="Arial" w:cs="Arial" w:eastAsia="Arial" w:hAnsi="Arial"/>
          <w:sz w:val="19"/>
          <w:szCs w:val="19"/>
          <w:color w:val="231F20"/>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Expand to New Verticals and Geographies</w:t>
      </w:r>
    </w:p>
    <w:p>
      <w:pPr>
        <w:spacing w:after="0" w:line="184" w:lineRule="exact"/>
        <w:rPr>
          <w:sz w:val="20"/>
          <w:szCs w:val="20"/>
          <w:color w:val="auto"/>
        </w:rPr>
      </w:pPr>
    </w:p>
    <w:p>
      <w:pPr>
        <w:ind w:right="40" w:firstLine="463"/>
        <w:spacing w:after="0" w:line="246" w:lineRule="auto"/>
        <w:rPr>
          <w:sz w:val="20"/>
          <w:szCs w:val="20"/>
          <w:color w:val="auto"/>
        </w:rPr>
      </w:pPr>
      <w:r>
        <w:rPr>
          <w:rFonts w:ascii="Arial" w:cs="Arial" w:eastAsia="Arial" w:hAnsi="Arial"/>
          <w:sz w:val="19"/>
          <w:szCs w:val="19"/>
          <w:color w:val="231F20"/>
        </w:rPr>
        <w:t xml:space="preserve">We leverage our </w:t>
      </w:r>
      <w:r>
        <w:rPr>
          <w:rFonts w:ascii="Arial" w:cs="Arial" w:eastAsia="Arial" w:hAnsi="Arial"/>
          <w:sz w:val="19"/>
          <w:szCs w:val="19"/>
          <w:i w:val="1"/>
          <w:iCs w:val="1"/>
          <w:color w:val="231F20"/>
        </w:rPr>
        <w:t>Flywire Advantage</w:t>
      </w:r>
      <w:r>
        <w:rPr>
          <w:rFonts w:ascii="Arial" w:cs="Arial" w:eastAsia="Arial" w:hAnsi="Arial"/>
          <w:sz w:val="19"/>
          <w:szCs w:val="19"/>
          <w:color w:val="231F20"/>
        </w:rPr>
        <w:t xml:space="preserve"> to scale into new verticals and geographic markets. We have a strong track record of expanding efficiently into new verticals and geographic markets, as we have shown in healthcare, travel, and B2B payments and in the expanded reach of our global payment network. We see a large and significantly underserved opportunity for clients domestically and internationally to benefit from our payments platform, global payment network and vertical-specific software. Additionally, there are other industries, including real estate and government taxes, that we believe are poorly digitized and could benefit from our solutions.</w:t>
      </w:r>
    </w:p>
    <w:p>
      <w:pPr>
        <w:sectPr>
          <w:pgSz w:w="12240" w:h="15840" w:orient="portrait"/>
          <w:cols w:equalWidth="0" w:num="1">
            <w:col w:w="10180"/>
          </w:cols>
          <w:pgMar w:left="1020" w:top="1440" w:right="104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14</w:t>
      </w:r>
    </w:p>
    <w:p>
      <w:pPr>
        <w:sectPr>
          <w:pgSz w:w="12240" w:h="15840" w:orient="portrait"/>
          <w:cols w:equalWidth="0" w:num="1">
            <w:col w:w="10180"/>
          </w:cols>
          <w:pgMar w:left="1020" w:top="1440" w:right="1040" w:bottom="595" w:gutter="0" w:footer="0" w:header="0"/>
          <w:type w:val="continuous"/>
        </w:sectPr>
      </w:pPr>
    </w:p>
    <w:bookmarkStart w:id="15" w:name="page16"/>
    <w:bookmarkEnd w:id="15"/>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Pursue Strategic and Value-Enhancing Acquisitions</w:t>
      </w:r>
    </w:p>
    <w:p>
      <w:pPr>
        <w:spacing w:after="0" w:line="184" w:lineRule="exact"/>
        <w:rPr>
          <w:sz w:val="20"/>
          <w:szCs w:val="20"/>
          <w:color w:val="auto"/>
        </w:rPr>
      </w:pPr>
    </w:p>
    <w:p>
      <w:pPr>
        <w:ind w:firstLine="463"/>
        <w:spacing w:after="0" w:line="246" w:lineRule="auto"/>
        <w:rPr>
          <w:sz w:val="20"/>
          <w:szCs w:val="20"/>
          <w:color w:val="auto"/>
        </w:rPr>
      </w:pPr>
      <w:r>
        <w:rPr>
          <w:rFonts w:ascii="Arial" w:cs="Arial" w:eastAsia="Arial" w:hAnsi="Arial"/>
          <w:sz w:val="19"/>
          <w:szCs w:val="19"/>
          <w:color w:val="231F20"/>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also have the scale to be an attractive and reputable consolidator in the payments markets as evidenced by our ability to retain to date nearly all of the clients and employees from our Cohort Go, StudyLink and Invoiced acquisitions. We believe our approach and breadth of experience in integrating culturally-aligned businesses position us to maximize the value we derive from future acquisitions.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Business Model</w:t>
      </w:r>
    </w:p>
    <w:p>
      <w:pPr>
        <w:spacing w:after="0" w:line="192" w:lineRule="exact"/>
        <w:rPr>
          <w:sz w:val="20"/>
          <w:szCs w:val="20"/>
          <w:color w:val="auto"/>
        </w:rPr>
      </w:pPr>
    </w:p>
    <w:p>
      <w:pPr>
        <w:ind w:right="300" w:firstLine="463"/>
        <w:spacing w:after="0" w:line="278" w:lineRule="auto"/>
        <w:rPr>
          <w:sz w:val="20"/>
          <w:szCs w:val="20"/>
          <w:color w:val="auto"/>
        </w:rPr>
      </w:pPr>
      <w:r>
        <w:rPr>
          <w:rFonts w:ascii="Arial" w:cs="Arial" w:eastAsia="Arial" w:hAnsi="Arial"/>
          <w:sz w:val="19"/>
          <w:szCs w:val="19"/>
          <w:color w:val="231F20"/>
        </w:rPr>
        <w:t>We derive revenue from transactions and platform and other revenues. Each new student tuition bill, patient visit, travel journey and business invoice is an opportunity for us to generate fees.</w:t>
      </w:r>
    </w:p>
    <w:p>
      <w:pPr>
        <w:spacing w:after="0" w:line="117" w:lineRule="exact"/>
        <w:rPr>
          <w:sz w:val="20"/>
          <w:szCs w:val="20"/>
          <w:color w:val="auto"/>
        </w:rPr>
      </w:pPr>
    </w:p>
    <w:p>
      <w:pPr>
        <w:ind w:right="60" w:firstLine="463"/>
        <w:spacing w:after="0" w:line="251" w:lineRule="auto"/>
        <w:rPr>
          <w:sz w:val="20"/>
          <w:szCs w:val="20"/>
          <w:color w:val="auto"/>
        </w:rPr>
      </w:pPr>
      <w:r>
        <w:rPr>
          <w:rFonts w:ascii="Arial" w:cs="Arial" w:eastAsia="Arial" w:hAnsi="Arial"/>
          <w:sz w:val="19"/>
          <w:szCs w:val="19"/>
          <w:color w:val="231F20"/>
        </w:rPr>
        <w:t>Our revenue is highly re-occurring in nature due to the mission-critical nature of our solutions that are deeply integrated within our clients’ existing operating workflows and IT infrastructure. We believe the depth and breadth of our solutions help our clients get paid faster and with less friction. This enables us to develop long-standing relationships with our clients, which in turn also drive strong retention and significant cross-selling opportunities.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An Illustration of Our Solution</w:t>
      </w:r>
    </w:p>
    <w:p>
      <w:pPr>
        <w:spacing w:after="0" w:line="192" w:lineRule="exact"/>
        <w:rPr>
          <w:sz w:val="20"/>
          <w:szCs w:val="20"/>
          <w:color w:val="auto"/>
        </w:rPr>
      </w:pPr>
    </w:p>
    <w:p>
      <w:pPr>
        <w:ind w:right="60" w:firstLine="463"/>
        <w:spacing w:after="0" w:line="248" w:lineRule="auto"/>
        <w:rPr>
          <w:sz w:val="20"/>
          <w:szCs w:val="20"/>
          <w:color w:val="auto"/>
        </w:rPr>
      </w:pPr>
      <w:r>
        <w:rPr>
          <w:rFonts w:ascii="Arial" w:cs="Arial" w:eastAsia="Arial" w:hAnsi="Arial"/>
          <w:sz w:val="19"/>
          <w:szCs w:val="19"/>
          <w:color w:val="231F20"/>
        </w:rPr>
        <w:t>We simplify domestic and cross-border payment transactions for our clients by eliminating the need to work with disparate vendors for invoicing, global pay-in and pay-out, compliance and risk management and more. Through a single connection to Flywire, we enable our clients to securely accept and reconcile payments and engage with their customers. The illustrations below depict how Flywire manages both international and domestic payments for a representative education client.</w:t>
      </w:r>
    </w:p>
    <w:p>
      <w:pPr>
        <w:spacing w:after="0" w:line="146" w:lineRule="exact"/>
        <w:rPr>
          <w:sz w:val="20"/>
          <w:szCs w:val="20"/>
          <w:color w:val="auto"/>
        </w:rPr>
      </w:pPr>
    </w:p>
    <w:p>
      <w:pPr>
        <w:ind w:right="60" w:firstLine="463"/>
        <w:spacing w:after="0" w:line="259" w:lineRule="auto"/>
        <w:rPr>
          <w:sz w:val="20"/>
          <w:szCs w:val="20"/>
          <w:color w:val="auto"/>
        </w:rPr>
      </w:pPr>
      <w:r>
        <w:rPr>
          <w:rFonts w:ascii="Arial" w:cs="Arial" w:eastAsia="Arial" w:hAnsi="Arial"/>
          <w:sz w:val="18"/>
          <w:szCs w:val="18"/>
          <w:b w:val="1"/>
          <w:bCs w:val="1"/>
          <w:i w:val="1"/>
          <w:iCs w:val="1"/>
          <w:color w:val="231F20"/>
        </w:rPr>
        <w:t>International Payment Example</w:t>
      </w:r>
      <w:r>
        <w:rPr>
          <w:rFonts w:ascii="Arial" w:cs="Arial" w:eastAsia="Arial" w:hAnsi="Arial"/>
          <w:sz w:val="18"/>
          <w:szCs w:val="18"/>
          <w:color w:val="231F20"/>
        </w:rPr>
        <w:t>: In the first example below, a Chinese student paying their tuition to a Canadian</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university experiences a seamless process from start to finish—choosing their preferred payment method and currency. For our client, the accounts receivable process is automated and streamlined from invoice to receipt and to reconciliation and real-time ERP updates. For our cross-border payments, we have short term foreign exchange exposure, typically between one and four days; we leverage our in-house currency hedging algorithms, and enter into non-deliverable forward foreign currency contracts, to mitigate the volatility related to fluctuations in the foreign exchange rates. For additional discussion about our foreign exchange rate exposure, please see “Management’s Discussion and Analysis of Financial Condition and Results of Operations -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99695</wp:posOffset>
            </wp:positionV>
            <wp:extent cx="4354195" cy="3232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4354195" cy="3232785"/>
                    </a:xfrm>
                    <a:prstGeom prst="rect">
                      <a:avLst/>
                    </a:prstGeom>
                    <a:noFill/>
                  </pic:spPr>
                </pic:pic>
              </a:graphicData>
            </a:graphic>
          </wp:anchor>
        </w:drawing>
      </w:r>
    </w:p>
    <w:p>
      <w:pPr>
        <w:sectPr>
          <w:pgSz w:w="12240" w:h="15840" w:orient="portrait"/>
          <w:cols w:equalWidth="0" w:num="1">
            <w:col w:w="10180"/>
          </w:cols>
          <w:pgMar w:left="1020" w:top="1440" w:right="104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15</w:t>
      </w:r>
    </w:p>
    <w:p>
      <w:pPr>
        <w:sectPr>
          <w:pgSz w:w="12240" w:h="15840" w:orient="portrait"/>
          <w:cols w:equalWidth="0" w:num="1">
            <w:col w:w="10180"/>
          </w:cols>
          <w:pgMar w:left="1020" w:top="1440" w:right="1040" w:bottom="595" w:gutter="0" w:footer="0" w:header="0"/>
          <w:type w:val="continuous"/>
        </w:sectPr>
      </w:pPr>
    </w:p>
    <w:bookmarkStart w:id="16" w:name="page17"/>
    <w:bookmarkEnd w:id="16"/>
    <w:p>
      <w:pPr>
        <w:spacing w:after="0" w:line="97" w:lineRule="exact"/>
        <w:rPr>
          <w:sz w:val="20"/>
          <w:szCs w:val="20"/>
          <w:color w:val="auto"/>
        </w:rPr>
      </w:pPr>
    </w:p>
    <w:p>
      <w:pPr>
        <w:ind w:right="180" w:firstLine="463"/>
        <w:spacing w:after="0" w:line="278" w:lineRule="auto"/>
        <w:rPr>
          <w:sz w:val="20"/>
          <w:szCs w:val="20"/>
          <w:color w:val="auto"/>
        </w:rPr>
      </w:pPr>
      <w:r>
        <w:rPr>
          <w:rFonts w:ascii="Arial" w:cs="Arial" w:eastAsia="Arial" w:hAnsi="Arial"/>
          <w:sz w:val="19"/>
          <w:szCs w:val="19"/>
          <w:b w:val="1"/>
          <w:bCs w:val="1"/>
          <w:i w:val="1"/>
          <w:iCs w:val="1"/>
          <w:color w:val="231F20"/>
        </w:rPr>
        <w:t>Domestic Payment Example</w:t>
      </w:r>
      <w:r>
        <w:rPr>
          <w:rFonts w:ascii="Arial" w:cs="Arial" w:eastAsia="Arial" w:hAnsi="Arial"/>
          <w:sz w:val="19"/>
          <w:szCs w:val="19"/>
          <w:color w:val="231F20"/>
        </w:rPr>
        <w:t>: The example below illustrates the process of offering payment plans to domestic</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students, which can be set up by either the school or the student.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1070610</wp:posOffset>
            </wp:positionH>
            <wp:positionV relativeFrom="paragraph">
              <wp:posOffset>99695</wp:posOffset>
            </wp:positionV>
            <wp:extent cx="4335780" cy="284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extLst>
                    </a:blip>
                    <a:srcRect/>
                    <a:stretch>
                      <a:fillRect/>
                    </a:stretch>
                  </pic:blipFill>
                  <pic:spPr bwMode="auto">
                    <a:xfrm>
                      <a:off x="0" y="0"/>
                      <a:ext cx="4335780" cy="284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20" w:firstLine="463"/>
        <w:spacing w:after="0" w:line="258" w:lineRule="auto"/>
        <w:rPr>
          <w:sz w:val="20"/>
          <w:szCs w:val="20"/>
          <w:color w:val="auto"/>
        </w:rPr>
      </w:pPr>
      <w:r>
        <w:rPr>
          <w:rFonts w:ascii="Arial" w:cs="Arial" w:eastAsia="Arial" w:hAnsi="Arial"/>
          <w:sz w:val="19"/>
          <w:szCs w:val="19"/>
          <w:color w:val="231F20"/>
        </w:rPr>
        <w:t>From the same payments platform, we manage the entire payment process for our clients with the only difference being the type of payment offering selected to meet the needs of their customers, whether that be international or domestic.</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Go-To-Market Strategy</w:t>
      </w:r>
    </w:p>
    <w:p>
      <w:pPr>
        <w:spacing w:after="0" w:line="192" w:lineRule="exact"/>
        <w:rPr>
          <w:sz w:val="20"/>
          <w:szCs w:val="20"/>
          <w:color w:val="auto"/>
        </w:rPr>
      </w:pPr>
    </w:p>
    <w:p>
      <w:pPr>
        <w:ind w:firstLine="463"/>
        <w:spacing w:after="0" w:line="244" w:lineRule="auto"/>
        <w:rPr>
          <w:sz w:val="20"/>
          <w:szCs w:val="20"/>
          <w:color w:val="auto"/>
        </w:rPr>
      </w:pPr>
      <w:r>
        <w:rPr>
          <w:rFonts w:ascii="Arial" w:cs="Arial" w:eastAsia="Arial" w:hAnsi="Arial"/>
          <w:sz w:val="19"/>
          <w:szCs w:val="19"/>
          <w:color w:val="231F20"/>
        </w:rPr>
        <w:t>Our direct sales channel is core to our go-to-market strategy. We believe that regional, vertical, and broader domain expertise, as well as continued client management, are critical to our sales success. Our regional sales teams are located in the United States, Canada, Latin America, Europe, and the Asia Pacific region including Singapore, Japan, and Australia. Our relationship management team augments direct sales capabilities by cultivating existing relationships and identifying cross-sell and up-sell opportunities of additional solutions, contributing to our strong dollar-based net retention rate. We believe that our ability to understand the nuanced pain points of education, healthcare, and travel accounts receivable is a strategic advantage enabling us to gain clients in those verticals, while our broader domain expertise in payments, treasury, and banking is critical to executing on our broader B2B payments expansion.</w:t>
      </w:r>
    </w:p>
    <w:p>
      <w:pPr>
        <w:spacing w:after="0" w:line="149" w:lineRule="exact"/>
        <w:rPr>
          <w:sz w:val="20"/>
          <w:szCs w:val="20"/>
          <w:color w:val="auto"/>
        </w:rPr>
      </w:pPr>
    </w:p>
    <w:p>
      <w:pPr>
        <w:ind w:right="220" w:firstLine="463"/>
        <w:spacing w:after="0" w:line="251" w:lineRule="auto"/>
        <w:rPr>
          <w:sz w:val="20"/>
          <w:szCs w:val="20"/>
          <w:color w:val="auto"/>
        </w:rPr>
      </w:pPr>
      <w:r>
        <w:rPr>
          <w:rFonts w:ascii="Arial" w:cs="Arial" w:eastAsia="Arial" w:hAnsi="Arial"/>
          <w:sz w:val="19"/>
          <w:szCs w:val="19"/>
          <w:color w:val="231F20"/>
        </w:rPr>
        <w:t>We focus our sales and marketing efforts on generating leads to develop our sales pipeline, building brand and vertical awareness, scaling our network of partners, and growing our business from our existing client base. Our sales leads primarily come through inbound digital channels including our website, content marketing efforts, lead generation and account-based marketing tactics, virtual events, and industry trade shows and associations.</w:t>
      </w:r>
    </w:p>
    <w:p>
      <w:pPr>
        <w:spacing w:after="0" w:line="144" w:lineRule="exact"/>
        <w:rPr>
          <w:sz w:val="20"/>
          <w:szCs w:val="20"/>
          <w:color w:val="auto"/>
        </w:rPr>
      </w:pPr>
    </w:p>
    <w:p>
      <w:pPr>
        <w:ind w:firstLine="463"/>
        <w:spacing w:after="0" w:line="246" w:lineRule="auto"/>
        <w:rPr>
          <w:sz w:val="20"/>
          <w:szCs w:val="20"/>
          <w:color w:val="auto"/>
        </w:rPr>
      </w:pPr>
      <w:r>
        <w:rPr>
          <w:rFonts w:ascii="Arial" w:cs="Arial" w:eastAsia="Arial" w:hAnsi="Arial"/>
          <w:sz w:val="19"/>
          <w:szCs w:val="19"/>
          <w:color w:val="231F20"/>
        </w:rPr>
        <w:t>We typically follow a “land-and-expand” strategy as our clients engage with us on more than one solution as we grow our partnership. For example, in education we have a high success rate expanding beyond solving cross-border payments needs, with clients also adopting our domestic solutions or full-suite enterprise solution. Once our clients experience the depth of our ability to handle their multi-faceted accounts receivable and payments needs, our relationship managers are able to successfully cross-sell and up-sell other solutions, creating a large avenue of revenue generation with minimal incremental acquisition cost.</w:t>
      </w:r>
    </w:p>
    <w:p>
      <w:pPr>
        <w:spacing w:after="0" w:line="148" w:lineRule="exact"/>
        <w:rPr>
          <w:sz w:val="20"/>
          <w:szCs w:val="20"/>
          <w:color w:val="auto"/>
        </w:rPr>
      </w:pPr>
    </w:p>
    <w:p>
      <w:pPr>
        <w:ind w:firstLine="463"/>
        <w:spacing w:after="0" w:line="248" w:lineRule="auto"/>
        <w:rPr>
          <w:sz w:val="20"/>
          <w:szCs w:val="20"/>
          <w:color w:val="auto"/>
        </w:rPr>
      </w:pPr>
      <w:r>
        <w:rPr>
          <w:rFonts w:ascii="Arial" w:cs="Arial" w:eastAsia="Arial" w:hAnsi="Arial"/>
          <w:sz w:val="19"/>
          <w:szCs w:val="19"/>
          <w:color w:val="231F20"/>
        </w:rPr>
        <w:t>We also reach clients indirectly through our channel partnerships, integrations with workflow software, and other technology providers. Our channel partners include financial institutions, such as Bank of America Corporation, as well as a number of referral partners such as Tribal Group PLC and Oracle Heath, Inc. Additionally, Flywire has integrations with leading accounting and ERP systems, such as Oracle Corporation, Ellucian Company, L.P., Epic Systems Corporation and Rezdy Pty Ltd.</w:t>
      </w:r>
    </w:p>
    <w:p>
      <w:pPr>
        <w:sectPr>
          <w:pgSz w:w="12240" w:h="15840" w:orient="portrait"/>
          <w:cols w:equalWidth="0" w:num="1">
            <w:col w:w="10140"/>
          </w:cols>
          <w:pgMar w:left="1020" w:top="1440" w:right="108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231F20"/>
        </w:rPr>
        <w:t>16</w:t>
      </w:r>
    </w:p>
    <w:p>
      <w:pPr>
        <w:sectPr>
          <w:pgSz w:w="12240" w:h="15840" w:orient="portrait"/>
          <w:cols w:equalWidth="0" w:num="1">
            <w:col w:w="10140"/>
          </w:cols>
          <w:pgMar w:left="1020" w:top="1440" w:right="1080" w:bottom="595" w:gutter="0" w:footer="0" w:header="0"/>
          <w:type w:val="continuous"/>
        </w:sectPr>
      </w:pPr>
    </w:p>
    <w:bookmarkStart w:id="17" w:name="page18"/>
    <w:bookmarkEnd w:id="17"/>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Technology and Architecture</w:t>
      </w:r>
    </w:p>
    <w:p>
      <w:pPr>
        <w:spacing w:after="0" w:line="192" w:lineRule="exact"/>
        <w:rPr>
          <w:sz w:val="20"/>
          <w:szCs w:val="20"/>
          <w:color w:val="auto"/>
        </w:rPr>
      </w:pPr>
    </w:p>
    <w:p>
      <w:pPr>
        <w:ind w:right="280" w:firstLine="463"/>
        <w:spacing w:after="0" w:line="251" w:lineRule="auto"/>
        <w:rPr>
          <w:sz w:val="20"/>
          <w:szCs w:val="20"/>
          <w:color w:val="auto"/>
        </w:rPr>
      </w:pPr>
      <w:r>
        <w:rPr>
          <w:rFonts w:ascii="Arial" w:cs="Arial" w:eastAsia="Arial" w:hAnsi="Arial"/>
          <w:sz w:val="19"/>
          <w:szCs w:val="19"/>
          <w:color w:val="231F20"/>
        </w:rPr>
        <w:t xml:space="preserve">Our unified technology is at the core of our </w:t>
      </w:r>
      <w:r>
        <w:rPr>
          <w:rFonts w:ascii="Arial" w:cs="Arial" w:eastAsia="Arial" w:hAnsi="Arial"/>
          <w:sz w:val="19"/>
          <w:szCs w:val="19"/>
          <w:i w:val="1"/>
          <w:iCs w:val="1"/>
          <w:color w:val="231F20"/>
        </w:rPr>
        <w:t>Flywire Advantage</w:t>
      </w:r>
      <w:r>
        <w:rPr>
          <w:rFonts w:ascii="Arial" w:cs="Arial" w:eastAsia="Arial" w:hAnsi="Arial"/>
          <w:sz w:val="19"/>
          <w:szCs w:val="19"/>
          <w:color w:val="231F20"/>
        </w:rPr>
        <w:t xml:space="preserve"> . The scale and complexity of the product implementation challenges that we address for our clients and their customers cannot easily be addressed through today’s legacy systems and outdated infrastructure. Instead, it requires our combination of a modern technology stack, cloud-native infrastructure, and investment in product and engineering management talent.</w:t>
      </w:r>
    </w:p>
    <w:p>
      <w:pPr>
        <w:spacing w:after="0" w:line="144" w:lineRule="exact"/>
        <w:rPr>
          <w:sz w:val="20"/>
          <w:szCs w:val="20"/>
          <w:color w:val="auto"/>
        </w:rPr>
      </w:pPr>
    </w:p>
    <w:p>
      <w:pPr>
        <w:ind w:right="20" w:firstLine="463"/>
        <w:spacing w:after="0" w:line="251" w:lineRule="auto"/>
        <w:rPr>
          <w:sz w:val="20"/>
          <w:szCs w:val="20"/>
          <w:color w:val="auto"/>
        </w:rPr>
      </w:pPr>
      <w:r>
        <w:rPr>
          <w:rFonts w:ascii="Arial" w:cs="Arial" w:eastAsia="Arial" w:hAnsi="Arial"/>
          <w:sz w:val="19"/>
          <w:szCs w:val="19"/>
          <w:color w:val="231F20"/>
        </w:rPr>
        <w:t>Our engineering approach includes a DevOps culture, microservice architecture, continuous delivery, and the use of containers to enable shorter development lifecycles. We also operate independently-deployable services that are critical to supporting verticals and reliability across operating environments. Our product and engineering leadership team has a long history of payments and payments technology experience, with domain expertise across our verticals.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Our technology stack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477000" cy="3319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6477000" cy="331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Payments-as-a-Service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Our next-gen payments platform includes the infrastructure required to support more than just simple money flows:</w:t>
      </w:r>
    </w:p>
    <w:p>
      <w:pPr>
        <w:spacing w:after="0" w:line="196" w:lineRule="exact"/>
        <w:rPr>
          <w:sz w:val="20"/>
          <w:szCs w:val="20"/>
          <w:color w:val="auto"/>
        </w:rPr>
      </w:pPr>
    </w:p>
    <w:p>
      <w:pPr>
        <w:ind w:left="800" w:hanging="229"/>
        <w:spacing w:after="0"/>
        <w:tabs>
          <w:tab w:leader="none" w:pos="800" w:val="left"/>
        </w:tabs>
        <w:numPr>
          <w:ilvl w:val="0"/>
          <w:numId w:val="14"/>
        </w:numPr>
        <w:rPr>
          <w:rFonts w:ascii="Arial" w:cs="Arial" w:eastAsia="Arial" w:hAnsi="Arial"/>
          <w:sz w:val="19"/>
          <w:szCs w:val="19"/>
          <w:color w:val="231F20"/>
        </w:rPr>
      </w:pPr>
      <w:r>
        <w:rPr>
          <w:rFonts w:ascii="Arial" w:cs="Arial" w:eastAsia="Arial" w:hAnsi="Arial"/>
          <w:sz w:val="19"/>
          <w:szCs w:val="19"/>
          <w:b w:val="1"/>
          <w:bCs w:val="1"/>
          <w:color w:val="231F20"/>
        </w:rPr>
        <w:t>Payment services</w:t>
      </w:r>
      <w:r>
        <w:rPr>
          <w:rFonts w:ascii="Arial" w:cs="Arial" w:eastAsia="Arial" w:hAnsi="Arial"/>
          <w:sz w:val="19"/>
          <w:szCs w:val="19"/>
          <w:color w:val="231F20"/>
        </w:rPr>
        <w:t>.  Our technology to capture the payment from our clients’ customers.</w:t>
      </w:r>
    </w:p>
    <w:p>
      <w:pPr>
        <w:spacing w:after="0" w:line="200" w:lineRule="exact"/>
        <w:rPr>
          <w:rFonts w:ascii="Arial" w:cs="Arial" w:eastAsia="Arial" w:hAnsi="Arial"/>
          <w:sz w:val="19"/>
          <w:szCs w:val="19"/>
          <w:color w:val="231F20"/>
        </w:rPr>
      </w:pPr>
    </w:p>
    <w:p>
      <w:pPr>
        <w:ind w:left="800" w:right="40" w:hanging="229"/>
        <w:spacing w:after="0" w:line="283" w:lineRule="auto"/>
        <w:tabs>
          <w:tab w:leader="none" w:pos="800" w:val="left"/>
        </w:tabs>
        <w:numPr>
          <w:ilvl w:val="0"/>
          <w:numId w:val="14"/>
        </w:numPr>
        <w:rPr>
          <w:rFonts w:ascii="Arial" w:cs="Arial" w:eastAsia="Arial" w:hAnsi="Arial"/>
          <w:sz w:val="19"/>
          <w:szCs w:val="19"/>
          <w:color w:val="231F20"/>
        </w:rPr>
      </w:pPr>
      <w:r>
        <w:rPr>
          <w:rFonts w:ascii="Arial" w:cs="Arial" w:eastAsia="Arial" w:hAnsi="Arial"/>
          <w:sz w:val="19"/>
          <w:szCs w:val="19"/>
          <w:b w:val="1"/>
          <w:bCs w:val="1"/>
          <w:color w:val="231F20"/>
        </w:rPr>
        <w:t>Enabling services</w:t>
      </w:r>
      <w:r>
        <w:rPr>
          <w:rFonts w:ascii="Arial" w:cs="Arial" w:eastAsia="Arial" w:hAnsi="Arial"/>
          <w:sz w:val="19"/>
          <w:szCs w:val="19"/>
          <w:color w:val="231F20"/>
        </w:rPr>
        <w:t>. Our proprietary pricing engine, foreign currency exchange hedging infrastructure, and ML</w:t>
      </w:r>
      <w:r>
        <w:rPr>
          <w:rFonts w:ascii="Arial" w:cs="Arial" w:eastAsia="Arial" w:hAnsi="Arial"/>
          <w:sz w:val="19"/>
          <w:szCs w:val="19"/>
          <w:b w:val="1"/>
          <w:bCs w:val="1"/>
          <w:color w:val="231F20"/>
        </w:rPr>
        <w:t xml:space="preserve"> </w:t>
      </w:r>
      <w:r>
        <w:rPr>
          <w:rFonts w:ascii="Arial" w:cs="Arial" w:eastAsia="Arial" w:hAnsi="Arial"/>
          <w:sz w:val="19"/>
          <w:szCs w:val="19"/>
          <w:color w:val="231F20"/>
        </w:rPr>
        <w:t>technology to manage fraud and AML risk.</w:t>
      </w:r>
    </w:p>
    <w:p>
      <w:pPr>
        <w:spacing w:after="0" w:line="120" w:lineRule="exact"/>
        <w:rPr>
          <w:rFonts w:ascii="Arial" w:cs="Arial" w:eastAsia="Arial" w:hAnsi="Arial"/>
          <w:sz w:val="19"/>
          <w:szCs w:val="19"/>
          <w:color w:val="231F20"/>
        </w:rPr>
      </w:pPr>
    </w:p>
    <w:p>
      <w:pPr>
        <w:ind w:left="800" w:right="200" w:hanging="229"/>
        <w:spacing w:after="0" w:line="283" w:lineRule="auto"/>
        <w:tabs>
          <w:tab w:leader="none" w:pos="800" w:val="left"/>
        </w:tabs>
        <w:numPr>
          <w:ilvl w:val="0"/>
          <w:numId w:val="14"/>
        </w:numPr>
        <w:rPr>
          <w:rFonts w:ascii="Arial" w:cs="Arial" w:eastAsia="Arial" w:hAnsi="Arial"/>
          <w:sz w:val="19"/>
          <w:szCs w:val="19"/>
          <w:color w:val="231F20"/>
        </w:rPr>
      </w:pPr>
      <w:r>
        <w:rPr>
          <w:rFonts w:ascii="Arial" w:cs="Arial" w:eastAsia="Arial" w:hAnsi="Arial"/>
          <w:sz w:val="19"/>
          <w:szCs w:val="19"/>
          <w:b w:val="1"/>
          <w:bCs w:val="1"/>
          <w:color w:val="231F20"/>
        </w:rPr>
        <w:t>Transaction processing services</w:t>
      </w:r>
      <w:r>
        <w:rPr>
          <w:rFonts w:ascii="Arial" w:cs="Arial" w:eastAsia="Arial" w:hAnsi="Arial"/>
          <w:sz w:val="19"/>
          <w:szCs w:val="19"/>
          <w:color w:val="231F20"/>
        </w:rPr>
        <w:t>. Our routing capabilities enabled by our automated technology to deliver</w:t>
      </w:r>
      <w:r>
        <w:rPr>
          <w:rFonts w:ascii="Arial" w:cs="Arial" w:eastAsia="Arial" w:hAnsi="Arial"/>
          <w:sz w:val="19"/>
          <w:szCs w:val="19"/>
          <w:b w:val="1"/>
          <w:bCs w:val="1"/>
          <w:color w:val="231F20"/>
        </w:rPr>
        <w:t xml:space="preserve"> </w:t>
      </w:r>
      <w:r>
        <w:rPr>
          <w:rFonts w:ascii="Arial" w:cs="Arial" w:eastAsia="Arial" w:hAnsi="Arial"/>
          <w:sz w:val="19"/>
          <w:szCs w:val="19"/>
          <w:color w:val="231F20"/>
        </w:rPr>
        <w:t>on-time payments to the appropriate destination.</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Software-as-a-Service</w:t>
      </w:r>
    </w:p>
    <w:p>
      <w:pPr>
        <w:spacing w:after="0" w:line="184" w:lineRule="exact"/>
        <w:rPr>
          <w:sz w:val="20"/>
          <w:szCs w:val="20"/>
          <w:color w:val="auto"/>
        </w:rPr>
      </w:pPr>
    </w:p>
    <w:p>
      <w:pPr>
        <w:ind w:firstLine="463"/>
        <w:spacing w:after="0" w:line="251" w:lineRule="auto"/>
        <w:rPr>
          <w:sz w:val="20"/>
          <w:szCs w:val="20"/>
          <w:color w:val="auto"/>
        </w:rPr>
      </w:pPr>
      <w:r>
        <w:rPr>
          <w:rFonts w:ascii="Arial" w:cs="Arial" w:eastAsia="Arial" w:hAnsi="Arial"/>
          <w:sz w:val="19"/>
          <w:szCs w:val="19"/>
          <w:color w:val="231F20"/>
        </w:rPr>
        <w:t>Our vertical-specific software leverages our payments platform to provide industry specific solutions and deliver “last mile” connectivity to our clients’ operating systems and their customers. Our applications address complex billing and domestic and cross-border payment processes, while delivering a near seamless payment experience. Additionally, our personalization engine is delivered as a software solution and leverages our AI and ML and deep analytics systems.</w:t>
      </w:r>
    </w:p>
    <w:p>
      <w:pPr>
        <w:sectPr>
          <w:pgSz w:w="12240" w:h="15840" w:orient="portrait"/>
          <w:cols w:equalWidth="0" w:num="1">
            <w:col w:w="10160"/>
          </w:cols>
          <w:pgMar w:left="1020" w:top="1440" w:right="106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231F20"/>
        </w:rPr>
        <w:t>17</w:t>
      </w:r>
    </w:p>
    <w:p>
      <w:pPr>
        <w:sectPr>
          <w:pgSz w:w="12240" w:h="15840" w:orient="portrait"/>
          <w:cols w:equalWidth="0" w:num="1">
            <w:col w:w="10160"/>
          </w:cols>
          <w:pgMar w:left="1020" w:top="1440" w:right="1060" w:bottom="595" w:gutter="0" w:footer="0" w:header="0"/>
          <w:type w:val="continuous"/>
        </w:sectPr>
      </w:pPr>
    </w:p>
    <w:bookmarkStart w:id="18" w:name="page19"/>
    <w:bookmarkEnd w:id="18"/>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Public Application Programming Interface (API)</w:t>
      </w:r>
    </w:p>
    <w:p>
      <w:pPr>
        <w:spacing w:after="0" w:line="184" w:lineRule="exact"/>
        <w:rPr>
          <w:sz w:val="20"/>
          <w:szCs w:val="20"/>
          <w:color w:val="auto"/>
        </w:rPr>
      </w:pPr>
    </w:p>
    <w:p>
      <w:pPr>
        <w:ind w:right="320" w:firstLine="463"/>
        <w:spacing w:after="0" w:line="251" w:lineRule="auto"/>
        <w:rPr>
          <w:sz w:val="20"/>
          <w:szCs w:val="20"/>
          <w:color w:val="auto"/>
        </w:rPr>
      </w:pPr>
      <w:r>
        <w:rPr>
          <w:rFonts w:ascii="Arial" w:cs="Arial" w:eastAsia="Arial" w:hAnsi="Arial"/>
          <w:sz w:val="19"/>
          <w:szCs w:val="19"/>
          <w:color w:val="231F20"/>
        </w:rPr>
        <w:t>We have a direct public API that sits on top of our payments platform. For organizations of all sizes, from smaller businesses to larger enterprises who want to control the customer experience, we can expose our API for easy integration, significantly reducing the time to realize advantages from the use of our solution. This public API capability significantly enhances our ability to scale and to execute on our growth strategies.</w:t>
      </w:r>
    </w:p>
    <w:p>
      <w:pPr>
        <w:spacing w:after="0" w:line="144" w:lineRule="exact"/>
        <w:rPr>
          <w:sz w:val="20"/>
          <w:szCs w:val="20"/>
          <w:color w:val="auto"/>
        </w:rPr>
      </w:pPr>
    </w:p>
    <w:p>
      <w:pPr>
        <w:ind w:firstLine="463"/>
        <w:spacing w:after="0" w:line="244" w:lineRule="auto"/>
        <w:rPr>
          <w:sz w:val="20"/>
          <w:szCs w:val="20"/>
          <w:color w:val="auto"/>
        </w:rPr>
      </w:pPr>
      <w:r>
        <w:rPr>
          <w:rFonts w:ascii="Arial" w:cs="Arial" w:eastAsia="Arial" w:hAnsi="Arial"/>
          <w:sz w:val="19"/>
          <w:szCs w:val="19"/>
          <w:color w:val="231F20"/>
        </w:rPr>
        <w:t>Our technology is designed for speed, resilience and reliability. We believe we demonstrated our ability to scale when we entered the broader B2B market and were able to leverage engineering solutions and APIs in our other verticals, including a native module integrated into NetSuite. Our technology enables us to process transactions in real-time, regardless of origin, destination or amount. For example, in education, our deep, customized integrations within our clients’ systems can lead to the difference between on-time enrollment or missed registrations—a difference that cannot be delivered through batch processes that are not posted instantaneously. We leverage Amazon Web Services (AWS) for our cloud redundancy, and tools such Pingdom, Cloudflare, and PagerDuty for an uninterrupted experience for our clients and their customers.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Compliance and Risk Management Foundation</w:t>
      </w:r>
    </w:p>
    <w:p>
      <w:pPr>
        <w:spacing w:after="0" w:line="192" w:lineRule="exact"/>
        <w:rPr>
          <w:sz w:val="20"/>
          <w:szCs w:val="20"/>
          <w:color w:val="auto"/>
        </w:rPr>
      </w:pPr>
    </w:p>
    <w:p>
      <w:pPr>
        <w:ind w:firstLine="463"/>
        <w:spacing w:after="0" w:line="256" w:lineRule="auto"/>
        <w:rPr>
          <w:sz w:val="20"/>
          <w:szCs w:val="20"/>
          <w:color w:val="auto"/>
        </w:rPr>
      </w:pPr>
      <w:r>
        <w:rPr>
          <w:rFonts w:ascii="Arial" w:cs="Arial" w:eastAsia="Arial" w:hAnsi="Arial"/>
          <w:sz w:val="18"/>
          <w:szCs w:val="18"/>
          <w:color w:val="231F20"/>
        </w:rPr>
        <w:t>We have a dedicated compliance and risk management function. We have implemented the practices to help us protect our business and assure our clients and payment partners that our processes are compliant and meet or exceed their exacting standards, including advanced and agile practices for risk governance and a monitoring program that leverages key data inputs and software. We have robust AML, suspicious activity reports (SARs) and client KYC procedures. We also devote considerable resources to our data and cyber security. In addition, we possess key certifications across the verticals we serve, which we believe is an important aspect of why our clients choose to work with us. These audit-tested certifications and risk program features, which in many cases apply with specificity to the verticals we serve, include: third party certifications for Service Organization Control 2 (both SOC 1, Type II and SOC 2, Type II), Payment Card Industry Data Security Standard (PCI DSS), and Americans with Disabilities Act (ADA) compliance, HITRUST Common Security Framework certification (Particularly relevant to our healthcare vertical), as well as systems and processes designed to ensure compliance with the General Data Protection Regulation (GDPR) in Europe, the Data Security Law (DSL) and Personal Information Protection Law (PIPL) in China, the California Consumer Protection Act (CCPA), the Personal Information Protection and Electronic Documents Act in Canada, Family Educational Rights and Privacy Act (FERPA), and Health Insurance Portability and Accountability Act (HIPAA), among others.</w:t>
      </w:r>
    </w:p>
    <w:p>
      <w:pPr>
        <w:spacing w:after="0" w:line="139" w:lineRule="exact"/>
        <w:rPr>
          <w:sz w:val="20"/>
          <w:szCs w:val="20"/>
          <w:color w:val="auto"/>
        </w:rPr>
      </w:pPr>
    </w:p>
    <w:p>
      <w:pPr>
        <w:ind w:right="100" w:firstLine="463"/>
        <w:spacing w:after="0" w:line="278" w:lineRule="auto"/>
        <w:rPr>
          <w:sz w:val="20"/>
          <w:szCs w:val="20"/>
          <w:color w:val="auto"/>
        </w:rPr>
      </w:pPr>
      <w:r>
        <w:rPr>
          <w:rFonts w:ascii="Arial" w:cs="Arial" w:eastAsia="Arial" w:hAnsi="Arial"/>
          <w:sz w:val="19"/>
          <w:szCs w:val="19"/>
          <w:color w:val="231F20"/>
        </w:rPr>
        <w:t>Our experienced team, coupled with our advanced technology and software tools, helps us navigate the challenges of global payments in a compliant manner:</w:t>
      </w:r>
    </w:p>
    <w:p>
      <w:pPr>
        <w:spacing w:after="0" w:line="130" w:lineRule="exact"/>
        <w:rPr>
          <w:sz w:val="20"/>
          <w:szCs w:val="20"/>
          <w:color w:val="auto"/>
        </w:rPr>
      </w:pPr>
    </w:p>
    <w:p>
      <w:pPr>
        <w:ind w:left="800" w:right="160" w:hanging="229"/>
        <w:spacing w:after="0" w:line="278" w:lineRule="auto"/>
        <w:tabs>
          <w:tab w:leader="none" w:pos="800" w:val="left"/>
        </w:tabs>
        <w:numPr>
          <w:ilvl w:val="0"/>
          <w:numId w:val="15"/>
        </w:numPr>
        <w:rPr>
          <w:rFonts w:ascii="Arial" w:cs="Arial" w:eastAsia="Arial" w:hAnsi="Arial"/>
          <w:sz w:val="19"/>
          <w:szCs w:val="19"/>
          <w:color w:val="231F20"/>
        </w:rPr>
      </w:pPr>
      <w:r>
        <w:rPr>
          <w:rFonts w:ascii="Arial" w:cs="Arial" w:eastAsia="Arial" w:hAnsi="Arial"/>
          <w:sz w:val="19"/>
          <w:szCs w:val="19"/>
          <w:b w:val="1"/>
          <w:bCs w:val="1"/>
          <w:i w:val="1"/>
          <w:iCs w:val="1"/>
          <w:color w:val="231F20"/>
        </w:rPr>
        <w:t>Local and global regulatory regimes</w:t>
      </w:r>
      <w:r>
        <w:rPr>
          <w:rFonts w:ascii="Arial" w:cs="Arial" w:eastAsia="Arial" w:hAnsi="Arial"/>
          <w:sz w:val="19"/>
          <w:szCs w:val="19"/>
          <w:i w:val="1"/>
          <w:iCs w:val="1"/>
          <w:color w:val="231F20"/>
        </w:rPr>
        <w:t>.</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We believe we are able to react nimbly to global and local regulatory</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changes that affect our business.</w:t>
      </w:r>
    </w:p>
    <w:p>
      <w:pPr>
        <w:spacing w:after="0" w:line="117" w:lineRule="exact"/>
        <w:rPr>
          <w:rFonts w:ascii="Arial" w:cs="Arial" w:eastAsia="Arial" w:hAnsi="Arial"/>
          <w:sz w:val="19"/>
          <w:szCs w:val="19"/>
          <w:color w:val="231F20"/>
        </w:rPr>
      </w:pPr>
    </w:p>
    <w:p>
      <w:pPr>
        <w:ind w:left="800" w:right="40"/>
        <w:spacing w:after="0" w:line="248" w:lineRule="auto"/>
        <w:rPr>
          <w:rFonts w:ascii="Arial" w:cs="Arial" w:eastAsia="Arial" w:hAnsi="Arial"/>
          <w:sz w:val="19"/>
          <w:szCs w:val="19"/>
          <w:color w:val="231F20"/>
        </w:rPr>
      </w:pPr>
      <w:r>
        <w:rPr>
          <w:rFonts w:ascii="Arial" w:cs="Arial" w:eastAsia="Arial" w:hAnsi="Arial"/>
          <w:sz w:val="19"/>
          <w:szCs w:val="19"/>
          <w:color w:val="231F20"/>
        </w:rPr>
        <w:t>Locally, we often work with licensed and regulated payment service providers (PSPs) to bring more familiar solutions to our clients’ customers and to leverage their regulatory insight. This insight can be a valuable tool to deliver differentiated services to our clients to help them stay in front of laws that may impact their business. For example, in India, we addressed new tax withholding requirements for our clients’ customers and deployed a solution to help with their education-related payments.</w:t>
      </w:r>
    </w:p>
    <w:p>
      <w:pPr>
        <w:spacing w:after="0" w:line="158" w:lineRule="exact"/>
        <w:rPr>
          <w:rFonts w:ascii="Arial" w:cs="Arial" w:eastAsia="Arial" w:hAnsi="Arial"/>
          <w:sz w:val="19"/>
          <w:szCs w:val="19"/>
          <w:color w:val="231F20"/>
        </w:rPr>
      </w:pPr>
    </w:p>
    <w:p>
      <w:pPr>
        <w:ind w:left="800" w:right="260" w:hanging="229"/>
        <w:spacing w:after="0" w:line="251" w:lineRule="auto"/>
        <w:tabs>
          <w:tab w:leader="none" w:pos="800" w:val="left"/>
        </w:tabs>
        <w:numPr>
          <w:ilvl w:val="0"/>
          <w:numId w:val="15"/>
        </w:numPr>
        <w:rPr>
          <w:rFonts w:ascii="Arial" w:cs="Arial" w:eastAsia="Arial" w:hAnsi="Arial"/>
          <w:sz w:val="19"/>
          <w:szCs w:val="19"/>
          <w:color w:val="231F20"/>
        </w:rPr>
      </w:pPr>
      <w:r>
        <w:rPr>
          <w:rFonts w:ascii="Arial" w:cs="Arial" w:eastAsia="Arial" w:hAnsi="Arial"/>
          <w:sz w:val="19"/>
          <w:szCs w:val="19"/>
          <w:b w:val="1"/>
          <w:bCs w:val="1"/>
          <w:i w:val="1"/>
          <w:iCs w:val="1"/>
          <w:color w:val="231F20"/>
        </w:rPr>
        <w:t>Currency controls and exemptions</w:t>
      </w:r>
      <w:r>
        <w:rPr>
          <w:rFonts w:ascii="Arial" w:cs="Arial" w:eastAsia="Arial" w:hAnsi="Arial"/>
          <w:sz w:val="19"/>
          <w:szCs w:val="19"/>
          <w:i w:val="1"/>
          <w:iCs w:val="1"/>
          <w:color w:val="231F20"/>
        </w:rPr>
        <w:t>.</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We have developed robust controls designed to comply with the</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requirements of handling cross-border payments. For example, in certain jurisdictions where it is required, we are able to help track and prove purpose-driven payments through digital document collection and verification integrated with our clients’ systems.</w:t>
      </w:r>
    </w:p>
    <w:p>
      <w:pPr>
        <w:spacing w:after="0" w:line="156" w:lineRule="exact"/>
        <w:rPr>
          <w:rFonts w:ascii="Arial" w:cs="Arial" w:eastAsia="Arial" w:hAnsi="Arial"/>
          <w:sz w:val="19"/>
          <w:szCs w:val="19"/>
          <w:color w:val="231F20"/>
        </w:rPr>
      </w:pPr>
    </w:p>
    <w:p>
      <w:pPr>
        <w:ind w:left="800" w:right="40" w:hanging="229"/>
        <w:spacing w:after="0" w:line="246" w:lineRule="auto"/>
        <w:tabs>
          <w:tab w:leader="none" w:pos="800" w:val="left"/>
        </w:tabs>
        <w:numPr>
          <w:ilvl w:val="0"/>
          <w:numId w:val="15"/>
        </w:numPr>
        <w:rPr>
          <w:rFonts w:ascii="Arial" w:cs="Arial" w:eastAsia="Arial" w:hAnsi="Arial"/>
          <w:sz w:val="19"/>
          <w:szCs w:val="19"/>
          <w:color w:val="231F20"/>
        </w:rPr>
      </w:pPr>
      <w:r>
        <w:rPr>
          <w:rFonts w:ascii="Arial" w:cs="Arial" w:eastAsia="Arial" w:hAnsi="Arial"/>
          <w:sz w:val="19"/>
          <w:szCs w:val="19"/>
          <w:b w:val="1"/>
          <w:bCs w:val="1"/>
          <w:i w:val="1"/>
          <w:iCs w:val="1"/>
          <w:color w:val="231F20"/>
        </w:rPr>
        <w:t>Transaction-level risks</w:t>
      </w:r>
      <w:r>
        <w:rPr>
          <w:rFonts w:ascii="Arial" w:cs="Arial" w:eastAsia="Arial" w:hAnsi="Arial"/>
          <w:sz w:val="19"/>
          <w:szCs w:val="19"/>
          <w:i w:val="1"/>
          <w:iCs w:val="1"/>
          <w:color w:val="231F20"/>
        </w:rPr>
        <w:t>.</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Our payments platform subjects payments to a series of controls, to mitigate the risk</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of facilitating fraud, money laundering, or transactions subject to sanctions. Payment information, historical activity and user behavior are utilized to identify potentially fraudulent transactions. All payments are monitored for suspicious behavior consistent with money laundering or terrorist financing, and all alerted activity is investigated by our internal team of experienced analysts. We also screen sender and receiver information, along with geolocation data, against relevant international watch lists.</w:t>
      </w:r>
    </w:p>
    <w:p>
      <w:pPr>
        <w:spacing w:after="0" w:line="165" w:lineRule="exact"/>
        <w:rPr>
          <w:rFonts w:ascii="Arial" w:cs="Arial" w:eastAsia="Arial" w:hAnsi="Arial"/>
          <w:sz w:val="19"/>
          <w:szCs w:val="19"/>
          <w:color w:val="231F20"/>
        </w:rPr>
      </w:pPr>
    </w:p>
    <w:p>
      <w:pPr>
        <w:ind w:left="800" w:right="160" w:hanging="229"/>
        <w:spacing w:after="0" w:line="256" w:lineRule="auto"/>
        <w:tabs>
          <w:tab w:leader="none" w:pos="800" w:val="left"/>
        </w:tabs>
        <w:numPr>
          <w:ilvl w:val="0"/>
          <w:numId w:val="15"/>
        </w:numPr>
        <w:rPr>
          <w:rFonts w:ascii="Arial" w:cs="Arial" w:eastAsia="Arial" w:hAnsi="Arial"/>
          <w:sz w:val="19"/>
          <w:szCs w:val="19"/>
          <w:color w:val="231F20"/>
        </w:rPr>
      </w:pPr>
      <w:r>
        <w:rPr>
          <w:rFonts w:ascii="Arial" w:cs="Arial" w:eastAsia="Arial" w:hAnsi="Arial"/>
          <w:sz w:val="19"/>
          <w:szCs w:val="19"/>
          <w:b w:val="1"/>
          <w:bCs w:val="1"/>
          <w:i w:val="1"/>
          <w:iCs w:val="1"/>
          <w:color w:val="231F20"/>
        </w:rPr>
        <w:t>Dedicated, experienced and globally dispersed risk, information/physical security and internal audit function</w:t>
      </w:r>
      <w:r>
        <w:rPr>
          <w:rFonts w:ascii="Arial" w:cs="Arial" w:eastAsia="Arial" w:hAnsi="Arial"/>
          <w:sz w:val="19"/>
          <w:szCs w:val="19"/>
          <w:color w:val="231F20"/>
        </w:rPr>
        <w:t>. We have consistently maintained a dedicated risk and security team – led by our Chief Information</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Security Officer – that is global in nature and devises and supports Flywire’s strategy of risk reduction and</w:t>
      </w:r>
    </w:p>
    <w:p>
      <w:pPr>
        <w:sectPr>
          <w:pgSz w:w="12240" w:h="15840" w:orient="portrait"/>
          <w:cols w:equalWidth="0" w:num="1">
            <w:col w:w="10180"/>
          </w:cols>
          <w:pgMar w:left="1020" w:top="1440" w:right="1040" w:bottom="595"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18</w:t>
      </w:r>
    </w:p>
    <w:p>
      <w:pPr>
        <w:sectPr>
          <w:pgSz w:w="12240" w:h="15840" w:orient="portrait"/>
          <w:cols w:equalWidth="0" w:num="1">
            <w:col w:w="10180"/>
          </w:cols>
          <w:pgMar w:left="1020" w:top="1440" w:right="1040" w:bottom="595" w:gutter="0" w:footer="0" w:header="0"/>
          <w:type w:val="continuous"/>
        </w:sectPr>
      </w:pPr>
    </w:p>
    <w:bookmarkStart w:id="19" w:name="page20"/>
    <w:bookmarkEnd w:id="19"/>
    <w:p>
      <w:pPr>
        <w:spacing w:after="0" w:line="97" w:lineRule="exact"/>
        <w:rPr>
          <w:sz w:val="20"/>
          <w:szCs w:val="20"/>
          <w:color w:val="auto"/>
        </w:rPr>
      </w:pPr>
    </w:p>
    <w:p>
      <w:pPr>
        <w:ind w:left="800"/>
        <w:spacing w:after="0" w:line="251" w:lineRule="auto"/>
        <w:rPr>
          <w:sz w:val="20"/>
          <w:szCs w:val="20"/>
          <w:color w:val="auto"/>
        </w:rPr>
      </w:pPr>
      <w:r>
        <w:rPr>
          <w:rFonts w:ascii="Arial" w:cs="Arial" w:eastAsia="Arial" w:hAnsi="Arial"/>
          <w:sz w:val="19"/>
          <w:szCs w:val="19"/>
          <w:color w:val="231F20"/>
        </w:rPr>
        <w:t>business process and information protection excellence by assuring confidentiality, integrity and availability of electronic information. We have also developed an internal audit program utilizing internal and external auditors focused on policies and processes, testing our controls, and reporting on a regular basis to our Audit Committee. Among the focal points are the risk and security program areas:</w:t>
      </w:r>
    </w:p>
    <w:p>
      <w:pPr>
        <w:spacing w:after="0" w:line="81" w:lineRule="exact"/>
        <w:rPr>
          <w:sz w:val="20"/>
          <w:szCs w:val="20"/>
          <w:color w:val="auto"/>
        </w:rPr>
      </w:pPr>
    </w:p>
    <w:p>
      <w:pPr>
        <w:ind w:left="1380" w:right="560" w:hanging="455"/>
        <w:spacing w:after="0" w:line="278" w:lineRule="auto"/>
        <w:tabs>
          <w:tab w:leader="none" w:pos="1380" w:val="left"/>
        </w:tabs>
        <w:numPr>
          <w:ilvl w:val="0"/>
          <w:numId w:val="16"/>
        </w:numPr>
        <w:rPr>
          <w:rFonts w:ascii="Arial" w:cs="Arial" w:eastAsia="Arial" w:hAnsi="Arial"/>
          <w:sz w:val="19"/>
          <w:szCs w:val="19"/>
          <w:color w:val="231F20"/>
        </w:rPr>
      </w:pPr>
      <w:r>
        <w:rPr>
          <w:rFonts w:ascii="Arial" w:cs="Arial" w:eastAsia="Arial" w:hAnsi="Arial"/>
          <w:sz w:val="19"/>
          <w:szCs w:val="19"/>
          <w:color w:val="231F20"/>
        </w:rPr>
        <w:t>risk mitigation through outreach, awareness, internal training, assessment, policy development and adoption of best practices;</w:t>
      </w:r>
    </w:p>
    <w:p>
      <w:pPr>
        <w:spacing w:after="0" w:line="54" w:lineRule="exact"/>
        <w:rPr>
          <w:rFonts w:ascii="Arial" w:cs="Arial" w:eastAsia="Arial" w:hAnsi="Arial"/>
          <w:sz w:val="19"/>
          <w:szCs w:val="19"/>
          <w:color w:val="231F20"/>
        </w:rPr>
      </w:pPr>
    </w:p>
    <w:p>
      <w:pPr>
        <w:ind w:left="1380" w:hanging="455"/>
        <w:spacing w:after="0"/>
        <w:tabs>
          <w:tab w:leader="none" w:pos="1380" w:val="left"/>
        </w:tabs>
        <w:numPr>
          <w:ilvl w:val="0"/>
          <w:numId w:val="16"/>
        </w:numPr>
        <w:rPr>
          <w:rFonts w:ascii="Arial" w:cs="Arial" w:eastAsia="Arial" w:hAnsi="Arial"/>
          <w:sz w:val="19"/>
          <w:szCs w:val="19"/>
          <w:color w:val="231F20"/>
        </w:rPr>
      </w:pPr>
      <w:r>
        <w:rPr>
          <w:rFonts w:ascii="Arial" w:cs="Arial" w:eastAsia="Arial" w:hAnsi="Arial"/>
          <w:sz w:val="19"/>
          <w:szCs w:val="19"/>
          <w:color w:val="231F20"/>
        </w:rPr>
        <w:t>building and maintaining secure access protocols and network architecture;</w:t>
      </w:r>
    </w:p>
    <w:p>
      <w:pPr>
        <w:spacing w:after="0" w:line="124" w:lineRule="exact"/>
        <w:rPr>
          <w:rFonts w:ascii="Arial" w:cs="Arial" w:eastAsia="Arial" w:hAnsi="Arial"/>
          <w:sz w:val="19"/>
          <w:szCs w:val="19"/>
          <w:color w:val="231F20"/>
        </w:rPr>
      </w:pPr>
    </w:p>
    <w:p>
      <w:pPr>
        <w:ind w:left="1380" w:right="20" w:hanging="455"/>
        <w:spacing w:after="0" w:line="278" w:lineRule="auto"/>
        <w:tabs>
          <w:tab w:leader="none" w:pos="1380" w:val="left"/>
        </w:tabs>
        <w:numPr>
          <w:ilvl w:val="0"/>
          <w:numId w:val="16"/>
        </w:numPr>
        <w:rPr>
          <w:rFonts w:ascii="Arial" w:cs="Arial" w:eastAsia="Arial" w:hAnsi="Arial"/>
          <w:sz w:val="19"/>
          <w:szCs w:val="19"/>
          <w:color w:val="231F20"/>
        </w:rPr>
      </w:pPr>
      <w:r>
        <w:rPr>
          <w:rFonts w:ascii="Arial" w:cs="Arial" w:eastAsia="Arial" w:hAnsi="Arial"/>
          <w:sz w:val="19"/>
          <w:szCs w:val="19"/>
          <w:color w:val="231F20"/>
        </w:rPr>
        <w:t>monitoring of networks and systems to protect against, detect and eradicate malicious activity and ensure regulatory compliance;</w:t>
      </w:r>
    </w:p>
    <w:p>
      <w:pPr>
        <w:spacing w:after="0" w:line="54" w:lineRule="exact"/>
        <w:rPr>
          <w:rFonts w:ascii="Arial" w:cs="Arial" w:eastAsia="Arial" w:hAnsi="Arial"/>
          <w:sz w:val="19"/>
          <w:szCs w:val="19"/>
          <w:color w:val="231F20"/>
        </w:rPr>
      </w:pPr>
    </w:p>
    <w:p>
      <w:pPr>
        <w:ind w:left="1380" w:hanging="455"/>
        <w:spacing w:after="0"/>
        <w:tabs>
          <w:tab w:leader="none" w:pos="1380" w:val="left"/>
        </w:tabs>
        <w:numPr>
          <w:ilvl w:val="0"/>
          <w:numId w:val="16"/>
        </w:numPr>
        <w:rPr>
          <w:rFonts w:ascii="Arial" w:cs="Arial" w:eastAsia="Arial" w:hAnsi="Arial"/>
          <w:sz w:val="19"/>
          <w:szCs w:val="19"/>
          <w:color w:val="231F20"/>
        </w:rPr>
      </w:pPr>
      <w:r>
        <w:rPr>
          <w:rFonts w:ascii="Arial" w:cs="Arial" w:eastAsia="Arial" w:hAnsi="Arial"/>
          <w:sz w:val="19"/>
          <w:szCs w:val="19"/>
          <w:color w:val="231F20"/>
        </w:rPr>
        <w:t>managing continuity of operations planning for critical information systems;</w:t>
      </w:r>
    </w:p>
    <w:p>
      <w:pPr>
        <w:spacing w:after="0" w:line="124" w:lineRule="exact"/>
        <w:rPr>
          <w:rFonts w:ascii="Arial" w:cs="Arial" w:eastAsia="Arial" w:hAnsi="Arial"/>
          <w:sz w:val="19"/>
          <w:szCs w:val="19"/>
          <w:color w:val="231F20"/>
        </w:rPr>
      </w:pPr>
    </w:p>
    <w:p>
      <w:pPr>
        <w:ind w:left="1380" w:hanging="455"/>
        <w:spacing w:after="0"/>
        <w:tabs>
          <w:tab w:leader="none" w:pos="1380" w:val="left"/>
        </w:tabs>
        <w:numPr>
          <w:ilvl w:val="0"/>
          <w:numId w:val="16"/>
        </w:numPr>
        <w:rPr>
          <w:rFonts w:ascii="Arial" w:cs="Arial" w:eastAsia="Arial" w:hAnsi="Arial"/>
          <w:sz w:val="19"/>
          <w:szCs w:val="19"/>
          <w:color w:val="231F20"/>
        </w:rPr>
      </w:pPr>
      <w:r>
        <w:rPr>
          <w:rFonts w:ascii="Arial" w:cs="Arial" w:eastAsia="Arial" w:hAnsi="Arial"/>
          <w:sz w:val="19"/>
          <w:szCs w:val="19"/>
          <w:color w:val="231F20"/>
        </w:rPr>
        <w:t>responding to security breaches to contain incidents and improve protocols;</w:t>
      </w:r>
    </w:p>
    <w:p>
      <w:pPr>
        <w:spacing w:after="0" w:line="124" w:lineRule="exact"/>
        <w:rPr>
          <w:rFonts w:ascii="Arial" w:cs="Arial" w:eastAsia="Arial" w:hAnsi="Arial"/>
          <w:sz w:val="19"/>
          <w:szCs w:val="19"/>
          <w:color w:val="231F20"/>
        </w:rPr>
      </w:pPr>
    </w:p>
    <w:p>
      <w:pPr>
        <w:ind w:left="1380" w:hanging="455"/>
        <w:spacing w:after="0" w:line="278" w:lineRule="auto"/>
        <w:tabs>
          <w:tab w:leader="none" w:pos="1380" w:val="left"/>
        </w:tabs>
        <w:numPr>
          <w:ilvl w:val="0"/>
          <w:numId w:val="16"/>
        </w:numPr>
        <w:rPr>
          <w:rFonts w:ascii="Arial" w:cs="Arial" w:eastAsia="Arial" w:hAnsi="Arial"/>
          <w:sz w:val="19"/>
          <w:szCs w:val="19"/>
          <w:color w:val="231F20"/>
        </w:rPr>
      </w:pPr>
      <w:r>
        <w:rPr>
          <w:rFonts w:ascii="Arial" w:cs="Arial" w:eastAsia="Arial" w:hAnsi="Arial"/>
          <w:sz w:val="19"/>
          <w:szCs w:val="19"/>
          <w:color w:val="231F20"/>
        </w:rPr>
        <w:t>regulatory “horizon scanning” and managing and enforcing compliance with global regulations (Sarbanes-Oxley, FERPA, HIPAA, GDPR, ADA and others);</w:t>
      </w:r>
    </w:p>
    <w:p>
      <w:pPr>
        <w:spacing w:after="0" w:line="54" w:lineRule="exact"/>
        <w:rPr>
          <w:rFonts w:ascii="Arial" w:cs="Arial" w:eastAsia="Arial" w:hAnsi="Arial"/>
          <w:sz w:val="19"/>
          <w:szCs w:val="19"/>
          <w:color w:val="231F20"/>
        </w:rPr>
      </w:pPr>
    </w:p>
    <w:p>
      <w:pPr>
        <w:ind w:left="1380" w:hanging="455"/>
        <w:spacing w:after="0"/>
        <w:tabs>
          <w:tab w:leader="none" w:pos="1380" w:val="left"/>
        </w:tabs>
        <w:numPr>
          <w:ilvl w:val="0"/>
          <w:numId w:val="16"/>
        </w:numPr>
        <w:rPr>
          <w:rFonts w:ascii="Arial" w:cs="Arial" w:eastAsia="Arial" w:hAnsi="Arial"/>
          <w:sz w:val="19"/>
          <w:szCs w:val="19"/>
          <w:color w:val="231F20"/>
        </w:rPr>
      </w:pPr>
      <w:r>
        <w:rPr>
          <w:rFonts w:ascii="Arial" w:cs="Arial" w:eastAsia="Arial" w:hAnsi="Arial"/>
          <w:sz w:val="19"/>
          <w:szCs w:val="19"/>
          <w:color w:val="231F20"/>
        </w:rPr>
        <w:t>managing physical security, health and safety (office, business travel and FlyMates);</w:t>
      </w:r>
    </w:p>
    <w:p>
      <w:pPr>
        <w:spacing w:after="0" w:line="124" w:lineRule="exact"/>
        <w:rPr>
          <w:rFonts w:ascii="Arial" w:cs="Arial" w:eastAsia="Arial" w:hAnsi="Arial"/>
          <w:sz w:val="19"/>
          <w:szCs w:val="19"/>
          <w:color w:val="231F20"/>
        </w:rPr>
      </w:pPr>
    </w:p>
    <w:p>
      <w:pPr>
        <w:ind w:left="1380" w:hanging="455"/>
        <w:spacing w:after="0"/>
        <w:tabs>
          <w:tab w:leader="none" w:pos="1380" w:val="left"/>
        </w:tabs>
        <w:numPr>
          <w:ilvl w:val="0"/>
          <w:numId w:val="16"/>
        </w:numPr>
        <w:rPr>
          <w:rFonts w:ascii="Arial" w:cs="Arial" w:eastAsia="Arial" w:hAnsi="Arial"/>
          <w:sz w:val="19"/>
          <w:szCs w:val="19"/>
          <w:color w:val="231F20"/>
        </w:rPr>
      </w:pPr>
      <w:r>
        <w:rPr>
          <w:rFonts w:ascii="Arial" w:cs="Arial" w:eastAsia="Arial" w:hAnsi="Arial"/>
          <w:sz w:val="19"/>
          <w:szCs w:val="19"/>
          <w:color w:val="231F20"/>
        </w:rPr>
        <w:t>developing and enforcing our vendor due diligence program; and</w:t>
      </w:r>
    </w:p>
    <w:p>
      <w:pPr>
        <w:spacing w:after="0" w:line="124" w:lineRule="exact"/>
        <w:rPr>
          <w:rFonts w:ascii="Arial" w:cs="Arial" w:eastAsia="Arial" w:hAnsi="Arial"/>
          <w:sz w:val="19"/>
          <w:szCs w:val="19"/>
          <w:color w:val="231F20"/>
        </w:rPr>
      </w:pPr>
    </w:p>
    <w:p>
      <w:pPr>
        <w:ind w:left="1380" w:right="460" w:hanging="455"/>
        <w:spacing w:after="0" w:line="278" w:lineRule="auto"/>
        <w:tabs>
          <w:tab w:leader="none" w:pos="1380" w:val="left"/>
        </w:tabs>
        <w:numPr>
          <w:ilvl w:val="0"/>
          <w:numId w:val="16"/>
        </w:numPr>
        <w:rPr>
          <w:rFonts w:ascii="Arial" w:cs="Arial" w:eastAsia="Arial" w:hAnsi="Arial"/>
          <w:sz w:val="19"/>
          <w:szCs w:val="19"/>
          <w:color w:val="231F20"/>
        </w:rPr>
      </w:pPr>
      <w:r>
        <w:rPr>
          <w:rFonts w:ascii="Arial" w:cs="Arial" w:eastAsia="Arial" w:hAnsi="Arial"/>
          <w:sz w:val="19"/>
          <w:szCs w:val="19"/>
          <w:color w:val="231F20"/>
        </w:rPr>
        <w:t>responding to external audits and law enforcement enquiries, conducting internal investigations, and maintaining audit-tested risk and security certifications.</w:t>
      </w:r>
    </w:p>
    <w:p>
      <w:pPr>
        <w:spacing w:after="0" w:line="117" w:lineRule="exact"/>
        <w:rPr>
          <w:sz w:val="20"/>
          <w:szCs w:val="20"/>
          <w:color w:val="auto"/>
        </w:rPr>
      </w:pPr>
    </w:p>
    <w:p>
      <w:pPr>
        <w:ind w:right="20" w:firstLine="463"/>
        <w:spacing w:after="0" w:line="248" w:lineRule="auto"/>
        <w:rPr>
          <w:sz w:val="20"/>
          <w:szCs w:val="20"/>
          <w:color w:val="auto"/>
        </w:rPr>
      </w:pPr>
      <w:r>
        <w:rPr>
          <w:rFonts w:ascii="Arial" w:cs="Arial" w:eastAsia="Arial" w:hAnsi="Arial"/>
          <w:sz w:val="19"/>
          <w:szCs w:val="19"/>
          <w:color w:val="231F20"/>
        </w:rPr>
        <w:t>To support these areas of focus, our risk and security team has developed a foundation resting on an appropriate governance and policy structure, robust and scalable security architecture and solutions, frequent internal training of FlyMates and an expansive and continuous cyber security and incident response framework. In addition, we have FlyMates in the compliance and risk management function located around the world where we have operations to address the needs of the business in real-time.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Competition</w:t>
      </w:r>
    </w:p>
    <w:p>
      <w:pPr>
        <w:spacing w:after="0" w:line="192" w:lineRule="exact"/>
        <w:rPr>
          <w:sz w:val="20"/>
          <w:szCs w:val="20"/>
          <w:color w:val="auto"/>
        </w:rPr>
      </w:pPr>
    </w:p>
    <w:p>
      <w:pPr>
        <w:ind w:right="20" w:firstLine="463"/>
        <w:spacing w:after="0" w:line="251" w:lineRule="auto"/>
        <w:rPr>
          <w:sz w:val="20"/>
          <w:szCs w:val="20"/>
          <w:color w:val="auto"/>
        </w:rPr>
      </w:pPr>
      <w:r>
        <w:rPr>
          <w:rFonts w:ascii="Arial" w:cs="Arial" w:eastAsia="Arial" w:hAnsi="Arial"/>
          <w:sz w:val="19"/>
          <w:szCs w:val="19"/>
          <w:color w:val="231F20"/>
        </w:rPr>
        <w:t>Our primary competition consists of legacy payment methods such as traditional bank wires provided by local, regional and global banks and money transfers from remittance companies. Other competitors include integrated payment providers focused on cross-border payments; B2B payments platforms; and vertical-specific software solutions offered by local niche players.</w:t>
      </w:r>
    </w:p>
    <w:p>
      <w:pPr>
        <w:spacing w:after="0" w:line="144" w:lineRule="exact"/>
        <w:rPr>
          <w:sz w:val="20"/>
          <w:szCs w:val="20"/>
          <w:color w:val="auto"/>
        </w:rPr>
      </w:pPr>
    </w:p>
    <w:p>
      <w:pPr>
        <w:ind w:right="120" w:firstLine="463"/>
        <w:spacing w:after="0" w:line="251" w:lineRule="auto"/>
        <w:rPr>
          <w:sz w:val="20"/>
          <w:szCs w:val="20"/>
          <w:color w:val="auto"/>
        </w:rPr>
      </w:pPr>
      <w:r>
        <w:rPr>
          <w:rFonts w:ascii="Arial" w:cs="Arial" w:eastAsia="Arial" w:hAnsi="Arial"/>
          <w:sz w:val="19"/>
          <w:szCs w:val="19"/>
          <w:color w:val="231F20"/>
        </w:rPr>
        <w:t>We believe many legacy payment providers are hindered by limitations such as antiquated technology systems, insufficient solution and service offerings, poor user experiences, and unsatisfactory client and customer support. Our modern technology stack, combined with our innovative and flexible suite of solutions, addresses many of the issues that clients face today, including:</w:t>
      </w:r>
    </w:p>
    <w:p>
      <w:pPr>
        <w:spacing w:after="0" w:line="156" w:lineRule="exact"/>
        <w:rPr>
          <w:sz w:val="20"/>
          <w:szCs w:val="20"/>
          <w:color w:val="auto"/>
        </w:rPr>
      </w:pPr>
    </w:p>
    <w:p>
      <w:pPr>
        <w:ind w:left="800" w:hanging="229"/>
        <w:spacing w:after="0"/>
        <w:tabs>
          <w:tab w:leader="none" w:pos="800" w:val="left"/>
        </w:tabs>
        <w:numPr>
          <w:ilvl w:val="0"/>
          <w:numId w:val="17"/>
        </w:numPr>
        <w:rPr>
          <w:rFonts w:ascii="Arial" w:cs="Arial" w:eastAsia="Arial" w:hAnsi="Arial"/>
          <w:sz w:val="19"/>
          <w:szCs w:val="19"/>
          <w:color w:val="231F20"/>
        </w:rPr>
      </w:pPr>
      <w:r>
        <w:rPr>
          <w:rFonts w:ascii="Arial" w:cs="Arial" w:eastAsia="Arial" w:hAnsi="Arial"/>
          <w:sz w:val="19"/>
          <w:szCs w:val="19"/>
          <w:color w:val="231F20"/>
        </w:rPr>
        <w:t>friction in client and customer experiences;</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17"/>
        </w:numPr>
        <w:rPr>
          <w:rFonts w:ascii="Arial" w:cs="Arial" w:eastAsia="Arial" w:hAnsi="Arial"/>
          <w:sz w:val="19"/>
          <w:szCs w:val="19"/>
          <w:color w:val="231F20"/>
        </w:rPr>
      </w:pPr>
      <w:r>
        <w:rPr>
          <w:rFonts w:ascii="Arial" w:cs="Arial" w:eastAsia="Arial" w:hAnsi="Arial"/>
          <w:sz w:val="19"/>
          <w:szCs w:val="19"/>
          <w:color w:val="231F20"/>
        </w:rPr>
        <w:t>lack of a scaled global network;</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17"/>
        </w:numPr>
        <w:rPr>
          <w:rFonts w:ascii="Arial" w:cs="Arial" w:eastAsia="Arial" w:hAnsi="Arial"/>
          <w:sz w:val="19"/>
          <w:szCs w:val="19"/>
          <w:color w:val="231F20"/>
        </w:rPr>
      </w:pPr>
      <w:r>
        <w:rPr>
          <w:rFonts w:ascii="Arial" w:cs="Arial" w:eastAsia="Arial" w:hAnsi="Arial"/>
          <w:sz w:val="19"/>
          <w:szCs w:val="19"/>
          <w:color w:val="231F20"/>
        </w:rPr>
        <w:t>limited software and payments offerings;</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17"/>
        </w:numPr>
        <w:rPr>
          <w:rFonts w:ascii="Arial" w:cs="Arial" w:eastAsia="Arial" w:hAnsi="Arial"/>
          <w:sz w:val="19"/>
          <w:szCs w:val="19"/>
          <w:color w:val="231F20"/>
        </w:rPr>
      </w:pPr>
      <w:r>
        <w:rPr>
          <w:rFonts w:ascii="Arial" w:cs="Arial" w:eastAsia="Arial" w:hAnsi="Arial"/>
          <w:sz w:val="19"/>
          <w:szCs w:val="19"/>
          <w:color w:val="231F20"/>
        </w:rPr>
        <w:t>inability to adapt to new technology; and</w:t>
      </w:r>
    </w:p>
    <w:p>
      <w:pPr>
        <w:spacing w:after="0" w:line="200" w:lineRule="exact"/>
        <w:rPr>
          <w:rFonts w:ascii="Arial" w:cs="Arial" w:eastAsia="Arial" w:hAnsi="Arial"/>
          <w:sz w:val="19"/>
          <w:szCs w:val="19"/>
          <w:color w:val="231F20"/>
        </w:rPr>
      </w:pPr>
    </w:p>
    <w:p>
      <w:pPr>
        <w:ind w:left="460" w:right="4080" w:firstLine="111"/>
        <w:spacing w:after="0" w:line="468" w:lineRule="auto"/>
        <w:tabs>
          <w:tab w:leader="none" w:pos="8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unsophisticated fraud prevention and risk management tools. We believe that we compete favorably on the basis of these factors.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Intellectual Property</w:t>
      </w:r>
    </w:p>
    <w:p>
      <w:pPr>
        <w:spacing w:after="0" w:line="192" w:lineRule="exact"/>
        <w:rPr>
          <w:sz w:val="20"/>
          <w:szCs w:val="20"/>
          <w:color w:val="auto"/>
        </w:rPr>
      </w:pPr>
    </w:p>
    <w:p>
      <w:pPr>
        <w:ind w:right="20" w:firstLine="463"/>
        <w:spacing w:after="0" w:line="270" w:lineRule="auto"/>
        <w:rPr>
          <w:sz w:val="20"/>
          <w:szCs w:val="20"/>
          <w:color w:val="auto"/>
        </w:rPr>
      </w:pPr>
      <w:r>
        <w:rPr>
          <w:rFonts w:ascii="Arial" w:cs="Arial" w:eastAsia="Arial" w:hAnsi="Arial"/>
          <w:sz w:val="18"/>
          <w:szCs w:val="18"/>
          <w:color w:val="231F20"/>
        </w:rPr>
        <w:t>We protect our intellectual property through a combination of trademark, copyright, and trade secret laws, as well as confidentiality procedures and contractual restrictions, to establish and protect our proprietary rights both domestically and abroad. These laws, procedures and restrictions provide only limited protection. We endeavor to enter into agreements with our FlyMates, consultants and contractors and with parties with whom we do business in order to acquire intellectual</w:t>
      </w:r>
    </w:p>
    <w:p>
      <w:pPr>
        <w:sectPr>
          <w:pgSz w:w="12240" w:h="15840" w:orient="portrait"/>
          <w:cols w:equalWidth="0" w:num="1">
            <w:col w:w="10200"/>
          </w:cols>
          <w:pgMar w:left="1020" w:top="1440" w:right="1020" w:bottom="595" w:gutter="0" w:footer="0" w:header="0"/>
        </w:sect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19</w:t>
      </w:r>
    </w:p>
    <w:p>
      <w:pPr>
        <w:sectPr>
          <w:pgSz w:w="12240" w:h="15840" w:orient="portrait"/>
          <w:cols w:equalWidth="0" w:num="1">
            <w:col w:w="10200"/>
          </w:cols>
          <w:pgMar w:left="1020" w:top="1440" w:right="1020" w:bottom="595" w:gutter="0" w:footer="0" w:header="0"/>
          <w:type w:val="continuous"/>
        </w:sectPr>
      </w:pPr>
    </w:p>
    <w:bookmarkStart w:id="20" w:name="page21"/>
    <w:bookmarkEnd w:id="20"/>
    <w:p>
      <w:pPr>
        <w:spacing w:after="0" w:line="97" w:lineRule="exact"/>
        <w:rPr>
          <w:sz w:val="20"/>
          <w:szCs w:val="20"/>
          <w:color w:val="auto"/>
        </w:rPr>
      </w:pPr>
    </w:p>
    <w:p>
      <w:pPr>
        <w:ind w:right="260"/>
        <w:spacing w:after="0" w:line="278" w:lineRule="auto"/>
        <w:rPr>
          <w:sz w:val="20"/>
          <w:szCs w:val="20"/>
          <w:color w:val="auto"/>
        </w:rPr>
      </w:pPr>
      <w:r>
        <w:rPr>
          <w:rFonts w:ascii="Arial" w:cs="Arial" w:eastAsia="Arial" w:hAnsi="Arial"/>
          <w:sz w:val="19"/>
          <w:szCs w:val="19"/>
          <w:color w:val="231F20"/>
        </w:rPr>
        <w:t>property rights developed as a result of service to Flywire, as well as to limit access to and disclosure of our proprietary information.</w:t>
      </w:r>
    </w:p>
    <w:p>
      <w:pPr>
        <w:spacing w:after="0" w:line="117" w:lineRule="exact"/>
        <w:rPr>
          <w:sz w:val="20"/>
          <w:szCs w:val="20"/>
          <w:color w:val="auto"/>
        </w:rPr>
      </w:pPr>
    </w:p>
    <w:p>
      <w:pPr>
        <w:jc w:val="both"/>
        <w:ind w:right="460" w:firstLine="463"/>
        <w:spacing w:after="0" w:line="258" w:lineRule="auto"/>
        <w:rPr>
          <w:sz w:val="20"/>
          <w:szCs w:val="20"/>
          <w:color w:val="auto"/>
        </w:rPr>
      </w:pPr>
      <w:r>
        <w:rPr>
          <w:rFonts w:ascii="Arial" w:cs="Arial" w:eastAsia="Arial" w:hAnsi="Arial"/>
          <w:sz w:val="19"/>
          <w:szCs w:val="19"/>
          <w:color w:val="231F20"/>
        </w:rPr>
        <w:t>We actively pursue registration of our trademarks, logos, service marks, trade dress, and domain names in the United States and in other jurisdictions. As of December 31, 2024, we had 122 registered trademarks and trademark applications, and were the registered holder of a variety of U.S. and international domain names.</w:t>
      </w:r>
    </w:p>
    <w:p>
      <w:pPr>
        <w:spacing w:after="0" w:line="136"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From time to time, we also incorporate certain intellectual property licensed from third parties. Even if any such third-party technology was not available to us on commercially reasonable terms, we believe that alternative technologies would be available as needed.</w:t>
      </w:r>
    </w:p>
    <w:p>
      <w:pPr>
        <w:spacing w:after="0" w:line="136" w:lineRule="exact"/>
        <w:rPr>
          <w:sz w:val="20"/>
          <w:szCs w:val="20"/>
          <w:color w:val="auto"/>
        </w:rPr>
      </w:pPr>
    </w:p>
    <w:p>
      <w:pPr>
        <w:jc w:val="both"/>
        <w:ind w:right="80" w:firstLine="463"/>
        <w:spacing w:after="0" w:line="258" w:lineRule="auto"/>
        <w:rPr>
          <w:sz w:val="20"/>
          <w:szCs w:val="20"/>
          <w:color w:val="auto"/>
        </w:rPr>
      </w:pPr>
      <w:r>
        <w:rPr>
          <w:rFonts w:ascii="Arial" w:cs="Arial" w:eastAsia="Arial" w:hAnsi="Arial"/>
          <w:sz w:val="19"/>
          <w:szCs w:val="19"/>
          <w:color w:val="231F20"/>
        </w:rPr>
        <w:t>For additional information about our intellectual property and associated risks, see the section titled “Risk Factors–If we fail to adequately protect our proprietary rights, our competitive position could be impaired and we may lose valuable assets, generate less revenue and incur costly litigation to protect our rights.”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Regulation and Industry Standards</w:t>
      </w:r>
    </w:p>
    <w:p>
      <w:pPr>
        <w:spacing w:after="0" w:line="192" w:lineRule="exact"/>
        <w:rPr>
          <w:sz w:val="20"/>
          <w:szCs w:val="20"/>
          <w:color w:val="auto"/>
        </w:rPr>
      </w:pPr>
    </w:p>
    <w:p>
      <w:pPr>
        <w:ind w:right="100" w:firstLine="463"/>
        <w:spacing w:after="0" w:line="248" w:lineRule="auto"/>
        <w:rPr>
          <w:sz w:val="20"/>
          <w:szCs w:val="20"/>
          <w:color w:val="auto"/>
        </w:rPr>
      </w:pPr>
      <w:r>
        <w:rPr>
          <w:rFonts w:ascii="Arial" w:cs="Arial" w:eastAsia="Arial" w:hAnsi="Arial"/>
          <w:sz w:val="19"/>
          <w:szCs w:val="19"/>
          <w:color w:val="231F20"/>
        </w:rPr>
        <w:t>Various aspects of our business and service areas operate in a quickly evolving regulatory environment, and are subject to U.S. federal, state, and local regulation, as well as regulation outside the United States. Certain of our services also are subject to rules promulgated by various card networks and other authorities, as more fully described below. These descriptions are not exhaustive, and these laws, regulations and rules frequently change, are subject to differing interpretations or enforcement, and are increasing in number.</w:t>
      </w:r>
    </w:p>
    <w:p>
      <w:pPr>
        <w:spacing w:after="0" w:line="146" w:lineRule="exact"/>
        <w:rPr>
          <w:sz w:val="20"/>
          <w:szCs w:val="20"/>
          <w:color w:val="auto"/>
        </w:rPr>
      </w:pPr>
    </w:p>
    <w:p>
      <w:pPr>
        <w:ind w:right="20" w:firstLine="463"/>
        <w:spacing w:after="0" w:line="251" w:lineRule="auto"/>
        <w:rPr>
          <w:sz w:val="20"/>
          <w:szCs w:val="20"/>
          <w:color w:val="auto"/>
        </w:rPr>
      </w:pPr>
      <w:r>
        <w:rPr>
          <w:rFonts w:ascii="Arial" w:cs="Arial" w:eastAsia="Arial" w:hAnsi="Arial"/>
          <w:sz w:val="19"/>
          <w:szCs w:val="19"/>
          <w:color w:val="231F20"/>
        </w:rPr>
        <w:t>We are registered as a Money Service Business (MSB) with the U.S. Department of the Treasury’s Financial Crimes Enforcement Network (FinCEN) and are subject to the Bank Secrecy Act of 1970, as amended by the USA PATRIOT Act of 2001, and its implementing regulations, collectively, the BSA, and certain obligations contained therein, including, among other things, certain record-keeping and reporting requirements, and examinations by FinCEN.</w:t>
      </w:r>
    </w:p>
    <w:p>
      <w:pPr>
        <w:spacing w:after="0" w:line="144" w:lineRule="exact"/>
        <w:rPr>
          <w:sz w:val="20"/>
          <w:szCs w:val="20"/>
          <w:color w:val="auto"/>
        </w:rPr>
      </w:pPr>
    </w:p>
    <w:p>
      <w:pPr>
        <w:ind w:right="100" w:firstLine="463"/>
        <w:spacing w:after="0" w:line="242" w:lineRule="auto"/>
        <w:rPr>
          <w:sz w:val="20"/>
          <w:szCs w:val="20"/>
          <w:color w:val="auto"/>
        </w:rPr>
      </w:pPr>
      <w:r>
        <w:rPr>
          <w:rFonts w:ascii="Arial" w:cs="Arial" w:eastAsia="Arial" w:hAnsi="Arial"/>
          <w:sz w:val="19"/>
          <w:szCs w:val="19"/>
          <w:color w:val="231F20"/>
        </w:rPr>
        <w:t>The BSA is the primary compendium of U.S. laws and regulations regarding AML and countering the financing of terrorism (CFT). As required under the BSA, we have implemented and continue to expand an AML and CFT program designed to prevent our payments platform from being used to facilitate money laundering, terrorist financing, and other financial crimes. Our program is also designed to prevent our payments platform and global payment network from being used to facilitate business with certain individuals, entities, countries, and territories that are subject to economic or trade sanctions that the U.S. Department of the Treasury’s Office of Foreign Assets Controls (OFAC) and various foreign authorities administer or enforce. Our AML and CFT compliance programs include policies, procedures, and controls that are designed to address these legal and regulatory requirements and to assist in detecting and preventing the use of our payments platform to engage in money laundering or terrorist financing activity. Program elements include, without limitation, the designation of a BSA/AML Officer to oversee the programs, KYC procedures, processes to detect and report suspicious activity, sanctions screening, employee training, annual third-party independent testing, and risk-based procedures for conducting ongoing customer due diligence.</w:t>
      </w:r>
    </w:p>
    <w:p>
      <w:pPr>
        <w:spacing w:after="0" w:line="152" w:lineRule="exact"/>
        <w:rPr>
          <w:sz w:val="20"/>
          <w:szCs w:val="20"/>
          <w:color w:val="auto"/>
        </w:rPr>
      </w:pPr>
    </w:p>
    <w:p>
      <w:pPr>
        <w:ind w:right="160" w:firstLine="463"/>
        <w:spacing w:after="0" w:line="241" w:lineRule="auto"/>
        <w:rPr>
          <w:sz w:val="20"/>
          <w:szCs w:val="20"/>
          <w:color w:val="auto"/>
        </w:rPr>
      </w:pPr>
      <w:r>
        <w:rPr>
          <w:rFonts w:ascii="Arial" w:cs="Arial" w:eastAsia="Arial" w:hAnsi="Arial"/>
          <w:sz w:val="19"/>
          <w:szCs w:val="19"/>
          <w:color w:val="231F20"/>
        </w:rPr>
        <w:t>If our compliance programs are found to be deficient, we could lose key relationships with banks, merchant acquirers, and other payment partners on which we rely to carry out our business. Fines, penalties or sanctions for the violation of AML and CFT laws and regulations may be severe and our efforts to remediate issues may be costly, may result in diversion of management and staff time and effort, and may still not guarantee compliance. In the course of enhancing our sanctions compliance function, we initiated an internal review that identified issues related to our compliance with sanctions, including payments that may have originated from sanctioned jurisdictions or sanctioned persons. Although Flywire continues to evaluate whether these or other transactions constitute potential violations of OFAC sanctions (including whether certain of these payments may have been authorized by general licenses or license exemptions under the relevant sanctions regulations), Flywire has made voluntary submissions to OFAC to report apparent violations and provide supplemental information. Flywire is currently engaging with OFAC to resolve these matters. Based upon the results of the internal investigation completed to date, we do not believe that the amount of any loss incurred as a result of this matter would be material to our business, financial condition, results of operations or cashflows.</w:t>
      </w:r>
    </w:p>
    <w:p>
      <w:pPr>
        <w:spacing w:after="0" w:line="160" w:lineRule="exact"/>
        <w:rPr>
          <w:sz w:val="20"/>
          <w:szCs w:val="20"/>
          <w:color w:val="auto"/>
        </w:rPr>
      </w:pPr>
    </w:p>
    <w:p>
      <w:pPr>
        <w:ind w:right="40" w:firstLine="463"/>
        <w:spacing w:after="0" w:line="265" w:lineRule="auto"/>
        <w:rPr>
          <w:sz w:val="20"/>
          <w:szCs w:val="20"/>
          <w:color w:val="auto"/>
        </w:rPr>
      </w:pPr>
      <w:r>
        <w:rPr>
          <w:rFonts w:ascii="Arial" w:cs="Arial" w:eastAsia="Arial" w:hAnsi="Arial"/>
          <w:sz w:val="18"/>
          <w:szCs w:val="18"/>
          <w:color w:val="231F20"/>
        </w:rPr>
        <w:t>Most states in the United States require a license to offer money transmission services. We are in the process of procuring money transmitter licenses (or the statutory equivalent) in those U.S. jurisdictions that require them in order to be able to offer additional business lines in the future. We have procured and maintain money transmitter licenses in 45 U.S. jurisdictions, and actively work to comply with new license requirements as they arise. We have taken the position that Flywire’s business to date is exempt from licensure under various state money transmission laws, either expressly as</w:t>
      </w:r>
    </w:p>
    <w:p>
      <w:pPr>
        <w:sectPr>
          <w:pgSz w:w="12240" w:h="15840" w:orient="portrait"/>
          <w:cols w:equalWidth="0" w:num="1">
            <w:col w:w="10180"/>
          </w:cols>
          <w:pgMar w:left="1020" w:top="1440" w:right="1040" w:bottom="595"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20</w:t>
      </w:r>
    </w:p>
    <w:p>
      <w:pPr>
        <w:sectPr>
          <w:pgSz w:w="12240" w:h="15840" w:orient="portrait"/>
          <w:cols w:equalWidth="0" w:num="1">
            <w:col w:w="10180"/>
          </w:cols>
          <w:pgMar w:left="1020" w:top="1440" w:right="1040" w:bottom="595" w:gutter="0" w:footer="0" w:header="0"/>
          <w:type w:val="continuous"/>
        </w:sectPr>
      </w:pPr>
    </w:p>
    <w:bookmarkStart w:id="21" w:name="page22"/>
    <w:bookmarkEnd w:id="21"/>
    <w:p>
      <w:pPr>
        <w:spacing w:after="0" w:line="97" w:lineRule="exact"/>
        <w:rPr>
          <w:sz w:val="20"/>
          <w:szCs w:val="20"/>
          <w:color w:val="auto"/>
        </w:rPr>
      </w:pPr>
    </w:p>
    <w:p>
      <w:pPr>
        <w:ind w:right="100"/>
        <w:spacing w:after="0" w:line="241" w:lineRule="auto"/>
        <w:rPr>
          <w:sz w:val="20"/>
          <w:szCs w:val="20"/>
          <w:color w:val="auto"/>
        </w:rPr>
      </w:pPr>
      <w:r>
        <w:rPr>
          <w:rFonts w:ascii="Arial" w:cs="Arial" w:eastAsia="Arial" w:hAnsi="Arial"/>
          <w:sz w:val="19"/>
          <w:szCs w:val="19"/>
          <w:color w:val="231F20"/>
        </w:rPr>
        <w:t>a payment processor or agent of the payee, or pursuant to common law as an agent of the payee. We actively work to evaluate, and if applicable, comply with new license or regulatory requirements as they arise. Although we believe we have defensible arguments in support of our positions under the state money transmission statutes, we have not expressly obtained confirmation of such positions from all of the state banking departments who administer the state money transmission statutes. It is possible that certain state banking departments may determine that our activities are not exempt from licensure. In the past, certain competitors have been found to violate laws and regulations related to money transmission, and they have been subject to fines and other penalties by regulatory authorities. Regulators and third-party auditors have also identified gaps in how similar businesses have implemented AML and CFT programs. The adoption of new money transmitter or MSB statutes, or changes in regulators’ interpretation of existing state and federal money transmitter or MSB statutes or regulations, could subject Flywire to new registration, licensing or other requirements. Any determination that Flywire is in fact required to be licensed under such state money transmission or MSB statutes may require substantial expenditures of time and money and could lead to liability in the nature of penalties or fines, as well as cause us to be required to cease operations in some of the U.S. jurisdictions we serve.</w:t>
      </w:r>
    </w:p>
    <w:p>
      <w:pPr>
        <w:spacing w:after="0" w:line="160" w:lineRule="exact"/>
        <w:rPr>
          <w:sz w:val="20"/>
          <w:szCs w:val="20"/>
          <w:color w:val="auto"/>
        </w:rPr>
      </w:pPr>
    </w:p>
    <w:p>
      <w:pPr>
        <w:ind w:right="20" w:firstLine="463"/>
        <w:spacing w:after="0" w:line="246" w:lineRule="auto"/>
        <w:rPr>
          <w:sz w:val="20"/>
          <w:szCs w:val="20"/>
          <w:color w:val="auto"/>
        </w:rPr>
      </w:pPr>
      <w:r>
        <w:rPr>
          <w:rFonts w:ascii="Arial" w:cs="Arial" w:eastAsia="Arial" w:hAnsi="Arial"/>
          <w:sz w:val="19"/>
          <w:szCs w:val="19"/>
          <w:color w:val="231F20"/>
        </w:rPr>
        <w:t>With respect to the money transmission licenses we maintain in U.S. jurisdictions, we are subjected to, among other things, record-keeping requirements, reporting requirements, bonding requirements, limitations on the investment of customer funds, and examination by state regulatory agencies. Any actual or perceived failure to comply with legal and regulatory requirements related to our money transmitter licenses may result in, among other things, revocation of required licenses, regulatory or governmental investigations, administrative enforcement actions, civil and criminal liability, and constraints on our ability to continue to operate.</w:t>
      </w:r>
    </w:p>
    <w:p>
      <w:pPr>
        <w:spacing w:after="0" w:line="148" w:lineRule="exact"/>
        <w:rPr>
          <w:sz w:val="20"/>
          <w:szCs w:val="20"/>
          <w:color w:val="auto"/>
        </w:rPr>
      </w:pPr>
    </w:p>
    <w:p>
      <w:pPr>
        <w:ind w:right="40" w:firstLine="463"/>
        <w:spacing w:after="0" w:line="241" w:lineRule="auto"/>
        <w:rPr>
          <w:sz w:val="20"/>
          <w:szCs w:val="20"/>
          <w:color w:val="auto"/>
        </w:rPr>
      </w:pPr>
      <w:r>
        <w:rPr>
          <w:rFonts w:ascii="Arial" w:cs="Arial" w:eastAsia="Arial" w:hAnsi="Arial"/>
          <w:sz w:val="19"/>
          <w:szCs w:val="19"/>
          <w:color w:val="231F20"/>
        </w:rPr>
        <w:t>Similar regulatory requirements exist in other markets where we do business. For example, local Flywire entities are licensed as Authorised Payments Institutions in each of the United Kingdom (U.K.) (regulated by the Financial Conduct Authority (FCA)) and Lithuania (regulated by the Bank of Lithuania (BOL)), and Australia (regulated by the Australian Securities &amp; Investments Commission (ASIC)). In addition, we have secured approval for a Major Payment Institution license from the Monetary Authority of Singapore (MAS), and in Canada we are registered as an MSB with the Financial Transactions and Reports Analysis Centre of Canada. We are also registered as a foreign Electronic System Organizer in Indonesia, and licensed in Hong Kong as a Money Services Operator. When serving clients in these regulated markets, we are generally required to implement governance structures, AML and CFT programs and KYC standards that are different from those in the U.S., and which incorporate local or European Economic Area (EEA) requirements. The FCA in particular has been an active regulator, and as a result of Brexit, we were able to both obtain a license from the BOL and continue to serve our EEA clients through the “passporting” principle without any interruption of service. In other non-U.S. markets, we are able to serve clients in locations that either do not require Flywire to obtain a license or pursuant to a specific exemption issued by the applicable regulator.</w:t>
      </w:r>
    </w:p>
    <w:p>
      <w:pPr>
        <w:spacing w:after="0" w:line="160" w:lineRule="exact"/>
        <w:rPr>
          <w:sz w:val="20"/>
          <w:szCs w:val="20"/>
          <w:color w:val="auto"/>
        </w:rPr>
      </w:pPr>
    </w:p>
    <w:p>
      <w:pPr>
        <w:ind w:right="220" w:firstLine="463"/>
        <w:spacing w:after="0" w:line="265" w:lineRule="auto"/>
        <w:rPr>
          <w:sz w:val="20"/>
          <w:szCs w:val="20"/>
          <w:color w:val="auto"/>
        </w:rPr>
      </w:pPr>
      <w:r>
        <w:rPr>
          <w:rFonts w:ascii="Arial" w:cs="Arial" w:eastAsia="Arial" w:hAnsi="Arial"/>
          <w:sz w:val="18"/>
          <w:szCs w:val="18"/>
          <w:color w:val="231F20"/>
        </w:rPr>
        <w:t>In addition, several jurisdictions where our clients’ customers reside impose currency export controls (e.g., China and India), taxation at source or other documentation requirements before money can be converted into destination currency and sent abroad. Generally, our local payment partners in these locations will assist in ensuring the customers meet these requirements, but it is often the case that we need to ensure that the Flywire payment experience accommodates the unique and ever-changing regulatory environments where our clients’ customers are located.</w:t>
      </w:r>
    </w:p>
    <w:p>
      <w:pPr>
        <w:spacing w:after="0" w:line="132"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There are also a number of U.S. federal and state consumer finance and consumer protection laws that may impact Flywire’s business. States have a myriad of statutes and case law precedent addressing when credit card surcharges or convenience fees may be imposed by third-party service providers and under what circumstances they are prohibited. In addition, Dodd-Frank created the Consumer Financial Protection Bureau (CFPB), which has assumed responsibility for implementing and enforcing most federal consumer financial protection laws and a prohibition on unfair, deceptive and abusive acts and practices. Several of these laws apply to some of Flywire’s clients, and in some cases, Flywire is contractually obligated to ensure its services do not violate these laws, even though Flywire is not directly subject to them. For example, the Truth in Lending Act of 1968 (TILA) is a U.S. federal law that applies to creditors and is designed to promote the informed use of consumer credit. Although Flywire is not in the business of extending credit or charging interest on the payments it helps its clients collect, when Flywire clients extend credit subject to TILA, TILA may require our clients to provide disclosures to their customers about consumer credit terms and costs in a format specified by the CFPB. Our payment installment plan functionality utilized by our clients in healthcare and education often requires that our payment experience accommodate these disclosure obligations that attach to our clients. Our business may also be subject to the Fair Credit Reporting Act (FCRA) which regulates the use and reporting of consumer credit information and imposes disclosure requirements on entities that take adverse action based on information obtained from credit reporting agencies. We could be liable if our practices governed under the FCRA are not in compliance with the FCRA or its regulations.</w: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21</w:t>
      </w:r>
    </w:p>
    <w:p>
      <w:pPr>
        <w:sectPr>
          <w:pgSz w:w="12240" w:h="15840" w:orient="portrait"/>
          <w:cols w:equalWidth="0" w:num="1">
            <w:col w:w="10200"/>
          </w:cols>
          <w:pgMar w:left="1020" w:top="1440" w:right="1020" w:bottom="595" w:gutter="0" w:footer="0" w:header="0"/>
          <w:type w:val="continuous"/>
        </w:sectPr>
      </w:pPr>
    </w:p>
    <w:bookmarkStart w:id="22" w:name="page23"/>
    <w:bookmarkEnd w:id="22"/>
    <w:p>
      <w:pPr>
        <w:spacing w:after="0" w:line="97" w:lineRule="exact"/>
        <w:rPr>
          <w:sz w:val="20"/>
          <w:szCs w:val="20"/>
          <w:color w:val="auto"/>
        </w:rPr>
      </w:pPr>
    </w:p>
    <w:p>
      <w:pPr>
        <w:ind w:right="40" w:firstLine="463"/>
        <w:spacing w:after="0" w:line="261" w:lineRule="auto"/>
        <w:rPr>
          <w:sz w:val="20"/>
          <w:szCs w:val="20"/>
          <w:color w:val="auto"/>
        </w:rPr>
      </w:pPr>
      <w:r>
        <w:rPr>
          <w:rFonts w:ascii="Arial" w:cs="Arial" w:eastAsia="Arial" w:hAnsi="Arial"/>
          <w:sz w:val="18"/>
          <w:szCs w:val="18"/>
          <w:color w:val="231F20"/>
        </w:rPr>
        <w:t>The Electronic Fund Transfer Act (EFTA) also imposes substantive disclosure and error resolution obligations on entities that facilitate electronic fund transfers and international remittance transfers. We could be liable for violating EFTA if we fail to comply with these requirements when they apply to us. We do not believe other laws that are implemented by the CFPB, including the Equal Credit Opportunity Act and the Fair Debt Collection Practices Act apply to us. If these determinations are wrong, interpretations of these statutes change, or we expand or change our solutions, we may be subject to the restrictions imposed by these laws. Should our business or solutions change in a way that did subject us to the CFPB’s jurisdiction, we would be subject to increased scrutiny of our business and consumer compliance practices.</w:t>
      </w:r>
    </w:p>
    <w:p>
      <w:pPr>
        <w:spacing w:after="0" w:line="134" w:lineRule="exact"/>
        <w:rPr>
          <w:sz w:val="20"/>
          <w:szCs w:val="20"/>
          <w:color w:val="auto"/>
        </w:rPr>
      </w:pPr>
    </w:p>
    <w:p>
      <w:pPr>
        <w:ind w:right="20" w:firstLine="463"/>
        <w:spacing w:after="0" w:line="245" w:lineRule="auto"/>
        <w:rPr>
          <w:sz w:val="20"/>
          <w:szCs w:val="20"/>
          <w:color w:val="auto"/>
        </w:rPr>
      </w:pPr>
      <w:r>
        <w:rPr>
          <w:rFonts w:ascii="Arial" w:cs="Arial" w:eastAsia="Arial" w:hAnsi="Arial"/>
          <w:sz w:val="19"/>
          <w:szCs w:val="19"/>
          <w:color w:val="231F20"/>
        </w:rPr>
        <w:t>Separately, the Telephone Consumer Protection Act of 1991 (TCPA) and similar state and federal laws contain extensive rules relating to communication by telephone, such as detailed requirements relating to granting and revocation of consent and “opt-in” or “opt-out” thresholds for receipt of communications, and these requirements are often changing and the subject of high-profile litigation. Our services include features regulated by the TCPA and similar laws (e.g., calls made from automated dialing systems, texts confirming receipt of payment, status updates or due dates, appointment reminders) and we can be liable for penalties, or subject to litigation or contractual indemnification obligations, if we do not comply with them.</w:t>
      </w:r>
    </w:p>
    <w:p>
      <w:pPr>
        <w:spacing w:after="0" w:line="148" w:lineRule="exact"/>
        <w:rPr>
          <w:sz w:val="20"/>
          <w:szCs w:val="20"/>
          <w:color w:val="auto"/>
        </w:rPr>
      </w:pPr>
    </w:p>
    <w:p>
      <w:pPr>
        <w:jc w:val="both"/>
        <w:ind w:right="80" w:firstLine="463"/>
        <w:spacing w:after="0" w:line="251" w:lineRule="auto"/>
        <w:rPr>
          <w:sz w:val="20"/>
          <w:szCs w:val="20"/>
          <w:color w:val="auto"/>
        </w:rPr>
      </w:pPr>
      <w:r>
        <w:rPr>
          <w:rFonts w:ascii="Arial" w:cs="Arial" w:eastAsia="Arial" w:hAnsi="Arial"/>
          <w:sz w:val="19"/>
          <w:szCs w:val="19"/>
          <w:color w:val="231F20"/>
        </w:rPr>
        <w:t>Flywire is also required to navigate card network rules and other requirements of self-regulatory organizations, such as ACH payment networks. We rely on our varied network of merchant acquirer relationships to access the payment card networks such as Visa and Mastercard, which enable our acceptance of credit cards and debit cards. We pay fees to our merchant acquirers for such services.</w:t>
      </w:r>
    </w:p>
    <w:p>
      <w:pPr>
        <w:spacing w:after="0" w:line="144"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Visa, Mastercard and other card networks set complex and evolving rules and standards with which we must comply—often referred to as “card network rules”. We also have relationships with American Express, Japan Credit Bureau (JCB) and China Unionpay, which impose similar obligations on us. The payment networks and their member financial institutions routinely update, generally expand and modify requirements applicable to merchant acquirers and their customers, including rules regulating data integrity, third-party relationships, merchant chargeback standards and compliance with the PCI DSS. PCI DSS is a set of requirements designed to ensure that all companies that process, store, or transmit payment card information maintain a secure environment to protect cardholder data. Under certain circumstances, we are required to report incidents to the card networks and other authorities within a specified time frame. Any changes in card network rules or standards that increase the cost of doing business or limit our ability to provide processing services to our merchants will adversely affect the operation of our business.</w:t>
      </w:r>
    </w:p>
    <w:p>
      <w:pPr>
        <w:spacing w:after="0" w:line="149" w:lineRule="exact"/>
        <w:rPr>
          <w:sz w:val="20"/>
          <w:szCs w:val="20"/>
          <w:color w:val="auto"/>
        </w:rPr>
      </w:pPr>
    </w:p>
    <w:p>
      <w:pPr>
        <w:ind w:right="60" w:firstLine="463"/>
        <w:spacing w:after="0" w:line="246" w:lineRule="auto"/>
        <w:rPr>
          <w:sz w:val="20"/>
          <w:szCs w:val="20"/>
          <w:color w:val="auto"/>
        </w:rPr>
      </w:pPr>
      <w:r>
        <w:rPr>
          <w:rFonts w:ascii="Arial" w:cs="Arial" w:eastAsia="Arial" w:hAnsi="Arial"/>
          <w:sz w:val="19"/>
          <w:szCs w:val="19"/>
          <w:color w:val="231F20"/>
        </w:rPr>
        <w:t>If we or our merchant acquirers fail to comply with the card network rules or other applicable rules and requirements of the card payment networks, Visa or Mastercard or our other card providers could suspend or terminate our registration. Further, our transaction processing capabilities, including with respect to settlement processes, could be delayed or otherwise disrupted, and recurring non-compliance could result in the payment networks seeking to fine us, or suspend or terminate our registrations which allow us to process transactions on their networks, which would make it impossible for us to conduct our business on its current scale.</w:t>
      </w:r>
    </w:p>
    <w:p>
      <w:pPr>
        <w:spacing w:after="0" w:line="148" w:lineRule="exact"/>
        <w:rPr>
          <w:sz w:val="20"/>
          <w:szCs w:val="20"/>
          <w:color w:val="auto"/>
        </w:rPr>
      </w:pPr>
    </w:p>
    <w:p>
      <w:pPr>
        <w:ind w:right="140" w:firstLine="463"/>
        <w:spacing w:after="0" w:line="251" w:lineRule="auto"/>
        <w:rPr>
          <w:sz w:val="20"/>
          <w:szCs w:val="20"/>
          <w:color w:val="auto"/>
        </w:rPr>
      </w:pPr>
      <w:r>
        <w:rPr>
          <w:rFonts w:ascii="Arial" w:cs="Arial" w:eastAsia="Arial" w:hAnsi="Arial"/>
          <w:sz w:val="19"/>
          <w:szCs w:val="19"/>
          <w:color w:val="231F20"/>
        </w:rPr>
        <w:t>Under certain circumstances specified in the card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or other cybersecurity incident.</w:t>
      </w:r>
    </w:p>
    <w:p>
      <w:pPr>
        <w:spacing w:after="0" w:line="144" w:lineRule="exact"/>
        <w:rPr>
          <w:sz w:val="20"/>
          <w:szCs w:val="20"/>
          <w:color w:val="auto"/>
        </w:rPr>
      </w:pPr>
    </w:p>
    <w:p>
      <w:pPr>
        <w:ind w:right="100" w:firstLine="463"/>
        <w:spacing w:after="0" w:line="248" w:lineRule="auto"/>
        <w:rPr>
          <w:sz w:val="20"/>
          <w:szCs w:val="20"/>
          <w:color w:val="auto"/>
        </w:rPr>
      </w:pPr>
      <w:r>
        <w:rPr>
          <w:rFonts w:ascii="Arial" w:cs="Arial" w:eastAsia="Arial" w:hAnsi="Arial"/>
          <w:sz w:val="19"/>
          <w:szCs w:val="19"/>
          <w:color w:val="231F20"/>
        </w:rPr>
        <w:t>The termination of our registration with the payment networks, or any changes in payment network or issuer rules that limit our ability to provide card payment alternatives to our clients’ customers could have an adverse effect on our payment processing volumes, revenues and operating costs. If we are unable to comply with the requirements applicable to our settlement activities, the payment networks may no longer allow us to provide these services and we would lose a substantial portion of our revenues.</w:t>
      </w:r>
    </w:p>
    <w:p>
      <w:pPr>
        <w:spacing w:after="0" w:line="146" w:lineRule="exact"/>
        <w:rPr>
          <w:sz w:val="20"/>
          <w:szCs w:val="20"/>
          <w:color w:val="auto"/>
        </w:rPr>
      </w:pPr>
    </w:p>
    <w:p>
      <w:pPr>
        <w:ind w:right="40" w:firstLine="463"/>
        <w:spacing w:after="0" w:line="244" w:lineRule="auto"/>
        <w:rPr>
          <w:sz w:val="20"/>
          <w:szCs w:val="20"/>
          <w:color w:val="auto"/>
        </w:rPr>
      </w:pPr>
      <w:r>
        <w:rPr>
          <w:rFonts w:ascii="Arial" w:cs="Arial" w:eastAsia="Arial" w:hAnsi="Arial"/>
          <w:sz w:val="19"/>
          <w:szCs w:val="19"/>
          <w:color w:val="231F20"/>
        </w:rPr>
        <w:t>We are also subject to the National Automated Clearing House Association (NACHA) operating rules.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particularly when we instruct our partner institutions to debit a third party’s account. These obligations include audit and oversight by the financial institutions and the imposition of mandatory corrective action, including termination, for serious violations. If an audit or self-assessment of PCI DSS or NACHA compliance identifies any deficiencies that we need to remediate, the remediation efforts may distract our management team and other staff and be expensive and time consuming.</w: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22</w:t>
      </w:r>
    </w:p>
    <w:p>
      <w:pPr>
        <w:sectPr>
          <w:pgSz w:w="12240" w:h="15840" w:orient="portrait"/>
          <w:cols w:equalWidth="0" w:num="1">
            <w:col w:w="10200"/>
          </w:cols>
          <w:pgMar w:left="1020" w:top="1440" w:right="1020" w:bottom="595" w:gutter="0" w:footer="0" w:header="0"/>
          <w:type w:val="continuous"/>
        </w:sectPr>
      </w:pPr>
    </w:p>
    <w:bookmarkStart w:id="23" w:name="page24"/>
    <w:bookmarkEnd w:id="23"/>
    <w:p>
      <w:pPr>
        <w:spacing w:after="0" w:line="97" w:lineRule="exact"/>
        <w:rPr>
          <w:sz w:val="20"/>
          <w:szCs w:val="20"/>
          <w:color w:val="auto"/>
        </w:rPr>
      </w:pPr>
    </w:p>
    <w:p>
      <w:pPr>
        <w:ind w:right="20" w:firstLine="463"/>
        <w:spacing w:after="0" w:line="244" w:lineRule="auto"/>
        <w:rPr>
          <w:sz w:val="20"/>
          <w:szCs w:val="20"/>
          <w:color w:val="auto"/>
        </w:rPr>
      </w:pPr>
      <w:r>
        <w:rPr>
          <w:rFonts w:ascii="Arial" w:cs="Arial" w:eastAsia="Arial" w:hAnsi="Arial"/>
          <w:sz w:val="19"/>
          <w:szCs w:val="19"/>
          <w:color w:val="231F20"/>
        </w:rPr>
        <w:t>Similarly, our ACH sponsor banks have the right to audit our compliance with NACHA’s rules and guidelines and are given wide discretion to approve certain aspects of our business practices. Like the payment networks, NACHA may update its operating rules and guidelines at any time, which could require us to take more costly compliance measures or to develop more complex monitoring systems. The NACHA rules permit transactions to be returned under certain circumstances. If too many of our transactions are returned, our ability to access the ACH system could be impaired by our partner financial institutions. Our partner financial institutions could similarly change their interpretation of NACHA requirements, which could require costly remediation efforts and could prevent us from continuing to provide services through such partner financial institutions until we remediate issues to their satisfaction.</w:t>
      </w:r>
    </w:p>
    <w:p>
      <w:pPr>
        <w:spacing w:after="0" w:line="150" w:lineRule="exact"/>
        <w:rPr>
          <w:sz w:val="20"/>
          <w:szCs w:val="20"/>
          <w:color w:val="auto"/>
        </w:rPr>
      </w:pPr>
    </w:p>
    <w:p>
      <w:pPr>
        <w:ind w:right="80" w:firstLine="463"/>
        <w:spacing w:after="0" w:line="246" w:lineRule="auto"/>
        <w:rPr>
          <w:sz w:val="20"/>
          <w:szCs w:val="20"/>
          <w:color w:val="auto"/>
        </w:rPr>
      </w:pPr>
      <w:r>
        <w:rPr>
          <w:rFonts w:ascii="Arial" w:cs="Arial" w:eastAsia="Arial" w:hAnsi="Arial"/>
          <w:sz w:val="19"/>
          <w:szCs w:val="19"/>
          <w:color w:val="231F20"/>
        </w:rPr>
        <w:t>We collect and use a wide variety of information (including personal information) for various purposes in our business, including: (i) to help ensure the integrity of our services, (ii) to meet KYC, transaction monitoring, AML and CFT standards, and (iii) to provide features and functionality to our clients and their customers. This aspect of our business, including the collection, use, disclosure, and protection of personal information we acquire in connection with the use of our services, is subject to numerous laws and regulations in the United States and globally. Regulation and proposed regulation in this area has increased significantly in recent years and is expected to continue to do so.</w:t>
      </w:r>
    </w:p>
    <w:p>
      <w:pPr>
        <w:spacing w:after="0" w:line="148"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In addition to numerous privacy and data protection laws already in place, U.S. states are increasingly adopting laws modeled on the GDPR that impose comprehensive privacy and data protection obligations. For example, the CCPA, which became effective on January 1, 2020, gives California residents expanded rights to access and delete their personal information, opt out of certain personal information sharing and receive detailed information about how their personal information is used, and it imposes other requirements as well. The CCPA provides for civil penalties for violations, as well as a private right of action for data breaches. Several other states have joined California in enacting privacy and data protection legislation that impose additional obligations on businesses related to the collection, storage and utilization of third party information, as well as the reporting of data breaches. All 50 states, Puerto Rico, and the U.S. Virgin Islands (similar to many of the other countries where we do business), have passed laws regulating the actions that a business must take if it experiences a data breach, such as prompt disclosure to affected individuals, consumer reporting agencies, or governmental agencies. In addition, we are subject to laws in the U.S. and abroad restricting or placing conditions on our ability to collect and utilize certain specific types of information, such as Social Security and driver’s license numbers.</w:t>
      </w:r>
    </w:p>
    <w:p>
      <w:pPr>
        <w:spacing w:after="0" w:line="160" w:lineRule="exact"/>
        <w:rPr>
          <w:sz w:val="20"/>
          <w:szCs w:val="20"/>
          <w:color w:val="auto"/>
        </w:rPr>
      </w:pPr>
    </w:p>
    <w:p>
      <w:pPr>
        <w:ind w:right="20" w:firstLine="463"/>
        <w:spacing w:after="0" w:line="241" w:lineRule="auto"/>
        <w:rPr>
          <w:sz w:val="20"/>
          <w:szCs w:val="20"/>
          <w:color w:val="auto"/>
        </w:rPr>
      </w:pPr>
      <w:r>
        <w:rPr>
          <w:rFonts w:ascii="Arial" w:cs="Arial" w:eastAsia="Arial" w:hAnsi="Arial"/>
          <w:sz w:val="19"/>
          <w:szCs w:val="19"/>
          <w:color w:val="231F20"/>
        </w:rPr>
        <w:t>Many of the foreign jurisdictions where we or our clients do business, including the European Union (E.U.), have laws and regulations dealing with the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GDPR went into effect in 2018. The GDPR, which also is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Fines of up to 20 million Euros or up to 4% of the annual global revenue of a noncompliant corporate family, whichever is greater, could be imposed for violations of certain of the GDPR’s requirements, and private claims also are possible.</w:t>
      </w:r>
    </w:p>
    <w:p>
      <w:pPr>
        <w:spacing w:after="0" w:line="160" w:lineRule="exact"/>
        <w:rPr>
          <w:sz w:val="20"/>
          <w:szCs w:val="20"/>
          <w:color w:val="auto"/>
        </w:rPr>
      </w:pPr>
    </w:p>
    <w:p>
      <w:pPr>
        <w:ind w:right="120" w:firstLine="463"/>
        <w:spacing w:after="0" w:line="255" w:lineRule="auto"/>
        <w:rPr>
          <w:sz w:val="20"/>
          <w:szCs w:val="20"/>
          <w:color w:val="auto"/>
        </w:rPr>
      </w:pPr>
      <w:r>
        <w:rPr>
          <w:rFonts w:ascii="Arial" w:cs="Arial" w:eastAsia="Arial" w:hAnsi="Arial"/>
          <w:sz w:val="18"/>
          <w:szCs w:val="18"/>
          <w:color w:val="231F20"/>
        </w:rPr>
        <w:t xml:space="preserve">Recent legal developments have created compliance uncertainty regarding some transfers of personal information from the U.K. and EEA to locations where we or our clients operate or conduct business, including the United States and potentially Singapore.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231F20"/>
        </w:rPr>
        <w:t>“Schrems II”</w:t>
      </w:r>
      <w:r>
        <w:rPr>
          <w:rFonts w:ascii="Arial" w:cs="Arial" w:eastAsia="Arial" w:hAnsi="Arial"/>
          <w:sz w:val="18"/>
          <w:szCs w:val="18"/>
          <w:color w:val="231F20"/>
        </w:rPr>
        <w:t xml:space="preserve"> decision (C-311/18), that the Privacy Shield, a transfer mechanism used by thousands of companies to transfer data between those jurisdictions and the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231F20"/>
        </w:rPr>
        <w:t>Schrems II</w:t>
      </w:r>
      <w:r>
        <w:rPr>
          <w:rFonts w:ascii="Arial" w:cs="Arial" w:eastAsia="Arial" w:hAnsi="Arial"/>
          <w:sz w:val="18"/>
          <w:szCs w:val="18"/>
          <w:color w:val="231F20"/>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231F20"/>
        </w:rPr>
        <w:t>Schrems II</w:t>
      </w:r>
      <w:r>
        <w:rPr>
          <w:rFonts w:ascii="Arial" w:cs="Arial" w:eastAsia="Arial" w:hAnsi="Arial"/>
          <w:sz w:val="18"/>
          <w:szCs w:val="18"/>
          <w:color w:val="231F20"/>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231F20"/>
        </w:rPr>
        <w:t>Schrems II</w:t>
      </w:r>
      <w:r>
        <w:rPr>
          <w:rFonts w:ascii="Arial" w:cs="Arial" w:eastAsia="Arial" w:hAnsi="Arial"/>
          <w:sz w:val="18"/>
          <w:szCs w:val="18"/>
          <w:color w:val="231F20"/>
        </w:rPr>
        <w:t xml:space="preserve"> issued by the European</w:t>
      </w:r>
    </w:p>
    <w:p>
      <w:pPr>
        <w:sectPr>
          <w:pgSz w:w="12240" w:h="15840" w:orient="portrait"/>
          <w:cols w:equalWidth="0" w:num="1">
            <w:col w:w="10180"/>
          </w:cols>
          <w:pgMar w:left="1020" w:top="1440" w:right="1040" w:bottom="595"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23</w:t>
      </w:r>
    </w:p>
    <w:p>
      <w:pPr>
        <w:sectPr>
          <w:pgSz w:w="12240" w:h="15840" w:orient="portrait"/>
          <w:cols w:equalWidth="0" w:num="1">
            <w:col w:w="10180"/>
          </w:cols>
          <w:pgMar w:left="1020" w:top="1440" w:right="1040" w:bottom="595" w:gutter="0" w:footer="0" w:header="0"/>
          <w:type w:val="continuous"/>
        </w:sectPr>
      </w:pPr>
    </w:p>
    <w:bookmarkStart w:id="24" w:name="page25"/>
    <w:bookmarkEnd w:id="24"/>
    <w:p>
      <w:pPr>
        <w:spacing w:after="0" w:line="97"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231F20"/>
        </w:rPr>
        <w:t xml:space="preserve">Data Protection Board (which is comprised of representatives from every E.U. member state’s top data protection authority) have cast serious doubt on the validity of SCCs for most transfers of personal information to the United States. The </w:t>
      </w:r>
      <w:r>
        <w:rPr>
          <w:rFonts w:ascii="Arial" w:cs="Arial" w:eastAsia="Arial" w:hAnsi="Arial"/>
          <w:sz w:val="19"/>
          <w:szCs w:val="19"/>
          <w:i w:val="1"/>
          <w:iCs w:val="1"/>
          <w:color w:val="231F20"/>
        </w:rPr>
        <w:t>Schrems II</w:t>
      </w:r>
      <w:r>
        <w:rPr>
          <w:rFonts w:ascii="Arial" w:cs="Arial" w:eastAsia="Arial" w:hAnsi="Arial"/>
          <w:sz w:val="19"/>
          <w:szCs w:val="19"/>
          <w:color w:val="231F20"/>
        </w:rPr>
        <w:t xml:space="preserve"> decision and related enforcement actions or other legal developments in this area could subject us to negative financial consequences, such as fines, penalties, loss of customers, and the need to engage in costly restructuring of our business and IT operations and restructuring of our relationships with service providers and other partners.</w:t>
      </w:r>
    </w:p>
    <w:p>
      <w:pPr>
        <w:spacing w:after="0" w:line="148" w:lineRule="exact"/>
        <w:rPr>
          <w:sz w:val="20"/>
          <w:szCs w:val="20"/>
          <w:color w:val="auto"/>
        </w:rPr>
      </w:pPr>
    </w:p>
    <w:p>
      <w:pPr>
        <w:ind w:right="20" w:firstLine="463"/>
        <w:spacing w:after="0" w:line="246" w:lineRule="auto"/>
        <w:rPr>
          <w:sz w:val="20"/>
          <w:szCs w:val="20"/>
          <w:color w:val="auto"/>
        </w:rPr>
      </w:pPr>
      <w:r>
        <w:rPr>
          <w:rFonts w:ascii="Arial" w:cs="Arial" w:eastAsia="Arial" w:hAnsi="Arial"/>
          <w:sz w:val="19"/>
          <w:szCs w:val="19"/>
          <w:color w:val="231F20"/>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w:t>
      </w:r>
    </w:p>
    <w:p>
      <w:pPr>
        <w:spacing w:after="0" w:line="148" w:lineRule="exact"/>
        <w:rPr>
          <w:sz w:val="20"/>
          <w:szCs w:val="20"/>
          <w:color w:val="auto"/>
        </w:rPr>
      </w:pPr>
    </w:p>
    <w:p>
      <w:pPr>
        <w:ind w:right="40" w:firstLine="463"/>
        <w:spacing w:after="0" w:line="244" w:lineRule="auto"/>
        <w:rPr>
          <w:sz w:val="20"/>
          <w:szCs w:val="20"/>
          <w:color w:val="auto"/>
        </w:rPr>
      </w:pPr>
      <w:r>
        <w:rPr>
          <w:rFonts w:ascii="Arial" w:cs="Arial" w:eastAsia="Arial" w:hAnsi="Arial"/>
          <w:sz w:val="19"/>
          <w:szCs w:val="19"/>
          <w:color w:val="231F20"/>
        </w:rPr>
        <w:t>China passed its DSL and its PIPL in 2021. Both new laws impact every business operating in or doing business with China, coupling extensive obligations with respect to the processing of all types of data, with potentially significant penalties for noncompliance. With the promulgation of the DSL and PIPL, China has tightened up regulation on collection, processing, sharing and cross-border transfer of personal data and important data such as financial data. The data security regime has an extraterritorial effect and imposes additional compliance obligations with respect to processing (in and outside China) of personal data of Chinese individuals and other data which may be viewed sensitive or important. These regulations apply not only to our client’s payers who are Chinese nationals (such as students seeking to study abroad) but also China-based employees as well as third party business partners.</w:t>
      </w:r>
    </w:p>
    <w:p>
      <w:pPr>
        <w:spacing w:after="0" w:line="150" w:lineRule="exact"/>
        <w:rPr>
          <w:sz w:val="20"/>
          <w:szCs w:val="20"/>
          <w:color w:val="auto"/>
        </w:rPr>
      </w:pPr>
    </w:p>
    <w:p>
      <w:pPr>
        <w:ind w:right="180" w:firstLine="463"/>
        <w:spacing w:after="0" w:line="259" w:lineRule="auto"/>
        <w:rPr>
          <w:sz w:val="20"/>
          <w:szCs w:val="20"/>
          <w:color w:val="auto"/>
        </w:rPr>
      </w:pPr>
      <w:r>
        <w:rPr>
          <w:rFonts w:ascii="Arial" w:cs="Arial" w:eastAsia="Arial" w:hAnsi="Arial"/>
          <w:sz w:val="18"/>
          <w:szCs w:val="18"/>
          <w:color w:val="231F20"/>
        </w:rPr>
        <w:t>As a reaction to data security concerns, the Australian parliament, in 2022,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spacing w:after="0" w:line="140"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We have taken steps to address compliance obligations that apply to us under the Amended APPI, the DSL, the PIPL and Australian data security laws but cannot assure you that such steps will be effective, and we may face the risk of increased costs, liability and loss of business.</w:t>
      </w:r>
    </w:p>
    <w:p>
      <w:pPr>
        <w:spacing w:after="0" w:line="136" w:lineRule="exact"/>
        <w:rPr>
          <w:sz w:val="20"/>
          <w:szCs w:val="20"/>
          <w:color w:val="auto"/>
        </w:rPr>
      </w:pPr>
    </w:p>
    <w:p>
      <w:pPr>
        <w:ind w:right="220" w:firstLine="463"/>
        <w:spacing w:after="0" w:line="243" w:lineRule="auto"/>
        <w:rPr>
          <w:sz w:val="20"/>
          <w:szCs w:val="20"/>
          <w:color w:val="auto"/>
        </w:rPr>
      </w:pPr>
      <w:r>
        <w:rPr>
          <w:rFonts w:ascii="Arial" w:cs="Arial" w:eastAsia="Arial" w:hAnsi="Arial"/>
          <w:sz w:val="19"/>
          <w:szCs w:val="19"/>
          <w:color w:val="231F20"/>
        </w:rPr>
        <w:t>There are also regulations that require that access to websites be safe and accessible for people with disabilities. The ADA contains certain standards (most commonly referred to as Section 508 Standards) that apply to federal government websites as well as to websites that may be provided by institutions that are recipients of federal funding. Many of our clients (principally higher education clients in the U.S.) receive support from U.S. federal agencies, and require that our payment experience be accessible and conform to the Section 508 Standards and the World Wide Web Consortium (W3C) Web Content Accessibility Guidelines 2.0 Level AA. Our payment experience is ADA-compliant, and we arrange for third-party audits to ensure that we continually conform to these standards. As we modify our user interface to improve or add features and functionality to our payment experience, we must continue to account for ADA compliance when required.</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Human Capital and Employees</w:t>
      </w:r>
    </w:p>
    <w:p>
      <w:pPr>
        <w:spacing w:after="0" w:line="192" w:lineRule="exact"/>
        <w:rPr>
          <w:sz w:val="20"/>
          <w:szCs w:val="20"/>
          <w:color w:val="auto"/>
        </w:rPr>
      </w:pPr>
    </w:p>
    <w:p>
      <w:pPr>
        <w:ind w:firstLine="463"/>
        <w:spacing w:after="0" w:line="251" w:lineRule="auto"/>
        <w:rPr>
          <w:sz w:val="20"/>
          <w:szCs w:val="20"/>
          <w:color w:val="auto"/>
        </w:rPr>
      </w:pPr>
      <w:r>
        <w:rPr>
          <w:rFonts w:ascii="Arial" w:cs="Arial" w:eastAsia="Arial" w:hAnsi="Arial"/>
          <w:sz w:val="19"/>
          <w:szCs w:val="19"/>
          <w:color w:val="231F20"/>
        </w:rPr>
        <w:t>As an organization, our culture is founded on our shared experiences, unique and diverse backgrounds, and belief in our mission to deliver on the most important and complex payments. As of December 31, 2024, a collective team of approximately 1,250 full-time employees and contractors, who we call FlyMates, strive for excellence as one team, guided by our core values.</w:t>
      </w:r>
    </w:p>
    <w:p>
      <w:pPr>
        <w:spacing w:after="0" w:line="144" w:lineRule="exact"/>
        <w:rPr>
          <w:sz w:val="20"/>
          <w:szCs w:val="20"/>
          <w:color w:val="auto"/>
        </w:rPr>
      </w:pPr>
    </w:p>
    <w:p>
      <w:pPr>
        <w:ind w:right="60" w:firstLine="463"/>
        <w:spacing w:after="0" w:line="270" w:lineRule="auto"/>
        <w:rPr>
          <w:sz w:val="20"/>
          <w:szCs w:val="20"/>
          <w:color w:val="auto"/>
        </w:rPr>
      </w:pPr>
      <w:r>
        <w:rPr>
          <w:rFonts w:ascii="Arial" w:cs="Arial" w:eastAsia="Arial" w:hAnsi="Arial"/>
          <w:sz w:val="18"/>
          <w:szCs w:val="18"/>
          <w:color w:val="231F20"/>
        </w:rPr>
        <w:t>Our leadership team defines our culture and strategy and collectively has decades of experience leading companies through rapid growth at scale. As of December 31, 2024, 35% of our FlyMates are located in the Americas, 40% in Europe and the Middle East and 25% in Asia-Pacific. Representing over 50 nationalities and over 40 spoken languages, our diverse team of FlyMates deliver critical domain expertise and regionally tailored skill sets to our clients 24x7.</w: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24</w:t>
      </w:r>
    </w:p>
    <w:p>
      <w:pPr>
        <w:sectPr>
          <w:pgSz w:w="12240" w:h="15840" w:orient="portrait"/>
          <w:cols w:equalWidth="0" w:num="1">
            <w:col w:w="10200"/>
          </w:cols>
          <w:pgMar w:left="1020" w:top="1440" w:right="1020" w:bottom="595" w:gutter="0" w:footer="0" w:header="0"/>
          <w:type w:val="continuous"/>
        </w:sectPr>
      </w:pPr>
    </w:p>
    <w:bookmarkStart w:id="25" w:name="page26"/>
    <w:bookmarkEnd w:id="25"/>
    <w:p>
      <w:pPr>
        <w:spacing w:after="0" w:line="97" w:lineRule="exact"/>
        <w:rPr>
          <w:sz w:val="20"/>
          <w:szCs w:val="20"/>
          <w:color w:val="auto"/>
        </w:rPr>
      </w:pPr>
    </w:p>
    <w:p>
      <w:pPr>
        <w:ind w:right="80" w:firstLine="463"/>
        <w:spacing w:after="0" w:line="258" w:lineRule="auto"/>
        <w:rPr>
          <w:sz w:val="20"/>
          <w:szCs w:val="20"/>
          <w:color w:val="auto"/>
        </w:rPr>
      </w:pPr>
      <w:r>
        <w:rPr>
          <w:rFonts w:ascii="Arial" w:cs="Arial" w:eastAsia="Arial" w:hAnsi="Arial"/>
          <w:sz w:val="19"/>
          <w:szCs w:val="19"/>
          <w:color w:val="231F20"/>
        </w:rPr>
        <w:t>We also engage part-time and temporary FlyMates, as well as consultants as needed to support our operations. As an organization, our culture is founded on our shared experiences, unique and diverse backgrounds, and belief in our mission to deliver on the most important and complex payments.</w:t>
      </w:r>
    </w:p>
    <w:p>
      <w:pPr>
        <w:spacing w:after="0" w:line="136" w:lineRule="exact"/>
        <w:rPr>
          <w:sz w:val="20"/>
          <w:szCs w:val="20"/>
          <w:color w:val="auto"/>
        </w:rPr>
      </w:pPr>
    </w:p>
    <w:p>
      <w:pPr>
        <w:ind w:right="160" w:firstLine="463"/>
        <w:spacing w:after="0" w:line="278" w:lineRule="auto"/>
        <w:rPr>
          <w:sz w:val="20"/>
          <w:szCs w:val="20"/>
          <w:color w:val="auto"/>
        </w:rPr>
      </w:pPr>
      <w:r>
        <w:rPr>
          <w:rFonts w:ascii="Arial" w:cs="Arial" w:eastAsia="Arial" w:hAnsi="Arial"/>
          <w:sz w:val="19"/>
          <w:szCs w:val="19"/>
          <w:color w:val="231F20"/>
        </w:rPr>
        <w:t>None of our FlyMates are represented by a labor union or covered by a collective bargaining agreement. We have not experienced any work stoppages and we consider our relations with our FlyMates to be good.</w:t>
      </w:r>
    </w:p>
    <w:p>
      <w:pPr>
        <w:spacing w:after="0" w:line="117" w:lineRule="exact"/>
        <w:rPr>
          <w:sz w:val="20"/>
          <w:szCs w:val="20"/>
          <w:color w:val="auto"/>
        </w:rPr>
      </w:pPr>
    </w:p>
    <w:p>
      <w:pPr>
        <w:ind w:firstLine="463"/>
        <w:spacing w:after="0" w:line="251" w:lineRule="auto"/>
        <w:rPr>
          <w:sz w:val="20"/>
          <w:szCs w:val="20"/>
          <w:color w:val="auto"/>
        </w:rPr>
      </w:pPr>
      <w:r>
        <w:rPr>
          <w:rFonts w:ascii="Arial" w:cs="Arial" w:eastAsia="Arial" w:hAnsi="Arial"/>
          <w:sz w:val="19"/>
          <w:szCs w:val="19"/>
          <w:color w:val="231F20"/>
        </w:rPr>
        <w:t>Our human capital resources objectives include, as applicable, identifying, recruiting, retaining, incentivizing and integrating our existing and additional FlyMates. The principal purposes of our equity incentive plans are to attract, retain and motivate selected FlyMates, consultants and directors through the granting of stock-based compensation awards and cash-based performance bonus awards.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Values</w:t>
      </w:r>
    </w:p>
    <w:p>
      <w:pPr>
        <w:spacing w:after="0" w:line="192" w:lineRule="exact"/>
        <w:rPr>
          <w:sz w:val="20"/>
          <w:szCs w:val="20"/>
          <w:color w:val="auto"/>
        </w:rPr>
      </w:pPr>
    </w:p>
    <w:p>
      <w:pPr>
        <w:jc w:val="both"/>
        <w:ind w:right="20" w:firstLine="463"/>
        <w:spacing w:after="0" w:line="251" w:lineRule="auto"/>
        <w:rPr>
          <w:sz w:val="20"/>
          <w:szCs w:val="20"/>
          <w:color w:val="auto"/>
        </w:rPr>
      </w:pPr>
      <w:r>
        <w:rPr>
          <w:rFonts w:ascii="Arial" w:cs="Arial" w:eastAsia="Arial" w:hAnsi="Arial"/>
          <w:sz w:val="19"/>
          <w:szCs w:val="19"/>
          <w:color w:val="231F20"/>
        </w:rPr>
        <w:t>At Flywire, we commit to encourage and reward behaviors that are consistent with our culture, which is founded on our shared experiences, unique and diverse backgrounds, and belief in our mission to deliver on the most important and complex payments. We seek to hold each other accountable when behaviors do not support the culture we aspire to. Our values include:</w:t>
      </w:r>
    </w:p>
    <w:p>
      <w:pPr>
        <w:spacing w:after="0" w:line="77" w:lineRule="exact"/>
        <w:rPr>
          <w:sz w:val="20"/>
          <w:szCs w:val="20"/>
          <w:color w:val="auto"/>
        </w:rPr>
      </w:pPr>
    </w:p>
    <w:p>
      <w:pPr>
        <w:ind w:left="920" w:right="60" w:hanging="458"/>
        <w:spacing w:after="0" w:line="253" w:lineRule="auto"/>
        <w:tabs>
          <w:tab w:leader="none" w:pos="920" w:val="left"/>
        </w:tabs>
        <w:numPr>
          <w:ilvl w:val="0"/>
          <w:numId w:val="18"/>
        </w:numPr>
        <w:rPr>
          <w:rFonts w:ascii="Arial" w:cs="Arial" w:eastAsia="Arial" w:hAnsi="Arial"/>
          <w:sz w:val="19"/>
          <w:szCs w:val="19"/>
          <w:color w:val="231F20"/>
        </w:rPr>
      </w:pPr>
      <w:r>
        <w:rPr>
          <w:rFonts w:ascii="Arial" w:cs="Arial" w:eastAsia="Arial" w:hAnsi="Arial"/>
          <w:sz w:val="19"/>
          <w:szCs w:val="19"/>
          <w:b w:val="1"/>
          <w:bCs w:val="1"/>
          <w:color w:val="231F20"/>
        </w:rPr>
        <w:t xml:space="preserve">Global Collaboration. </w:t>
      </w:r>
      <w:r>
        <w:rPr>
          <w:rFonts w:ascii="Arial" w:cs="Arial" w:eastAsia="Arial" w:hAnsi="Arial"/>
          <w:sz w:val="19"/>
          <w:szCs w:val="19"/>
          <w:color w:val="231F20"/>
        </w:rPr>
        <w:t>We believe in teamwork and that together we are greater than the sum of individual</w:t>
      </w:r>
      <w:r>
        <w:rPr>
          <w:rFonts w:ascii="Arial" w:cs="Arial" w:eastAsia="Arial" w:hAnsi="Arial"/>
          <w:sz w:val="19"/>
          <w:szCs w:val="19"/>
          <w:b w:val="1"/>
          <w:bCs w:val="1"/>
          <w:color w:val="231F20"/>
        </w:rPr>
        <w:t xml:space="preserve"> </w:t>
      </w:r>
      <w:r>
        <w:rPr>
          <w:rFonts w:ascii="Arial" w:cs="Arial" w:eastAsia="Arial" w:hAnsi="Arial"/>
          <w:sz w:val="19"/>
          <w:szCs w:val="19"/>
          <w:color w:val="231F20"/>
        </w:rPr>
        <w:t>FlyMates, across experience, location and position. We seek to understand and embrace everyone’s uniqueness, and leverage the power of our FlyMates and clients’ and their customers’ cultural differences and perspectives to create value.</w:t>
      </w:r>
    </w:p>
    <w:p>
      <w:pPr>
        <w:spacing w:after="0" w:line="73" w:lineRule="exact"/>
        <w:rPr>
          <w:rFonts w:ascii="Arial" w:cs="Arial" w:eastAsia="Arial" w:hAnsi="Arial"/>
          <w:sz w:val="19"/>
          <w:szCs w:val="19"/>
          <w:color w:val="231F20"/>
        </w:rPr>
      </w:pPr>
    </w:p>
    <w:p>
      <w:pPr>
        <w:ind w:left="920" w:right="260" w:hanging="458"/>
        <w:spacing w:after="0" w:line="260" w:lineRule="auto"/>
        <w:tabs>
          <w:tab w:leader="none" w:pos="920" w:val="left"/>
        </w:tabs>
        <w:numPr>
          <w:ilvl w:val="0"/>
          <w:numId w:val="18"/>
        </w:numPr>
        <w:rPr>
          <w:rFonts w:ascii="Arial" w:cs="Arial" w:eastAsia="Arial" w:hAnsi="Arial"/>
          <w:sz w:val="19"/>
          <w:szCs w:val="19"/>
          <w:color w:val="231F20"/>
        </w:rPr>
      </w:pPr>
      <w:r>
        <w:rPr>
          <w:rFonts w:ascii="Arial" w:cs="Arial" w:eastAsia="Arial" w:hAnsi="Arial"/>
          <w:sz w:val="19"/>
          <w:szCs w:val="19"/>
          <w:b w:val="1"/>
          <w:bCs w:val="1"/>
          <w:color w:val="231F20"/>
        </w:rPr>
        <w:t xml:space="preserve">Authenticity. </w:t>
      </w:r>
      <w:r>
        <w:rPr>
          <w:rFonts w:ascii="Arial" w:cs="Arial" w:eastAsia="Arial" w:hAnsi="Arial"/>
          <w:sz w:val="19"/>
          <w:szCs w:val="19"/>
          <w:color w:val="231F20"/>
        </w:rPr>
        <w:t>We value and never compromise on integrity, honesty, and kindness. We believe in staying</w:t>
      </w:r>
      <w:r>
        <w:rPr>
          <w:rFonts w:ascii="Arial" w:cs="Arial" w:eastAsia="Arial" w:hAnsi="Arial"/>
          <w:sz w:val="19"/>
          <w:szCs w:val="19"/>
          <w:b w:val="1"/>
          <w:bCs w:val="1"/>
          <w:color w:val="231F20"/>
        </w:rPr>
        <w:t xml:space="preserve"> </w:t>
      </w:r>
      <w:r>
        <w:rPr>
          <w:rFonts w:ascii="Arial" w:cs="Arial" w:eastAsia="Arial" w:hAnsi="Arial"/>
          <w:sz w:val="19"/>
          <w:szCs w:val="19"/>
          <w:color w:val="231F20"/>
        </w:rPr>
        <w:t>true to oneself, being courageous enough to share your voice and humble enough to admit when you are wrong. Above all, we strive for sincerity and encourage both giving and receiving feedback.</w:t>
      </w:r>
    </w:p>
    <w:p>
      <w:pPr>
        <w:spacing w:after="0" w:line="67" w:lineRule="exact"/>
        <w:rPr>
          <w:rFonts w:ascii="Arial" w:cs="Arial" w:eastAsia="Arial" w:hAnsi="Arial"/>
          <w:sz w:val="19"/>
          <w:szCs w:val="19"/>
          <w:color w:val="231F20"/>
        </w:rPr>
      </w:pPr>
    </w:p>
    <w:p>
      <w:pPr>
        <w:ind w:left="920" w:right="160" w:hanging="458"/>
        <w:spacing w:after="0" w:line="253" w:lineRule="auto"/>
        <w:tabs>
          <w:tab w:leader="none" w:pos="920" w:val="left"/>
        </w:tabs>
        <w:numPr>
          <w:ilvl w:val="0"/>
          <w:numId w:val="18"/>
        </w:numPr>
        <w:rPr>
          <w:rFonts w:ascii="Arial" w:cs="Arial" w:eastAsia="Arial" w:hAnsi="Arial"/>
          <w:sz w:val="19"/>
          <w:szCs w:val="19"/>
          <w:color w:val="231F20"/>
        </w:rPr>
      </w:pPr>
      <w:r>
        <w:rPr>
          <w:rFonts w:ascii="Arial" w:cs="Arial" w:eastAsia="Arial" w:hAnsi="Arial"/>
          <w:sz w:val="19"/>
          <w:szCs w:val="19"/>
          <w:b w:val="1"/>
          <w:bCs w:val="1"/>
          <w:color w:val="231F20"/>
        </w:rPr>
        <w:t xml:space="preserve">Fulfillment. </w:t>
      </w:r>
      <w:r>
        <w:rPr>
          <w:rFonts w:ascii="Arial" w:cs="Arial" w:eastAsia="Arial" w:hAnsi="Arial"/>
          <w:sz w:val="19"/>
          <w:szCs w:val="19"/>
          <w:color w:val="231F20"/>
        </w:rPr>
        <w:t>We recognize that fulfillment comes from personal and professional satisfaction, from bringing</w:t>
      </w:r>
      <w:r>
        <w:rPr>
          <w:rFonts w:ascii="Arial" w:cs="Arial" w:eastAsia="Arial" w:hAnsi="Arial"/>
          <w:sz w:val="19"/>
          <w:szCs w:val="19"/>
          <w:b w:val="1"/>
          <w:bCs w:val="1"/>
          <w:color w:val="231F20"/>
        </w:rPr>
        <w:t xml:space="preserve"> </w:t>
      </w:r>
      <w:r>
        <w:rPr>
          <w:rFonts w:ascii="Arial" w:cs="Arial" w:eastAsia="Arial" w:hAnsi="Arial"/>
          <w:sz w:val="19"/>
          <w:szCs w:val="19"/>
          <w:color w:val="231F20"/>
        </w:rPr>
        <w:t>our whole selves to work. It is understanding what ignites our individual passions and gets us excited, while being inclusive and knowing that this is different for everyone. We believe that by engaging with the wider community, giving back and contributing, our greater purpose is fulfilled.</w:t>
      </w:r>
    </w:p>
    <w:p>
      <w:pPr>
        <w:spacing w:after="0" w:line="73" w:lineRule="exact"/>
        <w:rPr>
          <w:rFonts w:ascii="Arial" w:cs="Arial" w:eastAsia="Arial" w:hAnsi="Arial"/>
          <w:sz w:val="19"/>
          <w:szCs w:val="19"/>
          <w:color w:val="231F20"/>
        </w:rPr>
      </w:pPr>
    </w:p>
    <w:p>
      <w:pPr>
        <w:ind w:left="920" w:right="140" w:hanging="458"/>
        <w:spacing w:after="0" w:line="253" w:lineRule="auto"/>
        <w:tabs>
          <w:tab w:leader="none" w:pos="920" w:val="left"/>
        </w:tabs>
        <w:numPr>
          <w:ilvl w:val="0"/>
          <w:numId w:val="18"/>
        </w:numPr>
        <w:rPr>
          <w:rFonts w:ascii="Arial" w:cs="Arial" w:eastAsia="Arial" w:hAnsi="Arial"/>
          <w:sz w:val="19"/>
          <w:szCs w:val="19"/>
          <w:color w:val="231F20"/>
        </w:rPr>
      </w:pPr>
      <w:r>
        <w:rPr>
          <w:rFonts w:ascii="Arial" w:cs="Arial" w:eastAsia="Arial" w:hAnsi="Arial"/>
          <w:sz w:val="19"/>
          <w:szCs w:val="19"/>
          <w:b w:val="1"/>
          <w:bCs w:val="1"/>
          <w:color w:val="231F20"/>
        </w:rPr>
        <w:t xml:space="preserve">Execution. </w:t>
      </w:r>
      <w:r>
        <w:rPr>
          <w:rFonts w:ascii="Arial" w:cs="Arial" w:eastAsia="Arial" w:hAnsi="Arial"/>
          <w:sz w:val="19"/>
          <w:szCs w:val="19"/>
          <w:color w:val="231F20"/>
        </w:rPr>
        <w:t>We accomplish our goals through collective support and accountability. We aim to take</w:t>
      </w:r>
      <w:r>
        <w:rPr>
          <w:rFonts w:ascii="Arial" w:cs="Arial" w:eastAsia="Arial" w:hAnsi="Arial"/>
          <w:sz w:val="19"/>
          <w:szCs w:val="19"/>
          <w:b w:val="1"/>
          <w:bCs w:val="1"/>
          <w:color w:val="231F20"/>
        </w:rPr>
        <w:t xml:space="preserve"> </w:t>
      </w:r>
      <w:r>
        <w:rPr>
          <w:rFonts w:ascii="Arial" w:cs="Arial" w:eastAsia="Arial" w:hAnsi="Arial"/>
          <w:sz w:val="19"/>
          <w:szCs w:val="19"/>
          <w:color w:val="231F20"/>
        </w:rPr>
        <w:t>calculated, sensible risks and make smart decisions quickly to accomplish our objectives. We are helpful and supportive of each other, yet we hold each other accountable to delivering with a sense of urgency in all that we do.</w:t>
      </w:r>
    </w:p>
    <w:p>
      <w:pPr>
        <w:spacing w:after="0" w:line="73" w:lineRule="exact"/>
        <w:rPr>
          <w:rFonts w:ascii="Arial" w:cs="Arial" w:eastAsia="Arial" w:hAnsi="Arial"/>
          <w:sz w:val="19"/>
          <w:szCs w:val="19"/>
          <w:color w:val="231F20"/>
        </w:rPr>
      </w:pPr>
    </w:p>
    <w:p>
      <w:pPr>
        <w:ind w:left="920" w:hanging="458"/>
        <w:spacing w:after="0" w:line="260" w:lineRule="auto"/>
        <w:tabs>
          <w:tab w:leader="none" w:pos="920" w:val="left"/>
        </w:tabs>
        <w:numPr>
          <w:ilvl w:val="0"/>
          <w:numId w:val="18"/>
        </w:numPr>
        <w:rPr>
          <w:rFonts w:ascii="Arial" w:cs="Arial" w:eastAsia="Arial" w:hAnsi="Arial"/>
          <w:sz w:val="19"/>
          <w:szCs w:val="19"/>
          <w:color w:val="231F20"/>
        </w:rPr>
      </w:pPr>
      <w:r>
        <w:rPr>
          <w:rFonts w:ascii="Arial" w:cs="Arial" w:eastAsia="Arial" w:hAnsi="Arial"/>
          <w:sz w:val="19"/>
          <w:szCs w:val="19"/>
          <w:b w:val="1"/>
          <w:bCs w:val="1"/>
          <w:color w:val="231F20"/>
        </w:rPr>
        <w:t xml:space="preserve">Ambitious Innovation. </w:t>
      </w:r>
      <w:r>
        <w:rPr>
          <w:rFonts w:ascii="Arial" w:cs="Arial" w:eastAsia="Arial" w:hAnsi="Arial"/>
          <w:sz w:val="19"/>
          <w:szCs w:val="19"/>
          <w:color w:val="231F20"/>
        </w:rPr>
        <w:t>We continuously look for ways to deliver more and new value to our clients and their</w:t>
      </w:r>
      <w:r>
        <w:rPr>
          <w:rFonts w:ascii="Arial" w:cs="Arial" w:eastAsia="Arial" w:hAnsi="Arial"/>
          <w:sz w:val="19"/>
          <w:szCs w:val="19"/>
          <w:b w:val="1"/>
          <w:bCs w:val="1"/>
          <w:color w:val="231F20"/>
        </w:rPr>
        <w:t xml:space="preserve"> </w:t>
      </w:r>
      <w:r>
        <w:rPr>
          <w:rFonts w:ascii="Arial" w:cs="Arial" w:eastAsia="Arial" w:hAnsi="Arial"/>
          <w:sz w:val="19"/>
          <w:szCs w:val="19"/>
          <w:color w:val="231F20"/>
        </w:rPr>
        <w:t>customers, partners and people. We are leaders not followers, curious and open-minded, and we recognize there is always room for improvement and strive for excellence and welcome new ideas.</w:t>
      </w:r>
    </w:p>
    <w:p>
      <w:pPr>
        <w:spacing w:after="0" w:line="67" w:lineRule="exact"/>
        <w:rPr>
          <w:rFonts w:ascii="Arial" w:cs="Arial" w:eastAsia="Arial" w:hAnsi="Arial"/>
          <w:sz w:val="19"/>
          <w:szCs w:val="19"/>
          <w:color w:val="231F20"/>
        </w:rPr>
      </w:pPr>
    </w:p>
    <w:p>
      <w:pPr>
        <w:ind w:left="920" w:right="20" w:hanging="458"/>
        <w:spacing w:after="0" w:line="253" w:lineRule="auto"/>
        <w:tabs>
          <w:tab w:leader="none" w:pos="920" w:val="left"/>
        </w:tabs>
        <w:numPr>
          <w:ilvl w:val="0"/>
          <w:numId w:val="18"/>
        </w:numPr>
        <w:rPr>
          <w:rFonts w:ascii="Arial" w:cs="Arial" w:eastAsia="Arial" w:hAnsi="Arial"/>
          <w:sz w:val="19"/>
          <w:szCs w:val="19"/>
          <w:color w:val="231F20"/>
        </w:rPr>
      </w:pPr>
      <w:r>
        <w:rPr>
          <w:rFonts w:ascii="Arial" w:cs="Arial" w:eastAsia="Arial" w:hAnsi="Arial"/>
          <w:sz w:val="19"/>
          <w:szCs w:val="19"/>
          <w:b w:val="1"/>
          <w:bCs w:val="1"/>
          <w:color w:val="231F20"/>
        </w:rPr>
        <w:t xml:space="preserve">Evolved Learning. </w:t>
      </w:r>
      <w:r>
        <w:rPr>
          <w:rFonts w:ascii="Arial" w:cs="Arial" w:eastAsia="Arial" w:hAnsi="Arial"/>
          <w:sz w:val="19"/>
          <w:szCs w:val="19"/>
          <w:color w:val="231F20"/>
        </w:rPr>
        <w:t>We believe in new challenges and constant growth. The importance of actively listening,</w:t>
      </w:r>
      <w:r>
        <w:rPr>
          <w:rFonts w:ascii="Arial" w:cs="Arial" w:eastAsia="Arial" w:hAnsi="Arial"/>
          <w:sz w:val="19"/>
          <w:szCs w:val="19"/>
          <w:b w:val="1"/>
          <w:bCs w:val="1"/>
          <w:color w:val="231F20"/>
        </w:rPr>
        <w:t xml:space="preserve"> </w:t>
      </w:r>
      <w:r>
        <w:rPr>
          <w:rFonts w:ascii="Arial" w:cs="Arial" w:eastAsia="Arial" w:hAnsi="Arial"/>
          <w:sz w:val="19"/>
          <w:szCs w:val="19"/>
          <w:color w:val="231F20"/>
        </w:rPr>
        <w:t>questioning, challenging, and accepting is not lost on us. We are a learning organization, eager to expand as individuals, as teams and as a company. We live by the knowledge that there is no endpoint to learning, that there is always room for growth.</w:t>
      </w:r>
    </w:p>
    <w:p>
      <w:pPr>
        <w:spacing w:after="0" w:line="140" w:lineRule="exact"/>
        <w:rPr>
          <w:sz w:val="20"/>
          <w:szCs w:val="20"/>
          <w:color w:val="auto"/>
        </w:rPr>
      </w:pPr>
    </w:p>
    <w:p>
      <w:pPr>
        <w:ind w:right="280" w:firstLine="463"/>
        <w:spacing w:after="0" w:line="278" w:lineRule="auto"/>
        <w:rPr>
          <w:sz w:val="20"/>
          <w:szCs w:val="20"/>
          <w:color w:val="auto"/>
        </w:rPr>
      </w:pPr>
      <w:r>
        <w:rPr>
          <w:rFonts w:ascii="Arial" w:cs="Arial" w:eastAsia="Arial" w:hAnsi="Arial"/>
          <w:sz w:val="19"/>
          <w:szCs w:val="19"/>
          <w:color w:val="231F20"/>
        </w:rPr>
        <w:t>We define our values by the virtues and behaviors that shape them, as these values guide us in all that we do: in hiring, performance, and day-to-day interactions with both FlyMates and our clients and their customers.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Environmental, Social and Governance (ESG)</w:t>
      </w:r>
    </w:p>
    <w:p>
      <w:pPr>
        <w:spacing w:after="0" w:line="192" w:lineRule="exact"/>
        <w:rPr>
          <w:sz w:val="20"/>
          <w:szCs w:val="20"/>
          <w:color w:val="auto"/>
        </w:rPr>
      </w:pPr>
    </w:p>
    <w:p>
      <w:pPr>
        <w:ind w:right="80" w:firstLine="463"/>
        <w:spacing w:after="0" w:line="251" w:lineRule="auto"/>
        <w:rPr>
          <w:sz w:val="20"/>
          <w:szCs w:val="20"/>
          <w:color w:val="auto"/>
        </w:rPr>
      </w:pPr>
      <w:r>
        <w:rPr>
          <w:rFonts w:ascii="Arial" w:cs="Arial" w:eastAsia="Arial" w:hAnsi="Arial"/>
          <w:sz w:val="19"/>
          <w:szCs w:val="19"/>
          <w:color w:val="231F20"/>
        </w:rPr>
        <w:t>Flywire continues to integrate social impact initiatives into our business and our ESG strategy is underpinned by many pillars, from improving access to education, to supporting local communities in times of crisis, and much more. Our ESG disclosures are based on global best practices, and aligns with metrics set forth by the Sustainability Accounting Standards Boards (SASB) standards as well as the Global Reporting Initiative (GRI) standards.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Our latest ESG report details our investments across the following ESG disciplines, including:</w:t>
      </w:r>
    </w:p>
    <w:p>
      <w:pPr>
        <w:spacing w:after="0" w:line="196" w:lineRule="exact"/>
        <w:rPr>
          <w:sz w:val="20"/>
          <w:szCs w:val="20"/>
          <w:color w:val="auto"/>
        </w:rPr>
      </w:pPr>
    </w:p>
    <w:p>
      <w:pPr>
        <w:jc w:val="both"/>
        <w:ind w:left="920" w:right="560" w:hanging="458"/>
        <w:spacing w:after="0" w:line="260" w:lineRule="auto"/>
        <w:tabs>
          <w:tab w:leader="none" w:pos="920" w:val="left"/>
        </w:tabs>
        <w:numPr>
          <w:ilvl w:val="0"/>
          <w:numId w:val="19"/>
        </w:numPr>
        <w:rPr>
          <w:rFonts w:ascii="Arial" w:cs="Arial" w:eastAsia="Arial" w:hAnsi="Arial"/>
          <w:sz w:val="19"/>
          <w:szCs w:val="19"/>
          <w:color w:val="231F20"/>
        </w:rPr>
      </w:pPr>
      <w:r>
        <w:rPr>
          <w:rFonts w:ascii="Arial" w:cs="Arial" w:eastAsia="Arial" w:hAnsi="Arial"/>
          <w:sz w:val="19"/>
          <w:szCs w:val="19"/>
          <w:b w:val="1"/>
          <w:bCs w:val="1"/>
          <w:color w:val="231F20"/>
        </w:rPr>
        <w:t xml:space="preserve">Affordability and accessibility: </w:t>
      </w:r>
      <w:r>
        <w:rPr>
          <w:rFonts w:ascii="Arial" w:cs="Arial" w:eastAsia="Arial" w:hAnsi="Arial"/>
          <w:sz w:val="19"/>
          <w:szCs w:val="19"/>
          <w:color w:val="231F20"/>
        </w:rPr>
        <w:t>Flywire’s payments technology and software enables payers to set up</w:t>
      </w:r>
      <w:r>
        <w:rPr>
          <w:rFonts w:ascii="Arial" w:cs="Arial" w:eastAsia="Arial" w:hAnsi="Arial"/>
          <w:sz w:val="19"/>
          <w:szCs w:val="19"/>
          <w:b w:val="1"/>
          <w:bCs w:val="1"/>
          <w:color w:val="231F20"/>
        </w:rPr>
        <w:t xml:space="preserve"> </w:t>
      </w:r>
      <w:r>
        <w:rPr>
          <w:rFonts w:ascii="Arial" w:cs="Arial" w:eastAsia="Arial" w:hAnsi="Arial"/>
          <w:sz w:val="19"/>
          <w:szCs w:val="19"/>
          <w:color w:val="231F20"/>
        </w:rPr>
        <w:t>payment plans, helping to make high-value transactions like medical bills and education expenses more accessible and affordable.</w:t>
      </w:r>
    </w:p>
    <w:p>
      <w:pPr>
        <w:sectPr>
          <w:pgSz w:w="12240" w:h="15840" w:orient="portrait"/>
          <w:cols w:equalWidth="0" w:num="1">
            <w:col w:w="10140"/>
          </w:cols>
          <w:pgMar w:left="1020" w:top="1440" w:right="1080" w:bottom="595" w:gutter="0" w:footer="0" w:header="0"/>
        </w:sect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231F20"/>
        </w:rPr>
        <w:t>25</w:t>
      </w:r>
    </w:p>
    <w:p>
      <w:pPr>
        <w:sectPr>
          <w:pgSz w:w="12240" w:h="15840" w:orient="portrait"/>
          <w:cols w:equalWidth="0" w:num="1">
            <w:col w:w="10140"/>
          </w:cols>
          <w:pgMar w:left="1020" w:top="1440" w:right="1080" w:bottom="595" w:gutter="0" w:footer="0" w:header="0"/>
          <w:type w:val="continuous"/>
        </w:sectPr>
      </w:pPr>
    </w:p>
    <w:bookmarkStart w:id="26" w:name="page27"/>
    <w:bookmarkEnd w:id="26"/>
    <w:p>
      <w:pPr>
        <w:spacing w:after="0" w:line="105" w:lineRule="exact"/>
        <w:rPr>
          <w:sz w:val="20"/>
          <w:szCs w:val="20"/>
          <w:color w:val="auto"/>
        </w:rPr>
      </w:pPr>
    </w:p>
    <w:p>
      <w:pPr>
        <w:jc w:val="both"/>
        <w:ind w:left="920" w:right="560" w:hanging="458"/>
        <w:spacing w:after="0" w:line="260" w:lineRule="auto"/>
        <w:tabs>
          <w:tab w:leader="none" w:pos="920" w:val="left"/>
        </w:tabs>
        <w:numPr>
          <w:ilvl w:val="0"/>
          <w:numId w:val="20"/>
        </w:numPr>
        <w:rPr>
          <w:rFonts w:ascii="Arial" w:cs="Arial" w:eastAsia="Arial" w:hAnsi="Arial"/>
          <w:sz w:val="19"/>
          <w:szCs w:val="19"/>
          <w:color w:val="231F20"/>
        </w:rPr>
      </w:pPr>
      <w:r>
        <w:rPr>
          <w:rFonts w:ascii="Arial" w:cs="Arial" w:eastAsia="Arial" w:hAnsi="Arial"/>
          <w:sz w:val="19"/>
          <w:szCs w:val="19"/>
          <w:b w:val="1"/>
          <w:bCs w:val="1"/>
          <w:color w:val="231F20"/>
        </w:rPr>
        <w:t xml:space="preserve">Diversity, equity and inclusion: </w:t>
      </w:r>
      <w:r>
        <w:rPr>
          <w:rFonts w:ascii="Arial" w:cs="Arial" w:eastAsia="Arial" w:hAnsi="Arial"/>
          <w:sz w:val="19"/>
          <w:szCs w:val="19"/>
          <w:color w:val="231F20"/>
        </w:rPr>
        <w:t>Flywire employees represent over 50 nationalities and over 40 spoken</w:t>
      </w:r>
      <w:r>
        <w:rPr>
          <w:rFonts w:ascii="Arial" w:cs="Arial" w:eastAsia="Arial" w:hAnsi="Arial"/>
          <w:sz w:val="19"/>
          <w:szCs w:val="19"/>
          <w:b w:val="1"/>
          <w:bCs w:val="1"/>
          <w:color w:val="231F20"/>
        </w:rPr>
        <w:t xml:space="preserve"> </w:t>
      </w:r>
      <w:r>
        <w:rPr>
          <w:rFonts w:ascii="Arial" w:cs="Arial" w:eastAsia="Arial" w:hAnsi="Arial"/>
          <w:sz w:val="19"/>
          <w:szCs w:val="19"/>
          <w:color w:val="231F20"/>
        </w:rPr>
        <w:t>languages. Multiple Flywire Employee Resource Groups (ERGs) – open to all FlyMates – are devoted to promoting FlyMate inclusivity and belonging.</w:t>
      </w:r>
    </w:p>
    <w:p>
      <w:pPr>
        <w:spacing w:after="0" w:line="67" w:lineRule="exact"/>
        <w:rPr>
          <w:rFonts w:ascii="Arial" w:cs="Arial" w:eastAsia="Arial" w:hAnsi="Arial"/>
          <w:sz w:val="19"/>
          <w:szCs w:val="19"/>
          <w:color w:val="231F20"/>
        </w:rPr>
      </w:pPr>
    </w:p>
    <w:p>
      <w:pPr>
        <w:jc w:val="both"/>
        <w:ind w:left="920" w:right="200" w:hanging="458"/>
        <w:spacing w:after="0" w:line="260" w:lineRule="auto"/>
        <w:tabs>
          <w:tab w:leader="none" w:pos="920" w:val="left"/>
        </w:tabs>
        <w:numPr>
          <w:ilvl w:val="0"/>
          <w:numId w:val="20"/>
        </w:numPr>
        <w:rPr>
          <w:rFonts w:ascii="Arial" w:cs="Arial" w:eastAsia="Arial" w:hAnsi="Arial"/>
          <w:sz w:val="19"/>
          <w:szCs w:val="19"/>
          <w:color w:val="231F20"/>
        </w:rPr>
      </w:pPr>
      <w:r>
        <w:rPr>
          <w:rFonts w:ascii="Arial" w:cs="Arial" w:eastAsia="Arial" w:hAnsi="Arial"/>
          <w:sz w:val="19"/>
          <w:szCs w:val="19"/>
          <w:b w:val="1"/>
          <w:bCs w:val="1"/>
          <w:color w:val="231F20"/>
        </w:rPr>
        <w:t xml:space="preserve">Career development and training: </w:t>
      </w:r>
      <w:r>
        <w:rPr>
          <w:rFonts w:ascii="Arial" w:cs="Arial" w:eastAsia="Arial" w:hAnsi="Arial"/>
          <w:sz w:val="19"/>
          <w:szCs w:val="19"/>
          <w:color w:val="231F20"/>
        </w:rPr>
        <w:t>In 2024, FlyMates spent more than 6,500 hours on company-sponsored</w:t>
      </w:r>
      <w:r>
        <w:rPr>
          <w:rFonts w:ascii="Arial" w:cs="Arial" w:eastAsia="Arial" w:hAnsi="Arial"/>
          <w:sz w:val="19"/>
          <w:szCs w:val="19"/>
          <w:b w:val="1"/>
          <w:bCs w:val="1"/>
          <w:color w:val="231F20"/>
        </w:rPr>
        <w:t xml:space="preserve"> </w:t>
      </w:r>
      <w:r>
        <w:rPr>
          <w:rFonts w:ascii="Arial" w:cs="Arial" w:eastAsia="Arial" w:hAnsi="Arial"/>
          <w:sz w:val="19"/>
          <w:szCs w:val="19"/>
          <w:color w:val="231F20"/>
        </w:rPr>
        <w:t>career development and training programs. These initiatives are available to all FlyMates, including part-time and contract employees.</w:t>
      </w:r>
    </w:p>
    <w:p>
      <w:pPr>
        <w:spacing w:after="0" w:line="67" w:lineRule="exact"/>
        <w:rPr>
          <w:rFonts w:ascii="Arial" w:cs="Arial" w:eastAsia="Arial" w:hAnsi="Arial"/>
          <w:sz w:val="19"/>
          <w:szCs w:val="19"/>
          <w:color w:val="231F20"/>
        </w:rPr>
      </w:pPr>
    </w:p>
    <w:p>
      <w:pPr>
        <w:ind w:left="920" w:hanging="458"/>
        <w:spacing w:after="0" w:line="260" w:lineRule="auto"/>
        <w:tabs>
          <w:tab w:leader="none" w:pos="920" w:val="left"/>
        </w:tabs>
        <w:numPr>
          <w:ilvl w:val="0"/>
          <w:numId w:val="20"/>
        </w:numPr>
        <w:rPr>
          <w:rFonts w:ascii="Arial" w:cs="Arial" w:eastAsia="Arial" w:hAnsi="Arial"/>
          <w:sz w:val="19"/>
          <w:szCs w:val="19"/>
          <w:color w:val="231F20"/>
        </w:rPr>
      </w:pPr>
      <w:r>
        <w:rPr>
          <w:rFonts w:ascii="Arial" w:cs="Arial" w:eastAsia="Arial" w:hAnsi="Arial"/>
          <w:sz w:val="19"/>
          <w:szCs w:val="19"/>
          <w:b w:val="1"/>
          <w:bCs w:val="1"/>
          <w:color w:val="231F20"/>
        </w:rPr>
        <w:t xml:space="preserve">Social impact and community engagement: </w:t>
      </w:r>
      <w:r>
        <w:rPr>
          <w:rFonts w:ascii="Arial" w:cs="Arial" w:eastAsia="Arial" w:hAnsi="Arial"/>
          <w:sz w:val="19"/>
          <w:szCs w:val="19"/>
          <w:color w:val="231F20"/>
        </w:rPr>
        <w:t>A cornerstone of Flywire's social impact and community</w:t>
      </w:r>
      <w:r>
        <w:rPr>
          <w:rFonts w:ascii="Arial" w:cs="Arial" w:eastAsia="Arial" w:hAnsi="Arial"/>
          <w:sz w:val="19"/>
          <w:szCs w:val="19"/>
          <w:b w:val="1"/>
          <w:bCs w:val="1"/>
          <w:color w:val="231F20"/>
        </w:rPr>
        <w:t xml:space="preserve"> </w:t>
      </w:r>
      <w:r>
        <w:rPr>
          <w:rFonts w:ascii="Arial" w:cs="Arial" w:eastAsia="Arial" w:hAnsi="Arial"/>
          <w:sz w:val="19"/>
          <w:szCs w:val="19"/>
          <w:color w:val="231F20"/>
        </w:rPr>
        <w:t>engagement efforts is responding to local community needs during times of crisis and offering volunteering and other resources to communities where FlyMates live and work.</w:t>
      </w:r>
    </w:p>
    <w:p>
      <w:pPr>
        <w:spacing w:after="0" w:line="67" w:lineRule="exact"/>
        <w:rPr>
          <w:rFonts w:ascii="Arial" w:cs="Arial" w:eastAsia="Arial" w:hAnsi="Arial"/>
          <w:sz w:val="19"/>
          <w:szCs w:val="19"/>
          <w:color w:val="231F20"/>
        </w:rPr>
      </w:pPr>
    </w:p>
    <w:p>
      <w:pPr>
        <w:ind w:left="920" w:right="280" w:hanging="458"/>
        <w:spacing w:after="0" w:line="281" w:lineRule="auto"/>
        <w:tabs>
          <w:tab w:leader="none" w:pos="920" w:val="left"/>
        </w:tabs>
        <w:numPr>
          <w:ilvl w:val="0"/>
          <w:numId w:val="20"/>
        </w:numPr>
        <w:rPr>
          <w:rFonts w:ascii="Arial" w:cs="Arial" w:eastAsia="Arial" w:hAnsi="Arial"/>
          <w:sz w:val="18"/>
          <w:szCs w:val="18"/>
          <w:color w:val="231F20"/>
        </w:rPr>
      </w:pPr>
      <w:r>
        <w:rPr>
          <w:rFonts w:ascii="Arial" w:cs="Arial" w:eastAsia="Arial" w:hAnsi="Arial"/>
          <w:sz w:val="18"/>
          <w:szCs w:val="18"/>
          <w:b w:val="1"/>
          <w:bCs w:val="1"/>
          <w:color w:val="231F20"/>
        </w:rPr>
        <w:t xml:space="preserve">Data privacy, security and compliance: </w:t>
      </w:r>
      <w:r>
        <w:rPr>
          <w:rFonts w:ascii="Arial" w:cs="Arial" w:eastAsia="Arial" w:hAnsi="Arial"/>
          <w:sz w:val="18"/>
          <w:szCs w:val="18"/>
          <w:color w:val="231F20"/>
        </w:rPr>
        <w:t>Flywire’s dedicated compliance and risk management function,</w:t>
      </w:r>
      <w:r>
        <w:rPr>
          <w:rFonts w:ascii="Arial" w:cs="Arial" w:eastAsia="Arial" w:hAnsi="Arial"/>
          <w:sz w:val="18"/>
          <w:szCs w:val="18"/>
          <w:b w:val="1"/>
          <w:bCs w:val="1"/>
          <w:color w:val="231F20"/>
        </w:rPr>
        <w:t xml:space="preserve"> </w:t>
      </w:r>
      <w:r>
        <w:rPr>
          <w:rFonts w:ascii="Arial" w:cs="Arial" w:eastAsia="Arial" w:hAnsi="Arial"/>
          <w:sz w:val="18"/>
          <w:szCs w:val="18"/>
          <w:color w:val="231F20"/>
        </w:rPr>
        <w:t>overseen by our Chief Compliance Officer and Chief Information Security Officer with Board-level oversight, has been built over more than a decade, providing payers and clients confidence in our solutions.</w:t>
      </w:r>
    </w:p>
    <w:p>
      <w:pPr>
        <w:spacing w:after="0" w:line="50" w:lineRule="exact"/>
        <w:rPr>
          <w:rFonts w:ascii="Arial" w:cs="Arial" w:eastAsia="Arial" w:hAnsi="Arial"/>
          <w:sz w:val="18"/>
          <w:szCs w:val="18"/>
          <w:color w:val="231F20"/>
        </w:rPr>
      </w:pPr>
    </w:p>
    <w:p>
      <w:pPr>
        <w:ind w:left="920" w:right="20" w:hanging="458"/>
        <w:spacing w:after="0" w:line="253" w:lineRule="auto"/>
        <w:tabs>
          <w:tab w:leader="none" w:pos="920" w:val="left"/>
        </w:tabs>
        <w:numPr>
          <w:ilvl w:val="0"/>
          <w:numId w:val="20"/>
        </w:numPr>
        <w:rPr>
          <w:rFonts w:ascii="Arial" w:cs="Arial" w:eastAsia="Arial" w:hAnsi="Arial"/>
          <w:sz w:val="19"/>
          <w:szCs w:val="19"/>
          <w:color w:val="231F20"/>
        </w:rPr>
      </w:pPr>
      <w:r>
        <w:rPr>
          <w:rFonts w:ascii="Arial" w:cs="Arial" w:eastAsia="Arial" w:hAnsi="Arial"/>
          <w:sz w:val="19"/>
          <w:szCs w:val="19"/>
          <w:b w:val="1"/>
          <w:bCs w:val="1"/>
          <w:color w:val="231F20"/>
        </w:rPr>
        <w:t xml:space="preserve">Governance and ethics: </w:t>
      </w:r>
      <w:r>
        <w:rPr>
          <w:rFonts w:ascii="Arial" w:cs="Arial" w:eastAsia="Arial" w:hAnsi="Arial"/>
          <w:sz w:val="19"/>
          <w:szCs w:val="19"/>
          <w:color w:val="231F20"/>
        </w:rPr>
        <w:t>Flywire is committed to ethical and compliant business practices and good corporate</w:t>
      </w:r>
      <w:r>
        <w:rPr>
          <w:rFonts w:ascii="Arial" w:cs="Arial" w:eastAsia="Arial" w:hAnsi="Arial"/>
          <w:sz w:val="19"/>
          <w:szCs w:val="19"/>
          <w:b w:val="1"/>
          <w:bCs w:val="1"/>
          <w:color w:val="231F20"/>
        </w:rPr>
        <w:t xml:space="preserve"> </w:t>
      </w:r>
      <w:r>
        <w:rPr>
          <w:rFonts w:ascii="Arial" w:cs="Arial" w:eastAsia="Arial" w:hAnsi="Arial"/>
          <w:sz w:val="19"/>
          <w:szCs w:val="19"/>
          <w:color w:val="231F20"/>
        </w:rPr>
        <w:t>governance for the long-term success of our company and stakeholders. We have a Code of Conduct that is actively enforced and mandatory training across a spectrum of important topics, ranging from anti-money laundering to sexual harassment to information security best practices.</w:t>
      </w:r>
    </w:p>
    <w:p>
      <w:pPr>
        <w:spacing w:after="0" w:line="73" w:lineRule="exact"/>
        <w:rPr>
          <w:rFonts w:ascii="Arial" w:cs="Arial" w:eastAsia="Arial" w:hAnsi="Arial"/>
          <w:sz w:val="19"/>
          <w:szCs w:val="19"/>
          <w:color w:val="231F20"/>
        </w:rPr>
      </w:pPr>
    </w:p>
    <w:p>
      <w:pPr>
        <w:ind w:left="920" w:right="40" w:hanging="458"/>
        <w:spacing w:after="0" w:line="249" w:lineRule="auto"/>
        <w:tabs>
          <w:tab w:leader="none" w:pos="920" w:val="left"/>
        </w:tabs>
        <w:numPr>
          <w:ilvl w:val="0"/>
          <w:numId w:val="20"/>
        </w:numPr>
        <w:rPr>
          <w:rFonts w:ascii="Arial" w:cs="Arial" w:eastAsia="Arial" w:hAnsi="Arial"/>
          <w:sz w:val="19"/>
          <w:szCs w:val="19"/>
          <w:color w:val="231F20"/>
        </w:rPr>
      </w:pPr>
      <w:r>
        <w:rPr>
          <w:rFonts w:ascii="Arial" w:cs="Arial" w:eastAsia="Arial" w:hAnsi="Arial"/>
          <w:sz w:val="19"/>
          <w:szCs w:val="19"/>
          <w:b w:val="1"/>
          <w:bCs w:val="1"/>
          <w:color w:val="231F20"/>
        </w:rPr>
        <w:t xml:space="preserve">Environmental sustainability: </w:t>
      </w:r>
      <w:r>
        <w:rPr>
          <w:rFonts w:ascii="Arial" w:cs="Arial" w:eastAsia="Arial" w:hAnsi="Arial"/>
          <w:sz w:val="19"/>
          <w:szCs w:val="19"/>
          <w:color w:val="231F20"/>
        </w:rPr>
        <w:t>Flywire conducts an annual greenhouse gas emissions audit, over our own</w:t>
      </w:r>
      <w:r>
        <w:rPr>
          <w:rFonts w:ascii="Arial" w:cs="Arial" w:eastAsia="Arial" w:hAnsi="Arial"/>
          <w:sz w:val="19"/>
          <w:szCs w:val="19"/>
          <w:b w:val="1"/>
          <w:bCs w:val="1"/>
          <w:color w:val="231F20"/>
        </w:rPr>
        <w:t xml:space="preserve"> </w:t>
      </w:r>
      <w:r>
        <w:rPr>
          <w:rFonts w:ascii="Arial" w:cs="Arial" w:eastAsia="Arial" w:hAnsi="Arial"/>
          <w:sz w:val="19"/>
          <w:szCs w:val="19"/>
          <w:color w:val="231F20"/>
        </w:rPr>
        <w:t>operations and our most significant value-chain emissions with a vision to reduce our carbon-intensive activities and improve overall energy efficiencies. Our baseline inventory includes Scope 2 and Scope 3 emissions from purchased electricity, purchased goods and services (cloud services only), business travel and employee commuting and telework.</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We have reinforced our commitment to ESG by:</w:t>
      </w:r>
    </w:p>
    <w:p>
      <w:pPr>
        <w:spacing w:after="0" w:line="121" w:lineRule="exact"/>
        <w:rPr>
          <w:sz w:val="20"/>
          <w:szCs w:val="20"/>
          <w:color w:val="auto"/>
        </w:rPr>
      </w:pPr>
    </w:p>
    <w:p>
      <w:pPr>
        <w:ind w:left="920" w:right="260" w:hanging="458"/>
        <w:spacing w:after="0" w:line="253" w:lineRule="auto"/>
        <w:tabs>
          <w:tab w:leader="none" w:pos="920" w:val="left"/>
        </w:tabs>
        <w:numPr>
          <w:ilvl w:val="0"/>
          <w:numId w:val="21"/>
        </w:numPr>
        <w:rPr>
          <w:rFonts w:ascii="Arial" w:cs="Arial" w:eastAsia="Arial" w:hAnsi="Arial"/>
          <w:sz w:val="19"/>
          <w:szCs w:val="19"/>
          <w:color w:val="231F20"/>
        </w:rPr>
      </w:pPr>
      <w:r>
        <w:rPr>
          <w:rFonts w:ascii="Arial" w:cs="Arial" w:eastAsia="Arial" w:hAnsi="Arial"/>
          <w:sz w:val="19"/>
          <w:szCs w:val="19"/>
          <w:b w:val="1"/>
          <w:bCs w:val="1"/>
          <w:color w:val="231F20"/>
        </w:rPr>
        <w:t xml:space="preserve">Codifying ESG as a strategic priority and establishing new management and oversight of ESG priorities. </w:t>
      </w:r>
      <w:r>
        <w:rPr>
          <w:rFonts w:ascii="Arial" w:cs="Arial" w:eastAsia="Arial" w:hAnsi="Arial"/>
          <w:sz w:val="19"/>
          <w:szCs w:val="19"/>
          <w:color w:val="231F20"/>
        </w:rPr>
        <w:t>The Nominating and Corporate Governance Committee of Flywire’s Board of Directors is</w:t>
      </w:r>
      <w:r>
        <w:rPr>
          <w:rFonts w:ascii="Arial" w:cs="Arial" w:eastAsia="Arial" w:hAnsi="Arial"/>
          <w:sz w:val="19"/>
          <w:szCs w:val="19"/>
          <w:b w:val="1"/>
          <w:bCs w:val="1"/>
          <w:color w:val="231F20"/>
        </w:rPr>
        <w:t xml:space="preserve"> </w:t>
      </w:r>
      <w:r>
        <w:rPr>
          <w:rFonts w:ascii="Arial" w:cs="Arial" w:eastAsia="Arial" w:hAnsi="Arial"/>
          <w:sz w:val="19"/>
          <w:szCs w:val="19"/>
          <w:color w:val="231F20"/>
        </w:rPr>
        <w:t>responsible for the oversight of company ESG initiatives, supported by Co-Executive Sponsors and a cross-functional task force of employees that comprise the ESG disclosure committee.</w:t>
      </w:r>
    </w:p>
    <w:p>
      <w:pPr>
        <w:spacing w:after="0" w:line="73" w:lineRule="exact"/>
        <w:rPr>
          <w:rFonts w:ascii="Arial" w:cs="Arial" w:eastAsia="Arial" w:hAnsi="Arial"/>
          <w:sz w:val="19"/>
          <w:szCs w:val="19"/>
          <w:color w:val="231F20"/>
        </w:rPr>
      </w:pPr>
    </w:p>
    <w:p>
      <w:pPr>
        <w:ind w:left="920" w:right="20" w:hanging="458"/>
        <w:spacing w:after="0" w:line="312" w:lineRule="auto"/>
        <w:tabs>
          <w:tab w:leader="none" w:pos="920" w:val="left"/>
        </w:tabs>
        <w:numPr>
          <w:ilvl w:val="0"/>
          <w:numId w:val="21"/>
        </w:numPr>
        <w:rPr>
          <w:rFonts w:ascii="Arial" w:cs="Arial" w:eastAsia="Arial" w:hAnsi="Arial"/>
          <w:sz w:val="18"/>
          <w:szCs w:val="18"/>
          <w:color w:val="231F20"/>
        </w:rPr>
      </w:pPr>
      <w:r>
        <w:rPr>
          <w:rFonts w:ascii="Arial" w:cs="Arial" w:eastAsia="Arial" w:hAnsi="Arial"/>
          <w:sz w:val="18"/>
          <w:szCs w:val="18"/>
          <w:b w:val="1"/>
          <w:bCs w:val="1"/>
          <w:color w:val="231F20"/>
        </w:rPr>
        <w:t xml:space="preserve">Supporting and growing our Flywire ERGs </w:t>
      </w:r>
      <w:r>
        <w:rPr>
          <w:rFonts w:ascii="Arial" w:cs="Arial" w:eastAsia="Arial" w:hAnsi="Arial"/>
          <w:sz w:val="18"/>
          <w:szCs w:val="18"/>
          <w:color w:val="231F20"/>
        </w:rPr>
        <w:t>to better serve our diverse, global community of FlyMates where</w:t>
      </w:r>
      <w:r>
        <w:rPr>
          <w:rFonts w:ascii="Arial" w:cs="Arial" w:eastAsia="Arial" w:hAnsi="Arial"/>
          <w:sz w:val="18"/>
          <w:szCs w:val="18"/>
          <w:b w:val="1"/>
          <w:bCs w:val="1"/>
          <w:color w:val="231F20"/>
        </w:rPr>
        <w:t xml:space="preserve"> </w:t>
      </w:r>
      <w:r>
        <w:rPr>
          <w:rFonts w:ascii="Arial" w:cs="Arial" w:eastAsia="Arial" w:hAnsi="Arial"/>
          <w:sz w:val="18"/>
          <w:szCs w:val="18"/>
          <w:color w:val="231F20"/>
        </w:rPr>
        <w:t>they live and work, and to deliver inclusive and compelling experiences that engage and care for FlyMates.</w:t>
      </w:r>
    </w:p>
    <w:p>
      <w:pPr>
        <w:spacing w:after="0" w:line="22" w:lineRule="exact"/>
        <w:rPr>
          <w:rFonts w:ascii="Arial" w:cs="Arial" w:eastAsia="Arial" w:hAnsi="Arial"/>
          <w:sz w:val="18"/>
          <w:szCs w:val="18"/>
          <w:color w:val="231F20"/>
        </w:rPr>
      </w:pPr>
    </w:p>
    <w:p>
      <w:pPr>
        <w:ind w:left="920" w:right="520" w:hanging="458"/>
        <w:spacing w:after="0" w:line="283" w:lineRule="auto"/>
        <w:tabs>
          <w:tab w:leader="none" w:pos="920" w:val="left"/>
        </w:tabs>
        <w:numPr>
          <w:ilvl w:val="0"/>
          <w:numId w:val="21"/>
        </w:numPr>
        <w:rPr>
          <w:rFonts w:ascii="Arial" w:cs="Arial" w:eastAsia="Arial" w:hAnsi="Arial"/>
          <w:sz w:val="19"/>
          <w:szCs w:val="19"/>
          <w:color w:val="231F20"/>
        </w:rPr>
      </w:pPr>
      <w:r>
        <w:rPr>
          <w:rFonts w:ascii="Arial" w:cs="Arial" w:eastAsia="Arial" w:hAnsi="Arial"/>
          <w:sz w:val="19"/>
          <w:szCs w:val="19"/>
          <w:b w:val="1"/>
          <w:bCs w:val="1"/>
          <w:color w:val="231F20"/>
        </w:rPr>
        <w:t xml:space="preserve">Enhancing our career development and skills training policies </w:t>
      </w:r>
      <w:r>
        <w:rPr>
          <w:rFonts w:ascii="Arial" w:cs="Arial" w:eastAsia="Arial" w:hAnsi="Arial"/>
          <w:sz w:val="19"/>
          <w:szCs w:val="19"/>
          <w:color w:val="231F20"/>
        </w:rPr>
        <w:t>by offering new programs focused on</w:t>
      </w:r>
      <w:r>
        <w:rPr>
          <w:rFonts w:ascii="Arial" w:cs="Arial" w:eastAsia="Arial" w:hAnsi="Arial"/>
          <w:sz w:val="19"/>
          <w:szCs w:val="19"/>
          <w:b w:val="1"/>
          <w:bCs w:val="1"/>
          <w:color w:val="231F20"/>
        </w:rPr>
        <w:t xml:space="preserve"> </w:t>
      </w:r>
      <w:r>
        <w:rPr>
          <w:rFonts w:ascii="Arial" w:cs="Arial" w:eastAsia="Arial" w:hAnsi="Arial"/>
          <w:sz w:val="19"/>
          <w:szCs w:val="19"/>
          <w:color w:val="231F20"/>
        </w:rPr>
        <w:t>enriching FlyMates’ careers and growing them both personally and professionally.</w:t>
      </w:r>
    </w:p>
    <w:p>
      <w:pPr>
        <w:spacing w:after="0" w:line="45" w:lineRule="exact"/>
        <w:rPr>
          <w:rFonts w:ascii="Arial" w:cs="Arial" w:eastAsia="Arial" w:hAnsi="Arial"/>
          <w:sz w:val="19"/>
          <w:szCs w:val="19"/>
          <w:color w:val="231F20"/>
        </w:rPr>
      </w:pPr>
    </w:p>
    <w:p>
      <w:pPr>
        <w:ind w:left="920" w:right="120" w:hanging="458"/>
        <w:spacing w:after="0" w:line="260" w:lineRule="auto"/>
        <w:tabs>
          <w:tab w:leader="none" w:pos="920" w:val="left"/>
        </w:tabs>
        <w:numPr>
          <w:ilvl w:val="0"/>
          <w:numId w:val="21"/>
        </w:numPr>
        <w:rPr>
          <w:rFonts w:ascii="Arial" w:cs="Arial" w:eastAsia="Arial" w:hAnsi="Arial"/>
          <w:sz w:val="19"/>
          <w:szCs w:val="19"/>
          <w:color w:val="231F20"/>
        </w:rPr>
      </w:pPr>
      <w:r>
        <w:rPr>
          <w:rFonts w:ascii="Arial" w:cs="Arial" w:eastAsia="Arial" w:hAnsi="Arial"/>
          <w:sz w:val="19"/>
          <w:szCs w:val="19"/>
          <w:b w:val="1"/>
          <w:bCs w:val="1"/>
          <w:color w:val="231F20"/>
        </w:rPr>
        <w:t xml:space="preserve">Maximizing our social impact initiatives </w:t>
      </w:r>
      <w:r>
        <w:rPr>
          <w:rFonts w:ascii="Arial" w:cs="Arial" w:eastAsia="Arial" w:hAnsi="Arial"/>
          <w:sz w:val="19"/>
          <w:szCs w:val="19"/>
          <w:color w:val="231F20"/>
        </w:rPr>
        <w:t>through purposeful philanthropy to non-profit organizations around</w:t>
      </w:r>
      <w:r>
        <w:rPr>
          <w:rFonts w:ascii="Arial" w:cs="Arial" w:eastAsia="Arial" w:hAnsi="Arial"/>
          <w:sz w:val="19"/>
          <w:szCs w:val="19"/>
          <w:b w:val="1"/>
          <w:bCs w:val="1"/>
          <w:color w:val="231F20"/>
        </w:rPr>
        <w:t xml:space="preserve"> </w:t>
      </w:r>
      <w:r>
        <w:rPr>
          <w:rFonts w:ascii="Arial" w:cs="Arial" w:eastAsia="Arial" w:hAnsi="Arial"/>
          <w:sz w:val="19"/>
          <w:szCs w:val="19"/>
          <w:color w:val="231F20"/>
        </w:rPr>
        <w:t>the world from the Flywire Foundation, and by launching our first-ever corporate matching program to help FlyMates amplify the support they provide to non-profits of their choice.</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Corporate Information</w:t>
      </w:r>
    </w:p>
    <w:p>
      <w:pPr>
        <w:spacing w:after="0" w:line="192" w:lineRule="exact"/>
        <w:rPr>
          <w:sz w:val="20"/>
          <w:szCs w:val="20"/>
          <w:color w:val="auto"/>
        </w:rPr>
      </w:pPr>
    </w:p>
    <w:p>
      <w:pPr>
        <w:ind w:firstLine="463"/>
        <w:spacing w:after="0" w:line="248" w:lineRule="auto"/>
        <w:rPr>
          <w:sz w:val="20"/>
          <w:szCs w:val="20"/>
          <w:color w:val="auto"/>
        </w:rPr>
      </w:pPr>
      <w:r>
        <w:rPr>
          <w:rFonts w:ascii="Arial" w:cs="Arial" w:eastAsia="Arial" w:hAnsi="Arial"/>
          <w:sz w:val="19"/>
          <w:szCs w:val="19"/>
          <w:color w:val="231F20"/>
        </w:rPr>
        <w:t>We were initially formed in July 2009 as peerTransfer Corporation, a Delaware corporation. We changed our name to Flywire Corporation in December 2016. Our principal executive offices are located at 141 Tremont St., #10, Boston, MA 02111. Our telephone number is (617) 329-4524. Our internet address is www.flywire.com. The information contained on, or that can be accessed through, our website is not a part of this Annual Report on Form 10-K. We have included our website address as an inactive textual reference only.</w:t>
      </w:r>
    </w:p>
    <w:p>
      <w:pPr>
        <w:spacing w:after="0" w:line="146" w:lineRule="exact"/>
        <w:rPr>
          <w:sz w:val="20"/>
          <w:szCs w:val="20"/>
          <w:color w:val="auto"/>
        </w:rPr>
      </w:pPr>
    </w:p>
    <w:p>
      <w:pPr>
        <w:ind w:right="40" w:firstLine="463"/>
        <w:spacing w:after="0" w:line="243" w:lineRule="auto"/>
        <w:rPr>
          <w:sz w:val="20"/>
          <w:szCs w:val="20"/>
          <w:color w:val="auto"/>
        </w:rPr>
      </w:pPr>
      <w:r>
        <w:rPr>
          <w:rFonts w:ascii="Arial" w:cs="Arial" w:eastAsia="Arial" w:hAnsi="Arial"/>
          <w:sz w:val="19"/>
          <w:szCs w:val="19"/>
          <w:color w:val="231F20"/>
        </w:rPr>
        <w:t>Flywire, the Flywire logo, and other registered or common law trade names, trademarks, or service marks of Flywire appearing in this Annual Report on Form 10-K are the property of Flywire. This Annual Report on Form 10-K contains additional trade names, trademarks, and service marks of ours and of other companies. We do not intend our use or display of other companies’ trade names, trademarks, or service marks to imply a relationship with, or endorsement or sponsorship of us, by these other companies. Other trademarks appearing in this Annual Report on Form 10-K are the property of their respective holders. Solely for convenience, our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Available Information</w:t>
      </w:r>
    </w:p>
    <w:p>
      <w:pPr>
        <w:sectPr>
          <w:pgSz w:w="12240" w:h="15840" w:orient="portrait"/>
          <w:cols w:equalWidth="0" w:num="1">
            <w:col w:w="10180"/>
          </w:cols>
          <w:pgMar w:left="1020" w:top="1440" w:right="1040" w:bottom="595"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26</w:t>
      </w:r>
    </w:p>
    <w:p>
      <w:pPr>
        <w:sectPr>
          <w:pgSz w:w="12240" w:h="15840" w:orient="portrait"/>
          <w:cols w:equalWidth="0" w:num="1">
            <w:col w:w="10180"/>
          </w:cols>
          <w:pgMar w:left="1020" w:top="1440" w:right="1040" w:bottom="595" w:gutter="0" w:footer="0" w:header="0"/>
          <w:type w:val="continuous"/>
        </w:sectPr>
      </w:pPr>
    </w:p>
    <w:bookmarkStart w:id="27" w:name="page28"/>
    <w:bookmarkEnd w:id="27"/>
    <w:p>
      <w:pPr>
        <w:spacing w:after="0" w:line="97" w:lineRule="exact"/>
        <w:rPr>
          <w:sz w:val="20"/>
          <w:szCs w:val="20"/>
          <w:color w:val="auto"/>
        </w:rPr>
      </w:pPr>
    </w:p>
    <w:p>
      <w:pPr>
        <w:ind w:firstLine="463"/>
        <w:spacing w:after="0" w:line="248" w:lineRule="auto"/>
        <w:rPr>
          <w:sz w:val="20"/>
          <w:szCs w:val="20"/>
          <w:color w:val="auto"/>
        </w:rPr>
      </w:pPr>
      <w:r>
        <w:rPr>
          <w:rFonts w:ascii="Arial" w:cs="Arial" w:eastAsia="Arial" w:hAnsi="Arial"/>
          <w:sz w:val="19"/>
          <w:szCs w:val="19"/>
          <w:color w:val="231F20"/>
        </w:rPr>
        <w:t>We make available free of charge, on our website (www.flywire.com),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SEC maintains an internet site that contains reports, proxy and information statements, and other information regarding issuers that file electronically with the SEC at http://www.sec.gov.</w:t>
      </w:r>
    </w:p>
    <w:p>
      <w:pPr>
        <w:spacing w:after="0" w:line="146" w:lineRule="exact"/>
        <w:rPr>
          <w:sz w:val="20"/>
          <w:szCs w:val="20"/>
          <w:color w:val="auto"/>
        </w:rPr>
      </w:pPr>
    </w:p>
    <w:p>
      <w:pPr>
        <w:ind w:right="80" w:firstLine="463"/>
        <w:spacing w:after="0" w:line="248" w:lineRule="auto"/>
        <w:rPr>
          <w:sz w:val="20"/>
          <w:szCs w:val="20"/>
          <w:color w:val="auto"/>
        </w:rPr>
      </w:pPr>
      <w:r>
        <w:rPr>
          <w:rFonts w:ascii="Arial" w:cs="Arial" w:eastAsia="Arial" w:hAnsi="Arial"/>
          <w:sz w:val="19"/>
          <w:szCs w:val="19"/>
          <w:color w:val="231F20"/>
        </w:rPr>
        <w:t>Investors, the media, and others should note that we intend to announce material information to the public through filings with the SEC, the investor relations page on our website (https://ir.flywire.com), blog posts on our website, press releases, public conference calls, webcasts, and social media channels, including our X (formerly known as Twitter) feed (@flywire), Facebook page (https://www.facebook.com/Flywire) and LinkedIn page (https://www.linkedin.com/company/flywire).</w:t>
      </w:r>
    </w:p>
    <w:p>
      <w:pPr>
        <w:spacing w:after="0" w:line="146" w:lineRule="exact"/>
        <w:rPr>
          <w:sz w:val="20"/>
          <w:szCs w:val="20"/>
          <w:color w:val="auto"/>
        </w:rPr>
      </w:pPr>
    </w:p>
    <w:p>
      <w:pPr>
        <w:ind w:right="80" w:firstLine="463"/>
        <w:spacing w:after="0" w:line="246" w:lineRule="auto"/>
        <w:rPr>
          <w:sz w:val="20"/>
          <w:szCs w:val="20"/>
          <w:color w:val="auto"/>
        </w:rPr>
      </w:pPr>
      <w:r>
        <w:rPr>
          <w:rFonts w:ascii="Arial" w:cs="Arial" w:eastAsia="Arial" w:hAnsi="Arial"/>
          <w:sz w:val="19"/>
          <w:szCs w:val="19"/>
          <w:color w:val="231F20"/>
        </w:rPr>
        <w:t>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sectPr>
          <w:pgSz w:w="12240" w:h="15840" w:orient="portrait"/>
          <w:cols w:equalWidth="0" w:num="1">
            <w:col w:w="10140"/>
          </w:cols>
          <w:pgMar w:left="1020" w:top="1440" w:right="108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231F20"/>
        </w:rPr>
        <w:t>27</w:t>
      </w:r>
    </w:p>
    <w:p>
      <w:pPr>
        <w:sectPr>
          <w:pgSz w:w="12240" w:h="15840" w:orient="portrait"/>
          <w:cols w:equalWidth="0" w:num="1">
            <w:col w:w="10140"/>
          </w:cols>
          <w:pgMar w:left="1020" w:top="1440" w:right="1080" w:bottom="595" w:gutter="0" w:footer="0" w:header="0"/>
          <w:type w:val="continuous"/>
        </w:sectPr>
      </w:pPr>
    </w:p>
    <w:bookmarkStart w:id="28" w:name="page29"/>
    <w:bookmarkEnd w:id="28"/>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1A. Risk Factors</w:t>
      </w:r>
    </w:p>
    <w:p>
      <w:pPr>
        <w:spacing w:after="0" w:line="200" w:lineRule="exact"/>
        <w:rPr>
          <w:sz w:val="20"/>
          <w:szCs w:val="20"/>
          <w:color w:val="auto"/>
        </w:rPr>
      </w:pPr>
    </w:p>
    <w:p>
      <w:pPr>
        <w:ind w:firstLine="463"/>
        <w:spacing w:after="0" w:line="242" w:lineRule="auto"/>
        <w:rPr>
          <w:sz w:val="20"/>
          <w:szCs w:val="20"/>
          <w:color w:val="auto"/>
        </w:rPr>
      </w:pPr>
      <w:r>
        <w:rPr>
          <w:rFonts w:ascii="Arial" w:cs="Arial" w:eastAsia="Arial" w:hAnsi="Arial"/>
          <w:sz w:val="19"/>
          <w:szCs w:val="19"/>
          <w:i w:val="1"/>
          <w:iCs w:val="1"/>
          <w:color w:val="231F20"/>
        </w:rPr>
        <w:t>Investing in our common stock involves a high degree of risk. Before deciding whether to invest in shares of our common stock, you should consider carefully the risks and uncertainties described below, together with all of the other information in this Annual Report on Form 10-K, including “Management’s Discussion and Analysis of Financial Condition and Results of Operations” and our consolidated financial statements and the accompanying notes included elsewhere in this Annual Report on Form 10-K.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 Factors Summary</w:t>
      </w:r>
    </w:p>
    <w:p>
      <w:pPr>
        <w:spacing w:after="0" w:line="192" w:lineRule="exact"/>
        <w:rPr>
          <w:sz w:val="20"/>
          <w:szCs w:val="20"/>
          <w:color w:val="auto"/>
        </w:rPr>
      </w:pPr>
    </w:p>
    <w:p>
      <w:pPr>
        <w:ind w:right="100" w:firstLine="463"/>
        <w:spacing w:after="0" w:line="278" w:lineRule="auto"/>
        <w:rPr>
          <w:sz w:val="20"/>
          <w:szCs w:val="20"/>
          <w:color w:val="auto"/>
        </w:rPr>
      </w:pPr>
      <w:r>
        <w:rPr>
          <w:rFonts w:ascii="Arial" w:cs="Arial" w:eastAsia="Arial" w:hAnsi="Arial"/>
          <w:sz w:val="19"/>
          <w:szCs w:val="19"/>
          <w:color w:val="231F20"/>
        </w:rPr>
        <w:t>The summary of risks below is intended to provide an overview of the risks we face and should not be considered a substitute for the more fulsome risk factors discussed immediately following this summary.</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Risks Related to Our Business and Industry</w:t>
      </w:r>
    </w:p>
    <w:p>
      <w:pPr>
        <w:spacing w:after="0" w:line="196" w:lineRule="exact"/>
        <w:rPr>
          <w:sz w:val="20"/>
          <w:szCs w:val="20"/>
          <w:color w:val="auto"/>
        </w:rPr>
      </w:pPr>
    </w:p>
    <w:p>
      <w:pPr>
        <w:ind w:left="800" w:hanging="229"/>
        <w:spacing w:after="0"/>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We have a history of operating losses and may not achieve or sustain profitability in the future.</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We have a short operating history at our current scale in a rapidly evolving industry.</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We may experience quarterly fluctuations in operating results.</w:t>
      </w:r>
    </w:p>
    <w:p>
      <w:pPr>
        <w:spacing w:after="0" w:line="200" w:lineRule="exact"/>
        <w:rPr>
          <w:rFonts w:ascii="Arial" w:cs="Arial" w:eastAsia="Arial" w:hAnsi="Arial"/>
          <w:sz w:val="19"/>
          <w:szCs w:val="19"/>
          <w:color w:val="231F20"/>
        </w:rPr>
      </w:pPr>
    </w:p>
    <w:p>
      <w:pPr>
        <w:ind w:left="800" w:right="540" w:hanging="229"/>
        <w:spacing w:after="0" w:line="278" w:lineRule="auto"/>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We may be unable to retain our current clients, attract new clients, and increase the number of our clients’ customers that use our solutions or sell additional functionality to our clients.</w:t>
      </w:r>
    </w:p>
    <w:p>
      <w:pPr>
        <w:spacing w:after="0" w:line="129" w:lineRule="exact"/>
        <w:rPr>
          <w:rFonts w:ascii="Arial" w:cs="Arial" w:eastAsia="Arial" w:hAnsi="Arial"/>
          <w:sz w:val="19"/>
          <w:szCs w:val="19"/>
          <w:color w:val="231F20"/>
        </w:rPr>
      </w:pPr>
    </w:p>
    <w:p>
      <w:pPr>
        <w:ind w:left="800" w:right="360" w:hanging="229"/>
        <w:spacing w:after="0" w:line="278" w:lineRule="auto"/>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Our operational and business portfolio reviews may not result in improvements to our financial performance, strategy, or operations.</w:t>
      </w:r>
    </w:p>
    <w:p>
      <w:pPr>
        <w:spacing w:after="0" w:line="129" w:lineRule="exact"/>
        <w:rPr>
          <w:rFonts w:ascii="Arial" w:cs="Arial" w:eastAsia="Arial" w:hAnsi="Arial"/>
          <w:sz w:val="19"/>
          <w:szCs w:val="19"/>
          <w:color w:val="231F20"/>
        </w:rPr>
      </w:pPr>
    </w:p>
    <w:p>
      <w:pPr>
        <w:ind w:left="800" w:right="140" w:hanging="229"/>
        <w:spacing w:after="0" w:line="278" w:lineRule="auto"/>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We may be unable to expand our direct and channel sales capabilities, grow our marketing reach and increase sales productivity.</w:t>
      </w:r>
    </w:p>
    <w:p>
      <w:pPr>
        <w:spacing w:after="0" w:line="129" w:lineRule="exact"/>
        <w:rPr>
          <w:rFonts w:ascii="Arial" w:cs="Arial" w:eastAsia="Arial" w:hAnsi="Arial"/>
          <w:sz w:val="19"/>
          <w:szCs w:val="19"/>
          <w:color w:val="231F20"/>
        </w:rPr>
      </w:pPr>
    </w:p>
    <w:p>
      <w:pPr>
        <w:ind w:left="800" w:right="320" w:hanging="229"/>
        <w:spacing w:after="0" w:line="278" w:lineRule="auto"/>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We expect our revenue mix to vary over time, which could affect our gross profit, gross margin and results of operations.</w:t>
      </w:r>
    </w:p>
    <w:p>
      <w:pPr>
        <w:spacing w:after="0" w:line="129" w:lineRule="exact"/>
        <w:rPr>
          <w:rFonts w:ascii="Arial" w:cs="Arial" w:eastAsia="Arial" w:hAnsi="Arial"/>
          <w:sz w:val="19"/>
          <w:szCs w:val="19"/>
          <w:color w:val="231F20"/>
        </w:rPr>
      </w:pPr>
    </w:p>
    <w:p>
      <w:pPr>
        <w:ind w:left="800" w:hanging="229"/>
        <w:spacing w:after="0" w:line="258" w:lineRule="auto"/>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Our business could be adversely affected if our clients and their customers are not satisfied with the timing or quality of implementation services provided by us or our partners, or our ability to meet service levels to allow for timely payment processing due to system downtime or other factors.</w:t>
      </w:r>
    </w:p>
    <w:p>
      <w:pPr>
        <w:spacing w:after="0" w:line="148" w:lineRule="exact"/>
        <w:rPr>
          <w:rFonts w:ascii="Arial" w:cs="Arial" w:eastAsia="Arial" w:hAnsi="Arial"/>
          <w:sz w:val="19"/>
          <w:szCs w:val="19"/>
          <w:color w:val="231F20"/>
        </w:rPr>
      </w:pPr>
    </w:p>
    <w:p>
      <w:pPr>
        <w:ind w:left="800" w:hanging="229"/>
        <w:spacing w:after="0"/>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Our financial and operating results are subject to seasonality and cyclicality.</w:t>
      </w:r>
    </w:p>
    <w:p>
      <w:pPr>
        <w:spacing w:after="0" w:line="200" w:lineRule="exact"/>
        <w:rPr>
          <w:rFonts w:ascii="Arial" w:cs="Arial" w:eastAsia="Arial" w:hAnsi="Arial"/>
          <w:sz w:val="19"/>
          <w:szCs w:val="19"/>
          <w:color w:val="231F20"/>
        </w:rPr>
      </w:pPr>
    </w:p>
    <w:p>
      <w:pPr>
        <w:ind w:left="800" w:right="40" w:hanging="229"/>
        <w:spacing w:after="0" w:line="278" w:lineRule="auto"/>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We are exposed to fluctuations in foreign currency exchange rates that could materially and adversely affect our cash flows and results of operations.</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Certain of our key performance indicators are subject to inherent challenges in measurement.</w:t>
      </w:r>
    </w:p>
    <w:p>
      <w:pPr>
        <w:spacing w:after="0" w:line="200" w:lineRule="exact"/>
        <w:rPr>
          <w:rFonts w:ascii="Arial" w:cs="Arial" w:eastAsia="Arial" w:hAnsi="Arial"/>
          <w:sz w:val="19"/>
          <w:szCs w:val="19"/>
          <w:color w:val="231F20"/>
        </w:rPr>
      </w:pPr>
    </w:p>
    <w:p>
      <w:pPr>
        <w:ind w:left="800" w:right="220" w:hanging="229"/>
        <w:spacing w:after="0" w:line="278" w:lineRule="auto"/>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Our business depends, in large part, on our proprietary network of global, regional, and local banking partners and our relationships with other third parties.</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Our markets are highly competitive.</w:t>
      </w:r>
    </w:p>
    <w:p>
      <w:pPr>
        <w:spacing w:after="0" w:line="200" w:lineRule="exact"/>
        <w:rPr>
          <w:rFonts w:ascii="Arial" w:cs="Arial" w:eastAsia="Arial" w:hAnsi="Arial"/>
          <w:sz w:val="19"/>
          <w:szCs w:val="19"/>
          <w:color w:val="231F20"/>
        </w:rPr>
      </w:pPr>
    </w:p>
    <w:p>
      <w:pPr>
        <w:ind w:left="800" w:right="180" w:hanging="229"/>
        <w:spacing w:after="0" w:line="278" w:lineRule="auto"/>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The estimates of market opportunity and our ability to capture a meaningful share of this payment volume may prove to be inaccurate.</w:t>
      </w:r>
    </w:p>
    <w:p>
      <w:pPr>
        <w:spacing w:after="0" w:line="129" w:lineRule="exact"/>
        <w:rPr>
          <w:rFonts w:ascii="Arial" w:cs="Arial" w:eastAsia="Arial" w:hAnsi="Arial"/>
          <w:sz w:val="19"/>
          <w:szCs w:val="19"/>
          <w:color w:val="231F20"/>
        </w:rPr>
      </w:pPr>
    </w:p>
    <w:p>
      <w:pPr>
        <w:ind w:left="800" w:right="400" w:hanging="229"/>
        <w:spacing w:after="0" w:line="278" w:lineRule="auto"/>
        <w:tabs>
          <w:tab w:leader="none" w:pos="8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Our education business may be adversely affected by decreases in enrollment or tuition, limitations or other restrictions on student visas to international students or increased operating expenses for our clients.</w:t>
      </w:r>
    </w:p>
    <w:p>
      <w:pPr>
        <w:sectPr>
          <w:pgSz w:w="12240" w:h="15840" w:orient="portrait"/>
          <w:cols w:equalWidth="0" w:num="1">
            <w:col w:w="10180"/>
          </w:cols>
          <w:pgMar w:left="1020" w:top="1440" w:right="1040" w:bottom="595"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28</w:t>
      </w:r>
    </w:p>
    <w:p>
      <w:pPr>
        <w:sectPr>
          <w:pgSz w:w="12240" w:h="15840" w:orient="portrait"/>
          <w:cols w:equalWidth="0" w:num="1">
            <w:col w:w="10180"/>
          </w:cols>
          <w:pgMar w:left="1020" w:top="1440" w:right="1040" w:bottom="595" w:gutter="0" w:footer="0" w:header="0"/>
          <w:type w:val="continuous"/>
        </w:sectPr>
      </w:pPr>
    </w:p>
    <w:bookmarkStart w:id="29" w:name="page30"/>
    <w:bookmarkEnd w:id="29"/>
    <w:p>
      <w:pPr>
        <w:spacing w:after="0" w:line="109" w:lineRule="exact"/>
        <w:rPr>
          <w:sz w:val="20"/>
          <w:szCs w:val="20"/>
          <w:color w:val="auto"/>
        </w:rPr>
      </w:pPr>
    </w:p>
    <w:p>
      <w:pPr>
        <w:ind w:left="800" w:hanging="229"/>
        <w:spacing w:after="0"/>
        <w:tabs>
          <w:tab w:leader="none" w:pos="800" w:val="left"/>
        </w:tabs>
        <w:numPr>
          <w:ilvl w:val="0"/>
          <w:numId w:val="23"/>
        </w:numPr>
        <w:rPr>
          <w:rFonts w:ascii="Arial" w:cs="Arial" w:eastAsia="Arial" w:hAnsi="Arial"/>
          <w:sz w:val="19"/>
          <w:szCs w:val="19"/>
          <w:color w:val="231F20"/>
        </w:rPr>
      </w:pPr>
      <w:r>
        <w:rPr>
          <w:rFonts w:ascii="Arial" w:cs="Arial" w:eastAsia="Arial" w:hAnsi="Arial"/>
          <w:sz w:val="19"/>
          <w:szCs w:val="19"/>
          <w:color w:val="231F20"/>
        </w:rPr>
        <w:t>The healthcare industry is rapidly evolving.</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23"/>
        </w:numPr>
        <w:rPr>
          <w:rFonts w:ascii="Arial" w:cs="Arial" w:eastAsia="Arial" w:hAnsi="Arial"/>
          <w:sz w:val="19"/>
          <w:szCs w:val="19"/>
          <w:color w:val="231F20"/>
        </w:rPr>
      </w:pPr>
      <w:r>
        <w:rPr>
          <w:rFonts w:ascii="Arial" w:cs="Arial" w:eastAsia="Arial" w:hAnsi="Arial"/>
          <w:sz w:val="19"/>
          <w:szCs w:val="19"/>
          <w:color w:val="231F20"/>
        </w:rPr>
        <w:t>Our travel business may be sensitive to events affecting the travel industry in general.</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23"/>
        </w:numPr>
        <w:rPr>
          <w:rFonts w:ascii="Arial" w:cs="Arial" w:eastAsia="Arial" w:hAnsi="Arial"/>
          <w:sz w:val="19"/>
          <w:szCs w:val="19"/>
          <w:color w:val="231F20"/>
        </w:rPr>
      </w:pPr>
      <w:r>
        <w:rPr>
          <w:rFonts w:ascii="Arial" w:cs="Arial" w:eastAsia="Arial" w:hAnsi="Arial"/>
          <w:sz w:val="19"/>
          <w:szCs w:val="19"/>
          <w:color w:val="231F20"/>
        </w:rPr>
        <w:t>We may be unable to enter or expand into new verticals or sub-verticals, including our B2B vertical.</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23"/>
        </w:numPr>
        <w:rPr>
          <w:rFonts w:ascii="Arial" w:cs="Arial" w:eastAsia="Arial" w:hAnsi="Arial"/>
          <w:sz w:val="19"/>
          <w:szCs w:val="19"/>
          <w:color w:val="231F20"/>
        </w:rPr>
      </w:pPr>
      <w:r>
        <w:rPr>
          <w:rFonts w:ascii="Arial" w:cs="Arial" w:eastAsia="Arial" w:hAnsi="Arial"/>
          <w:sz w:val="19"/>
          <w:szCs w:val="19"/>
          <w:color w:val="231F20"/>
        </w:rPr>
        <w:t>There could be consolidation in the payment processing or enablement industry.</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23"/>
        </w:numPr>
        <w:rPr>
          <w:rFonts w:ascii="Arial" w:cs="Arial" w:eastAsia="Arial" w:hAnsi="Arial"/>
          <w:sz w:val="19"/>
          <w:szCs w:val="19"/>
          <w:color w:val="231F20"/>
        </w:rPr>
      </w:pPr>
      <w:r>
        <w:rPr>
          <w:rFonts w:ascii="Arial" w:cs="Arial" w:eastAsia="Arial" w:hAnsi="Arial"/>
          <w:sz w:val="19"/>
          <w:szCs w:val="19"/>
          <w:color w:val="231F20"/>
        </w:rPr>
        <w:t>We may be adversely impacted by worldwide global economic and political instability.</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Risks Related to Our Operations</w:t>
      </w:r>
    </w:p>
    <w:p>
      <w:pPr>
        <w:spacing w:after="0" w:line="196" w:lineRule="exact"/>
        <w:rPr>
          <w:sz w:val="20"/>
          <w:szCs w:val="20"/>
          <w:color w:val="auto"/>
        </w:rPr>
      </w:pPr>
    </w:p>
    <w:p>
      <w:pPr>
        <w:ind w:left="800" w:hanging="229"/>
        <w:spacing w:after="0"/>
        <w:tabs>
          <w:tab w:leader="none" w:pos="800" w:val="left"/>
        </w:tabs>
        <w:numPr>
          <w:ilvl w:val="0"/>
          <w:numId w:val="24"/>
        </w:numPr>
        <w:rPr>
          <w:rFonts w:ascii="Arial" w:cs="Arial" w:eastAsia="Arial" w:hAnsi="Arial"/>
          <w:sz w:val="19"/>
          <w:szCs w:val="19"/>
          <w:color w:val="231F20"/>
        </w:rPr>
      </w:pPr>
      <w:r>
        <w:rPr>
          <w:rFonts w:ascii="Arial" w:cs="Arial" w:eastAsia="Arial" w:hAnsi="Arial"/>
          <w:sz w:val="19"/>
          <w:szCs w:val="19"/>
          <w:color w:val="231F20"/>
        </w:rPr>
        <w:t>We may not be able to scale our business quickly enough to meet our growing client base.</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24"/>
        </w:numPr>
        <w:rPr>
          <w:rFonts w:ascii="Arial" w:cs="Arial" w:eastAsia="Arial" w:hAnsi="Arial"/>
          <w:sz w:val="19"/>
          <w:szCs w:val="19"/>
          <w:color w:val="231F20"/>
        </w:rPr>
      </w:pPr>
      <w:r>
        <w:rPr>
          <w:rFonts w:ascii="Arial" w:cs="Arial" w:eastAsia="Arial" w:hAnsi="Arial"/>
          <w:sz w:val="19"/>
          <w:szCs w:val="19"/>
          <w:color w:val="231F20"/>
        </w:rPr>
        <w:t>We enable the transfer of large sums of funds to our clients daily and are subject to the risk of errors.</w:t>
      </w:r>
    </w:p>
    <w:p>
      <w:pPr>
        <w:spacing w:after="0" w:line="200" w:lineRule="exact"/>
        <w:rPr>
          <w:rFonts w:ascii="Arial" w:cs="Arial" w:eastAsia="Arial" w:hAnsi="Arial"/>
          <w:sz w:val="19"/>
          <w:szCs w:val="19"/>
          <w:color w:val="231F20"/>
        </w:rPr>
      </w:pPr>
    </w:p>
    <w:p>
      <w:pPr>
        <w:ind w:left="800" w:right="480" w:hanging="229"/>
        <w:spacing w:after="0" w:line="278" w:lineRule="auto"/>
        <w:tabs>
          <w:tab w:leader="none" w:pos="800" w:val="left"/>
        </w:tabs>
        <w:numPr>
          <w:ilvl w:val="0"/>
          <w:numId w:val="24"/>
        </w:numPr>
        <w:rPr>
          <w:rFonts w:ascii="Arial" w:cs="Arial" w:eastAsia="Arial" w:hAnsi="Arial"/>
          <w:sz w:val="19"/>
          <w:szCs w:val="19"/>
          <w:color w:val="231F20"/>
        </w:rPr>
      </w:pPr>
      <w:r>
        <w:rPr>
          <w:rFonts w:ascii="Arial" w:cs="Arial" w:eastAsia="Arial" w:hAnsi="Arial"/>
          <w:sz w:val="19"/>
          <w:szCs w:val="19"/>
          <w:color w:val="231F20"/>
        </w:rPr>
        <w:t>Volatility in the banking and financial services sectors may impact our bank partnerships and relationships, which could adversely affect our operations and liquidity.</w:t>
      </w:r>
    </w:p>
    <w:p>
      <w:pPr>
        <w:spacing w:after="0" w:line="129" w:lineRule="exact"/>
        <w:rPr>
          <w:rFonts w:ascii="Arial" w:cs="Arial" w:eastAsia="Arial" w:hAnsi="Arial"/>
          <w:sz w:val="19"/>
          <w:szCs w:val="19"/>
          <w:color w:val="231F20"/>
        </w:rPr>
      </w:pPr>
    </w:p>
    <w:p>
      <w:pPr>
        <w:ind w:left="800" w:right="500" w:hanging="229"/>
        <w:spacing w:after="0" w:line="278" w:lineRule="auto"/>
        <w:tabs>
          <w:tab w:leader="none" w:pos="800" w:val="left"/>
        </w:tabs>
        <w:numPr>
          <w:ilvl w:val="0"/>
          <w:numId w:val="24"/>
        </w:numPr>
        <w:rPr>
          <w:rFonts w:ascii="Arial" w:cs="Arial" w:eastAsia="Arial" w:hAnsi="Arial"/>
          <w:sz w:val="19"/>
          <w:szCs w:val="19"/>
          <w:color w:val="231F20"/>
        </w:rPr>
      </w:pPr>
      <w:r>
        <w:rPr>
          <w:rFonts w:ascii="Arial" w:cs="Arial" w:eastAsia="Arial" w:hAnsi="Arial"/>
          <w:sz w:val="19"/>
          <w:szCs w:val="19"/>
          <w:color w:val="231F20"/>
        </w:rPr>
        <w:t>Our management of our operating funds and those of our clients may be reliant on a limited number of our banking partners and other financial institutions.</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24"/>
        </w:numPr>
        <w:rPr>
          <w:rFonts w:ascii="Arial" w:cs="Arial" w:eastAsia="Arial" w:hAnsi="Arial"/>
          <w:sz w:val="19"/>
          <w:szCs w:val="19"/>
          <w:color w:val="231F20"/>
        </w:rPr>
      </w:pPr>
      <w:r>
        <w:rPr>
          <w:rFonts w:ascii="Arial" w:cs="Arial" w:eastAsia="Arial" w:hAnsi="Arial"/>
          <w:sz w:val="19"/>
          <w:szCs w:val="19"/>
          <w:color w:val="231F20"/>
        </w:rPr>
        <w:t>We may be unable to maintain or expand our ability to offer a variety of local and international payments.</w:t>
      </w:r>
    </w:p>
    <w:p>
      <w:pPr>
        <w:spacing w:after="0" w:line="200" w:lineRule="exact"/>
        <w:rPr>
          <w:rFonts w:ascii="Arial" w:cs="Arial" w:eastAsia="Arial" w:hAnsi="Arial"/>
          <w:sz w:val="19"/>
          <w:szCs w:val="19"/>
          <w:color w:val="231F20"/>
        </w:rPr>
      </w:pPr>
    </w:p>
    <w:p>
      <w:pPr>
        <w:ind w:left="800" w:right="860" w:hanging="229"/>
        <w:spacing w:after="0" w:line="278" w:lineRule="auto"/>
        <w:tabs>
          <w:tab w:leader="none" w:pos="800" w:val="left"/>
        </w:tabs>
        <w:numPr>
          <w:ilvl w:val="0"/>
          <w:numId w:val="24"/>
        </w:numPr>
        <w:rPr>
          <w:rFonts w:ascii="Arial" w:cs="Arial" w:eastAsia="Arial" w:hAnsi="Arial"/>
          <w:sz w:val="19"/>
          <w:szCs w:val="19"/>
          <w:color w:val="231F20"/>
        </w:rPr>
      </w:pPr>
      <w:r>
        <w:rPr>
          <w:rFonts w:ascii="Arial" w:cs="Arial" w:eastAsia="Arial" w:hAnsi="Arial"/>
          <w:sz w:val="19"/>
          <w:szCs w:val="19"/>
          <w:color w:val="231F20"/>
        </w:rPr>
        <w:t>Improper or unauthorized use of, disclosure of, or access to personal or sensitive data could harm our reputation.</w:t>
      </w:r>
    </w:p>
    <w:p>
      <w:pPr>
        <w:spacing w:after="0" w:line="129" w:lineRule="exact"/>
        <w:rPr>
          <w:rFonts w:ascii="Arial" w:cs="Arial" w:eastAsia="Arial" w:hAnsi="Arial"/>
          <w:sz w:val="19"/>
          <w:szCs w:val="19"/>
          <w:color w:val="231F20"/>
        </w:rPr>
      </w:pPr>
    </w:p>
    <w:p>
      <w:pPr>
        <w:ind w:left="800" w:right="600" w:hanging="229"/>
        <w:spacing w:after="0" w:line="278" w:lineRule="auto"/>
        <w:tabs>
          <w:tab w:leader="none" w:pos="800" w:val="left"/>
        </w:tabs>
        <w:numPr>
          <w:ilvl w:val="0"/>
          <w:numId w:val="24"/>
        </w:numPr>
        <w:rPr>
          <w:rFonts w:ascii="Arial" w:cs="Arial" w:eastAsia="Arial" w:hAnsi="Arial"/>
          <w:sz w:val="19"/>
          <w:szCs w:val="19"/>
          <w:color w:val="231F20"/>
        </w:rPr>
      </w:pPr>
      <w:r>
        <w:rPr>
          <w:rFonts w:ascii="Arial" w:cs="Arial" w:eastAsia="Arial" w:hAnsi="Arial"/>
          <w:sz w:val="19"/>
          <w:szCs w:val="19"/>
          <w:color w:val="231F20"/>
        </w:rPr>
        <w:t>We may fail to adapt and respond effectively to rapidly changing technology, evolving industry standards, changing regulations, and changing business needs, requirements, or preferences.</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24"/>
        </w:numPr>
        <w:rPr>
          <w:rFonts w:ascii="Arial" w:cs="Arial" w:eastAsia="Arial" w:hAnsi="Arial"/>
          <w:sz w:val="19"/>
          <w:szCs w:val="19"/>
          <w:color w:val="231F20"/>
        </w:rPr>
      </w:pPr>
      <w:r>
        <w:rPr>
          <w:rFonts w:ascii="Arial" w:cs="Arial" w:eastAsia="Arial" w:hAnsi="Arial"/>
          <w:sz w:val="19"/>
          <w:szCs w:val="19"/>
          <w:color w:val="231F20"/>
        </w:rPr>
        <w:t>Changes to payment card networks fees or rules could harm our business.</w:t>
      </w:r>
    </w:p>
    <w:p>
      <w:pPr>
        <w:spacing w:after="0" w:line="200" w:lineRule="exact"/>
        <w:rPr>
          <w:rFonts w:ascii="Arial" w:cs="Arial" w:eastAsia="Arial" w:hAnsi="Arial"/>
          <w:sz w:val="19"/>
          <w:szCs w:val="19"/>
          <w:color w:val="231F20"/>
        </w:rPr>
      </w:pPr>
    </w:p>
    <w:p>
      <w:pPr>
        <w:ind w:left="800" w:right="80" w:hanging="229"/>
        <w:spacing w:after="0" w:line="278" w:lineRule="auto"/>
        <w:tabs>
          <w:tab w:leader="none" w:pos="800" w:val="left"/>
        </w:tabs>
        <w:numPr>
          <w:ilvl w:val="0"/>
          <w:numId w:val="24"/>
        </w:numPr>
        <w:rPr>
          <w:rFonts w:ascii="Arial" w:cs="Arial" w:eastAsia="Arial" w:hAnsi="Arial"/>
          <w:sz w:val="19"/>
          <w:szCs w:val="19"/>
          <w:color w:val="231F20"/>
        </w:rPr>
      </w:pPr>
      <w:r>
        <w:rPr>
          <w:rFonts w:ascii="Arial" w:cs="Arial" w:eastAsia="Arial" w:hAnsi="Arial"/>
          <w:sz w:val="19"/>
          <w:szCs w:val="19"/>
          <w:color w:val="231F20"/>
        </w:rPr>
        <w:t>If we lose key members of our management team or are unable to attract and retain executives and employees we need to support our operations and growth, our business may be harmed.</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Risks Related to Our Legal, Regulatory and Compliance Landscape</w:t>
      </w:r>
    </w:p>
    <w:p>
      <w:pPr>
        <w:spacing w:after="0" w:line="196" w:lineRule="exact"/>
        <w:rPr>
          <w:sz w:val="20"/>
          <w:szCs w:val="20"/>
          <w:color w:val="auto"/>
        </w:rPr>
      </w:pPr>
    </w:p>
    <w:p>
      <w:pPr>
        <w:ind w:left="800" w:hanging="229"/>
        <w:spacing w:after="0"/>
        <w:tabs>
          <w:tab w:leader="none" w:pos="800" w:val="left"/>
        </w:tabs>
        <w:numPr>
          <w:ilvl w:val="0"/>
          <w:numId w:val="25"/>
        </w:numPr>
        <w:rPr>
          <w:rFonts w:ascii="Arial" w:cs="Arial" w:eastAsia="Arial" w:hAnsi="Arial"/>
          <w:sz w:val="19"/>
          <w:szCs w:val="19"/>
          <w:color w:val="231F20"/>
        </w:rPr>
      </w:pPr>
      <w:r>
        <w:rPr>
          <w:rFonts w:ascii="Arial" w:cs="Arial" w:eastAsia="Arial" w:hAnsi="Arial"/>
          <w:sz w:val="19"/>
          <w:szCs w:val="19"/>
          <w:color w:val="231F20"/>
        </w:rPr>
        <w:t>Payments and other financial services-related regulations and oversight are material to our business.</w:t>
      </w:r>
    </w:p>
    <w:p>
      <w:pPr>
        <w:spacing w:after="0" w:line="200" w:lineRule="exact"/>
        <w:rPr>
          <w:rFonts w:ascii="Arial" w:cs="Arial" w:eastAsia="Arial" w:hAnsi="Arial"/>
          <w:sz w:val="19"/>
          <w:szCs w:val="19"/>
          <w:color w:val="231F20"/>
        </w:rPr>
      </w:pPr>
    </w:p>
    <w:p>
      <w:pPr>
        <w:ind w:left="800" w:hanging="229"/>
        <w:spacing w:after="0" w:line="278" w:lineRule="auto"/>
        <w:tabs>
          <w:tab w:leader="none" w:pos="800" w:val="left"/>
        </w:tabs>
        <w:numPr>
          <w:ilvl w:val="0"/>
          <w:numId w:val="25"/>
        </w:numPr>
        <w:rPr>
          <w:rFonts w:ascii="Arial" w:cs="Arial" w:eastAsia="Arial" w:hAnsi="Arial"/>
          <w:sz w:val="19"/>
          <w:szCs w:val="19"/>
          <w:color w:val="231F20"/>
        </w:rPr>
      </w:pPr>
      <w:r>
        <w:rPr>
          <w:rFonts w:ascii="Arial" w:cs="Arial" w:eastAsia="Arial" w:hAnsi="Arial"/>
          <w:sz w:val="19"/>
          <w:szCs w:val="19"/>
          <w:color w:val="231F20"/>
        </w:rPr>
        <w:t>We are subject to governmental laws and requirements regarding economic and trade sanctions, AML, CFT and those applicable to a MSB.</w:t>
      </w:r>
    </w:p>
    <w:p>
      <w:pPr>
        <w:spacing w:after="0" w:line="129" w:lineRule="exact"/>
        <w:rPr>
          <w:rFonts w:ascii="Arial" w:cs="Arial" w:eastAsia="Arial" w:hAnsi="Arial"/>
          <w:sz w:val="19"/>
          <w:szCs w:val="19"/>
          <w:color w:val="231F20"/>
        </w:rPr>
      </w:pPr>
    </w:p>
    <w:p>
      <w:pPr>
        <w:ind w:left="800" w:right="60" w:hanging="229"/>
        <w:spacing w:after="0" w:line="278" w:lineRule="auto"/>
        <w:tabs>
          <w:tab w:leader="none" w:pos="800" w:val="left"/>
        </w:tabs>
        <w:numPr>
          <w:ilvl w:val="0"/>
          <w:numId w:val="25"/>
        </w:numPr>
        <w:rPr>
          <w:rFonts w:ascii="Arial" w:cs="Arial" w:eastAsia="Arial" w:hAnsi="Arial"/>
          <w:sz w:val="19"/>
          <w:szCs w:val="19"/>
          <w:color w:val="231F20"/>
        </w:rPr>
      </w:pPr>
      <w:r>
        <w:rPr>
          <w:rFonts w:ascii="Arial" w:cs="Arial" w:eastAsia="Arial" w:hAnsi="Arial"/>
          <w:sz w:val="19"/>
          <w:szCs w:val="19"/>
          <w:color w:val="231F20"/>
        </w:rPr>
        <w:t>We are subject to governmental regulation and other legal obligations, particularly those related to privacy, data protection, information security, anti-corruption, anti-bribery, and similar laws.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Risks Related to Being a Public Company</w:t>
      </w:r>
    </w:p>
    <w:p>
      <w:pPr>
        <w:spacing w:after="0" w:line="196" w:lineRule="exact"/>
        <w:rPr>
          <w:sz w:val="20"/>
          <w:szCs w:val="20"/>
          <w:color w:val="auto"/>
        </w:rPr>
      </w:pPr>
    </w:p>
    <w:p>
      <w:pPr>
        <w:ind w:left="800" w:hanging="229"/>
        <w:spacing w:after="0"/>
        <w:tabs>
          <w:tab w:leader="none" w:pos="800" w:val="left"/>
        </w:tabs>
        <w:numPr>
          <w:ilvl w:val="0"/>
          <w:numId w:val="26"/>
        </w:numPr>
        <w:rPr>
          <w:rFonts w:ascii="Arial" w:cs="Arial" w:eastAsia="Arial" w:hAnsi="Arial"/>
          <w:sz w:val="19"/>
          <w:szCs w:val="19"/>
          <w:color w:val="231F20"/>
        </w:rPr>
      </w:pPr>
      <w:r>
        <w:rPr>
          <w:rFonts w:ascii="Arial" w:cs="Arial" w:eastAsia="Arial" w:hAnsi="Arial"/>
          <w:sz w:val="19"/>
          <w:szCs w:val="19"/>
          <w:color w:val="231F20"/>
        </w:rPr>
        <w:t>We may fail to continue to maintain proper effective internal control over financial reporting.</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26"/>
        </w:numPr>
        <w:rPr>
          <w:rFonts w:ascii="Arial" w:cs="Arial" w:eastAsia="Arial" w:hAnsi="Arial"/>
          <w:sz w:val="19"/>
          <w:szCs w:val="19"/>
          <w:color w:val="231F20"/>
        </w:rPr>
      </w:pPr>
      <w:r>
        <w:rPr>
          <w:rFonts w:ascii="Arial" w:cs="Arial" w:eastAsia="Arial" w:hAnsi="Arial"/>
          <w:sz w:val="19"/>
          <w:szCs w:val="19"/>
          <w:color w:val="231F20"/>
        </w:rPr>
        <w:t>Estimates relating to our critical accounting policies may prove to be incorrect.</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26"/>
        </w:numPr>
        <w:rPr>
          <w:rFonts w:ascii="Arial" w:cs="Arial" w:eastAsia="Arial" w:hAnsi="Arial"/>
          <w:sz w:val="19"/>
          <w:szCs w:val="19"/>
          <w:color w:val="231F20"/>
        </w:rPr>
      </w:pPr>
      <w:r>
        <w:rPr>
          <w:rFonts w:ascii="Arial" w:cs="Arial" w:eastAsia="Arial" w:hAnsi="Arial"/>
          <w:sz w:val="19"/>
          <w:szCs w:val="19"/>
          <w:color w:val="231F20"/>
        </w:rPr>
        <w:t>We will continue to incur increased costs as a public company.</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Risks Related to Ownership of Our Common Stock</w:t>
      </w:r>
    </w:p>
    <w:p>
      <w:pPr>
        <w:spacing w:after="0" w:line="196" w:lineRule="exact"/>
        <w:rPr>
          <w:sz w:val="20"/>
          <w:szCs w:val="20"/>
          <w:color w:val="auto"/>
        </w:rPr>
      </w:pPr>
    </w:p>
    <w:p>
      <w:pPr>
        <w:ind w:left="800" w:hanging="229"/>
        <w:spacing w:after="0" w:line="278" w:lineRule="auto"/>
        <w:tabs>
          <w:tab w:leader="none" w:pos="800" w:val="left"/>
        </w:tabs>
        <w:numPr>
          <w:ilvl w:val="0"/>
          <w:numId w:val="27"/>
        </w:numPr>
        <w:rPr>
          <w:rFonts w:ascii="Arial" w:cs="Arial" w:eastAsia="Arial" w:hAnsi="Arial"/>
          <w:sz w:val="19"/>
          <w:szCs w:val="19"/>
          <w:color w:val="231F20"/>
        </w:rPr>
      </w:pPr>
      <w:r>
        <w:rPr>
          <w:rFonts w:ascii="Arial" w:cs="Arial" w:eastAsia="Arial" w:hAnsi="Arial"/>
          <w:sz w:val="19"/>
          <w:szCs w:val="19"/>
          <w:color w:val="231F20"/>
        </w:rPr>
        <w:t>Raising additional capital may cause dilution to our existing stockholders, restrict our operations, or require us to relinquish rights to our intellectual property on unfavorable terms.</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27"/>
        </w:numPr>
        <w:rPr>
          <w:rFonts w:ascii="Arial" w:cs="Arial" w:eastAsia="Arial" w:hAnsi="Arial"/>
          <w:sz w:val="19"/>
          <w:szCs w:val="19"/>
          <w:color w:val="231F20"/>
        </w:rPr>
      </w:pPr>
      <w:r>
        <w:rPr>
          <w:rFonts w:ascii="Arial" w:cs="Arial" w:eastAsia="Arial" w:hAnsi="Arial"/>
          <w:sz w:val="19"/>
          <w:szCs w:val="19"/>
          <w:color w:val="231F20"/>
        </w:rPr>
        <w:t>Our repurchase program may not achieve our goals or meet expectations.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Our Business and Industry</w:t>
      </w:r>
    </w:p>
    <w:p>
      <w:pPr>
        <w:sectPr>
          <w:pgSz w:w="12240" w:h="15840" w:orient="portrait"/>
          <w:cols w:equalWidth="0" w:num="1">
            <w:col w:w="10160"/>
          </w:cols>
          <w:pgMar w:left="1020" w:top="1440" w:right="1060" w:bottom="595"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231F20"/>
        </w:rPr>
        <w:t>29</w:t>
      </w:r>
    </w:p>
    <w:p>
      <w:pPr>
        <w:sectPr>
          <w:pgSz w:w="12240" w:h="15840" w:orient="portrait"/>
          <w:cols w:equalWidth="0" w:num="1">
            <w:col w:w="10160"/>
          </w:cols>
          <w:pgMar w:left="1020" w:top="1440" w:right="1060" w:bottom="595" w:gutter="0" w:footer="0" w:header="0"/>
          <w:type w:val="continuous"/>
        </w:sectPr>
      </w:pPr>
    </w:p>
    <w:bookmarkStart w:id="30" w:name="page31"/>
    <w:bookmarkEnd w:id="30"/>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We have a history of operating losses and may not achieve or sustain profitability in the future.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We were incorporated in 2009 and although we have generated net income for the year ended December 31, 2024,</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231F20"/>
        </w:rPr>
        <w:t>we have incurred net losses in the past, and may continue to incur net losses in the future. We generated net income of</w:t>
      </w:r>
    </w:p>
    <w:p>
      <w:pPr>
        <w:spacing w:after="0" w:line="238" w:lineRule="auto"/>
        <w:rPr>
          <w:sz w:val="20"/>
          <w:szCs w:val="20"/>
          <w:color w:val="auto"/>
        </w:rPr>
      </w:pPr>
      <w:r>
        <w:rPr>
          <w:rFonts w:ascii="Arial" w:cs="Arial" w:eastAsia="Arial" w:hAnsi="Arial"/>
          <w:sz w:val="19"/>
          <w:szCs w:val="19"/>
          <w:color w:val="231F20"/>
        </w:rPr>
        <w:t>$2.9 million for the year ended December 31, 2024, and net losses of $8.6 million and $39.3 million for the years ended</w:t>
      </w:r>
    </w:p>
    <w:p>
      <w:pPr>
        <w:spacing w:after="0"/>
        <w:rPr>
          <w:sz w:val="20"/>
          <w:szCs w:val="20"/>
          <w:color w:val="auto"/>
        </w:rPr>
      </w:pPr>
      <w:r>
        <w:rPr>
          <w:rFonts w:ascii="Arial" w:cs="Arial" w:eastAsia="Arial" w:hAnsi="Arial"/>
          <w:sz w:val="19"/>
          <w:szCs w:val="19"/>
          <w:color w:val="231F20"/>
        </w:rPr>
        <w:t>December 31, 2023 and 2022, respectively. In addition, as of December 31, 2024, we had an accumulated deficit of</w:t>
      </w:r>
    </w:p>
    <w:p>
      <w:pPr>
        <w:spacing w:after="0"/>
        <w:rPr>
          <w:sz w:val="20"/>
          <w:szCs w:val="20"/>
          <w:color w:val="auto"/>
        </w:rPr>
      </w:pPr>
      <w:r>
        <w:rPr>
          <w:rFonts w:ascii="Arial" w:cs="Arial" w:eastAsia="Arial" w:hAnsi="Arial"/>
          <w:sz w:val="18"/>
          <w:szCs w:val="18"/>
          <w:color w:val="231F20"/>
        </w:rPr>
        <w:t>$170.9 million. We have experienced significant revenue growth in recent periods and we are not certain whether or when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231F20"/>
        </w:rPr>
        <w:t>we will obtain a high enough volume of revenue to sustain or increase our growth or achieve or maintain profitability in the</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231F20"/>
        </w:rPr>
        <w:t>future. We also expect our costs and expenses to increase in future periods, which could negatively affect our future</w:t>
      </w:r>
    </w:p>
    <w:p>
      <w:pPr>
        <w:spacing w:after="0"/>
        <w:rPr>
          <w:sz w:val="20"/>
          <w:szCs w:val="20"/>
          <w:color w:val="auto"/>
        </w:rPr>
      </w:pPr>
      <w:r>
        <w:rPr>
          <w:rFonts w:ascii="Arial" w:cs="Arial" w:eastAsia="Arial" w:hAnsi="Arial"/>
          <w:sz w:val="18"/>
          <w:szCs w:val="18"/>
          <w:color w:val="231F20"/>
        </w:rPr>
        <w:t>operating results if our revenue does not increase. In particular, we intend to continue to strategically invest in headcount,</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231F20"/>
        </w:rPr>
        <w:t>to further develop our solutions, including introducing new functionality, and to expand our marketing programs and sales</w:t>
      </w:r>
    </w:p>
    <w:p>
      <w:pPr>
        <w:spacing w:after="0" w:line="238" w:lineRule="auto"/>
        <w:rPr>
          <w:sz w:val="20"/>
          <w:szCs w:val="20"/>
          <w:color w:val="auto"/>
        </w:rPr>
      </w:pPr>
      <w:r>
        <w:rPr>
          <w:rFonts w:ascii="Arial" w:cs="Arial" w:eastAsia="Arial" w:hAnsi="Arial"/>
          <w:sz w:val="19"/>
          <w:szCs w:val="19"/>
          <w:color w:val="231F20"/>
        </w:rPr>
        <w:t>teams to drive new client adoption, expand strategic partner integrations, and support international and product</w:t>
      </w:r>
    </w:p>
    <w:p>
      <w:pPr>
        <w:spacing w:after="0"/>
        <w:rPr>
          <w:sz w:val="20"/>
          <w:szCs w:val="20"/>
          <w:color w:val="auto"/>
        </w:rPr>
      </w:pPr>
      <w:r>
        <w:rPr>
          <w:rFonts w:ascii="Arial" w:cs="Arial" w:eastAsia="Arial" w:hAnsi="Arial"/>
          <w:sz w:val="19"/>
          <w:szCs w:val="19"/>
          <w:color w:val="231F20"/>
        </w:rPr>
        <w:t>expansion. Our operating results are also impacted by the mix of our revenue generated from our different revenue</w:t>
      </w:r>
    </w:p>
    <w:p>
      <w:pPr>
        <w:spacing w:after="0"/>
        <w:rPr>
          <w:sz w:val="20"/>
          <w:szCs w:val="20"/>
          <w:color w:val="auto"/>
        </w:rPr>
      </w:pPr>
      <w:r>
        <w:rPr>
          <w:rFonts w:ascii="Arial" w:cs="Arial" w:eastAsia="Arial" w:hAnsi="Arial"/>
          <w:sz w:val="18"/>
          <w:szCs w:val="18"/>
          <w:color w:val="231F20"/>
        </w:rPr>
        <w:t>sources, which include transaction revenue and platform and other fee revenue. Changes in our revenue mix from quarter</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231F20"/>
        </w:rPr>
        <w:t>to quarter, including those derived from cross-border or domestic currency transactions, will impact our margins, and we</w:t>
      </w:r>
    </w:p>
    <w:p>
      <w:pPr>
        <w:spacing w:after="0" w:line="238" w:lineRule="auto"/>
        <w:rPr>
          <w:sz w:val="20"/>
          <w:szCs w:val="20"/>
          <w:color w:val="auto"/>
        </w:rPr>
      </w:pPr>
      <w:r>
        <w:rPr>
          <w:rFonts w:ascii="Arial" w:cs="Arial" w:eastAsia="Arial" w:hAnsi="Arial"/>
          <w:sz w:val="19"/>
          <w:szCs w:val="19"/>
          <w:color w:val="231F20"/>
        </w:rPr>
        <w:t>may not be able to grow our gross margin adequately to achieve or sustain profitability. In addition, the mix of payment</w:t>
      </w:r>
    </w:p>
    <w:p>
      <w:pPr>
        <w:spacing w:after="0"/>
        <w:rPr>
          <w:sz w:val="20"/>
          <w:szCs w:val="20"/>
          <w:color w:val="auto"/>
        </w:rPr>
      </w:pPr>
      <w:r>
        <w:rPr>
          <w:rFonts w:ascii="Arial" w:cs="Arial" w:eastAsia="Arial" w:hAnsi="Arial"/>
          <w:sz w:val="19"/>
          <w:szCs w:val="19"/>
          <w:color w:val="231F20"/>
        </w:rPr>
        <w:t>methods utilized by our clients’ customers may have an impact on our margins given that our costs associated with</w:t>
      </w:r>
    </w:p>
    <w:p>
      <w:pPr>
        <w:spacing w:after="0" w:line="238" w:lineRule="auto"/>
        <w:rPr>
          <w:sz w:val="20"/>
          <w:szCs w:val="20"/>
          <w:color w:val="auto"/>
        </w:rPr>
      </w:pPr>
      <w:r>
        <w:rPr>
          <w:rFonts w:ascii="Arial" w:cs="Arial" w:eastAsia="Arial" w:hAnsi="Arial"/>
          <w:sz w:val="19"/>
          <w:szCs w:val="19"/>
          <w:color w:val="231F20"/>
        </w:rPr>
        <w:t>certain payment methods, such as credit cards, are higher than other payment methods accepted by our solutions, such</w:t>
      </w:r>
    </w:p>
    <w:p>
      <w:pPr>
        <w:spacing w:after="0"/>
        <w:rPr>
          <w:sz w:val="20"/>
          <w:szCs w:val="20"/>
          <w:color w:val="auto"/>
        </w:rPr>
      </w:pPr>
      <w:r>
        <w:rPr>
          <w:rFonts w:ascii="Arial" w:cs="Arial" w:eastAsia="Arial" w:hAnsi="Arial"/>
          <w:sz w:val="19"/>
          <w:szCs w:val="19"/>
          <w:color w:val="231F20"/>
        </w:rPr>
        <w:t>as bank transfers. Due to the cross-border nature of much of our business, fluctuations in foreign currency exchange</w:t>
      </w:r>
    </w:p>
    <w:p>
      <w:pPr>
        <w:spacing w:after="0" w:line="238" w:lineRule="auto"/>
        <w:rPr>
          <w:sz w:val="20"/>
          <w:szCs w:val="20"/>
          <w:color w:val="auto"/>
        </w:rPr>
      </w:pPr>
      <w:r>
        <w:rPr>
          <w:rFonts w:ascii="Arial" w:cs="Arial" w:eastAsia="Arial" w:hAnsi="Arial"/>
          <w:sz w:val="19"/>
          <w:szCs w:val="19"/>
          <w:color w:val="231F20"/>
        </w:rPr>
        <w:t>rates, slowdowns in international mobility and other regional considerations may affect our operating results. We will also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31F20"/>
        </w:rPr>
        <w:t>face increased compliance and security costs associated with growth, the expansion of our client base, and being a public</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231F20"/>
        </w:rPr>
        <w:t>company. Our efforts to grow our business may be costlier than we expect, and we may not be able to increase our</w:t>
      </w:r>
    </w:p>
    <w:p>
      <w:pPr>
        <w:spacing w:after="0" w:line="238" w:lineRule="auto"/>
        <w:rPr>
          <w:sz w:val="20"/>
          <w:szCs w:val="20"/>
          <w:color w:val="auto"/>
        </w:rPr>
      </w:pPr>
      <w:r>
        <w:rPr>
          <w:rFonts w:ascii="Arial" w:cs="Arial" w:eastAsia="Arial" w:hAnsi="Arial"/>
          <w:sz w:val="19"/>
          <w:szCs w:val="19"/>
          <w:color w:val="231F20"/>
        </w:rPr>
        <w:t>revenue enough to offset our increased operating expenses. We may incur significant losses in the future for several</w:t>
      </w:r>
    </w:p>
    <w:p>
      <w:pPr>
        <w:spacing w:after="0"/>
        <w:rPr>
          <w:sz w:val="20"/>
          <w:szCs w:val="20"/>
          <w:color w:val="auto"/>
        </w:rPr>
      </w:pPr>
      <w:r>
        <w:rPr>
          <w:rFonts w:ascii="Arial" w:cs="Arial" w:eastAsia="Arial" w:hAnsi="Arial"/>
          <w:sz w:val="19"/>
          <w:szCs w:val="19"/>
          <w:color w:val="231F20"/>
        </w:rPr>
        <w:t>reasons, including the other risks described herein, and unforeseen expenses, difficulties, complications, delays, and</w:t>
      </w:r>
    </w:p>
    <w:p>
      <w:pPr>
        <w:spacing w:after="0" w:line="238" w:lineRule="auto"/>
        <w:rPr>
          <w:sz w:val="20"/>
          <w:szCs w:val="20"/>
          <w:color w:val="auto"/>
        </w:rPr>
      </w:pPr>
      <w:r>
        <w:rPr>
          <w:rFonts w:ascii="Arial" w:cs="Arial" w:eastAsia="Arial" w:hAnsi="Arial"/>
          <w:sz w:val="19"/>
          <w:szCs w:val="19"/>
          <w:color w:val="231F20"/>
        </w:rPr>
        <w:t>other unknown events. If we are unable to achieve and sustain profitability, the value of our business and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231F20"/>
        </w:rPr>
        <w:t>may significantly decrease.</w:t>
      </w:r>
    </w:p>
    <w:p>
      <w:pPr>
        <w:spacing w:after="0" w:line="164" w:lineRule="exact"/>
        <w:rPr>
          <w:sz w:val="20"/>
          <w:szCs w:val="20"/>
          <w:color w:val="auto"/>
        </w:rPr>
      </w:pPr>
    </w:p>
    <w:p>
      <w:pPr>
        <w:ind w:right="220" w:firstLine="463"/>
        <w:spacing w:after="0" w:line="251" w:lineRule="auto"/>
        <w:rPr>
          <w:sz w:val="20"/>
          <w:szCs w:val="20"/>
          <w:color w:val="auto"/>
        </w:rPr>
      </w:pPr>
      <w:r>
        <w:rPr>
          <w:rFonts w:ascii="Arial" w:cs="Arial" w:eastAsia="Arial" w:hAnsi="Arial"/>
          <w:sz w:val="19"/>
          <w:szCs w:val="19"/>
          <w:color w:val="231F20"/>
        </w:rPr>
        <w:t>If the assumptions we use to plan our business are incorrect or change in reaction to changes in our markets, or if we are unable to maintain consistent revenue or revenue growth, it may be difficult to achieve and maintain profitability. Our financial results from any prior quarterly or annual periods should not be relied upon as an indication of our future revenue or growth in revenue, gross profit or volume of payments processed.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In addition, we expect to continue to expend substantial management time, financial and other resources on:</w:t>
      </w:r>
    </w:p>
    <w:p>
      <w:pPr>
        <w:spacing w:after="0" w:line="200" w:lineRule="exact"/>
        <w:rPr>
          <w:sz w:val="20"/>
          <w:szCs w:val="20"/>
          <w:color w:val="auto"/>
        </w:rPr>
      </w:pPr>
    </w:p>
    <w:p>
      <w:pPr>
        <w:ind w:left="800" w:right="40" w:hanging="229"/>
        <w:spacing w:after="0" w:line="278" w:lineRule="auto"/>
        <w:tabs>
          <w:tab w:leader="none" w:pos="800"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sales, marketing, relationship management and client support, including an expansion of our sales organization, and new client support and payer retention initiatives;</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our technology infrastructure, including systems architecture, scalability, availability, performance, and security;</w:t>
      </w:r>
    </w:p>
    <w:p>
      <w:pPr>
        <w:spacing w:after="0" w:line="200" w:lineRule="exact"/>
        <w:rPr>
          <w:rFonts w:ascii="Arial" w:cs="Arial" w:eastAsia="Arial" w:hAnsi="Arial"/>
          <w:sz w:val="19"/>
          <w:szCs w:val="19"/>
          <w:color w:val="231F20"/>
        </w:rPr>
      </w:pPr>
    </w:p>
    <w:p>
      <w:pPr>
        <w:ind w:left="800" w:right="180" w:hanging="229"/>
        <w:spacing w:after="0" w:line="278" w:lineRule="auto"/>
        <w:tabs>
          <w:tab w:leader="none" w:pos="800"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our technology development, including investments in our technology development team and the development of new solutions and new functionality;</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expanding into more international markets;</w:t>
      </w:r>
    </w:p>
    <w:p>
      <w:pPr>
        <w:spacing w:after="0" w:line="200" w:lineRule="exact"/>
        <w:rPr>
          <w:rFonts w:ascii="Arial" w:cs="Arial" w:eastAsia="Arial" w:hAnsi="Arial"/>
          <w:sz w:val="19"/>
          <w:szCs w:val="19"/>
          <w:color w:val="231F20"/>
        </w:rPr>
      </w:pPr>
    </w:p>
    <w:p>
      <w:pPr>
        <w:ind w:left="800" w:right="80" w:hanging="229"/>
        <w:spacing w:after="0" w:line="278" w:lineRule="auto"/>
        <w:tabs>
          <w:tab w:leader="none" w:pos="800"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retaining existing clients, attracting new clients and increasing the number of our clients’ customers that use our solutions;</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acquisitions or strategic investments;</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regulatory compliance and risk management; and</w:t>
      </w:r>
    </w:p>
    <w:p>
      <w:pPr>
        <w:spacing w:after="0" w:line="200" w:lineRule="exact"/>
        <w:rPr>
          <w:rFonts w:ascii="Arial" w:cs="Arial" w:eastAsia="Arial" w:hAnsi="Arial"/>
          <w:sz w:val="19"/>
          <w:szCs w:val="19"/>
          <w:color w:val="231F20"/>
        </w:rPr>
      </w:pPr>
    </w:p>
    <w:p>
      <w:pPr>
        <w:ind w:left="800" w:right="220" w:hanging="229"/>
        <w:spacing w:after="0" w:line="278" w:lineRule="auto"/>
        <w:tabs>
          <w:tab w:leader="none" w:pos="800"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general administration, including increased insurance, legal and accounting expenses associated with being a public company.</w:t>
      </w:r>
    </w:p>
    <w:p>
      <w:pPr>
        <w:spacing w:after="0" w:line="117" w:lineRule="exact"/>
        <w:rPr>
          <w:sz w:val="20"/>
          <w:szCs w:val="20"/>
          <w:color w:val="auto"/>
        </w:rPr>
      </w:pPr>
    </w:p>
    <w:p>
      <w:pPr>
        <w:jc w:val="both"/>
        <w:ind w:right="400" w:firstLine="463"/>
        <w:spacing w:after="0" w:line="258" w:lineRule="auto"/>
        <w:rPr>
          <w:sz w:val="20"/>
          <w:szCs w:val="20"/>
          <w:color w:val="auto"/>
        </w:rPr>
      </w:pPr>
      <w:r>
        <w:rPr>
          <w:rFonts w:ascii="Arial" w:cs="Arial" w:eastAsia="Arial" w:hAnsi="Arial"/>
          <w:sz w:val="19"/>
          <w:szCs w:val="19"/>
          <w:color w:val="231F20"/>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40" w:lineRule="exact"/>
        <w:rPr>
          <w:sz w:val="20"/>
          <w:szCs w:val="20"/>
          <w:color w:val="auto"/>
        </w:rPr>
      </w:pPr>
    </w:p>
    <w:p>
      <w:pPr>
        <w:ind w:right="260"/>
        <w:spacing w:after="0" w:line="285" w:lineRule="auto"/>
        <w:rPr>
          <w:sz w:val="20"/>
          <w:szCs w:val="20"/>
          <w:color w:val="auto"/>
        </w:rPr>
      </w:pPr>
      <w:r>
        <w:rPr>
          <w:rFonts w:ascii="Arial" w:cs="Arial" w:eastAsia="Arial" w:hAnsi="Arial"/>
          <w:sz w:val="19"/>
          <w:szCs w:val="19"/>
          <w:b w:val="1"/>
          <w:bCs w:val="1"/>
          <w:i w:val="1"/>
          <w:iCs w:val="1"/>
          <w:color w:val="231F20"/>
        </w:rPr>
        <w:t>We have a short operating history at our current scale in a rapidly and significantly evolving industry and, as a result, our past results may not be indicative of future operating performance.</w:t>
      </w:r>
    </w:p>
    <w:p>
      <w:pPr>
        <w:sectPr>
          <w:pgSz w:w="12240" w:h="15840" w:orient="portrait"/>
          <w:cols w:equalWidth="0" w:num="1">
            <w:col w:w="10180"/>
          </w:cols>
          <w:pgMar w:left="1020" w:top="1440" w:right="1040" w:bottom="595" w:gutter="0" w:footer="0" w:header="0"/>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30</w:t>
      </w:r>
    </w:p>
    <w:p>
      <w:pPr>
        <w:sectPr>
          <w:pgSz w:w="12240" w:h="15840" w:orient="portrait"/>
          <w:cols w:equalWidth="0" w:num="1">
            <w:col w:w="10180"/>
          </w:cols>
          <w:pgMar w:left="1020" w:top="1440" w:right="1040" w:bottom="595" w:gutter="0" w:footer="0" w:header="0"/>
          <w:type w:val="continuous"/>
        </w:sectPr>
      </w:pPr>
    </w:p>
    <w:bookmarkStart w:id="31" w:name="page32"/>
    <w:bookmarkEnd w:id="31"/>
    <w:p>
      <w:pPr>
        <w:spacing w:after="0" w:line="97" w:lineRule="exact"/>
        <w:rPr>
          <w:sz w:val="20"/>
          <w:szCs w:val="20"/>
          <w:color w:val="auto"/>
        </w:rPr>
      </w:pPr>
    </w:p>
    <w:p>
      <w:pPr>
        <w:ind w:right="40" w:firstLine="463"/>
        <w:spacing w:after="0" w:line="251" w:lineRule="auto"/>
        <w:rPr>
          <w:sz w:val="20"/>
          <w:szCs w:val="20"/>
          <w:color w:val="auto"/>
        </w:rPr>
      </w:pPr>
      <w:r>
        <w:rPr>
          <w:rFonts w:ascii="Arial" w:cs="Arial" w:eastAsia="Arial" w:hAnsi="Arial"/>
          <w:sz w:val="19"/>
          <w:szCs w:val="19"/>
          <w:color w:val="231F20"/>
        </w:rPr>
        <w:t>We have a short history operating at our current scale in a rapidly and significantly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Our future success will depend in large part upon our ability to, among other things:</w:t>
      </w:r>
    </w:p>
    <w:p>
      <w:pPr>
        <w:spacing w:after="0" w:line="125" w:lineRule="exact"/>
        <w:rPr>
          <w:sz w:val="20"/>
          <w:szCs w:val="20"/>
          <w:color w:val="auto"/>
        </w:rPr>
      </w:pPr>
    </w:p>
    <w:p>
      <w:pPr>
        <w:ind w:left="920" w:right="220" w:hanging="458"/>
        <w:spacing w:after="0" w:line="278" w:lineRule="auto"/>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cost-effectively acquire new clients, retain existing clients, increase the number of our clients’ customers that use our solutions and sell additional functionality to our clients;</w:t>
      </w:r>
    </w:p>
    <w:p>
      <w:pPr>
        <w:spacing w:after="0" w:line="54" w:lineRule="exact"/>
        <w:rPr>
          <w:rFonts w:ascii="Arial" w:cs="Arial" w:eastAsia="Arial" w:hAnsi="Arial"/>
          <w:sz w:val="19"/>
          <w:szCs w:val="19"/>
          <w:color w:val="231F20"/>
        </w:rPr>
      </w:pPr>
    </w:p>
    <w:p>
      <w:pPr>
        <w:ind w:left="920" w:hanging="458"/>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maintain and increase our market share;</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avoid pricing pressure on our solutions which would compress our margins;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effectively market our solutions;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enhance our existing solutions and develop new solutions;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increase awareness of our brand and maintain our reputation;</w:t>
      </w:r>
    </w:p>
    <w:p>
      <w:pPr>
        <w:spacing w:after="0" w:line="124" w:lineRule="exact"/>
        <w:rPr>
          <w:rFonts w:ascii="Arial" w:cs="Arial" w:eastAsia="Arial" w:hAnsi="Arial"/>
          <w:sz w:val="19"/>
          <w:szCs w:val="19"/>
          <w:color w:val="231F20"/>
        </w:rPr>
      </w:pPr>
    </w:p>
    <w:p>
      <w:pPr>
        <w:ind w:left="920" w:right="300" w:hanging="458"/>
        <w:spacing w:after="0" w:line="278" w:lineRule="auto"/>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develop new technologies, adapt to technology changes and evolving industry standards and to incorporate new technologies, such as artificial intelligence, into our solutions;</w:t>
      </w:r>
    </w:p>
    <w:p>
      <w:pPr>
        <w:spacing w:after="0" w:line="129" w:lineRule="exact"/>
        <w:rPr>
          <w:rFonts w:ascii="Arial" w:cs="Arial" w:eastAsia="Arial" w:hAnsi="Arial"/>
          <w:sz w:val="19"/>
          <w:szCs w:val="19"/>
          <w:color w:val="231F20"/>
        </w:rPr>
      </w:pPr>
    </w:p>
    <w:p>
      <w:pPr>
        <w:ind w:left="920" w:right="160" w:hanging="458"/>
        <w:spacing w:after="0" w:line="278" w:lineRule="auto"/>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offer seamless experience for our clients and their customers, including all user facing attributes ranging from the user interface to client and customer support;</w:t>
      </w:r>
    </w:p>
    <w:p>
      <w:pPr>
        <w:spacing w:after="0" w:line="129" w:lineRule="exact"/>
        <w:rPr>
          <w:rFonts w:ascii="Arial" w:cs="Arial" w:eastAsia="Arial" w:hAnsi="Arial"/>
          <w:sz w:val="19"/>
          <w:szCs w:val="19"/>
          <w:color w:val="231F20"/>
        </w:rPr>
      </w:pPr>
    </w:p>
    <w:p>
      <w:pPr>
        <w:ind w:left="920" w:hanging="458"/>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anticipate and respond to microeconomic and macroeconomic changes;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expand our solutions and geographic reach, including with respect to B2B and travel payments;</w:t>
      </w:r>
    </w:p>
    <w:p>
      <w:pPr>
        <w:spacing w:after="0" w:line="124" w:lineRule="exact"/>
        <w:rPr>
          <w:rFonts w:ascii="Arial" w:cs="Arial" w:eastAsia="Arial" w:hAnsi="Arial"/>
          <w:sz w:val="19"/>
          <w:szCs w:val="19"/>
          <w:color w:val="231F20"/>
        </w:rPr>
      </w:pPr>
    </w:p>
    <w:p>
      <w:pPr>
        <w:ind w:left="920" w:right="620" w:hanging="458"/>
        <w:spacing w:after="0" w:line="278" w:lineRule="auto"/>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our decision to exit certain markets, or our inability to process payments from certain jurisdiction we had previously served;</w:t>
      </w:r>
    </w:p>
    <w:p>
      <w:pPr>
        <w:spacing w:after="0" w:line="129" w:lineRule="exact"/>
        <w:rPr>
          <w:rFonts w:ascii="Arial" w:cs="Arial" w:eastAsia="Arial" w:hAnsi="Arial"/>
          <w:sz w:val="19"/>
          <w:szCs w:val="19"/>
          <w:color w:val="231F20"/>
        </w:rPr>
      </w:pPr>
    </w:p>
    <w:p>
      <w:pPr>
        <w:ind w:left="920" w:hanging="458"/>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anticipate and effectively respond to changing trends and the preferences of clients and their customers;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compete effectively;</w:t>
      </w:r>
    </w:p>
    <w:p>
      <w:pPr>
        <w:spacing w:after="0" w:line="200" w:lineRule="exact"/>
        <w:rPr>
          <w:rFonts w:ascii="Arial" w:cs="Arial" w:eastAsia="Arial" w:hAnsi="Arial"/>
          <w:sz w:val="19"/>
          <w:szCs w:val="19"/>
          <w:color w:val="231F20"/>
        </w:rPr>
      </w:pPr>
    </w:p>
    <w:p>
      <w:pPr>
        <w:ind w:left="920" w:right="40" w:hanging="458"/>
        <w:spacing w:after="0" w:line="258" w:lineRule="auto"/>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avoid interruptions in our business from information technology (IT) downtime, an inability to manage emerging technology risks (including those posed by generative AI or other tools), cybersecurity breaches, or labor stoppages;</w:t>
      </w:r>
    </w:p>
    <w:p>
      <w:pPr>
        <w:spacing w:after="0" w:line="148" w:lineRule="exact"/>
        <w:rPr>
          <w:rFonts w:ascii="Arial" w:cs="Arial" w:eastAsia="Arial" w:hAnsi="Arial"/>
          <w:sz w:val="19"/>
          <w:szCs w:val="19"/>
          <w:color w:val="231F20"/>
        </w:rPr>
      </w:pPr>
    </w:p>
    <w:p>
      <w:pPr>
        <w:ind w:left="920" w:hanging="458"/>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effectively manage our growth;</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effectively identify and manage risks, including foreign currency exchange risk;</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hire, integrate, and retain talented people at all levels of our organization;</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maintain the quality of our technology infrastructure;</w:t>
      </w:r>
    </w:p>
    <w:p>
      <w:pPr>
        <w:spacing w:after="0" w:line="200" w:lineRule="exact"/>
        <w:rPr>
          <w:rFonts w:ascii="Arial" w:cs="Arial" w:eastAsia="Arial" w:hAnsi="Arial"/>
          <w:sz w:val="19"/>
          <w:szCs w:val="19"/>
          <w:color w:val="231F20"/>
        </w:rPr>
      </w:pPr>
    </w:p>
    <w:p>
      <w:pPr>
        <w:ind w:left="920" w:hanging="458"/>
        <w:spacing w:after="0" w:line="278" w:lineRule="auto"/>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compliance with multiple, conflicting and changing governmental laws and regulations, including with respect to employment, tax, competition, workplace and sustainability and other social matters;</w:t>
      </w:r>
    </w:p>
    <w:p>
      <w:pPr>
        <w:spacing w:after="0" w:line="54" w:lineRule="exact"/>
        <w:rPr>
          <w:rFonts w:ascii="Arial" w:cs="Arial" w:eastAsia="Arial" w:hAnsi="Arial"/>
          <w:sz w:val="19"/>
          <w:szCs w:val="19"/>
          <w:color w:val="231F20"/>
        </w:rPr>
      </w:pPr>
    </w:p>
    <w:p>
      <w:pPr>
        <w:ind w:left="920" w:hanging="458"/>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global pandemics, such as COVID-19, or other public health emergencies;</w:t>
      </w:r>
    </w:p>
    <w:p>
      <w:pPr>
        <w:spacing w:after="0" w:line="200" w:lineRule="exact"/>
        <w:rPr>
          <w:rFonts w:ascii="Arial" w:cs="Arial" w:eastAsia="Arial" w:hAnsi="Arial"/>
          <w:sz w:val="19"/>
          <w:szCs w:val="19"/>
          <w:color w:val="231F20"/>
        </w:rPr>
      </w:pPr>
    </w:p>
    <w:p>
      <w:pPr>
        <w:ind w:left="920" w:right="40" w:hanging="458"/>
        <w:spacing w:after="0" w:line="278" w:lineRule="auto"/>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retain our existing proprietary global network of banking and other payment partners and add new banking and other payment partners to scale our business; and</w:t>
      </w:r>
    </w:p>
    <w:p>
      <w:pPr>
        <w:spacing w:after="0" w:line="129" w:lineRule="exact"/>
        <w:rPr>
          <w:rFonts w:ascii="Arial" w:cs="Arial" w:eastAsia="Arial" w:hAnsi="Arial"/>
          <w:sz w:val="19"/>
          <w:szCs w:val="19"/>
          <w:color w:val="231F20"/>
        </w:rPr>
      </w:pPr>
    </w:p>
    <w:p>
      <w:pPr>
        <w:ind w:left="920" w:right="480" w:hanging="458"/>
        <w:spacing w:after="0" w:line="278" w:lineRule="auto"/>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retain our existing technology partners that allow us to provide alternative payment methods and add new technology partners to scale our business.</w:t>
      </w:r>
    </w:p>
    <w:p>
      <w:pPr>
        <w:spacing w:after="0" w:line="117" w:lineRule="exact"/>
        <w:rPr>
          <w:sz w:val="20"/>
          <w:szCs w:val="20"/>
          <w:color w:val="auto"/>
        </w:rPr>
      </w:pPr>
    </w:p>
    <w:p>
      <w:pPr>
        <w:ind w:right="60" w:firstLine="463"/>
        <w:spacing w:after="0" w:line="258" w:lineRule="auto"/>
        <w:rPr>
          <w:sz w:val="20"/>
          <w:szCs w:val="20"/>
          <w:color w:val="auto"/>
        </w:rPr>
      </w:pPr>
      <w:r>
        <w:rPr>
          <w:rFonts w:ascii="Arial" w:cs="Arial" w:eastAsia="Arial" w:hAnsi="Arial"/>
          <w:sz w:val="19"/>
          <w:szCs w:val="19"/>
          <w:color w:val="231F20"/>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ectPr>
          <w:pgSz w:w="12240" w:h="15840" w:orient="portrait"/>
          <w:cols w:equalWidth="0" w:num="1">
            <w:col w:w="10200"/>
          </w:cols>
          <w:pgMar w:left="1020" w:top="1440" w:right="1020" w:bottom="595" w:gutter="0" w:footer="0" w:header="0"/>
        </w:sectPr>
      </w:pP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31</w:t>
      </w:r>
    </w:p>
    <w:p>
      <w:pPr>
        <w:sectPr>
          <w:pgSz w:w="12240" w:h="15840" w:orient="portrait"/>
          <w:cols w:equalWidth="0" w:num="1">
            <w:col w:w="10200"/>
          </w:cols>
          <w:pgMar w:left="1020" w:top="1440" w:right="1020" w:bottom="595" w:gutter="0" w:footer="0" w:header="0"/>
          <w:type w:val="continuous"/>
        </w:sectPr>
      </w:pPr>
    </w:p>
    <w:bookmarkStart w:id="32" w:name="page33"/>
    <w:bookmarkEnd w:id="32"/>
    <w:p>
      <w:pPr>
        <w:spacing w:after="0" w:line="101" w:lineRule="exact"/>
        <w:rPr>
          <w:sz w:val="20"/>
          <w:szCs w:val="20"/>
          <w:color w:val="auto"/>
        </w:rPr>
      </w:pPr>
    </w:p>
    <w:p>
      <w:pPr>
        <w:ind w:right="60"/>
        <w:spacing w:after="0" w:line="261" w:lineRule="auto"/>
        <w:rPr>
          <w:sz w:val="20"/>
          <w:szCs w:val="20"/>
          <w:color w:val="auto"/>
        </w:rPr>
      </w:pPr>
      <w:r>
        <w:rPr>
          <w:rFonts w:ascii="Arial" w:cs="Arial" w:eastAsia="Arial" w:hAnsi="Arial"/>
          <w:sz w:val="19"/>
          <w:szCs w:val="19"/>
          <w:b w:val="1"/>
          <w:bCs w:val="1"/>
          <w:i w:val="1"/>
          <w:iCs w:val="1"/>
          <w:color w:val="231F20"/>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124"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spacing w:after="0" w:line="153" w:lineRule="exact"/>
        <w:rPr>
          <w:sz w:val="20"/>
          <w:szCs w:val="20"/>
          <w:color w:val="auto"/>
        </w:rPr>
      </w:pPr>
    </w:p>
    <w:p>
      <w:pPr>
        <w:ind w:right="40" w:firstLine="463"/>
        <w:spacing w:after="0" w:line="243" w:lineRule="auto"/>
        <w:rPr>
          <w:sz w:val="20"/>
          <w:szCs w:val="20"/>
          <w:color w:val="auto"/>
        </w:rPr>
      </w:pPr>
      <w:r>
        <w:rPr>
          <w:rFonts w:ascii="Arial" w:cs="Arial" w:eastAsia="Arial" w:hAnsi="Arial"/>
          <w:sz w:val="19"/>
          <w:szCs w:val="19"/>
          <w:color w:val="231F20"/>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p>
    <w:p>
      <w:pPr>
        <w:spacing w:after="0" w:line="149" w:lineRule="exact"/>
        <w:rPr>
          <w:sz w:val="20"/>
          <w:szCs w:val="20"/>
          <w:color w:val="auto"/>
        </w:rPr>
      </w:pPr>
    </w:p>
    <w:p>
      <w:pPr>
        <w:ind w:right="120" w:firstLine="463"/>
        <w:spacing w:after="0" w:line="246" w:lineRule="auto"/>
        <w:rPr>
          <w:sz w:val="20"/>
          <w:szCs w:val="20"/>
          <w:color w:val="auto"/>
        </w:rPr>
      </w:pPr>
      <w:r>
        <w:rPr>
          <w:rFonts w:ascii="Arial" w:cs="Arial" w:eastAsia="Arial" w:hAnsi="Arial"/>
          <w:sz w:val="19"/>
          <w:szCs w:val="19"/>
          <w:color w:val="231F20"/>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148" w:lineRule="exact"/>
        <w:rPr>
          <w:sz w:val="20"/>
          <w:szCs w:val="20"/>
          <w:color w:val="auto"/>
        </w:rPr>
      </w:pPr>
    </w:p>
    <w:p>
      <w:pPr>
        <w:ind w:firstLine="463"/>
        <w:spacing w:after="0" w:line="242" w:lineRule="auto"/>
        <w:rPr>
          <w:sz w:val="20"/>
          <w:szCs w:val="20"/>
          <w:color w:val="auto"/>
        </w:rPr>
      </w:pPr>
      <w:r>
        <w:rPr>
          <w:rFonts w:ascii="Arial" w:cs="Arial" w:eastAsia="Arial" w:hAnsi="Arial"/>
          <w:sz w:val="19"/>
          <w:szCs w:val="19"/>
          <w:color w:val="231F20"/>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In addition, certain of our clients are subject to requirements to issue requests for proposals (RFPs) to open up competition for their ongoing business notwithstanding their satisfaction with our solutions. In order to retain their business, we may be required to accept terms or pricing conditions less favorable to us than would be the case with automatic renewal of an existing contract.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59"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b w:val="1"/>
          <w:bCs w:val="1"/>
          <w:i w:val="1"/>
          <w:iCs w:val="1"/>
          <w:color w:val="231F20"/>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124" w:lineRule="exact"/>
        <w:rPr>
          <w:sz w:val="20"/>
          <w:szCs w:val="20"/>
          <w:color w:val="auto"/>
        </w:rPr>
      </w:pPr>
    </w:p>
    <w:p>
      <w:pPr>
        <w:ind w:right="160" w:firstLine="463"/>
        <w:spacing w:after="0" w:line="248" w:lineRule="auto"/>
        <w:rPr>
          <w:sz w:val="20"/>
          <w:szCs w:val="20"/>
          <w:color w:val="auto"/>
        </w:rPr>
      </w:pPr>
      <w:r>
        <w:rPr>
          <w:rFonts w:ascii="Arial" w:cs="Arial" w:eastAsia="Arial" w:hAnsi="Arial"/>
          <w:sz w:val="19"/>
          <w:szCs w:val="19"/>
          <w:color w:val="231F20"/>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operating results or key metrics fall below the expectations of investors or securities analysts or below any guidance we may provide to the market, the price of our common stock could decline substantially.</w:t>
      </w:r>
    </w:p>
    <w:p>
      <w:pPr>
        <w:spacing w:after="0" w:line="146" w:lineRule="exact"/>
        <w:rPr>
          <w:sz w:val="20"/>
          <w:szCs w:val="20"/>
          <w:color w:val="auto"/>
        </w:rPr>
      </w:pPr>
    </w:p>
    <w:p>
      <w:pPr>
        <w:jc w:val="both"/>
        <w:ind w:right="60" w:firstLine="463"/>
        <w:spacing w:after="0" w:line="258" w:lineRule="auto"/>
        <w:rPr>
          <w:sz w:val="20"/>
          <w:szCs w:val="20"/>
          <w:color w:val="auto"/>
        </w:rPr>
      </w:pPr>
      <w:r>
        <w:rPr>
          <w:rFonts w:ascii="Arial" w:cs="Arial" w:eastAsia="Arial" w:hAnsi="Arial"/>
          <w:sz w:val="19"/>
          <w:szCs w:val="19"/>
          <w:color w:val="231F20"/>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p>
    <w:p>
      <w:pPr>
        <w:spacing w:after="0" w:line="149" w:lineRule="exact"/>
        <w:rPr>
          <w:sz w:val="20"/>
          <w:szCs w:val="20"/>
          <w:color w:val="auto"/>
        </w:rPr>
      </w:pPr>
    </w:p>
    <w:p>
      <w:pPr>
        <w:ind w:left="920" w:hanging="458"/>
        <w:spacing w:after="0"/>
        <w:tabs>
          <w:tab w:leader="none" w:pos="920" w:val="left"/>
        </w:tabs>
        <w:numPr>
          <w:ilvl w:val="0"/>
          <w:numId w:val="30"/>
        </w:numPr>
        <w:rPr>
          <w:rFonts w:ascii="Arial" w:cs="Arial" w:eastAsia="Arial" w:hAnsi="Arial"/>
          <w:sz w:val="19"/>
          <w:szCs w:val="19"/>
          <w:color w:val="231F20"/>
        </w:rPr>
      </w:pPr>
      <w:r>
        <w:rPr>
          <w:rFonts w:ascii="Arial" w:cs="Arial" w:eastAsia="Arial" w:hAnsi="Arial"/>
          <w:sz w:val="19"/>
          <w:szCs w:val="19"/>
          <w:color w:val="231F20"/>
        </w:rPr>
        <w:t>demand for our solutions and the number, volume and timing of payments processed;</w:t>
      </w:r>
    </w:p>
    <w:p>
      <w:pPr>
        <w:sectPr>
          <w:pgSz w:w="12240" w:h="15840" w:orient="portrait"/>
          <w:cols w:equalWidth="0" w:num="1">
            <w:col w:w="10180"/>
          </w:cols>
          <w:pgMar w:left="1020" w:top="1440" w:right="1040" w:bottom="595"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32</w:t>
      </w:r>
    </w:p>
    <w:p>
      <w:pPr>
        <w:sectPr>
          <w:pgSz w:w="12240" w:h="15840" w:orient="portrait"/>
          <w:cols w:equalWidth="0" w:num="1">
            <w:col w:w="10180"/>
          </w:cols>
          <w:pgMar w:left="1020" w:top="1440" w:right="1040" w:bottom="595" w:gutter="0" w:footer="0" w:header="0"/>
          <w:type w:val="continuous"/>
        </w:sectPr>
      </w:pPr>
    </w:p>
    <w:bookmarkStart w:id="33" w:name="page34"/>
    <w:bookmarkEnd w:id="33"/>
    <w:p>
      <w:pPr>
        <w:spacing w:after="0" w:line="109" w:lineRule="exact"/>
        <w:rPr>
          <w:sz w:val="20"/>
          <w:szCs w:val="20"/>
          <w:color w:val="auto"/>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timing of tuition payments;</w:t>
      </w:r>
    </w:p>
    <w:p>
      <w:pPr>
        <w:spacing w:after="0" w:line="200" w:lineRule="exact"/>
        <w:rPr>
          <w:rFonts w:ascii="Arial" w:cs="Arial" w:eastAsia="Arial" w:hAnsi="Arial"/>
          <w:sz w:val="19"/>
          <w:szCs w:val="19"/>
          <w:color w:val="231F20"/>
        </w:rPr>
      </w:pPr>
    </w:p>
    <w:p>
      <w:pPr>
        <w:ind w:left="920" w:right="340" w:hanging="458"/>
        <w:spacing w:after="0" w:line="278" w:lineRule="auto"/>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government restrictions or related limitations on the issuances of visas, such as recently enacted policies in Canada and Australia;</w:t>
      </w:r>
    </w:p>
    <w:p>
      <w:pPr>
        <w:spacing w:after="0" w:line="129"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market acceptance of our current and future solutions;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our revenue mix in a particular quarter;</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the mix of payment methods and currencies utilized by our clients’ customers in a particular quarter;</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a slowdown or delay in spending on IT and software by our current and/or prospective clients;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sales cycles and performance of our direct and indirect sales force;</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budgeting and implementation cycles of our current or potential clients;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foreign currency exchange rate fluctuations;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the management, performance and expansion of our domestic and international operations;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the rate of renewals of contracts with our clients;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changes in the competitive dynamics of our markets;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our ability to control and predict costs, including our operating expenses;</w:t>
      </w:r>
    </w:p>
    <w:p>
      <w:pPr>
        <w:spacing w:after="0" w:line="200" w:lineRule="exact"/>
        <w:rPr>
          <w:rFonts w:ascii="Arial" w:cs="Arial" w:eastAsia="Arial" w:hAnsi="Arial"/>
          <w:sz w:val="19"/>
          <w:szCs w:val="19"/>
          <w:color w:val="231F20"/>
        </w:rPr>
      </w:pPr>
    </w:p>
    <w:p>
      <w:pPr>
        <w:ind w:left="920" w:right="20" w:hanging="458"/>
        <w:spacing w:after="0" w:line="278" w:lineRule="auto"/>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clients delaying purchasing decisions, including in anticipation of new products or product enhancements by us or our competitors;</w:t>
      </w:r>
    </w:p>
    <w:p>
      <w:pPr>
        <w:spacing w:after="0" w:line="129"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the seasonality and cyclical nature of our business;</w:t>
      </w:r>
    </w:p>
    <w:p>
      <w:pPr>
        <w:spacing w:after="0" w:line="200" w:lineRule="exact"/>
        <w:rPr>
          <w:rFonts w:ascii="Arial" w:cs="Arial" w:eastAsia="Arial" w:hAnsi="Arial"/>
          <w:sz w:val="19"/>
          <w:szCs w:val="19"/>
          <w:color w:val="231F20"/>
        </w:rPr>
      </w:pPr>
    </w:p>
    <w:p>
      <w:pPr>
        <w:ind w:left="920" w:right="280" w:hanging="458"/>
        <w:spacing w:after="0" w:line="278" w:lineRule="auto"/>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failure to successfully manage or integrate any acquisitions, including our most recent acquisitions of Sertifi, Cohort Go, StudyLink and Invoiced;</w:t>
      </w:r>
    </w:p>
    <w:p>
      <w:pPr>
        <w:spacing w:after="0" w:line="129"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the outcome or publicity surrounding any pending or threatened lawsuits or government investigations;</w:t>
      </w:r>
    </w:p>
    <w:p>
      <w:pPr>
        <w:spacing w:after="0" w:line="200" w:lineRule="exact"/>
        <w:rPr>
          <w:rFonts w:ascii="Arial" w:cs="Arial" w:eastAsia="Arial" w:hAnsi="Arial"/>
          <w:sz w:val="19"/>
          <w:szCs w:val="19"/>
          <w:color w:val="231F20"/>
        </w:rPr>
      </w:pPr>
    </w:p>
    <w:p>
      <w:pPr>
        <w:ind w:left="920" w:right="220" w:hanging="458"/>
        <w:spacing w:after="0" w:line="258" w:lineRule="auto"/>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general economic and political conditions in our domestic and international markets, including heightened interest rates, imposition of tariffs, inflation and fluctuations in supply chains, and restrictions on cross-border travel or commerce;</w:t>
      </w:r>
    </w:p>
    <w:p>
      <w:pPr>
        <w:spacing w:after="0" w:line="148"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changes in the level of scrutiny applied by regulators and investors on our ESG program;</w:t>
      </w:r>
    </w:p>
    <w:p>
      <w:pPr>
        <w:spacing w:after="0" w:line="200" w:lineRule="exact"/>
        <w:rPr>
          <w:rFonts w:ascii="Arial" w:cs="Arial" w:eastAsia="Arial" w:hAnsi="Arial"/>
          <w:sz w:val="19"/>
          <w:szCs w:val="19"/>
          <w:color w:val="231F20"/>
        </w:rPr>
      </w:pPr>
    </w:p>
    <w:p>
      <w:pPr>
        <w:ind w:left="920" w:right="260" w:hanging="458"/>
        <w:spacing w:after="0" w:line="278" w:lineRule="auto"/>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unexpected events, including those resulting from climate change, international or civil conflicts and wars, or other geopolitical events;</w:t>
      </w:r>
    </w:p>
    <w:p>
      <w:pPr>
        <w:spacing w:after="0" w:line="129" w:lineRule="exact"/>
        <w:rPr>
          <w:rFonts w:ascii="Arial" w:cs="Arial" w:eastAsia="Arial" w:hAnsi="Arial"/>
          <w:sz w:val="19"/>
          <w:szCs w:val="19"/>
          <w:color w:val="231F20"/>
        </w:rPr>
      </w:pPr>
    </w:p>
    <w:p>
      <w:pPr>
        <w:ind w:left="920" w:right="20" w:hanging="458"/>
        <w:spacing w:after="0" w:line="251" w:lineRule="auto"/>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expected or actual extended U.S. federal government shutdowns, priorities of the U.S. presidential administration and related changes in laws, regulations or policies, which among other things could result in increased limitations on visa issuances, geopolitical uncertainty and impact educational financial aid payments; and</w:t>
      </w:r>
    </w:p>
    <w:p>
      <w:pPr>
        <w:spacing w:after="0" w:line="156" w:lineRule="exact"/>
        <w:rPr>
          <w:rFonts w:ascii="Arial" w:cs="Arial" w:eastAsia="Arial" w:hAnsi="Arial"/>
          <w:sz w:val="19"/>
          <w:szCs w:val="19"/>
          <w:color w:val="231F20"/>
        </w:rPr>
      </w:pPr>
    </w:p>
    <w:p>
      <w:pPr>
        <w:ind w:left="920" w:hanging="458"/>
        <w:spacing w:after="0"/>
        <w:tabs>
          <w:tab w:leader="none" w:pos="920"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global pandemics, such as COVID-19, or other public health emergencies and the responses thereto.</w:t>
      </w:r>
    </w:p>
    <w:p>
      <w:pPr>
        <w:spacing w:after="0" w:line="188" w:lineRule="exact"/>
        <w:rPr>
          <w:sz w:val="20"/>
          <w:szCs w:val="20"/>
          <w:color w:val="auto"/>
        </w:rPr>
      </w:pPr>
    </w:p>
    <w:p>
      <w:pPr>
        <w:ind w:right="240" w:firstLine="463"/>
        <w:spacing w:after="0" w:line="258" w:lineRule="auto"/>
        <w:rPr>
          <w:sz w:val="20"/>
          <w:szCs w:val="20"/>
          <w:color w:val="auto"/>
        </w:rPr>
      </w:pPr>
      <w:r>
        <w:rPr>
          <w:rFonts w:ascii="Arial" w:cs="Arial" w:eastAsia="Arial" w:hAnsi="Arial"/>
          <w:sz w:val="19"/>
          <w:szCs w:val="19"/>
          <w:color w:val="231F20"/>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36"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ectPr>
          <w:pgSz w:w="12240" w:h="15840" w:orient="portrait"/>
          <w:cols w:equalWidth="0" w:num="1">
            <w:col w:w="10200"/>
          </w:cols>
          <w:pgMar w:left="1020" w:top="1440" w:right="1020" w:bottom="595"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33</w:t>
      </w:r>
    </w:p>
    <w:p>
      <w:pPr>
        <w:sectPr>
          <w:pgSz w:w="12240" w:h="15840" w:orient="portrait"/>
          <w:cols w:equalWidth="0" w:num="1">
            <w:col w:w="10200"/>
          </w:cols>
          <w:pgMar w:left="1020" w:top="1440" w:right="1020" w:bottom="595" w:gutter="0" w:footer="0" w:header="0"/>
          <w:type w:val="continuous"/>
        </w:sectPr>
      </w:pPr>
    </w:p>
    <w:bookmarkStart w:id="34" w:name="page35"/>
    <w:bookmarkEnd w:id="34"/>
    <w:p>
      <w:pPr>
        <w:spacing w:after="0" w:line="101" w:lineRule="exact"/>
        <w:rPr>
          <w:sz w:val="20"/>
          <w:szCs w:val="20"/>
          <w:color w:val="auto"/>
        </w:rPr>
      </w:pPr>
    </w:p>
    <w:p>
      <w:pPr>
        <w:ind w:right="560"/>
        <w:spacing w:after="0" w:line="285" w:lineRule="auto"/>
        <w:rPr>
          <w:sz w:val="20"/>
          <w:szCs w:val="20"/>
          <w:color w:val="auto"/>
        </w:rPr>
      </w:pPr>
      <w:r>
        <w:rPr>
          <w:rFonts w:ascii="Arial" w:cs="Arial" w:eastAsia="Arial" w:hAnsi="Arial"/>
          <w:sz w:val="19"/>
          <w:szCs w:val="19"/>
          <w:b w:val="1"/>
          <w:bCs w:val="1"/>
          <w:i w:val="1"/>
          <w:iCs w:val="1"/>
          <w:color w:val="231F20"/>
        </w:rPr>
        <w:t>Our restructuring plan may not yield its intended efficiencies and could strain resources, negatively impact workforce morale, and slow down execution of our strategic plans.</w:t>
      </w:r>
    </w:p>
    <w:p>
      <w:pPr>
        <w:spacing w:after="0" w:line="100" w:lineRule="exact"/>
        <w:rPr>
          <w:sz w:val="20"/>
          <w:szCs w:val="20"/>
          <w:color w:val="auto"/>
        </w:rPr>
      </w:pPr>
    </w:p>
    <w:p>
      <w:pPr>
        <w:ind w:right="80" w:firstLine="680"/>
        <w:spacing w:after="0" w:line="241" w:lineRule="auto"/>
        <w:rPr>
          <w:sz w:val="20"/>
          <w:szCs w:val="20"/>
          <w:color w:val="auto"/>
        </w:rPr>
      </w:pPr>
      <w:r>
        <w:rPr>
          <w:rFonts w:ascii="Arial" w:cs="Arial" w:eastAsia="Arial" w:hAnsi="Arial"/>
          <w:sz w:val="19"/>
          <w:szCs w:val="19"/>
          <w:color w:val="231F20"/>
        </w:rPr>
        <w:t>In February 2025, we announced a restructuring plan that is designed to improve operational efficiencies, reduce operating costs and better align the our workforce with current business needs, top strategic priorities and key growth opportunities (Restructuring Plan). As part of the Restructuring Plan we have reduced our workforce by approximately 10%. This reduction in force, and any other future reductions, and the attrition that may occur following them, result in the loss of institutional knowledge and expertise and the reallocation and combination of certain roles and responsibilities across our company, all of which could adversely affect our operations. These actions and other additional measures we might take to reduce costs may potentially result in a strain our workforce, divert management attention, yield attrition beyond our intended reduction in force, negatively impact employee morale and productivity, cause us to delay, limit, reduce or eliminate certain strategic plans or otherwise interfere with our ability to operate and grow our business effectively, each of which could have an adverse impact on our business, operating results and financial condition. Additionally, as we are operating our business with a different level and mix of employees, we face additional risk that we might not be able to execute on our strategic plans and product roadmap, which may have an adverse effect on our business, financial condition, and operating results. Moreover, the workforce reduction we are implementing, though currently planned to be temporary, may negatively impact our ability to attract, integrate, retain and motivate highly qualified employees, make it difficult for us to pursue new opportunities and initiatives, and may harm our reputation with current or prospective employees.</w:t>
      </w:r>
    </w:p>
    <w:p>
      <w:pPr>
        <w:spacing w:after="0" w:line="158" w:lineRule="exact"/>
        <w:rPr>
          <w:sz w:val="20"/>
          <w:szCs w:val="20"/>
          <w:color w:val="auto"/>
        </w:rPr>
      </w:pPr>
    </w:p>
    <w:p>
      <w:pPr>
        <w:ind w:right="380"/>
        <w:spacing w:after="0" w:line="285" w:lineRule="auto"/>
        <w:rPr>
          <w:sz w:val="20"/>
          <w:szCs w:val="20"/>
          <w:color w:val="auto"/>
        </w:rPr>
      </w:pPr>
      <w:r>
        <w:rPr>
          <w:rFonts w:ascii="Arial" w:cs="Arial" w:eastAsia="Arial" w:hAnsi="Arial"/>
          <w:sz w:val="19"/>
          <w:szCs w:val="19"/>
          <w:b w:val="1"/>
          <w:bCs w:val="1"/>
          <w:i w:val="1"/>
          <w:iCs w:val="1"/>
          <w:color w:val="231F20"/>
        </w:rPr>
        <w:t>Our operational and business portfolio reviews may not result in improvements to our financial performance, strategy, or operations, and we face a number of risks related to such reviews.</w:t>
      </w:r>
    </w:p>
    <w:p>
      <w:pPr>
        <w:spacing w:after="0" w:line="100"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We are currently undertaking a comprehensive operational and business portfolio review that is expected to encompass geographies, products, verticals, and cost structure, and explore various options and an operational cost-saving review to identify efficiencies and synergies across all of our business areas, including opportunities to combine and optimize systems and processes. Implementation of a go forward plan and any other cost-saving initiatives, including possible future restructuring efforts, may be costly and disruptive to our business, the expected costs and charges may be greater than forecasted, and the estimated cost savings may be lower than forecasted. We may not achieve the desired strategic, operational, and financial benefits of any actions taken as a result of our operational and business portfolio reviews. Further, we may not be able to successfully execute the desired changes. During the pendency of these reviews or any transaction that may occur as a result of these reviews, we may be subject to risks related to a decline in the business or employee morale and turnover, as well as distraction of management from our business and clients, and investors may not react favorably to our decisions, which could adversely affect our business, results of operations and the market price of our common stock. If we are unable to successfully complete our operational and business portfolio reviews or we are unable to complete the proposed outcomes of these reviews or they do not meet our strategic objectives, our business, results of operations and financial condition could be adversely affected.</w:t>
      </w:r>
    </w:p>
    <w:p>
      <w:pPr>
        <w:spacing w:after="0" w:line="158" w:lineRule="exact"/>
        <w:rPr>
          <w:sz w:val="20"/>
          <w:szCs w:val="20"/>
          <w:color w:val="auto"/>
        </w:rPr>
      </w:pPr>
    </w:p>
    <w:p>
      <w:pPr>
        <w:ind w:right="180" w:firstLine="463"/>
        <w:spacing w:after="0" w:line="244" w:lineRule="auto"/>
        <w:rPr>
          <w:sz w:val="20"/>
          <w:szCs w:val="20"/>
          <w:color w:val="auto"/>
        </w:rPr>
      </w:pPr>
      <w:r>
        <w:rPr>
          <w:rFonts w:ascii="Arial" w:cs="Arial" w:eastAsia="Arial" w:hAnsi="Arial"/>
          <w:sz w:val="19"/>
          <w:szCs w:val="19"/>
          <w:color w:val="231F20"/>
        </w:rPr>
        <w:t>Our operational and business portfolio reviews are ongoing, and we are continuing to carefully consider the full range of options for maximizing value to our shareholders, including potential transactions with third parties and other strategic and financial alternatives. There can be no assurance that the operational and business portfolio reviews will result in any particular action or that a transaction will be consummated, nor can there be any assurance regarding the timing of any action or transaction. We have not set a deadline or definitive timetable for the completion of our reviews, and we can provide no assurance that any actions taken or any transaction or other strategic alternative we may pursue will achieve the anticipated cost savings, operating efficiencies or have a positive impact on our results of operations or financial condition.</w:t>
      </w:r>
    </w:p>
    <w:p>
      <w:pPr>
        <w:spacing w:after="0" w:line="153" w:lineRule="exact"/>
        <w:rPr>
          <w:sz w:val="20"/>
          <w:szCs w:val="20"/>
          <w:color w:val="auto"/>
        </w:rPr>
      </w:pPr>
    </w:p>
    <w:p>
      <w:pPr>
        <w:ind w:right="360"/>
        <w:spacing w:after="0" w:line="285" w:lineRule="auto"/>
        <w:rPr>
          <w:sz w:val="20"/>
          <w:szCs w:val="20"/>
          <w:color w:val="auto"/>
        </w:rPr>
      </w:pPr>
      <w:r>
        <w:rPr>
          <w:rFonts w:ascii="Arial" w:cs="Arial" w:eastAsia="Arial" w:hAnsi="Arial"/>
          <w:sz w:val="19"/>
          <w:szCs w:val="19"/>
          <w:b w:val="1"/>
          <w:bCs w:val="1"/>
          <w:i w:val="1"/>
          <w:iCs w:val="1"/>
          <w:color w:val="231F20"/>
        </w:rPr>
        <w:t>We expect our revenue mix to vary over time, which could affect our gross profit, gross margin and results of operations.</w:t>
      </w:r>
    </w:p>
    <w:p>
      <w:pPr>
        <w:spacing w:after="0" w:line="100" w:lineRule="exact"/>
        <w:rPr>
          <w:sz w:val="20"/>
          <w:szCs w:val="20"/>
          <w:color w:val="auto"/>
        </w:rPr>
      </w:pPr>
    </w:p>
    <w:p>
      <w:pPr>
        <w:ind w:right="20" w:firstLine="463"/>
        <w:spacing w:after="0" w:line="259" w:lineRule="auto"/>
        <w:rPr>
          <w:sz w:val="20"/>
          <w:szCs w:val="20"/>
          <w:color w:val="auto"/>
        </w:rPr>
      </w:pPr>
      <w:r>
        <w:rPr>
          <w:rFonts w:ascii="Arial" w:cs="Arial" w:eastAsia="Arial" w:hAnsi="Arial"/>
          <w:sz w:val="18"/>
          <w:szCs w:val="18"/>
          <w:color w:val="231F20"/>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w:t>
      </w:r>
    </w:p>
    <w:p>
      <w:pPr>
        <w:sectPr>
          <w:pgSz w:w="12240" w:h="15840" w:orient="portrait"/>
          <w:cols w:equalWidth="0" w:num="1">
            <w:col w:w="10180"/>
          </w:cols>
          <w:pgMar w:left="1020" w:top="1440" w:right="1040" w:bottom="595"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34</w:t>
      </w:r>
    </w:p>
    <w:p>
      <w:pPr>
        <w:sectPr>
          <w:pgSz w:w="12240" w:h="15840" w:orient="portrait"/>
          <w:cols w:equalWidth="0" w:num="1">
            <w:col w:w="10180"/>
          </w:cols>
          <w:pgMar w:left="1020" w:top="1440" w:right="1040" w:bottom="595" w:gutter="0" w:footer="0" w:header="0"/>
          <w:type w:val="continuous"/>
        </w:sectPr>
      </w:pPr>
    </w:p>
    <w:bookmarkStart w:id="35" w:name="page36"/>
    <w:bookmarkEnd w:id="35"/>
    <w:p>
      <w:pPr>
        <w:spacing w:after="0" w:line="97" w:lineRule="exact"/>
        <w:rPr>
          <w:sz w:val="20"/>
          <w:szCs w:val="20"/>
          <w:color w:val="auto"/>
        </w:rPr>
      </w:pPr>
    </w:p>
    <w:p>
      <w:pPr>
        <w:ind w:right="480"/>
        <w:spacing w:after="0" w:line="278" w:lineRule="auto"/>
        <w:rPr>
          <w:sz w:val="20"/>
          <w:szCs w:val="20"/>
          <w:color w:val="auto"/>
        </w:rPr>
      </w:pPr>
      <w:r>
        <w:rPr>
          <w:rFonts w:ascii="Arial" w:cs="Arial" w:eastAsia="Arial" w:hAnsi="Arial"/>
          <w:sz w:val="19"/>
          <w:szCs w:val="19"/>
          <w:color w:val="231F20"/>
        </w:rPr>
        <w:t>fail to meet or exceed such expectations for these or any other reasons, the market price of our common stock could decline.</w:t>
      </w:r>
    </w:p>
    <w:p>
      <w:pPr>
        <w:spacing w:after="0" w:line="121" w:lineRule="exact"/>
        <w:rPr>
          <w:sz w:val="20"/>
          <w:szCs w:val="20"/>
          <w:color w:val="auto"/>
        </w:rPr>
      </w:pPr>
    </w:p>
    <w:p>
      <w:pPr>
        <w:ind w:right="200"/>
        <w:spacing w:after="0" w:line="285" w:lineRule="auto"/>
        <w:rPr>
          <w:sz w:val="20"/>
          <w:szCs w:val="20"/>
          <w:color w:val="auto"/>
        </w:rPr>
      </w:pPr>
      <w:r>
        <w:rPr>
          <w:rFonts w:ascii="Arial" w:cs="Arial" w:eastAsia="Arial" w:hAnsi="Arial"/>
          <w:sz w:val="19"/>
          <w:szCs w:val="19"/>
          <w:b w:val="1"/>
          <w:bCs w:val="1"/>
          <w:i w:val="1"/>
          <w:iCs w:val="1"/>
          <w:color w:val="231F20"/>
        </w:rPr>
        <w:t>If our efforts to attract new clients and increase the number of our clients’ customers that use our solutions are unsuccessful, our revenue growth and operating results will be adversely affected.</w:t>
      </w:r>
    </w:p>
    <w:p>
      <w:pPr>
        <w:spacing w:after="0" w:line="100" w:lineRule="exact"/>
        <w:rPr>
          <w:sz w:val="20"/>
          <w:szCs w:val="20"/>
          <w:color w:val="auto"/>
        </w:rPr>
      </w:pPr>
    </w:p>
    <w:p>
      <w:pPr>
        <w:ind w:right="100" w:firstLine="463"/>
        <w:spacing w:after="0" w:line="242" w:lineRule="auto"/>
        <w:rPr>
          <w:sz w:val="20"/>
          <w:szCs w:val="20"/>
          <w:color w:val="auto"/>
        </w:rPr>
      </w:pPr>
      <w:r>
        <w:rPr>
          <w:rFonts w:ascii="Arial" w:cs="Arial" w:eastAsia="Arial" w:hAnsi="Arial"/>
          <w:sz w:val="19"/>
          <w:szCs w:val="19"/>
          <w:color w:val="231F20"/>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56" w:lineRule="exact"/>
        <w:rPr>
          <w:sz w:val="20"/>
          <w:szCs w:val="20"/>
          <w:color w:val="auto"/>
        </w:rPr>
      </w:pPr>
    </w:p>
    <w:p>
      <w:pPr>
        <w:ind w:right="520"/>
        <w:spacing w:after="0" w:line="285" w:lineRule="auto"/>
        <w:rPr>
          <w:sz w:val="20"/>
          <w:szCs w:val="20"/>
          <w:color w:val="auto"/>
        </w:rPr>
      </w:pPr>
      <w:r>
        <w:rPr>
          <w:rFonts w:ascii="Arial" w:cs="Arial" w:eastAsia="Arial" w:hAnsi="Arial"/>
          <w:sz w:val="19"/>
          <w:szCs w:val="19"/>
          <w:b w:val="1"/>
          <w:bCs w:val="1"/>
          <w:i w:val="1"/>
          <w:iCs w:val="1"/>
          <w:color w:val="231F20"/>
        </w:rPr>
        <w:t>If we are unable to expand our direct and channel sales capabilities, grow our marketing reach and increase sales productivity, we may not be able to generate increased revenues.</w:t>
      </w:r>
    </w:p>
    <w:p>
      <w:pPr>
        <w:spacing w:after="0" w:line="100"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strategically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62" w:lineRule="exact"/>
        <w:rPr>
          <w:sz w:val="20"/>
          <w:szCs w:val="20"/>
          <w:color w:val="auto"/>
        </w:rPr>
      </w:pPr>
    </w:p>
    <w:p>
      <w:pPr>
        <w:ind w:right="440"/>
        <w:spacing w:after="0" w:line="285" w:lineRule="auto"/>
        <w:rPr>
          <w:sz w:val="20"/>
          <w:szCs w:val="20"/>
          <w:color w:val="auto"/>
        </w:rPr>
      </w:pPr>
      <w:r>
        <w:rPr>
          <w:rFonts w:ascii="Arial" w:cs="Arial" w:eastAsia="Arial" w:hAnsi="Arial"/>
          <w:sz w:val="19"/>
          <w:szCs w:val="19"/>
          <w:b w:val="1"/>
          <w:bCs w:val="1"/>
          <w:i w:val="1"/>
          <w:iCs w:val="1"/>
          <w:color w:val="231F20"/>
        </w:rPr>
        <w:t>Our business could be adversely affected if our clients or their customers are not satisfied with the timing or quality of implementation services provided by us or our partners.</w:t>
      </w:r>
    </w:p>
    <w:p>
      <w:pPr>
        <w:spacing w:after="0" w:line="100" w:lineRule="exact"/>
        <w:rPr>
          <w:sz w:val="20"/>
          <w:szCs w:val="20"/>
          <w:color w:val="auto"/>
        </w:rPr>
      </w:pPr>
    </w:p>
    <w:p>
      <w:pPr>
        <w:ind w:right="20" w:firstLine="463"/>
        <w:spacing w:after="0" w:line="244" w:lineRule="auto"/>
        <w:rPr>
          <w:sz w:val="20"/>
          <w:szCs w:val="20"/>
          <w:color w:val="auto"/>
        </w:rPr>
      </w:pPr>
      <w:r>
        <w:rPr>
          <w:rFonts w:ascii="Arial" w:cs="Arial" w:eastAsia="Arial" w:hAnsi="Arial"/>
          <w:sz w:val="19"/>
          <w:szCs w:val="19"/>
          <w:color w:val="231F20"/>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Our financial and operating results are subject to seasonality and cyclicality.</w:t>
      </w:r>
    </w:p>
    <w:p>
      <w:pPr>
        <w:spacing w:after="0" w:line="184" w:lineRule="exact"/>
        <w:rPr>
          <w:sz w:val="20"/>
          <w:szCs w:val="20"/>
          <w:color w:val="auto"/>
        </w:rPr>
      </w:pPr>
    </w:p>
    <w:p>
      <w:pPr>
        <w:ind w:right="20" w:firstLine="463"/>
        <w:spacing w:after="0" w:line="246" w:lineRule="auto"/>
        <w:rPr>
          <w:sz w:val="20"/>
          <w:szCs w:val="20"/>
          <w:color w:val="auto"/>
        </w:rPr>
      </w:pPr>
      <w:r>
        <w:rPr>
          <w:rFonts w:ascii="Arial" w:cs="Arial" w:eastAsia="Arial" w:hAnsi="Arial"/>
          <w:sz w:val="19"/>
          <w:szCs w:val="19"/>
          <w:color w:val="231F20"/>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p>
    <w:p>
      <w:pPr>
        <w:spacing w:after="0" w:line="152" w:lineRule="exact"/>
        <w:rPr>
          <w:sz w:val="20"/>
          <w:szCs w:val="20"/>
          <w:color w:val="auto"/>
        </w:rPr>
      </w:pPr>
    </w:p>
    <w:p>
      <w:pPr>
        <w:ind w:right="100"/>
        <w:spacing w:after="0" w:line="285" w:lineRule="auto"/>
        <w:rPr>
          <w:sz w:val="20"/>
          <w:szCs w:val="20"/>
          <w:color w:val="auto"/>
        </w:rPr>
      </w:pPr>
      <w:r>
        <w:rPr>
          <w:rFonts w:ascii="Arial" w:cs="Arial" w:eastAsia="Arial" w:hAnsi="Arial"/>
          <w:sz w:val="19"/>
          <w:szCs w:val="19"/>
          <w:b w:val="1"/>
          <w:bCs w:val="1"/>
          <w:i w:val="1"/>
          <w:iCs w:val="1"/>
          <w:color w:val="231F20"/>
        </w:rPr>
        <w:t>We are exposed to fluctuations in foreign currency exchange rates that could materially and adversely affect our results of operations.</w:t>
      </w:r>
    </w:p>
    <w:p>
      <w:pPr>
        <w:sectPr>
          <w:pgSz w:w="12240" w:h="15840" w:orient="portrait"/>
          <w:cols w:equalWidth="0" w:num="1">
            <w:col w:w="10200"/>
          </w:cols>
          <w:pgMar w:left="1020" w:top="1440" w:right="1020" w:bottom="595" w:gutter="0" w:footer="0" w:header="0"/>
        </w:sectPr>
      </w:pPr>
    </w:p>
    <w:p>
      <w:pPr>
        <w:spacing w:after="0" w:line="82"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35</w:t>
      </w:r>
    </w:p>
    <w:p>
      <w:pPr>
        <w:sectPr>
          <w:pgSz w:w="12240" w:h="15840" w:orient="portrait"/>
          <w:cols w:equalWidth="0" w:num="1">
            <w:col w:w="10200"/>
          </w:cols>
          <w:pgMar w:left="1020" w:top="1440" w:right="1020" w:bottom="595" w:gutter="0" w:footer="0" w:header="0"/>
          <w:type w:val="continuous"/>
        </w:sectPr>
      </w:pPr>
    </w:p>
    <w:bookmarkStart w:id="36" w:name="page37"/>
    <w:bookmarkEnd w:id="36"/>
    <w:p>
      <w:pPr>
        <w:spacing w:after="0" w:line="97" w:lineRule="exact"/>
        <w:rPr>
          <w:sz w:val="20"/>
          <w:szCs w:val="20"/>
          <w:color w:val="auto"/>
        </w:rPr>
      </w:pPr>
    </w:p>
    <w:p>
      <w:pPr>
        <w:ind w:right="20" w:firstLine="463"/>
        <w:spacing w:after="0" w:line="262" w:lineRule="auto"/>
        <w:rPr>
          <w:sz w:val="20"/>
          <w:szCs w:val="20"/>
          <w:color w:val="auto"/>
        </w:rPr>
      </w:pPr>
      <w:r>
        <w:rPr>
          <w:rFonts w:ascii="Arial" w:cs="Arial" w:eastAsia="Arial" w:hAnsi="Arial"/>
          <w:sz w:val="18"/>
          <w:szCs w:val="18"/>
          <w:color w:val="231F20"/>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for the year ended December 31, 2024, as the U.S. Dollar weakened against several currencies, including the British Pound, relative to the prior year, these foreign exchange impacts increased our reported revenue in U.S. Dollars by approximately $2.3 million compared to the year ended December 31, 2023 on a constant currency basis.</w:t>
      </w:r>
    </w:p>
    <w:p>
      <w:pPr>
        <w:spacing w:after="0" w:line="136" w:lineRule="exact"/>
        <w:rPr>
          <w:sz w:val="20"/>
          <w:szCs w:val="20"/>
          <w:color w:val="auto"/>
        </w:rPr>
      </w:pPr>
    </w:p>
    <w:p>
      <w:pPr>
        <w:ind w:right="100" w:firstLine="463"/>
        <w:spacing w:after="0" w:line="244" w:lineRule="auto"/>
        <w:rPr>
          <w:sz w:val="20"/>
          <w:szCs w:val="20"/>
          <w:color w:val="auto"/>
        </w:rPr>
      </w:pPr>
      <w:r>
        <w:rPr>
          <w:rFonts w:ascii="Arial" w:cs="Arial" w:eastAsia="Arial" w:hAnsi="Arial"/>
          <w:sz w:val="19"/>
          <w:szCs w:val="19"/>
          <w:color w:val="231F20"/>
        </w:rPr>
        <w:t>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spacing w:after="0" w:line="149" w:lineRule="exact"/>
        <w:rPr>
          <w:sz w:val="20"/>
          <w:szCs w:val="20"/>
          <w:color w:val="auto"/>
        </w:rPr>
      </w:pPr>
    </w:p>
    <w:p>
      <w:pPr>
        <w:ind w:firstLine="463"/>
        <w:spacing w:after="0" w:line="248" w:lineRule="auto"/>
        <w:rPr>
          <w:sz w:val="20"/>
          <w:szCs w:val="20"/>
          <w:color w:val="auto"/>
        </w:rPr>
      </w:pPr>
      <w:r>
        <w:rPr>
          <w:rFonts w:ascii="Arial" w:cs="Arial" w:eastAsia="Arial" w:hAnsi="Arial"/>
          <w:sz w:val="19"/>
          <w:szCs w:val="19"/>
          <w:color w:val="231F20"/>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46" w:lineRule="exact"/>
        <w:rPr>
          <w:sz w:val="20"/>
          <w:szCs w:val="20"/>
          <w:color w:val="auto"/>
        </w:rPr>
      </w:pPr>
    </w:p>
    <w:p>
      <w:pPr>
        <w:ind w:right="60" w:firstLine="463"/>
        <w:spacing w:after="0" w:line="245" w:lineRule="auto"/>
        <w:rPr>
          <w:sz w:val="20"/>
          <w:szCs w:val="20"/>
          <w:color w:val="auto"/>
        </w:rPr>
      </w:pPr>
      <w:r>
        <w:rPr>
          <w:rFonts w:ascii="Arial" w:cs="Arial" w:eastAsia="Arial" w:hAnsi="Arial"/>
          <w:sz w:val="19"/>
          <w:szCs w:val="19"/>
          <w:color w:val="231F20"/>
        </w:rPr>
        <w:t>As our international operations continue to operate and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52" w:lineRule="exact"/>
        <w:rPr>
          <w:sz w:val="20"/>
          <w:szCs w:val="20"/>
          <w:color w:val="auto"/>
        </w:rPr>
      </w:pPr>
    </w:p>
    <w:p>
      <w:pPr>
        <w:ind w:right="760"/>
        <w:spacing w:after="0" w:line="285" w:lineRule="auto"/>
        <w:rPr>
          <w:sz w:val="20"/>
          <w:szCs w:val="20"/>
          <w:color w:val="auto"/>
        </w:rPr>
      </w:pPr>
      <w:r>
        <w:rPr>
          <w:rFonts w:ascii="Arial" w:cs="Arial" w:eastAsia="Arial" w:hAnsi="Arial"/>
          <w:sz w:val="19"/>
          <w:szCs w:val="19"/>
          <w:b w:val="1"/>
          <w:bCs w:val="1"/>
          <w:i w:val="1"/>
          <w:iCs w:val="1"/>
          <w:color w:val="231F20"/>
        </w:rPr>
        <w:t>Certain of our key performance indicators are subject to inherent challenges in measurement, and real or perceived inaccuracies in such metrics may harm our reputation and negatively affect our business.</w:t>
      </w:r>
    </w:p>
    <w:p>
      <w:pPr>
        <w:spacing w:after="0" w:line="100" w:lineRule="exact"/>
        <w:rPr>
          <w:sz w:val="20"/>
          <w:szCs w:val="20"/>
          <w:color w:val="auto"/>
        </w:rPr>
      </w:pPr>
    </w:p>
    <w:p>
      <w:pPr>
        <w:ind w:right="40" w:firstLine="463"/>
        <w:spacing w:after="0" w:line="241" w:lineRule="auto"/>
        <w:rPr>
          <w:sz w:val="20"/>
          <w:szCs w:val="20"/>
          <w:color w:val="auto"/>
        </w:rPr>
      </w:pPr>
      <w:r>
        <w:rPr>
          <w:rFonts w:ascii="Arial" w:cs="Arial" w:eastAsia="Arial" w:hAnsi="Arial"/>
          <w:sz w:val="19"/>
          <w:szCs w:val="19"/>
          <w:color w:val="231F20"/>
        </w:rPr>
        <w:t>We track certain key performance indicators, including metrics such as total payment volume, revenue less ancillary services, FX Neutral Revenue Less Ancillary Services, adjusted gross profit, adjusted gross margin, adjusted EBITDA, and adjusted EBITDA margin,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clients or other stakeholders do not perceive our operating metrics to be accurate, or if we discover material inaccuracies with respect to these figures, our reputation may be significantly harmed, and our operating and financial results could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Our business depends, in large part, on our proprietary network of global, regional and local banking partners.</w:t>
      </w:r>
    </w:p>
    <w:p>
      <w:pPr>
        <w:spacing w:after="0" w:line="184" w:lineRule="exact"/>
        <w:rPr>
          <w:sz w:val="20"/>
          <w:szCs w:val="20"/>
          <w:color w:val="auto"/>
        </w:rPr>
      </w:pPr>
    </w:p>
    <w:p>
      <w:pPr>
        <w:ind w:right="20" w:firstLine="463"/>
        <w:spacing w:after="0" w:line="242" w:lineRule="auto"/>
        <w:rPr>
          <w:sz w:val="20"/>
          <w:szCs w:val="20"/>
          <w:color w:val="auto"/>
        </w:rPr>
      </w:pPr>
      <w:r>
        <w:rPr>
          <w:rFonts w:ascii="Arial" w:cs="Arial" w:eastAsia="Arial" w:hAnsi="Arial"/>
          <w:sz w:val="19"/>
          <w:szCs w:val="19"/>
          <w:color w:val="231F20"/>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and maintaining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ectPr>
          <w:pgSz w:w="12240" w:h="15840" w:orient="portrait"/>
          <w:cols w:equalWidth="0" w:num="1">
            <w:col w:w="10200"/>
          </w:cols>
          <w:pgMar w:left="1020" w:top="1440" w:right="1020" w:bottom="595" w:gutter="0" w:footer="0" w:header="0"/>
        </w:sectPr>
      </w:pP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36</w:t>
      </w:r>
    </w:p>
    <w:p>
      <w:pPr>
        <w:sectPr>
          <w:pgSz w:w="12240" w:h="15840" w:orient="portrait"/>
          <w:cols w:equalWidth="0" w:num="1">
            <w:col w:w="10200"/>
          </w:cols>
          <w:pgMar w:left="1020" w:top="1440" w:right="1020" w:bottom="595" w:gutter="0" w:footer="0" w:header="0"/>
          <w:type w:val="continuous"/>
        </w:sectPr>
      </w:pPr>
    </w:p>
    <w:bookmarkStart w:id="37" w:name="page38"/>
    <w:bookmarkEnd w:id="37"/>
    <w:p>
      <w:pPr>
        <w:spacing w:after="0" w:line="97" w:lineRule="exact"/>
        <w:rPr>
          <w:sz w:val="20"/>
          <w:szCs w:val="20"/>
          <w:color w:val="auto"/>
        </w:rPr>
      </w:pPr>
    </w:p>
    <w:p>
      <w:pPr>
        <w:ind w:right="100" w:firstLine="463"/>
        <w:spacing w:after="0" w:line="246" w:lineRule="auto"/>
        <w:rPr>
          <w:sz w:val="20"/>
          <w:szCs w:val="20"/>
          <w:color w:val="auto"/>
        </w:rPr>
      </w:pPr>
      <w:r>
        <w:rPr>
          <w:rFonts w:ascii="Arial" w:cs="Arial" w:eastAsia="Arial" w:hAnsi="Arial"/>
          <w:sz w:val="19"/>
          <w:szCs w:val="19"/>
          <w:color w:val="231F20"/>
        </w:rPr>
        <w:t>In addition, our existing banking partners may at any time and from time to time cease serving certain categories of payments due to perceived risk or similar reasons as well as payments originating from, or being paid to, certain high risk jurisdictions. These partners may also impose additional requirements on Flywire, or with respect to their own internal procedures, as a condition of processing such payments in partnership with us. If we cease to be able to process payments from corridors or within certain of our verticals, or we are unable to comply with new requirements or only at considerable expense, our client relationships and ability to grow our revenue could be adversely affected.</w:t>
      </w:r>
    </w:p>
    <w:p>
      <w:pPr>
        <w:spacing w:after="0" w:line="148" w:lineRule="exact"/>
        <w:rPr>
          <w:sz w:val="20"/>
          <w:szCs w:val="20"/>
          <w:color w:val="auto"/>
        </w:rPr>
      </w:pPr>
    </w:p>
    <w:p>
      <w:pPr>
        <w:ind w:right="80" w:firstLine="463"/>
        <w:spacing w:after="0" w:line="243" w:lineRule="auto"/>
        <w:rPr>
          <w:sz w:val="20"/>
          <w:szCs w:val="20"/>
          <w:color w:val="auto"/>
        </w:rPr>
      </w:pPr>
      <w:r>
        <w:rPr>
          <w:rFonts w:ascii="Arial" w:cs="Arial" w:eastAsia="Arial" w:hAnsi="Arial"/>
          <w:sz w:val="19"/>
          <w:szCs w:val="19"/>
          <w:color w:val="231F20"/>
        </w:rPr>
        <w:t>Instability and volatility in the banking and financial services sectors, including bank failures, have increased and may in the future increase uncertainty in the global economy and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spacing w:after="0" w:line="153" w:lineRule="exact"/>
        <w:rPr>
          <w:sz w:val="20"/>
          <w:szCs w:val="20"/>
          <w:color w:val="auto"/>
        </w:rPr>
      </w:pPr>
    </w:p>
    <w:p>
      <w:pPr>
        <w:ind w:right="40" w:firstLine="463"/>
        <w:spacing w:after="0" w:line="244" w:lineRule="auto"/>
        <w:rPr>
          <w:sz w:val="20"/>
          <w:szCs w:val="20"/>
          <w:color w:val="auto"/>
        </w:rPr>
      </w:pPr>
      <w:r>
        <w:rPr>
          <w:rFonts w:ascii="Arial" w:cs="Arial" w:eastAsia="Arial" w:hAnsi="Arial"/>
          <w:sz w:val="19"/>
          <w:szCs w:val="19"/>
          <w:color w:val="231F20"/>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Our growth depends in part on the success of our relationships with other (non-banking) third parties.</w:t>
      </w:r>
    </w:p>
    <w:p>
      <w:pPr>
        <w:spacing w:after="0" w:line="184"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157" w:lineRule="exact"/>
        <w:rPr>
          <w:sz w:val="20"/>
          <w:szCs w:val="20"/>
          <w:color w:val="auto"/>
        </w:rPr>
      </w:pPr>
    </w:p>
    <w:p>
      <w:pPr>
        <w:ind w:right="180"/>
        <w:spacing w:after="0" w:line="285" w:lineRule="auto"/>
        <w:rPr>
          <w:sz w:val="20"/>
          <w:szCs w:val="20"/>
          <w:color w:val="auto"/>
        </w:rPr>
      </w:pPr>
      <w:r>
        <w:rPr>
          <w:rFonts w:ascii="Arial" w:cs="Arial" w:eastAsia="Arial" w:hAnsi="Arial"/>
          <w:sz w:val="19"/>
          <w:szCs w:val="19"/>
          <w:b w:val="1"/>
          <w:bCs w:val="1"/>
          <w:i w:val="1"/>
          <w:iCs w:val="1"/>
          <w:color w:val="231F20"/>
        </w:rPr>
        <w:t>The markets in which we participate are competitive, and if we do not compete effectively, our operating results could be harmed.</w:t>
      </w:r>
    </w:p>
    <w:p>
      <w:pPr>
        <w:spacing w:after="0" w:line="100" w:lineRule="exact"/>
        <w:rPr>
          <w:sz w:val="20"/>
          <w:szCs w:val="20"/>
          <w:color w:val="auto"/>
        </w:rPr>
      </w:pPr>
    </w:p>
    <w:p>
      <w:pPr>
        <w:ind w:right="20" w:firstLine="463"/>
        <w:spacing w:after="0" w:line="241" w:lineRule="auto"/>
        <w:rPr>
          <w:sz w:val="20"/>
          <w:szCs w:val="20"/>
          <w:color w:val="auto"/>
        </w:rPr>
      </w:pPr>
      <w:r>
        <w:rPr>
          <w:rFonts w:ascii="Arial" w:cs="Arial" w:eastAsia="Arial" w:hAnsi="Arial"/>
          <w:sz w:val="19"/>
          <w:szCs w:val="19"/>
          <w:color w:val="231F20"/>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37</w:t>
      </w:r>
    </w:p>
    <w:p>
      <w:pPr>
        <w:sectPr>
          <w:pgSz w:w="12240" w:h="15840" w:orient="portrait"/>
          <w:cols w:equalWidth="0" w:num="1">
            <w:col w:w="10200"/>
          </w:cols>
          <w:pgMar w:left="1020" w:top="1440" w:right="1020" w:bottom="595" w:gutter="0" w:footer="0" w:header="0"/>
          <w:type w:val="continuous"/>
        </w:sectPr>
      </w:pPr>
    </w:p>
    <w:bookmarkStart w:id="38" w:name="page39"/>
    <w:bookmarkEnd w:id="38"/>
    <w:p>
      <w:pPr>
        <w:spacing w:after="0" w:line="97" w:lineRule="exact"/>
        <w:rPr>
          <w:sz w:val="20"/>
          <w:szCs w:val="20"/>
          <w:color w:val="auto"/>
        </w:rPr>
      </w:pPr>
    </w:p>
    <w:p>
      <w:pPr>
        <w:ind w:right="120" w:firstLine="463"/>
        <w:spacing w:after="0" w:line="258" w:lineRule="auto"/>
        <w:rPr>
          <w:sz w:val="20"/>
          <w:szCs w:val="20"/>
          <w:color w:val="auto"/>
        </w:rPr>
      </w:pPr>
      <w:r>
        <w:rPr>
          <w:rFonts w:ascii="Arial" w:cs="Arial" w:eastAsia="Arial" w:hAnsi="Arial"/>
          <w:sz w:val="19"/>
          <w:szCs w:val="19"/>
          <w:color w:val="231F20"/>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40" w:lineRule="exact"/>
        <w:rPr>
          <w:sz w:val="20"/>
          <w:szCs w:val="20"/>
          <w:color w:val="auto"/>
        </w:rPr>
      </w:pPr>
    </w:p>
    <w:p>
      <w:pPr>
        <w:ind w:right="260"/>
        <w:spacing w:after="0" w:line="261" w:lineRule="auto"/>
        <w:rPr>
          <w:sz w:val="20"/>
          <w:szCs w:val="20"/>
          <w:color w:val="auto"/>
        </w:rPr>
      </w:pPr>
      <w:r>
        <w:rPr>
          <w:rFonts w:ascii="Arial" w:cs="Arial" w:eastAsia="Arial" w:hAnsi="Arial"/>
          <w:sz w:val="19"/>
          <w:szCs w:val="19"/>
          <w:b w:val="1"/>
          <w:bCs w:val="1"/>
          <w:i w:val="1"/>
          <w:iCs w:val="1"/>
          <w:color w:val="231F20"/>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24" w:lineRule="exact"/>
        <w:rPr>
          <w:sz w:val="20"/>
          <w:szCs w:val="20"/>
          <w:color w:val="auto"/>
        </w:rPr>
      </w:pPr>
    </w:p>
    <w:p>
      <w:pPr>
        <w:ind w:right="280" w:firstLine="463"/>
        <w:spacing w:after="0" w:line="258" w:lineRule="auto"/>
        <w:rPr>
          <w:sz w:val="20"/>
          <w:szCs w:val="20"/>
          <w:color w:val="auto"/>
        </w:rPr>
      </w:pPr>
      <w:r>
        <w:rPr>
          <w:rFonts w:ascii="Arial" w:cs="Arial" w:eastAsia="Arial" w:hAnsi="Arial"/>
          <w:sz w:val="18"/>
          <w:szCs w:val="18"/>
          <w:color w:val="231F20"/>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45" w:lineRule="exact"/>
        <w:rPr>
          <w:sz w:val="20"/>
          <w:szCs w:val="20"/>
          <w:color w:val="auto"/>
        </w:rPr>
      </w:pPr>
    </w:p>
    <w:p>
      <w:pPr>
        <w:jc w:val="both"/>
        <w:ind w:right="380"/>
        <w:spacing w:after="0" w:line="261" w:lineRule="auto"/>
        <w:rPr>
          <w:sz w:val="20"/>
          <w:szCs w:val="20"/>
          <w:color w:val="auto"/>
        </w:rPr>
      </w:pPr>
      <w:r>
        <w:rPr>
          <w:rFonts w:ascii="Arial" w:cs="Arial" w:eastAsia="Arial" w:hAnsi="Arial"/>
          <w:sz w:val="19"/>
          <w:szCs w:val="19"/>
          <w:b w:val="1"/>
          <w:bCs w:val="1"/>
          <w:i w:val="1"/>
          <w:iCs w:val="1"/>
          <w:color w:val="231F20"/>
        </w:rPr>
        <w:t>Our clients in the education sector may be adversely affected by decreases in enrollment, limitations or other restrictions on student visas, pressure on tuition costs, or increased operating expenses, which may reduce demand for our solutions.</w:t>
      </w:r>
    </w:p>
    <w:p>
      <w:pPr>
        <w:spacing w:after="0" w:line="124" w:lineRule="exact"/>
        <w:rPr>
          <w:sz w:val="20"/>
          <w:szCs w:val="20"/>
          <w:color w:val="auto"/>
        </w:rPr>
      </w:pPr>
    </w:p>
    <w:p>
      <w:pPr>
        <w:ind w:right="200" w:firstLine="463"/>
        <w:spacing w:after="0" w:line="279" w:lineRule="auto"/>
        <w:rPr>
          <w:sz w:val="20"/>
          <w:szCs w:val="20"/>
          <w:color w:val="auto"/>
        </w:rPr>
      </w:pPr>
      <w:r>
        <w:rPr>
          <w:rFonts w:ascii="Arial" w:cs="Arial" w:eastAsia="Arial" w:hAnsi="Arial"/>
          <w:sz w:val="18"/>
          <w:szCs w:val="18"/>
          <w:color w:val="231F20"/>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131" w:lineRule="exact"/>
        <w:rPr>
          <w:sz w:val="20"/>
          <w:szCs w:val="20"/>
          <w:color w:val="auto"/>
        </w:rPr>
      </w:pPr>
    </w:p>
    <w:p>
      <w:pPr>
        <w:ind w:left="800" w:right="60" w:hanging="229"/>
        <w:spacing w:after="0" w:line="251" w:lineRule="auto"/>
        <w:tabs>
          <w:tab w:leader="none" w:pos="800" w:val="left"/>
        </w:tabs>
        <w:numPr>
          <w:ilvl w:val="0"/>
          <w:numId w:val="32"/>
        </w:numPr>
        <w:rPr>
          <w:rFonts w:ascii="Arial" w:cs="Arial" w:eastAsia="Arial" w:hAnsi="Arial"/>
          <w:sz w:val="19"/>
          <w:szCs w:val="19"/>
          <w:color w:val="231F20"/>
        </w:rPr>
      </w:pPr>
      <w:r>
        <w:rPr>
          <w:rFonts w:ascii="Arial" w:cs="Arial" w:eastAsia="Arial" w:hAnsi="Arial"/>
          <w:sz w:val="19"/>
          <w:szCs w:val="19"/>
          <w:color w:val="231F20"/>
        </w:rPr>
        <w:t>Declines in international student enrollment. Global conflict, geopolitical tensions and restrictions on immigration or increased limitation on the award of student visas (such as those recently announced in Canada and Australia) has and is expected to continue to negatively impact the cross-border education industry and schools that rely on foreign student populations.</w:t>
      </w:r>
    </w:p>
    <w:p>
      <w:pPr>
        <w:spacing w:after="0" w:line="156" w:lineRule="exact"/>
        <w:rPr>
          <w:rFonts w:ascii="Arial" w:cs="Arial" w:eastAsia="Arial" w:hAnsi="Arial"/>
          <w:sz w:val="19"/>
          <w:szCs w:val="19"/>
          <w:color w:val="231F20"/>
        </w:rPr>
      </w:pPr>
    </w:p>
    <w:p>
      <w:pPr>
        <w:ind w:left="800" w:right="180" w:hanging="229"/>
        <w:spacing w:after="0" w:line="248" w:lineRule="auto"/>
        <w:tabs>
          <w:tab w:leader="none" w:pos="800" w:val="left"/>
        </w:tabs>
        <w:numPr>
          <w:ilvl w:val="0"/>
          <w:numId w:val="32"/>
        </w:numPr>
        <w:rPr>
          <w:rFonts w:ascii="Arial" w:cs="Arial" w:eastAsia="Arial" w:hAnsi="Arial"/>
          <w:sz w:val="19"/>
          <w:szCs w:val="19"/>
          <w:color w:val="231F20"/>
        </w:rPr>
      </w:pPr>
      <w:r>
        <w:rPr>
          <w:rFonts w:ascii="Arial" w:cs="Arial" w:eastAsia="Arial" w:hAnsi="Arial"/>
          <w:sz w:val="19"/>
          <w:szCs w:val="19"/>
          <w:color w:val="231F20"/>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spacing w:after="0" w:line="158" w:lineRule="exact"/>
        <w:rPr>
          <w:rFonts w:ascii="Arial" w:cs="Arial" w:eastAsia="Arial" w:hAnsi="Arial"/>
          <w:sz w:val="19"/>
          <w:szCs w:val="19"/>
          <w:color w:val="231F20"/>
        </w:rPr>
      </w:pPr>
    </w:p>
    <w:p>
      <w:pPr>
        <w:ind w:left="800" w:right="40" w:hanging="229"/>
        <w:spacing w:after="0" w:line="278" w:lineRule="auto"/>
        <w:tabs>
          <w:tab w:leader="none" w:pos="800" w:val="left"/>
        </w:tabs>
        <w:numPr>
          <w:ilvl w:val="0"/>
          <w:numId w:val="32"/>
        </w:numPr>
        <w:rPr>
          <w:rFonts w:ascii="Arial" w:cs="Arial" w:eastAsia="Arial" w:hAnsi="Arial"/>
          <w:sz w:val="19"/>
          <w:szCs w:val="19"/>
          <w:color w:val="231F20"/>
        </w:rPr>
      </w:pPr>
      <w:r>
        <w:rPr>
          <w:rFonts w:ascii="Arial" w:cs="Arial" w:eastAsia="Arial" w:hAnsi="Arial"/>
          <w:sz w:val="19"/>
          <w:szCs w:val="19"/>
          <w:color w:val="231F20"/>
        </w:rPr>
        <w:t>Government supported institutions may experience losses or reduction in public funding. Many of our clients rely considerably upon public funding or support, which may not always be available due to budget constraints.</w:t>
      </w:r>
    </w:p>
    <w:p>
      <w:pPr>
        <w:spacing w:after="0" w:line="129" w:lineRule="exact"/>
        <w:rPr>
          <w:rFonts w:ascii="Arial" w:cs="Arial" w:eastAsia="Arial" w:hAnsi="Arial"/>
          <w:sz w:val="19"/>
          <w:szCs w:val="19"/>
          <w:color w:val="231F20"/>
        </w:rPr>
      </w:pPr>
    </w:p>
    <w:p>
      <w:pPr>
        <w:ind w:left="800" w:right="60" w:hanging="229"/>
        <w:spacing w:after="0" w:line="258" w:lineRule="auto"/>
        <w:tabs>
          <w:tab w:leader="none" w:pos="800" w:val="left"/>
        </w:tabs>
        <w:numPr>
          <w:ilvl w:val="0"/>
          <w:numId w:val="32"/>
        </w:numPr>
        <w:rPr>
          <w:rFonts w:ascii="Arial" w:cs="Arial" w:eastAsia="Arial" w:hAnsi="Arial"/>
          <w:sz w:val="19"/>
          <w:szCs w:val="19"/>
          <w:color w:val="231F20"/>
        </w:rPr>
      </w:pPr>
      <w:r>
        <w:rPr>
          <w:rFonts w:ascii="Arial" w:cs="Arial" w:eastAsia="Arial" w:hAnsi="Arial"/>
          <w:sz w:val="19"/>
          <w:szCs w:val="19"/>
          <w:color w:val="231F20"/>
        </w:rPr>
        <w:t>Changing perceptions about in-person classes. Students may reject the opportunity to attend courses in person, when online or virtual classes are offered as an option, due to growing familiarity and perceived convenience of remote learning or a lower price point for online classes.</w:t>
      </w:r>
    </w:p>
    <w:p>
      <w:pPr>
        <w:spacing w:after="0" w:line="148" w:lineRule="exact"/>
        <w:rPr>
          <w:rFonts w:ascii="Arial" w:cs="Arial" w:eastAsia="Arial" w:hAnsi="Arial"/>
          <w:sz w:val="19"/>
          <w:szCs w:val="19"/>
          <w:color w:val="231F20"/>
        </w:rPr>
      </w:pPr>
    </w:p>
    <w:p>
      <w:pPr>
        <w:ind w:left="800" w:right="120" w:hanging="229"/>
        <w:spacing w:after="0" w:line="258" w:lineRule="auto"/>
        <w:tabs>
          <w:tab w:leader="none" w:pos="800" w:val="left"/>
        </w:tabs>
        <w:numPr>
          <w:ilvl w:val="0"/>
          <w:numId w:val="32"/>
        </w:numPr>
        <w:rPr>
          <w:rFonts w:ascii="Arial" w:cs="Arial" w:eastAsia="Arial" w:hAnsi="Arial"/>
          <w:sz w:val="19"/>
          <w:szCs w:val="19"/>
          <w:color w:val="231F20"/>
        </w:rPr>
      </w:pPr>
      <w:r>
        <w:rPr>
          <w:rFonts w:ascii="Arial" w:cs="Arial" w:eastAsia="Arial" w:hAnsi="Arial"/>
          <w:sz w:val="19"/>
          <w:szCs w:val="19"/>
          <w:color w:val="231F20"/>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48" w:lineRule="exact"/>
        <w:rPr>
          <w:rFonts w:ascii="Arial" w:cs="Arial" w:eastAsia="Arial" w:hAnsi="Arial"/>
          <w:sz w:val="19"/>
          <w:szCs w:val="19"/>
          <w:color w:val="231F20"/>
        </w:rPr>
      </w:pPr>
    </w:p>
    <w:p>
      <w:pPr>
        <w:ind w:left="800" w:right="80" w:hanging="229"/>
        <w:spacing w:after="0" w:line="258" w:lineRule="auto"/>
        <w:tabs>
          <w:tab w:leader="none" w:pos="800" w:val="left"/>
        </w:tabs>
        <w:numPr>
          <w:ilvl w:val="0"/>
          <w:numId w:val="32"/>
        </w:numPr>
        <w:rPr>
          <w:rFonts w:ascii="Arial" w:cs="Arial" w:eastAsia="Arial" w:hAnsi="Arial"/>
          <w:sz w:val="19"/>
          <w:szCs w:val="19"/>
          <w:color w:val="231F20"/>
        </w:rPr>
      </w:pPr>
      <w:r>
        <w:rPr>
          <w:rFonts w:ascii="Arial" w:cs="Arial" w:eastAsia="Arial" w:hAnsi="Arial"/>
          <w:sz w:val="19"/>
          <w:szCs w:val="19"/>
          <w:color w:val="231F20"/>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36" w:lineRule="exact"/>
        <w:rPr>
          <w:sz w:val="20"/>
          <w:szCs w:val="20"/>
          <w:color w:val="auto"/>
        </w:rPr>
      </w:pPr>
    </w:p>
    <w:p>
      <w:pPr>
        <w:ind w:firstLine="463"/>
        <w:spacing w:after="0" w:line="244" w:lineRule="auto"/>
        <w:rPr>
          <w:sz w:val="20"/>
          <w:szCs w:val="20"/>
          <w:color w:val="auto"/>
        </w:rPr>
      </w:pPr>
      <w:r>
        <w:rPr>
          <w:rFonts w:ascii="Arial" w:cs="Arial" w:eastAsia="Arial" w:hAnsi="Arial"/>
          <w:sz w:val="19"/>
          <w:szCs w:val="19"/>
          <w:color w:val="231F20"/>
        </w:rPr>
        <w:t>International cross-border transaction revenue represents a significant part of our revenue; international regulations and restrictions that inhibit cross-border travel and relocation of international students, as well as ongoing political friction between China and the U.S., as well as between Canada and India, that has from time to time slowed the growth of Chinese students studying in the U.S. and Indian students studying in Canada, and may have resulted in changes in Chinese and Indian student education destinations, have had and may continue to have an impact on our revenue growth. These geopolitical tensions and perceptions regarding potential hostility of host country study destinations may further suppress interest in international study (even at levels below the caps described below set by the governments of Canada and Australia), which would have an adverse effect on our business, operating results and financial condition.</w:t>
      </w:r>
    </w:p>
    <w:p>
      <w:pPr>
        <w:sectPr>
          <w:pgSz w:w="12240" w:h="15840" w:orient="portrait"/>
          <w:cols w:equalWidth="0" w:num="1">
            <w:col w:w="10200"/>
          </w:cols>
          <w:pgMar w:left="1020" w:top="1440" w:right="1020" w:bottom="595" w:gutter="0" w:footer="0" w:header="0"/>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38</w:t>
      </w:r>
    </w:p>
    <w:p>
      <w:pPr>
        <w:sectPr>
          <w:pgSz w:w="12240" w:h="15840" w:orient="portrait"/>
          <w:cols w:equalWidth="0" w:num="1">
            <w:col w:w="10200"/>
          </w:cols>
          <w:pgMar w:left="1020" w:top="1440" w:right="1020" w:bottom="595" w:gutter="0" w:footer="0" w:header="0"/>
          <w:type w:val="continuous"/>
        </w:sectPr>
      </w:pPr>
    </w:p>
    <w:bookmarkStart w:id="39" w:name="page40"/>
    <w:bookmarkEnd w:id="39"/>
    <w:p>
      <w:pPr>
        <w:spacing w:after="0" w:line="97" w:lineRule="exact"/>
        <w:rPr>
          <w:sz w:val="20"/>
          <w:szCs w:val="20"/>
          <w:color w:val="auto"/>
        </w:rPr>
      </w:pPr>
    </w:p>
    <w:p>
      <w:pPr>
        <w:ind w:right="20" w:firstLine="463"/>
        <w:spacing w:after="0" w:line="242" w:lineRule="auto"/>
        <w:rPr>
          <w:sz w:val="20"/>
          <w:szCs w:val="20"/>
          <w:color w:val="auto"/>
        </w:rPr>
      </w:pPr>
      <w:r>
        <w:rPr>
          <w:rFonts w:ascii="Arial" w:cs="Arial" w:eastAsia="Arial" w:hAnsi="Arial"/>
          <w:sz w:val="19"/>
          <w:szCs w:val="19"/>
          <w:color w:val="231F20"/>
        </w:rPr>
        <w:t>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When first instituted by the IRCC, the cap initially excluded students enrolled in master’s and PhD programs, but recent reports indicate that the 2025 and 2026 study permit intake cap will include master’s and doctoral students. Additionally, in November 2024, Canada ended its Student Direct Stream (SDS) program for expedited international student visa processing, and international students applying to study in Canada no longer need to prepay tuition to apply for a study permit. These limitations have resulted in a corresponding reduction in payment flows, which had an adverse effect on our business in the fourth quarter of 2024 and which we anticipate will continue to impact our Canada revenues in 2025.</w:t>
      </w:r>
    </w:p>
    <w:p>
      <w:pPr>
        <w:spacing w:after="0" w:line="152" w:lineRule="exact"/>
        <w:rPr>
          <w:sz w:val="20"/>
          <w:szCs w:val="20"/>
          <w:color w:val="auto"/>
        </w:rPr>
      </w:pPr>
    </w:p>
    <w:p>
      <w:pPr>
        <w:ind w:right="20" w:firstLine="463"/>
        <w:spacing w:after="0" w:line="241" w:lineRule="auto"/>
        <w:rPr>
          <w:sz w:val="20"/>
          <w:szCs w:val="20"/>
          <w:color w:val="auto"/>
        </w:rPr>
      </w:pPr>
      <w:r>
        <w:rPr>
          <w:rFonts w:ascii="Arial" w:cs="Arial" w:eastAsia="Arial" w:hAnsi="Arial"/>
          <w:sz w:val="19"/>
          <w:szCs w:val="19"/>
          <w:color w:val="231F20"/>
        </w:rPr>
        <w:t>Similarly, since late 2023, the Australian government has taken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These new Australian government policies, including university quotas, slower visa processing, higher fees, and stricter financial and language requirements, has had an adverse impact on our business in the fourth quarter of 2024 and we anticipate will continue to impact our Australian revenues in 2025.</w:t>
      </w:r>
    </w:p>
    <w:p>
      <w:pPr>
        <w:spacing w:after="0" w:line="158"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Other governments where our client institutions are located, including in the U.S., may introduce measures from time to time to manage the growth of the international student population in their respective countries, which may have adverse effects on our business. Our U.S. market saw slower growth in the fourth quarter of 2024 due to shifting visa trends. In addition, there are reports that the new executive administration in the U.S. is likely to closely scrutinize applications for international student visas, adding to uncertainty around the number of students coming to the U.S. to study in the near future. Delays in issuances of visas or visa denials may discourage prospective international students from choosing U.S. institutions as places for study.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In addition to caps on international students, government changes to other visa or student insurance requirements (for example, no longer requiring a one year tuition deposit as a condition to issuance of a student visa, or eliminating a need to procure insurance) may negatively impact payment volume. The existing rules and any introduction of new rules further limiting potential payment flows or the attractiveness of international study by the governments of countries where our client institutions are located has and could continue to adversely impact our business, operating results, and financial condition.</w:t>
      </w:r>
    </w:p>
    <w:p>
      <w:pPr>
        <w:spacing w:after="0" w:line="156" w:lineRule="exact"/>
        <w:rPr>
          <w:sz w:val="20"/>
          <w:szCs w:val="20"/>
          <w:color w:val="auto"/>
        </w:rPr>
      </w:pPr>
    </w:p>
    <w:p>
      <w:pPr>
        <w:jc w:val="both"/>
        <w:ind w:right="20" w:firstLine="463"/>
        <w:spacing w:after="0" w:line="248" w:lineRule="auto"/>
        <w:rPr>
          <w:sz w:val="20"/>
          <w:szCs w:val="20"/>
          <w:color w:val="auto"/>
        </w:rPr>
      </w:pPr>
      <w:r>
        <w:rPr>
          <w:rFonts w:ascii="Arial" w:cs="Arial" w:eastAsia="Arial" w:hAnsi="Arial"/>
          <w:sz w:val="19"/>
          <w:szCs w:val="19"/>
          <w:color w:val="231F20"/>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would have an adverse effect on our business, operating results and financial condition.</w:t>
      </w:r>
    </w:p>
    <w:p>
      <w:pPr>
        <w:spacing w:after="0" w:line="150" w:lineRule="exact"/>
        <w:rPr>
          <w:sz w:val="20"/>
          <w:szCs w:val="20"/>
          <w:color w:val="auto"/>
        </w:rPr>
      </w:pPr>
    </w:p>
    <w:p>
      <w:pPr>
        <w:ind w:right="120"/>
        <w:spacing w:after="0" w:line="261" w:lineRule="auto"/>
        <w:rPr>
          <w:sz w:val="20"/>
          <w:szCs w:val="20"/>
          <w:color w:val="auto"/>
        </w:rPr>
      </w:pPr>
      <w:r>
        <w:rPr>
          <w:rFonts w:ascii="Arial" w:cs="Arial" w:eastAsia="Arial" w:hAnsi="Arial"/>
          <w:sz w:val="19"/>
          <w:szCs w:val="19"/>
          <w:b w:val="1"/>
          <w:bCs w:val="1"/>
          <w:i w:val="1"/>
          <w:iCs w:val="1"/>
          <w:color w:val="231F20"/>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24" w:lineRule="exact"/>
        <w:rPr>
          <w:sz w:val="20"/>
          <w:szCs w:val="20"/>
          <w:color w:val="auto"/>
        </w:rPr>
      </w:pPr>
    </w:p>
    <w:p>
      <w:pPr>
        <w:ind w:right="20" w:firstLine="463"/>
        <w:spacing w:after="0" w:line="265" w:lineRule="auto"/>
        <w:rPr>
          <w:sz w:val="20"/>
          <w:szCs w:val="20"/>
          <w:color w:val="auto"/>
        </w:rPr>
      </w:pPr>
      <w:r>
        <w:rPr>
          <w:rFonts w:ascii="Arial" w:cs="Arial" w:eastAsia="Arial" w:hAnsi="Arial"/>
          <w:sz w:val="18"/>
          <w:szCs w:val="18"/>
          <w:color w:val="231F20"/>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w:t>
      </w:r>
    </w:p>
    <w:p>
      <w:pPr>
        <w:sectPr>
          <w:pgSz w:w="12240" w:h="15840" w:orient="portrait"/>
          <w:cols w:equalWidth="0" w:num="1">
            <w:col w:w="10200"/>
          </w:cols>
          <w:pgMar w:left="1020" w:top="1440" w:right="1020" w:bottom="595"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39</w:t>
      </w:r>
    </w:p>
    <w:p>
      <w:pPr>
        <w:sectPr>
          <w:pgSz w:w="12240" w:h="15840" w:orient="portrait"/>
          <w:cols w:equalWidth="0" w:num="1">
            <w:col w:w="10200"/>
          </w:cols>
          <w:pgMar w:left="1020" w:top="1440" w:right="1020" w:bottom="595" w:gutter="0" w:footer="0" w:header="0"/>
          <w:type w:val="continuous"/>
        </w:sectPr>
      </w:pPr>
    </w:p>
    <w:bookmarkStart w:id="40" w:name="page41"/>
    <w:bookmarkEnd w:id="40"/>
    <w:p>
      <w:pPr>
        <w:spacing w:after="0" w:line="97" w:lineRule="exact"/>
        <w:rPr>
          <w:sz w:val="20"/>
          <w:szCs w:val="20"/>
          <w:color w:val="auto"/>
        </w:rPr>
      </w:pPr>
    </w:p>
    <w:p>
      <w:pPr>
        <w:ind w:right="260"/>
        <w:spacing w:after="0" w:line="251" w:lineRule="auto"/>
        <w:rPr>
          <w:sz w:val="20"/>
          <w:szCs w:val="20"/>
          <w:color w:val="auto"/>
        </w:rPr>
      </w:pPr>
      <w:r>
        <w:rPr>
          <w:rFonts w:ascii="Arial" w:cs="Arial" w:eastAsia="Arial" w:hAnsi="Arial"/>
          <w:sz w:val="19"/>
          <w:szCs w:val="19"/>
          <w:color w:val="231F20"/>
        </w:rPr>
        <w:t>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44" w:lineRule="exact"/>
        <w:rPr>
          <w:sz w:val="20"/>
          <w:szCs w:val="20"/>
          <w:color w:val="auto"/>
        </w:rPr>
      </w:pPr>
    </w:p>
    <w:p>
      <w:pPr>
        <w:ind w:right="20" w:firstLine="463"/>
        <w:spacing w:after="0" w:line="243" w:lineRule="auto"/>
        <w:rPr>
          <w:sz w:val="20"/>
          <w:szCs w:val="20"/>
          <w:color w:val="auto"/>
        </w:rPr>
      </w:pPr>
      <w:r>
        <w:rPr>
          <w:rFonts w:ascii="Arial" w:cs="Arial" w:eastAsia="Arial" w:hAnsi="Arial"/>
          <w:sz w:val="19"/>
          <w:szCs w:val="19"/>
          <w:color w:val="231F20"/>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 In addition, the decisions we make on allocation of engineering resources, reliance on, integration with or discontinuance of, legacy systems or those acquired in acquisition, or the pace at which we remain technologically current within our internal systems and customer payment platforms, may negatively affect the morale of our engineering teams and the payment experiences our clients wish to feature to their customers. We may lose engineering talent or healthcare clients as a result, which could have a material adverse effect on our business and results of operations.</w:t>
      </w:r>
    </w:p>
    <w:p>
      <w:pPr>
        <w:spacing w:after="0" w:line="149" w:lineRule="exact"/>
        <w:rPr>
          <w:sz w:val="20"/>
          <w:szCs w:val="20"/>
          <w:color w:val="auto"/>
        </w:rPr>
      </w:pPr>
    </w:p>
    <w:p>
      <w:pPr>
        <w:ind w:right="20" w:firstLine="463"/>
        <w:spacing w:after="0" w:line="241" w:lineRule="auto"/>
        <w:rPr>
          <w:sz w:val="20"/>
          <w:szCs w:val="20"/>
          <w:color w:val="auto"/>
        </w:rPr>
      </w:pPr>
      <w:r>
        <w:rPr>
          <w:rFonts w:ascii="Arial" w:cs="Arial" w:eastAsia="Arial" w:hAnsi="Arial"/>
          <w:sz w:val="19"/>
          <w:szCs w:val="19"/>
          <w:color w:val="231F20"/>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60" w:lineRule="exact"/>
        <w:rPr>
          <w:sz w:val="20"/>
          <w:szCs w:val="20"/>
          <w:color w:val="auto"/>
        </w:rPr>
      </w:pPr>
    </w:p>
    <w:p>
      <w:pPr>
        <w:ind w:right="100" w:firstLine="463"/>
        <w:spacing w:after="0" w:line="243" w:lineRule="auto"/>
        <w:rPr>
          <w:sz w:val="20"/>
          <w:szCs w:val="20"/>
          <w:color w:val="auto"/>
        </w:rPr>
      </w:pPr>
      <w:r>
        <w:rPr>
          <w:rFonts w:ascii="Arial" w:cs="Arial" w:eastAsia="Arial" w:hAnsi="Arial"/>
          <w:sz w:val="19"/>
          <w:szCs w:val="19"/>
          <w:color w:val="231F20"/>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may have an adverse effect on our business, operating results and financial condition.</w:t>
      </w:r>
    </w:p>
    <w:p>
      <w:pPr>
        <w:spacing w:after="0" w:line="149" w:lineRule="exact"/>
        <w:rPr>
          <w:sz w:val="20"/>
          <w:szCs w:val="20"/>
          <w:color w:val="auto"/>
        </w:rPr>
      </w:pPr>
    </w:p>
    <w:p>
      <w:pPr>
        <w:ind w:right="60" w:firstLine="463"/>
        <w:spacing w:after="0" w:line="251" w:lineRule="auto"/>
        <w:rPr>
          <w:sz w:val="20"/>
          <w:szCs w:val="20"/>
          <w:color w:val="auto"/>
        </w:rPr>
      </w:pPr>
      <w:r>
        <w:rPr>
          <w:rFonts w:ascii="Arial" w:cs="Arial" w:eastAsia="Arial" w:hAnsi="Arial"/>
          <w:sz w:val="19"/>
          <w:szCs w:val="19"/>
          <w:color w:val="231F20"/>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44" w:lineRule="exact"/>
        <w:rPr>
          <w:sz w:val="20"/>
          <w:szCs w:val="20"/>
          <w:color w:val="auto"/>
        </w:rPr>
      </w:pPr>
    </w:p>
    <w:p>
      <w:pPr>
        <w:ind w:firstLine="463"/>
        <w:spacing w:after="0" w:line="242" w:lineRule="auto"/>
        <w:rPr>
          <w:sz w:val="20"/>
          <w:szCs w:val="20"/>
          <w:color w:val="auto"/>
        </w:rPr>
      </w:pPr>
      <w:r>
        <w:rPr>
          <w:rFonts w:ascii="Arial" w:cs="Arial" w:eastAsia="Arial" w:hAnsi="Arial"/>
          <w:sz w:val="19"/>
          <w:szCs w:val="19"/>
          <w:color w:val="231F20"/>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or cease operations, it may become difficult for us to be paid in full in a timely manner, if at all.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40</w:t>
      </w:r>
    </w:p>
    <w:p>
      <w:pPr>
        <w:sectPr>
          <w:pgSz w:w="12240" w:h="15840" w:orient="portrait"/>
          <w:cols w:equalWidth="0" w:num="1">
            <w:col w:w="10200"/>
          </w:cols>
          <w:pgMar w:left="1020" w:top="1440" w:right="1020" w:bottom="595" w:gutter="0" w:footer="0" w:header="0"/>
          <w:type w:val="continuous"/>
        </w:sectPr>
      </w:pPr>
    </w:p>
    <w:bookmarkStart w:id="41" w:name="page42"/>
    <w:bookmarkEnd w:id="41"/>
    <w:p>
      <w:pPr>
        <w:spacing w:after="0" w:line="101" w:lineRule="exact"/>
        <w:rPr>
          <w:sz w:val="20"/>
          <w:szCs w:val="20"/>
          <w:color w:val="auto"/>
        </w:rPr>
      </w:pPr>
    </w:p>
    <w:p>
      <w:pPr>
        <w:ind w:right="660" w:firstLine="5"/>
        <w:spacing w:after="0" w:line="285" w:lineRule="auto"/>
        <w:rPr>
          <w:sz w:val="20"/>
          <w:szCs w:val="20"/>
          <w:color w:val="auto"/>
        </w:rPr>
      </w:pPr>
      <w:r>
        <w:rPr>
          <w:rFonts w:ascii="Arial" w:cs="Arial" w:eastAsia="Arial" w:hAnsi="Arial"/>
          <w:sz w:val="19"/>
          <w:szCs w:val="19"/>
          <w:b w:val="1"/>
          <w:bCs w:val="1"/>
          <w:i w:val="1"/>
          <w:iCs w:val="1"/>
          <w:color w:val="231F20"/>
        </w:rPr>
        <w:t>Our business serving clients in the travel sector may be sensitive to events affecting the travel industry in general.</w:t>
      </w:r>
    </w:p>
    <w:p>
      <w:pPr>
        <w:spacing w:after="0" w:line="100" w:lineRule="exact"/>
        <w:rPr>
          <w:sz w:val="20"/>
          <w:szCs w:val="20"/>
          <w:color w:val="auto"/>
        </w:rPr>
      </w:pPr>
    </w:p>
    <w:p>
      <w:pPr>
        <w:ind w:firstLine="463"/>
        <w:spacing w:after="0"/>
        <w:rPr>
          <w:sz w:val="20"/>
          <w:szCs w:val="20"/>
          <w:color w:val="auto"/>
        </w:rPr>
      </w:pPr>
      <w:r>
        <w:rPr>
          <w:rFonts w:ascii="Arial" w:cs="Arial" w:eastAsia="Arial" w:hAnsi="Arial"/>
          <w:sz w:val="19"/>
          <w:szCs w:val="19"/>
          <w:color w:val="231F20"/>
        </w:rPr>
        <w:t>Events like regional or larger scale conflicts, war or other military conflict, including the conflicts between Russia and Ukraine, and Israel and Hamas, terrorist attacks, mass shooting incidents, natural disasters, such as hurricanes, earthquakes, fires, droughts, floods and volcanic activity, including events resulting from climate change, and travel-related health events, such as the COVID-19 pandemic, have had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heightened interest rates and inflation. We are not in a position to evaluate the net effect of these circumstances on our business as these events are largely unpredictable; however, we believe there has been and may continue to be negative impact to our business due to such events. Furthermore, in the longer term, our business might be negatively affected by regulatory changes, financial pressures on or changes to the travel industry. For example, certain jurisdictions, particularly in Europe, have implemented or are considering implementing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In addition, any hostility towards tourists may depress international travel. The United States has implemented or proposed, or is considering, various changes in laws, regulations or policies that could affect U.S. trade policy or practices, relations with other countries and travel permits, which could also adversely affect travel to or from the United States. If such events result in a long-term negative impact on the travel industry, such impact could have a material adverse effect on our business. The payment volume from our travel vertical represented less than 10% of our total payment volume during the year ended December 31, 2024. Because we seek to grow the payment volume and the revenue from this vertical in the future through various initiatives, including the recently announced Sertifi acquisition, failure to grow our payment volume and resulting revenue from this industry, may have an adverse effect on our business, operating results and financial condition.</w:t>
      </w:r>
    </w:p>
    <w:p>
      <w:pPr>
        <w:spacing w:after="0" w:line="163" w:lineRule="exact"/>
        <w:rPr>
          <w:sz w:val="20"/>
          <w:szCs w:val="20"/>
          <w:color w:val="auto"/>
        </w:rPr>
      </w:pPr>
    </w:p>
    <w:p>
      <w:pPr>
        <w:ind w:right="120"/>
        <w:spacing w:after="0" w:line="261" w:lineRule="auto"/>
        <w:rPr>
          <w:sz w:val="20"/>
          <w:szCs w:val="20"/>
          <w:color w:val="auto"/>
        </w:rPr>
      </w:pPr>
      <w:r>
        <w:rPr>
          <w:rFonts w:ascii="Arial" w:cs="Arial" w:eastAsia="Arial" w:hAnsi="Arial"/>
          <w:sz w:val="19"/>
          <w:szCs w:val="19"/>
          <w:b w:val="1"/>
          <w:bCs w:val="1"/>
          <w:i w:val="1"/>
          <w:iCs w:val="1"/>
          <w:color w:val="231F20"/>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24"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The payment volume and resulting revenue from our B2B payment vertical during the year ended December 31, 2024 represented,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60" w:lineRule="exact"/>
        <w:rPr>
          <w:sz w:val="20"/>
          <w:szCs w:val="20"/>
          <w:color w:val="auto"/>
        </w:rPr>
      </w:pPr>
    </w:p>
    <w:p>
      <w:pPr>
        <w:ind w:right="280" w:firstLine="463"/>
        <w:spacing w:after="0" w:line="251" w:lineRule="auto"/>
        <w:rPr>
          <w:sz w:val="20"/>
          <w:szCs w:val="20"/>
          <w:color w:val="auto"/>
        </w:rPr>
      </w:pPr>
      <w:r>
        <w:rPr>
          <w:rFonts w:ascii="Arial" w:cs="Arial" w:eastAsia="Arial" w:hAnsi="Arial"/>
          <w:sz w:val="19"/>
          <w:szCs w:val="19"/>
          <w:color w:val="231F20"/>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44" w:lineRule="exact"/>
        <w:rPr>
          <w:sz w:val="20"/>
          <w:szCs w:val="20"/>
          <w:color w:val="auto"/>
        </w:rPr>
      </w:pPr>
    </w:p>
    <w:p>
      <w:pPr>
        <w:ind w:right="40" w:firstLine="463"/>
        <w:spacing w:after="0" w:line="245" w:lineRule="auto"/>
        <w:rPr>
          <w:sz w:val="20"/>
          <w:szCs w:val="20"/>
          <w:color w:val="auto"/>
        </w:rPr>
      </w:pPr>
      <w:r>
        <w:rPr>
          <w:rFonts w:ascii="Arial" w:cs="Arial" w:eastAsia="Arial" w:hAnsi="Arial"/>
          <w:sz w:val="19"/>
          <w:szCs w:val="19"/>
          <w:color w:val="231F20"/>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w:t>
      </w:r>
    </w:p>
    <w:p>
      <w:pPr>
        <w:sectPr>
          <w:pgSz w:w="12240" w:h="15840" w:orient="portrait"/>
          <w:cols w:equalWidth="0" w:num="1">
            <w:col w:w="10180"/>
          </w:cols>
          <w:pgMar w:left="1020" w:top="1440" w:right="104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41</w:t>
      </w:r>
    </w:p>
    <w:p>
      <w:pPr>
        <w:sectPr>
          <w:pgSz w:w="12240" w:h="15840" w:orient="portrait"/>
          <w:cols w:equalWidth="0" w:num="1">
            <w:col w:w="10180"/>
          </w:cols>
          <w:pgMar w:left="1020" w:top="1440" w:right="1040" w:bottom="595" w:gutter="0" w:footer="0" w:header="0"/>
          <w:type w:val="continuous"/>
        </w:sectPr>
      </w:pPr>
    </w:p>
    <w:bookmarkStart w:id="42" w:name="page43"/>
    <w:bookmarkEnd w:id="42"/>
    <w:p>
      <w:pPr>
        <w:spacing w:after="0" w:line="97" w:lineRule="exact"/>
        <w:rPr>
          <w:sz w:val="20"/>
          <w:szCs w:val="20"/>
          <w:color w:val="auto"/>
        </w:rPr>
      </w:pPr>
    </w:p>
    <w:p>
      <w:pPr>
        <w:spacing w:after="0" w:line="278" w:lineRule="auto"/>
        <w:rPr>
          <w:sz w:val="20"/>
          <w:szCs w:val="20"/>
          <w:color w:val="auto"/>
        </w:rPr>
      </w:pPr>
      <w:r>
        <w:rPr>
          <w:rFonts w:ascii="Arial" w:cs="Arial" w:eastAsia="Arial" w:hAnsi="Arial"/>
          <w:sz w:val="19"/>
          <w:szCs w:val="19"/>
          <w:color w:val="231F20"/>
        </w:rPr>
        <w:t>acquisition, we may invest significant resources to develop and expand the functionality of our solutions to meet the needs of customers in those verticals, which investments will occur in advance of our realization of revenue from them.</w:t>
      </w:r>
    </w:p>
    <w:p>
      <w:pPr>
        <w:spacing w:after="0" w:line="121" w:lineRule="exact"/>
        <w:rPr>
          <w:sz w:val="20"/>
          <w:szCs w:val="20"/>
          <w:color w:val="auto"/>
        </w:rPr>
      </w:pPr>
    </w:p>
    <w:p>
      <w:pPr>
        <w:ind w:right="420"/>
        <w:spacing w:after="0" w:line="285" w:lineRule="auto"/>
        <w:rPr>
          <w:sz w:val="20"/>
          <w:szCs w:val="20"/>
          <w:color w:val="auto"/>
        </w:rPr>
      </w:pPr>
      <w:r>
        <w:rPr>
          <w:rFonts w:ascii="Arial" w:cs="Arial" w:eastAsia="Arial" w:hAnsi="Arial"/>
          <w:sz w:val="19"/>
          <w:szCs w:val="19"/>
          <w:b w:val="1"/>
          <w:bCs w:val="1"/>
          <w:i w:val="1"/>
          <w:iCs w:val="1"/>
          <w:color w:val="231F20"/>
        </w:rPr>
        <w:t>Consolidation in the payment processing or enablement industry could have a material adverse effect on our business, financial condition and results of operations.</w:t>
      </w:r>
    </w:p>
    <w:p>
      <w:pPr>
        <w:spacing w:after="0" w:line="100"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We may be adversely affected by global economic and political instability.</w:t>
      </w:r>
    </w:p>
    <w:p>
      <w:pPr>
        <w:spacing w:after="0" w:line="184" w:lineRule="exact"/>
        <w:rPr>
          <w:sz w:val="20"/>
          <w:szCs w:val="20"/>
          <w:color w:val="auto"/>
        </w:rPr>
      </w:pPr>
    </w:p>
    <w:p>
      <w:pPr>
        <w:ind w:right="20" w:firstLine="463"/>
        <w:spacing w:after="0" w:line="256" w:lineRule="auto"/>
        <w:rPr>
          <w:sz w:val="20"/>
          <w:szCs w:val="20"/>
          <w:color w:val="auto"/>
        </w:rPr>
      </w:pPr>
      <w:r>
        <w:rPr>
          <w:rFonts w:ascii="Arial" w:cs="Arial" w:eastAsia="Arial" w:hAnsi="Arial"/>
          <w:sz w:val="18"/>
          <w:szCs w:val="18"/>
          <w:color w:val="231F20"/>
        </w:rPr>
        <w:t>As we seek to continue to operate and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heightened interest rates, reduced corporate profitability, employment pressures in services sectors, volatility in the banking ecosystem or credit, equity and foreign exchange markets, bankruptcies, as well as war, terrorist activity, political or social unrest, civil strife and other geopolitical uncertainty, including the effects of ongoing diplomatic and trade friction between Canada and India and the U.S. and countries such as Canada, Mexico and China,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 In addition, from time to time we have reduced expenses and needed to restructure or reorganize certain portions of our operations, including our restructuring announced in February 2025, in order to align our business with market conditions and our strategies, any of which can result in near term expense and harm to our growth prospects.</w:t>
      </w:r>
    </w:p>
    <w:p>
      <w:pPr>
        <w:spacing w:after="0" w:line="142" w:lineRule="exact"/>
        <w:rPr>
          <w:sz w:val="20"/>
          <w:szCs w:val="20"/>
          <w:color w:val="auto"/>
        </w:rPr>
      </w:pPr>
    </w:p>
    <w:p>
      <w:pPr>
        <w:ind w:firstLine="463"/>
        <w:spacing w:after="0" w:line="244" w:lineRule="auto"/>
        <w:rPr>
          <w:sz w:val="20"/>
          <w:szCs w:val="20"/>
          <w:color w:val="auto"/>
        </w:rPr>
      </w:pPr>
      <w:r>
        <w:rPr>
          <w:rFonts w:ascii="Arial" w:cs="Arial" w:eastAsia="Arial" w:hAnsi="Arial"/>
          <w:sz w:val="19"/>
          <w:szCs w:val="19"/>
          <w:color w:val="231F20"/>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thereafter commenced military operations against Hamas. Although recent cease-fires have in some instances reduced hostilities, armed conflict is continuing and could intensify if cease-fires are not sustained, and conflict could spread between Israel and Iran, and also further affect Lebanon.</w:t>
      </w:r>
    </w:p>
    <w:p>
      <w:pPr>
        <w:spacing w:after="0" w:line="150" w:lineRule="exact"/>
        <w:rPr>
          <w:sz w:val="20"/>
          <w:szCs w:val="20"/>
          <w:color w:val="auto"/>
        </w:rPr>
      </w:pPr>
    </w:p>
    <w:p>
      <w:pPr>
        <w:ind w:right="160" w:firstLine="463"/>
        <w:spacing w:after="0" w:line="246" w:lineRule="auto"/>
        <w:rPr>
          <w:sz w:val="20"/>
          <w:szCs w:val="20"/>
          <w:color w:val="auto"/>
        </w:rPr>
      </w:pPr>
      <w:r>
        <w:rPr>
          <w:rFonts w:ascii="Arial" w:cs="Arial" w:eastAsia="Arial" w:hAnsi="Arial"/>
          <w:sz w:val="19"/>
          <w:szCs w:val="19"/>
          <w:color w:val="231F20"/>
        </w:rPr>
        <w:t>The Israel Defense Force (IDF), the national military of Israel, is a conscripted military service, subject to certain exceptions. Since the outbreak of hostilities, the IDF has called up more than 350,000 of its reserve forces to serve.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spacing w:after="0" w:line="148" w:lineRule="exact"/>
        <w:rPr>
          <w:sz w:val="20"/>
          <w:szCs w:val="20"/>
          <w:color w:val="auto"/>
        </w:rPr>
      </w:pPr>
    </w:p>
    <w:p>
      <w:pPr>
        <w:ind w:right="440" w:firstLine="463"/>
        <w:spacing w:after="0" w:line="258" w:lineRule="auto"/>
        <w:rPr>
          <w:sz w:val="20"/>
          <w:szCs w:val="20"/>
          <w:color w:val="auto"/>
        </w:rPr>
      </w:pPr>
      <w:r>
        <w:rPr>
          <w:rFonts w:ascii="Arial" w:cs="Arial" w:eastAsia="Arial" w:hAnsi="Arial"/>
          <w:sz w:val="19"/>
          <w:szCs w:val="19"/>
          <w:color w:val="231F20"/>
        </w:rPr>
        <w:t>Shelter-in-place and work-from-home measures, government-imposed restrictions on movement and travel and other precautions taken to address the ongoing conflict may temporarily disrupt our employees’ ability to effectively perform their daily tasks.</w:t>
      </w:r>
    </w:p>
    <w:p>
      <w:pPr>
        <w:spacing w:after="0" w:line="136" w:lineRule="exact"/>
        <w:rPr>
          <w:sz w:val="20"/>
          <w:szCs w:val="20"/>
          <w:color w:val="auto"/>
        </w:rPr>
      </w:pPr>
    </w:p>
    <w:p>
      <w:pPr>
        <w:ind w:right="240" w:firstLine="463"/>
        <w:spacing w:after="0" w:line="251" w:lineRule="auto"/>
        <w:rPr>
          <w:sz w:val="20"/>
          <w:szCs w:val="20"/>
          <w:color w:val="auto"/>
        </w:rPr>
      </w:pPr>
      <w:r>
        <w:rPr>
          <w:rFonts w:ascii="Arial" w:cs="Arial" w:eastAsia="Arial" w:hAnsi="Arial"/>
          <w:sz w:val="19"/>
          <w:szCs w:val="19"/>
          <w:color w:val="231F20"/>
        </w:rPr>
        <w:t>Although the length, impact and outcome of the ongoing conflicts in Ukraine and Israel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144" w:lineRule="exact"/>
        <w:rPr>
          <w:sz w:val="20"/>
          <w:szCs w:val="20"/>
          <w:color w:val="auto"/>
        </w:rPr>
      </w:pPr>
    </w:p>
    <w:p>
      <w:pPr>
        <w:ind w:right="60" w:firstLine="463"/>
        <w:spacing w:after="0" w:line="307" w:lineRule="auto"/>
        <w:rPr>
          <w:sz w:val="20"/>
          <w:szCs w:val="20"/>
          <w:color w:val="auto"/>
        </w:rPr>
      </w:pPr>
      <w:r>
        <w:rPr>
          <w:rFonts w:ascii="Arial" w:cs="Arial" w:eastAsia="Arial" w:hAnsi="Arial"/>
          <w:sz w:val="18"/>
          <w:szCs w:val="18"/>
          <w:color w:val="231F20"/>
        </w:rPr>
        <w:t>We are actively monitoring the situations in Ukraine and Israel and assessing any potential impact on our business, but to date have not experienced any material impact. We have no way to predict the progress or outcome of the conflicts</w:t>
      </w:r>
    </w:p>
    <w:p>
      <w:pPr>
        <w:sectPr>
          <w:pgSz w:w="12240" w:h="15840" w:orient="portrait"/>
          <w:cols w:equalWidth="0" w:num="1">
            <w:col w:w="10200"/>
          </w:cols>
          <w:pgMar w:left="1020" w:top="1440" w:right="1020" w:bottom="595" w:gutter="0" w:footer="0" w:header="0"/>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42</w:t>
      </w:r>
    </w:p>
    <w:p>
      <w:pPr>
        <w:sectPr>
          <w:pgSz w:w="12240" w:h="15840" w:orient="portrait"/>
          <w:cols w:equalWidth="0" w:num="1">
            <w:col w:w="10200"/>
          </w:cols>
          <w:pgMar w:left="1020" w:top="1440" w:right="1020" w:bottom="595" w:gutter="0" w:footer="0" w:header="0"/>
          <w:type w:val="continuous"/>
        </w:sectPr>
      </w:pPr>
    </w:p>
    <w:bookmarkStart w:id="43" w:name="page44"/>
    <w:bookmarkEnd w:id="43"/>
    <w:p>
      <w:pPr>
        <w:spacing w:after="0" w:line="97"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231F20"/>
        </w:rPr>
        <w:t>in Ukraine and Israel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clients,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Annual Report on Form 10-K.</w:t>
      </w:r>
    </w:p>
    <w:p>
      <w:pPr>
        <w:spacing w:after="0" w:line="152" w:lineRule="exact"/>
        <w:rPr>
          <w:sz w:val="20"/>
          <w:szCs w:val="20"/>
          <w:color w:val="auto"/>
        </w:rPr>
      </w:pPr>
    </w:p>
    <w:p>
      <w:pPr>
        <w:ind w:right="20" w:firstLine="463"/>
        <w:spacing w:after="0" w:line="241" w:lineRule="auto"/>
        <w:rPr>
          <w:sz w:val="20"/>
          <w:szCs w:val="20"/>
          <w:color w:val="auto"/>
        </w:rPr>
      </w:pPr>
      <w:r>
        <w:rPr>
          <w:rFonts w:ascii="Arial" w:cs="Arial" w:eastAsia="Arial" w:hAnsi="Arial"/>
          <w:sz w:val="19"/>
          <w:szCs w:val="19"/>
          <w:color w:val="231F20"/>
        </w:rPr>
        <w:t>In addition, political tensions between the U.S. and countries, such as Canada, Mexico and China, have recently escalated due to, among other things, priorities and executive orders from the new U.S. presidential administration, and could have an adverse effect on our operations. Rising political tensions could reduce levels of trade, investments, technological and educational exchanges, travel and other economic activities between the U.S. and such other countries, which would have a material adverse effect on global economic conditions and the stability of global financial markets. For example, the Trump administration recently confirmed its intent to impose heavy tariffs on imports from several nations, including Canada, Mexico, and China. On February 3, 2025, President Trump announced a deal to delay the imposition of tariffs on imports from Canada and Mexico by a month. However, any such tariffs, if and when enacted, and any further legislation or actions taken by the U.S. federal government (and responsive actions adopted by other countries as well) that restrict trade, such as additional tariffs, trade barriers, and other protectionist or retaliatory measures could harm our business, results of operations and financial condition. Any of these factors could have a material adverse effect on our business, prospects, financial condition and results of operations. We cannot assure you that, if the political tension between the U.S. and other countries intensifies and further regulations affecting our business are passed, our business will not be materially and adversely affected.</w:t>
      </w:r>
    </w:p>
    <w:p>
      <w:pPr>
        <w:spacing w:after="0" w:line="158" w:lineRule="exact"/>
        <w:rPr>
          <w:sz w:val="20"/>
          <w:szCs w:val="20"/>
          <w:color w:val="auto"/>
        </w:rPr>
      </w:pPr>
    </w:p>
    <w:p>
      <w:pPr>
        <w:ind w:firstLine="463"/>
        <w:spacing w:after="0" w:line="244" w:lineRule="auto"/>
        <w:rPr>
          <w:sz w:val="20"/>
          <w:szCs w:val="20"/>
          <w:color w:val="auto"/>
        </w:rPr>
      </w:pPr>
      <w:r>
        <w:rPr>
          <w:rFonts w:ascii="Arial" w:cs="Arial" w:eastAsia="Arial" w:hAnsi="Arial"/>
          <w:sz w:val="19"/>
          <w:szCs w:val="19"/>
          <w:color w:val="231F20"/>
        </w:rPr>
        <w:t>Inflation and heightened interest rates have and may in the future result in decreased demand for our solutions, increases in our operating costs including our labor costs, constrained credit and liquidity, and volatility in financial markets and the banking ecosystem. Although the Federal Reserve lowered interest rates by 50 basis points on September 18, 2024, interest rates remain elevated and there continues to be uncertainty in the changing market and economic conditions, including the effects of additional measures that have and could be taken by the Trump administration, the Federal Reserve and other government agencies, related to concerns over inflation risk. A sharp rise in interest rates could have an adverse impact on the fair market value of securities we may invest in as part of our portfolio investments, which could adversely affect our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Our Operations</w:t>
      </w:r>
    </w:p>
    <w:p>
      <w:pPr>
        <w:spacing w:after="0" w:line="196" w:lineRule="exact"/>
        <w:rPr>
          <w:sz w:val="20"/>
          <w:szCs w:val="20"/>
          <w:color w:val="auto"/>
        </w:rPr>
      </w:pPr>
    </w:p>
    <w:p>
      <w:pPr>
        <w:ind w:right="100"/>
        <w:spacing w:after="0" w:line="285" w:lineRule="auto"/>
        <w:rPr>
          <w:sz w:val="20"/>
          <w:szCs w:val="20"/>
          <w:color w:val="auto"/>
        </w:rPr>
      </w:pPr>
      <w:r>
        <w:rPr>
          <w:rFonts w:ascii="Arial" w:cs="Arial" w:eastAsia="Arial" w:hAnsi="Arial"/>
          <w:sz w:val="19"/>
          <w:szCs w:val="19"/>
          <w:b w:val="1"/>
          <w:bCs w:val="1"/>
          <w:i w:val="1"/>
          <w:iCs w:val="1"/>
          <w:color w:val="231F20"/>
        </w:rPr>
        <w:t>We may not be able to scale our business quickly enough to meet our growing client base, and if we are not able to grow efficiently, our operating results could be harmed.</w:t>
      </w:r>
    </w:p>
    <w:p>
      <w:pPr>
        <w:spacing w:after="0" w:line="100" w:lineRule="exact"/>
        <w:rPr>
          <w:sz w:val="20"/>
          <w:szCs w:val="20"/>
          <w:color w:val="auto"/>
        </w:rPr>
      </w:pPr>
    </w:p>
    <w:p>
      <w:pPr>
        <w:ind w:right="280" w:firstLine="463"/>
        <w:spacing w:after="0" w:line="248" w:lineRule="auto"/>
        <w:rPr>
          <w:sz w:val="20"/>
          <w:szCs w:val="20"/>
          <w:color w:val="auto"/>
        </w:rPr>
      </w:pPr>
      <w:r>
        <w:rPr>
          <w:rFonts w:ascii="Arial" w:cs="Arial" w:eastAsia="Arial" w:hAnsi="Arial"/>
          <w:sz w:val="19"/>
          <w:szCs w:val="19"/>
          <w:color w:val="231F20"/>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p>
    <w:p>
      <w:pPr>
        <w:spacing w:after="0" w:line="146" w:lineRule="exact"/>
        <w:rPr>
          <w:sz w:val="20"/>
          <w:szCs w:val="20"/>
          <w:color w:val="auto"/>
        </w:rPr>
      </w:pPr>
    </w:p>
    <w:p>
      <w:pPr>
        <w:ind w:right="40" w:firstLine="463"/>
        <w:spacing w:after="0" w:line="243" w:lineRule="auto"/>
        <w:rPr>
          <w:sz w:val="20"/>
          <w:szCs w:val="20"/>
          <w:color w:val="auto"/>
        </w:rPr>
      </w:pPr>
      <w:r>
        <w:rPr>
          <w:rFonts w:ascii="Arial" w:cs="Arial" w:eastAsia="Arial" w:hAnsi="Arial"/>
          <w:sz w:val="19"/>
          <w:szCs w:val="19"/>
          <w:color w:val="231F20"/>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or improve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43</w:t>
      </w:r>
    </w:p>
    <w:p>
      <w:pPr>
        <w:sectPr>
          <w:pgSz w:w="12240" w:h="15840" w:orient="portrait"/>
          <w:cols w:equalWidth="0" w:num="1">
            <w:col w:w="10200"/>
          </w:cols>
          <w:pgMar w:left="1020" w:top="1440" w:right="1020" w:bottom="595" w:gutter="0" w:footer="0" w:header="0"/>
          <w:type w:val="continuous"/>
        </w:sectPr>
      </w:pPr>
    </w:p>
    <w:bookmarkStart w:id="44" w:name="page45"/>
    <w:bookmarkEnd w:id="44"/>
    <w:p>
      <w:pPr>
        <w:spacing w:after="0" w:line="101" w:lineRule="exact"/>
        <w:rPr>
          <w:sz w:val="20"/>
          <w:szCs w:val="20"/>
          <w:color w:val="auto"/>
        </w:rPr>
      </w:pPr>
    </w:p>
    <w:p>
      <w:pPr>
        <w:jc w:val="both"/>
        <w:ind w:right="360"/>
        <w:spacing w:after="0" w:line="261" w:lineRule="auto"/>
        <w:rPr>
          <w:sz w:val="20"/>
          <w:szCs w:val="20"/>
          <w:color w:val="auto"/>
        </w:rPr>
      </w:pPr>
      <w:r>
        <w:rPr>
          <w:rFonts w:ascii="Arial" w:cs="Arial" w:eastAsia="Arial" w:hAnsi="Arial"/>
          <w:sz w:val="19"/>
          <w:szCs w:val="19"/>
          <w:b w:val="1"/>
          <w:bCs w:val="1"/>
          <w:i w:val="1"/>
          <w:iCs w:val="1"/>
          <w:color w:val="231F20"/>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124"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For the year ended December 31, 2024, we processed over $29.7 billion in payments on our solutions, compared to over $24.0 billion for the year ended December 31, 2023, and approximately $18.1 billion for the year ended December 31, 2022. We have grown rapidly and seek to continue to grow, and our business is subject to the risk of financial losses as a result of chargebacks for client-related losses, credit losses, operational errors, software defects, service disruption, employee or partner misconduct, security breaches, or other similar actions or errors in our solutions. As a provider of accounts receivable and other payment solutions, we enable the transfer of funds to our clients from their customers. Software errors in our solutions, including as a result of ordinary course updates to our software and systems, and operational errors by our FlyMates and business partners may also expose us to losses.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a client has gone out of business or we are otherwise unable to collect on the chargeback, we will bear the economic loss, which can negatively impact our business.</w:t>
      </w:r>
    </w:p>
    <w:p>
      <w:pPr>
        <w:spacing w:after="0" w:line="160" w:lineRule="exact"/>
        <w:rPr>
          <w:sz w:val="20"/>
          <w:szCs w:val="20"/>
          <w:color w:val="auto"/>
        </w:rPr>
      </w:pPr>
    </w:p>
    <w:p>
      <w:pPr>
        <w:ind w:right="120" w:firstLine="463"/>
        <w:spacing w:after="0" w:line="248" w:lineRule="auto"/>
        <w:rPr>
          <w:sz w:val="20"/>
          <w:szCs w:val="20"/>
          <w:color w:val="auto"/>
        </w:rPr>
      </w:pPr>
      <w:r>
        <w:rPr>
          <w:rFonts w:ascii="Arial" w:cs="Arial" w:eastAsia="Arial" w:hAnsi="Arial"/>
          <w:sz w:val="19"/>
          <w:szCs w:val="19"/>
          <w:color w:val="231F20"/>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159" w:lineRule="exact"/>
        <w:rPr>
          <w:sz w:val="20"/>
          <w:szCs w:val="20"/>
          <w:color w:val="auto"/>
        </w:rPr>
      </w:pPr>
    </w:p>
    <w:p>
      <w:pPr>
        <w:ind w:left="800" w:hanging="229"/>
        <w:spacing w:after="0"/>
        <w:tabs>
          <w:tab w:leader="none" w:pos="800" w:val="left"/>
        </w:tabs>
        <w:numPr>
          <w:ilvl w:val="0"/>
          <w:numId w:val="33"/>
        </w:numPr>
        <w:rPr>
          <w:rFonts w:ascii="Arial" w:cs="Arial" w:eastAsia="Arial" w:hAnsi="Arial"/>
          <w:sz w:val="19"/>
          <w:szCs w:val="19"/>
          <w:color w:val="231F20"/>
        </w:rPr>
      </w:pPr>
      <w:r>
        <w:rPr>
          <w:rFonts w:ascii="Arial" w:cs="Arial" w:eastAsia="Arial" w:hAnsi="Arial"/>
          <w:sz w:val="19"/>
          <w:szCs w:val="19"/>
          <w:color w:val="231F20"/>
        </w:rPr>
        <w:t>loss of clients or a reduction in use of our solutions by our clients’ customers;</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33"/>
        </w:numPr>
        <w:rPr>
          <w:rFonts w:ascii="Arial" w:cs="Arial" w:eastAsia="Arial" w:hAnsi="Arial"/>
          <w:sz w:val="19"/>
          <w:szCs w:val="19"/>
          <w:color w:val="231F20"/>
        </w:rPr>
      </w:pPr>
      <w:r>
        <w:rPr>
          <w:rFonts w:ascii="Arial" w:cs="Arial" w:eastAsia="Arial" w:hAnsi="Arial"/>
          <w:sz w:val="19"/>
          <w:szCs w:val="19"/>
          <w:color w:val="231F20"/>
        </w:rPr>
        <w:t>lost or delayed market acceptance and acquisition of new clients;</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33"/>
        </w:numPr>
        <w:rPr>
          <w:rFonts w:ascii="Arial" w:cs="Arial" w:eastAsia="Arial" w:hAnsi="Arial"/>
          <w:sz w:val="19"/>
          <w:szCs w:val="19"/>
          <w:color w:val="231F20"/>
        </w:rPr>
      </w:pPr>
      <w:r>
        <w:rPr>
          <w:rFonts w:ascii="Arial" w:cs="Arial" w:eastAsia="Arial" w:hAnsi="Arial"/>
          <w:sz w:val="19"/>
          <w:szCs w:val="19"/>
          <w:color w:val="231F20"/>
        </w:rPr>
        <w:t>legal claims against us;</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33"/>
        </w:numPr>
        <w:rPr>
          <w:rFonts w:ascii="Arial" w:cs="Arial" w:eastAsia="Arial" w:hAnsi="Arial"/>
          <w:sz w:val="19"/>
          <w:szCs w:val="19"/>
          <w:color w:val="231F20"/>
        </w:rPr>
      </w:pPr>
      <w:r>
        <w:rPr>
          <w:rFonts w:ascii="Arial" w:cs="Arial" w:eastAsia="Arial" w:hAnsi="Arial"/>
          <w:sz w:val="19"/>
          <w:szCs w:val="19"/>
          <w:color w:val="231F20"/>
        </w:rPr>
        <w:t>regulatory enforcement action; or</w:t>
      </w:r>
    </w:p>
    <w:p>
      <w:pPr>
        <w:spacing w:after="0" w:line="200" w:lineRule="exact"/>
        <w:rPr>
          <w:rFonts w:ascii="Arial" w:cs="Arial" w:eastAsia="Arial" w:hAnsi="Arial"/>
          <w:sz w:val="19"/>
          <w:szCs w:val="19"/>
          <w:color w:val="231F20"/>
        </w:rPr>
      </w:pPr>
    </w:p>
    <w:p>
      <w:pPr>
        <w:ind w:left="800" w:right="800" w:hanging="229"/>
        <w:spacing w:after="0" w:line="278" w:lineRule="auto"/>
        <w:tabs>
          <w:tab w:leader="none" w:pos="800" w:val="left"/>
        </w:tabs>
        <w:numPr>
          <w:ilvl w:val="0"/>
          <w:numId w:val="33"/>
        </w:numPr>
        <w:rPr>
          <w:rFonts w:ascii="Arial" w:cs="Arial" w:eastAsia="Arial" w:hAnsi="Arial"/>
          <w:sz w:val="19"/>
          <w:szCs w:val="19"/>
          <w:color w:val="231F20"/>
        </w:rPr>
      </w:pPr>
      <w:r>
        <w:rPr>
          <w:rFonts w:ascii="Arial" w:cs="Arial" w:eastAsia="Arial" w:hAnsi="Arial"/>
          <w:sz w:val="19"/>
          <w:szCs w:val="19"/>
          <w:color w:val="231F20"/>
        </w:rPr>
        <w:t>diversion of our resources, including through increased service expenses or financial concessions, and increased insurance costs.</w:t>
      </w:r>
    </w:p>
    <w:p>
      <w:pPr>
        <w:spacing w:after="0" w:line="117" w:lineRule="exact"/>
        <w:rPr>
          <w:sz w:val="20"/>
          <w:szCs w:val="20"/>
          <w:color w:val="auto"/>
        </w:rPr>
      </w:pPr>
    </w:p>
    <w:p>
      <w:pPr>
        <w:ind w:right="160" w:firstLine="463"/>
        <w:spacing w:after="0" w:line="258" w:lineRule="auto"/>
        <w:rPr>
          <w:sz w:val="20"/>
          <w:szCs w:val="20"/>
          <w:color w:val="auto"/>
        </w:rPr>
      </w:pPr>
      <w:r>
        <w:rPr>
          <w:rFonts w:ascii="Arial" w:cs="Arial" w:eastAsia="Arial" w:hAnsi="Arial"/>
          <w:sz w:val="19"/>
          <w:szCs w:val="19"/>
          <w:color w:val="231F20"/>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40" w:lineRule="exact"/>
        <w:rPr>
          <w:sz w:val="20"/>
          <w:szCs w:val="20"/>
          <w:color w:val="auto"/>
        </w:rPr>
      </w:pPr>
    </w:p>
    <w:p>
      <w:pPr>
        <w:ind w:right="520"/>
        <w:spacing w:after="0" w:line="285" w:lineRule="auto"/>
        <w:rPr>
          <w:sz w:val="20"/>
          <w:szCs w:val="20"/>
          <w:color w:val="auto"/>
        </w:rPr>
      </w:pPr>
      <w:r>
        <w:rPr>
          <w:rFonts w:ascii="Arial" w:cs="Arial" w:eastAsia="Arial" w:hAnsi="Arial"/>
          <w:sz w:val="19"/>
          <w:szCs w:val="19"/>
          <w:b w:val="1"/>
          <w:bCs w:val="1"/>
          <w:i w:val="1"/>
          <w:iCs w:val="1"/>
          <w:color w:val="231F20"/>
        </w:rPr>
        <w:t>Our management of our operating funds and client funds may be reliant on a limited number of our banking partners and other financial institutions.</w:t>
      </w:r>
    </w:p>
    <w:p>
      <w:pPr>
        <w:spacing w:after="0" w:line="100" w:lineRule="exact"/>
        <w:rPr>
          <w:sz w:val="20"/>
          <w:szCs w:val="20"/>
          <w:color w:val="auto"/>
        </w:rPr>
      </w:pPr>
    </w:p>
    <w:p>
      <w:pPr>
        <w:ind w:firstLine="463"/>
        <w:spacing w:after="0" w:line="242" w:lineRule="auto"/>
        <w:rPr>
          <w:sz w:val="20"/>
          <w:szCs w:val="20"/>
          <w:color w:val="auto"/>
        </w:rPr>
      </w:pPr>
      <w:r>
        <w:rPr>
          <w:rFonts w:ascii="Arial" w:cs="Arial" w:eastAsia="Arial" w:hAnsi="Arial"/>
          <w:sz w:val="19"/>
          <w:szCs w:val="19"/>
          <w:color w:val="231F20"/>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or are delayed in accessing,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p>
    <w:p>
      <w:pPr>
        <w:spacing w:after="0" w:line="159" w:lineRule="exact"/>
        <w:rPr>
          <w:sz w:val="20"/>
          <w:szCs w:val="20"/>
          <w:color w:val="auto"/>
        </w:rPr>
      </w:pPr>
    </w:p>
    <w:p>
      <w:pPr>
        <w:ind w:right="160"/>
        <w:spacing w:after="0" w:line="261" w:lineRule="auto"/>
        <w:rPr>
          <w:sz w:val="20"/>
          <w:szCs w:val="20"/>
          <w:color w:val="auto"/>
        </w:rPr>
      </w:pPr>
      <w:r>
        <w:rPr>
          <w:rFonts w:ascii="Arial" w:cs="Arial" w:eastAsia="Arial" w:hAnsi="Arial"/>
          <w:sz w:val="19"/>
          <w:szCs w:val="19"/>
          <w:b w:val="1"/>
          <w:bCs w:val="1"/>
          <w:i w:val="1"/>
          <w:iCs w:val="1"/>
          <w:color w:val="231F20"/>
        </w:rPr>
        <w:t>Our marketable securities portfolio is subject to credit, liquidity, market, and interest rate risks that could cause its value to decline significantly and materially adversely affect our business, financial condition, results of operations, and prospects.</w:t>
      </w:r>
    </w:p>
    <w:p>
      <w:pPr>
        <w:spacing w:after="0" w:line="124"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231F20"/>
        </w:rPr>
        <w:t>We maintain an investment portfolio of marketable securities. These investments are subject to general credit,</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231F20"/>
        </w:rPr>
        <w:t>liquidity, market, and interest rate risks that can affect the income that we receive from our investments, the net realizable</w:t>
      </w:r>
    </w:p>
    <w:p>
      <w:pPr>
        <w:sectPr>
          <w:pgSz w:w="12240" w:h="15840" w:orient="portrait"/>
          <w:cols w:equalWidth="0" w:num="1">
            <w:col w:w="10180"/>
          </w:cols>
          <w:pgMar w:left="1020" w:top="1440" w:right="1040" w:bottom="595"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44</w:t>
      </w:r>
    </w:p>
    <w:p>
      <w:pPr>
        <w:sectPr>
          <w:pgSz w:w="12240" w:h="15840" w:orient="portrait"/>
          <w:cols w:equalWidth="0" w:num="1">
            <w:col w:w="10180"/>
          </w:cols>
          <w:pgMar w:left="1020" w:top="1440" w:right="1040" w:bottom="595" w:gutter="0" w:footer="0" w:header="0"/>
          <w:type w:val="continuous"/>
        </w:sectPr>
      </w:pPr>
    </w:p>
    <w:bookmarkStart w:id="45" w:name="page46"/>
    <w:bookmarkEnd w:id="45"/>
    <w:p>
      <w:pPr>
        <w:spacing w:after="0" w:line="97"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231F20"/>
        </w:rPr>
        <w:t>value of our investments, and our ability to sell them, which may be exacerbated by market downturns or events that affect global financial markets. As a result, we may experience a significant decline in value or loss of liquidity of our investments, which could materially adversely affect our business, financial condition, results of operations, and prospects. We attempt to mitigate these risks through diversification of our investments and continuous monitoring of our portfolio’s overall risk profile, but the value of our investments may nevertheless decline. To the extent that we increase the amount of our security investments in the future, these risks could be exacerbated.</w:t>
      </w:r>
    </w:p>
    <w:p>
      <w:pPr>
        <w:spacing w:after="0" w:line="152" w:lineRule="exact"/>
        <w:rPr>
          <w:sz w:val="20"/>
          <w:szCs w:val="20"/>
          <w:color w:val="auto"/>
        </w:rPr>
      </w:pPr>
    </w:p>
    <w:p>
      <w:pPr>
        <w:ind w:right="120"/>
        <w:spacing w:after="0" w:line="285" w:lineRule="auto"/>
        <w:rPr>
          <w:sz w:val="20"/>
          <w:szCs w:val="20"/>
          <w:color w:val="auto"/>
        </w:rPr>
      </w:pPr>
      <w:r>
        <w:rPr>
          <w:rFonts w:ascii="Arial" w:cs="Arial" w:eastAsia="Arial" w:hAnsi="Arial"/>
          <w:sz w:val="19"/>
          <w:szCs w:val="19"/>
          <w:b w:val="1"/>
          <w:bCs w:val="1"/>
          <w:i w:val="1"/>
          <w:iCs w:val="1"/>
          <w:color w:val="231F20"/>
        </w:rPr>
        <w:t>Volatility in the banking and financial services ecosystems may impact our bank partnerships and relationships, which could adversely affect our operations and liquidity.</w:t>
      </w:r>
    </w:p>
    <w:p>
      <w:pPr>
        <w:spacing w:after="0" w:line="100" w:lineRule="exact"/>
        <w:rPr>
          <w:sz w:val="20"/>
          <w:szCs w:val="20"/>
          <w:color w:val="auto"/>
        </w:rPr>
      </w:pPr>
    </w:p>
    <w:p>
      <w:pPr>
        <w:ind w:right="340" w:firstLine="463"/>
        <w:spacing w:after="0" w:line="248" w:lineRule="auto"/>
        <w:rPr>
          <w:sz w:val="20"/>
          <w:szCs w:val="20"/>
          <w:color w:val="auto"/>
        </w:rPr>
      </w:pPr>
      <w:r>
        <w:rPr>
          <w:rFonts w:ascii="Arial" w:cs="Arial" w:eastAsia="Arial" w:hAnsi="Arial"/>
          <w:sz w:val="19"/>
          <w:szCs w:val="19"/>
          <w:color w:val="231F20"/>
        </w:rPr>
        <w:t>Instability and volatility in the banking and financial services ecosystems, including limited liquidity, defaults, non-performance or other adverse developments that affect the banking ecosystem, or concerns or rumors about any such events or other similar risks, has and may in the future increase uncertainty in the global economy and the risk of a recession. Volatility in the banking and financial services sectors may impact our bank partnerships and relationships, which could adversely affect our operations and liquidity.</w:t>
      </w:r>
    </w:p>
    <w:p>
      <w:pPr>
        <w:spacing w:after="0" w:line="146" w:lineRule="exact"/>
        <w:rPr>
          <w:sz w:val="20"/>
          <w:szCs w:val="20"/>
          <w:color w:val="auto"/>
        </w:rPr>
      </w:pPr>
    </w:p>
    <w:p>
      <w:pPr>
        <w:ind w:right="20" w:firstLine="463"/>
        <w:spacing w:after="0" w:line="242" w:lineRule="auto"/>
        <w:rPr>
          <w:sz w:val="20"/>
          <w:szCs w:val="20"/>
          <w:color w:val="auto"/>
        </w:rPr>
      </w:pPr>
      <w:r>
        <w:rPr>
          <w:rFonts w:ascii="Arial" w:cs="Arial" w:eastAsia="Arial" w:hAnsi="Arial"/>
          <w:sz w:val="19"/>
          <w:szCs w:val="19"/>
          <w:color w:val="231F20"/>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regulatory or other claims or litigation, which may be costly to address.</w:t>
      </w:r>
    </w:p>
    <w:p>
      <w:pPr>
        <w:spacing w:after="0" w:line="152" w:lineRule="exact"/>
        <w:rPr>
          <w:sz w:val="20"/>
          <w:szCs w:val="20"/>
          <w:color w:val="auto"/>
        </w:rPr>
      </w:pPr>
    </w:p>
    <w:p>
      <w:pPr>
        <w:ind w:right="40" w:firstLine="463"/>
        <w:spacing w:after="0" w:line="245" w:lineRule="auto"/>
        <w:rPr>
          <w:sz w:val="20"/>
          <w:szCs w:val="20"/>
          <w:color w:val="auto"/>
        </w:rPr>
      </w:pPr>
      <w:r>
        <w:rPr>
          <w:rFonts w:ascii="Arial" w:cs="Arial" w:eastAsia="Arial" w:hAnsi="Arial"/>
          <w:sz w:val="19"/>
          <w:szCs w:val="19"/>
          <w:color w:val="231F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52"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b w:val="1"/>
          <w:bCs w:val="1"/>
          <w:i w:val="1"/>
          <w:iCs w:val="1"/>
          <w:color w:val="231F20"/>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24" w:lineRule="exact"/>
        <w:rPr>
          <w:sz w:val="20"/>
          <w:szCs w:val="20"/>
          <w:color w:val="auto"/>
        </w:rPr>
      </w:pPr>
    </w:p>
    <w:p>
      <w:pPr>
        <w:ind w:firstLine="463"/>
        <w:spacing w:after="0" w:line="244" w:lineRule="auto"/>
        <w:rPr>
          <w:sz w:val="20"/>
          <w:szCs w:val="20"/>
          <w:color w:val="auto"/>
        </w:rPr>
      </w:pPr>
      <w:r>
        <w:rPr>
          <w:rFonts w:ascii="Arial" w:cs="Arial" w:eastAsia="Arial" w:hAnsi="Arial"/>
          <w:sz w:val="19"/>
          <w:szCs w:val="19"/>
          <w:color w:val="231F20"/>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50" w:lineRule="exact"/>
        <w:rPr>
          <w:sz w:val="20"/>
          <w:szCs w:val="20"/>
          <w:color w:val="auto"/>
        </w:rPr>
      </w:pPr>
    </w:p>
    <w:p>
      <w:pPr>
        <w:ind w:right="180" w:firstLine="463"/>
        <w:spacing w:after="0" w:line="251" w:lineRule="auto"/>
        <w:rPr>
          <w:sz w:val="20"/>
          <w:szCs w:val="20"/>
          <w:color w:val="auto"/>
        </w:rPr>
      </w:pPr>
      <w:r>
        <w:rPr>
          <w:rFonts w:ascii="Arial" w:cs="Arial" w:eastAsia="Arial" w:hAnsi="Arial"/>
          <w:sz w:val="19"/>
          <w:szCs w:val="19"/>
          <w:color w:val="231F20"/>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spacing w:after="0" w:line="144" w:lineRule="exact"/>
        <w:rPr>
          <w:sz w:val="20"/>
          <w:szCs w:val="20"/>
          <w:color w:val="auto"/>
        </w:rPr>
      </w:pPr>
    </w:p>
    <w:p>
      <w:pPr>
        <w:ind w:right="40" w:firstLine="463"/>
        <w:spacing w:after="0" w:line="265" w:lineRule="auto"/>
        <w:rPr>
          <w:sz w:val="20"/>
          <w:szCs w:val="20"/>
          <w:color w:val="auto"/>
        </w:rPr>
      </w:pPr>
      <w:r>
        <w:rPr>
          <w:rFonts w:ascii="Arial" w:cs="Arial" w:eastAsia="Arial" w:hAnsi="Arial"/>
          <w:sz w:val="18"/>
          <w:szCs w:val="18"/>
          <w:color w:val="231F20"/>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due to regulatory restrictions or for any other reason, our expenses could increase and our ability to process certain payments could be materially interrupted, all of which could harm our business, financial condition, and</w:t>
      </w:r>
    </w:p>
    <w:p>
      <w:pPr>
        <w:sectPr>
          <w:pgSz w:w="12240" w:h="15840" w:orient="portrait"/>
          <w:cols w:equalWidth="0" w:num="1">
            <w:col w:w="10200"/>
          </w:cols>
          <w:pgMar w:left="1020" w:top="1440" w:right="1020" w:bottom="595" w:gutter="0" w:footer="0" w:header="0"/>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45</w:t>
      </w:r>
    </w:p>
    <w:p>
      <w:pPr>
        <w:sectPr>
          <w:pgSz w:w="12240" w:h="15840" w:orient="portrait"/>
          <w:cols w:equalWidth="0" w:num="1">
            <w:col w:w="10200"/>
          </w:cols>
          <w:pgMar w:left="1020" w:top="1440" w:right="1020" w:bottom="595" w:gutter="0" w:footer="0" w:header="0"/>
          <w:type w:val="continuous"/>
        </w:sectPr>
      </w:pPr>
    </w:p>
    <w:bookmarkStart w:id="46" w:name="page47"/>
    <w:bookmarkEnd w:id="46"/>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9"/>
          <w:szCs w:val="19"/>
          <w:color w:val="231F20"/>
        </w:rPr>
        <w:t>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48" w:lineRule="exact"/>
        <w:rPr>
          <w:sz w:val="20"/>
          <w:szCs w:val="20"/>
          <w:color w:val="auto"/>
        </w:rPr>
      </w:pPr>
    </w:p>
    <w:p>
      <w:pPr>
        <w:ind w:right="100"/>
        <w:spacing w:after="0" w:line="261" w:lineRule="auto"/>
        <w:rPr>
          <w:sz w:val="20"/>
          <w:szCs w:val="20"/>
          <w:color w:val="auto"/>
        </w:rPr>
      </w:pPr>
      <w:r>
        <w:rPr>
          <w:rFonts w:ascii="Arial" w:cs="Arial" w:eastAsia="Arial" w:hAnsi="Arial"/>
          <w:sz w:val="19"/>
          <w:szCs w:val="19"/>
          <w:b w:val="1"/>
          <w:bCs w:val="1"/>
          <w:i w:val="1"/>
          <w:iCs w:val="1"/>
          <w:color w:val="231F20"/>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24" w:lineRule="exact"/>
        <w:rPr>
          <w:sz w:val="20"/>
          <w:szCs w:val="20"/>
          <w:color w:val="auto"/>
        </w:rPr>
      </w:pPr>
    </w:p>
    <w:p>
      <w:pPr>
        <w:ind w:right="20" w:firstLine="463"/>
        <w:spacing w:after="0" w:line="246" w:lineRule="auto"/>
        <w:rPr>
          <w:sz w:val="20"/>
          <w:szCs w:val="20"/>
          <w:color w:val="auto"/>
        </w:rPr>
      </w:pPr>
      <w:r>
        <w:rPr>
          <w:rFonts w:ascii="Arial" w:cs="Arial" w:eastAsia="Arial" w:hAnsi="Arial"/>
          <w:sz w:val="19"/>
          <w:szCs w:val="19"/>
          <w:color w:val="231F20"/>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48" w:lineRule="exact"/>
        <w:rPr>
          <w:sz w:val="20"/>
          <w:szCs w:val="20"/>
          <w:color w:val="auto"/>
        </w:rPr>
      </w:pPr>
    </w:p>
    <w:p>
      <w:pPr>
        <w:ind w:right="40" w:firstLine="463"/>
        <w:spacing w:after="0" w:line="242" w:lineRule="auto"/>
        <w:rPr>
          <w:sz w:val="20"/>
          <w:szCs w:val="20"/>
          <w:color w:val="auto"/>
        </w:rPr>
      </w:pPr>
      <w:r>
        <w:rPr>
          <w:rFonts w:ascii="Arial" w:cs="Arial" w:eastAsia="Arial" w:hAnsi="Arial"/>
          <w:sz w:val="19"/>
          <w:szCs w:val="19"/>
          <w:color w:val="231F20"/>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NACHA, which manages the governance of the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clients for our failure or the failure of third parties with whom we contract to protect this data in accordance with PCI DSS and network requirements. The loss, destruction or unauthorized modification or disclosure of merchant or cardholder data by us or our contracted third parties could result in significant fines, sanctions, claims, litigation and proceedings or actions against us by the payment networks, governmental entities, clients, client customers or others and damage our reputation.</w:t>
      </w:r>
    </w:p>
    <w:p>
      <w:pPr>
        <w:spacing w:after="0" w:line="152"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Similarly, there are existing regulatory regimes designed to protect the privacy of categories of personal or otherwise sensitive data. Relevant U.S. federal privacy laws include the FERPA, the Gramm-Leach-Bliley Act (GLBA), and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and could materially adversely affect our reputation and business.</w:t>
      </w:r>
    </w:p>
    <w:p>
      <w:pPr>
        <w:spacing w:after="0" w:line="156" w:lineRule="exact"/>
        <w:rPr>
          <w:sz w:val="20"/>
          <w:szCs w:val="20"/>
          <w:color w:val="auto"/>
        </w:rPr>
      </w:pPr>
    </w:p>
    <w:p>
      <w:pPr>
        <w:ind w:right="20" w:firstLine="463"/>
        <w:spacing w:after="0" w:line="242" w:lineRule="auto"/>
        <w:rPr>
          <w:sz w:val="20"/>
          <w:szCs w:val="20"/>
          <w:color w:val="auto"/>
        </w:rPr>
      </w:pPr>
      <w:r>
        <w:rPr>
          <w:rFonts w:ascii="Arial" w:cs="Arial" w:eastAsia="Arial" w:hAnsi="Arial"/>
          <w:sz w:val="19"/>
          <w:szCs w:val="19"/>
          <w:color w:val="231F20"/>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ectPr>
          <w:pgSz w:w="12240" w:h="15840" w:orient="portrait"/>
          <w:cols w:equalWidth="0" w:num="1">
            <w:col w:w="10180"/>
          </w:cols>
          <w:pgMar w:left="1020" w:top="1440" w:right="104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46</w:t>
      </w:r>
    </w:p>
    <w:p>
      <w:pPr>
        <w:sectPr>
          <w:pgSz w:w="12240" w:h="15840" w:orient="portrait"/>
          <w:cols w:equalWidth="0" w:num="1">
            <w:col w:w="10180"/>
          </w:cols>
          <w:pgMar w:left="1020" w:top="1440" w:right="1040" w:bottom="595" w:gutter="0" w:footer="0" w:header="0"/>
          <w:type w:val="continuous"/>
        </w:sectPr>
      </w:pPr>
    </w:p>
    <w:bookmarkStart w:id="47" w:name="page48"/>
    <w:bookmarkEnd w:id="47"/>
    <w:p>
      <w:pPr>
        <w:spacing w:after="0" w:line="97" w:lineRule="exact"/>
        <w:rPr>
          <w:sz w:val="20"/>
          <w:szCs w:val="20"/>
          <w:color w:val="auto"/>
        </w:rPr>
      </w:pPr>
    </w:p>
    <w:p>
      <w:pPr>
        <w:ind w:right="100" w:firstLine="463"/>
        <w:spacing w:after="0" w:line="241" w:lineRule="auto"/>
        <w:rPr>
          <w:sz w:val="20"/>
          <w:szCs w:val="20"/>
          <w:color w:val="auto"/>
        </w:rPr>
      </w:pPr>
      <w:r>
        <w:rPr>
          <w:rFonts w:ascii="Arial" w:cs="Arial" w:eastAsia="Arial" w:hAnsi="Arial"/>
          <w:sz w:val="19"/>
          <w:szCs w:val="19"/>
          <w:color w:val="231F20"/>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60" w:lineRule="exact"/>
        <w:rPr>
          <w:sz w:val="20"/>
          <w:szCs w:val="20"/>
          <w:color w:val="auto"/>
        </w:rPr>
      </w:pPr>
    </w:p>
    <w:p>
      <w:pPr>
        <w:ind w:right="220" w:firstLine="463"/>
        <w:spacing w:after="0" w:line="278" w:lineRule="auto"/>
        <w:rPr>
          <w:sz w:val="20"/>
          <w:szCs w:val="20"/>
          <w:color w:val="auto"/>
        </w:rPr>
      </w:pPr>
      <w:r>
        <w:rPr>
          <w:rFonts w:ascii="Arial" w:cs="Arial" w:eastAsia="Arial" w:hAnsi="Arial"/>
          <w:sz w:val="19"/>
          <w:szCs w:val="19"/>
          <w:color w:val="231F20"/>
        </w:rPr>
        <w:t>Additionally, it is also possible that unauthorized access to sensitive customer and business data may be obtained through inadequate use of security controls by our clients, suppliers or other vendors.</w:t>
      </w:r>
    </w:p>
    <w:p>
      <w:pPr>
        <w:spacing w:after="0" w:line="117" w:lineRule="exact"/>
        <w:rPr>
          <w:sz w:val="20"/>
          <w:szCs w:val="20"/>
          <w:color w:val="auto"/>
        </w:rPr>
      </w:pPr>
    </w:p>
    <w:p>
      <w:pPr>
        <w:ind w:right="20" w:firstLine="463"/>
        <w:spacing w:after="0"/>
        <w:rPr>
          <w:sz w:val="20"/>
          <w:szCs w:val="20"/>
          <w:color w:val="auto"/>
        </w:rPr>
      </w:pPr>
      <w:r>
        <w:rPr>
          <w:rFonts w:ascii="Arial" w:cs="Arial" w:eastAsia="Arial" w:hAnsi="Arial"/>
          <w:sz w:val="19"/>
          <w:szCs w:val="19"/>
          <w:color w:val="231F20"/>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 and our reputation may be harmed. Additional risks will emerge to the extent we incorporate artificial intelligence in our solutions. Artificial intelligence algorithms or automated processing of data may be flawed, and datasets may be insufficient or may use third party artificial intelligence with unclear intellectual property rights or interests. Inappropriate or controversial data practices by us or others could subject us to lawsuits, regulatory investigations, legal and financial liability, or reputational harm. Additionally, our use of artificial intelligence may create additional cybersecurity risks or increase cybersecurity risks, including risks of security breaches and incidents.</w:t>
      </w:r>
    </w:p>
    <w:p>
      <w:pPr>
        <w:spacing w:after="0" w:line="158"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49" w:lineRule="exact"/>
        <w:rPr>
          <w:sz w:val="20"/>
          <w:szCs w:val="20"/>
          <w:color w:val="auto"/>
        </w:rPr>
      </w:pPr>
    </w:p>
    <w:p>
      <w:pPr>
        <w:ind w:right="40" w:firstLine="463"/>
        <w:spacing w:after="0" w:line="246" w:lineRule="auto"/>
        <w:rPr>
          <w:sz w:val="20"/>
          <w:szCs w:val="20"/>
          <w:color w:val="auto"/>
        </w:rPr>
      </w:pPr>
      <w:r>
        <w:rPr>
          <w:rFonts w:ascii="Arial" w:cs="Arial" w:eastAsia="Arial" w:hAnsi="Arial"/>
          <w:sz w:val="19"/>
          <w:szCs w:val="19"/>
          <w:color w:val="231F20"/>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ectPr>
          <w:pgSz w:w="12240" w:h="15840" w:orient="portrait"/>
          <w:cols w:equalWidth="0" w:num="1">
            <w:col w:w="10200"/>
          </w:cols>
          <w:pgMar w:left="1020" w:top="1440" w:right="1020" w:bottom="595"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47</w:t>
      </w:r>
    </w:p>
    <w:p>
      <w:pPr>
        <w:sectPr>
          <w:pgSz w:w="12240" w:h="15840" w:orient="portrait"/>
          <w:cols w:equalWidth="0" w:num="1">
            <w:col w:w="10200"/>
          </w:cols>
          <w:pgMar w:left="1020" w:top="1440" w:right="1020" w:bottom="595" w:gutter="0" w:footer="0" w:header="0"/>
          <w:type w:val="continuous"/>
        </w:sectPr>
      </w:pPr>
    </w:p>
    <w:bookmarkStart w:id="48" w:name="page49"/>
    <w:bookmarkEnd w:id="48"/>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Cyberattacks and security vulnerabilities can disrupt our business and harm our competitive position.</w:t>
      </w:r>
    </w:p>
    <w:p>
      <w:pPr>
        <w:spacing w:after="0" w:line="184" w:lineRule="exact"/>
        <w:rPr>
          <w:sz w:val="20"/>
          <w:szCs w:val="20"/>
          <w:color w:val="auto"/>
        </w:rPr>
      </w:pPr>
    </w:p>
    <w:p>
      <w:pPr>
        <w:ind w:firstLine="463"/>
        <w:spacing w:after="0" w:line="254" w:lineRule="auto"/>
        <w:rPr>
          <w:sz w:val="20"/>
          <w:szCs w:val="20"/>
          <w:color w:val="auto"/>
        </w:rPr>
      </w:pPr>
      <w:r>
        <w:rPr>
          <w:rFonts w:ascii="Arial" w:cs="Arial" w:eastAsia="Arial" w:hAnsi="Arial"/>
          <w:sz w:val="18"/>
          <w:szCs w:val="18"/>
          <w:color w:val="231F20"/>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Gaza and continued political uncertainty involving Russia and Ukraine, and Israel and Hamas, respectively, and potentially other regions of Europe and the Middle East, there is an increased likelihood that escalation of tensions could result in cyberattacks that could either directly or indirectly impact our operations. In addition, the development and implementation of AI technologies may further increase our exposure to or exacerbate the risks of cyberattacks or other security incidents, particularly where such technologies are exploited by third parties to breach our or other parties’ systems, including when such technologies are used to target our employees or impersonate members of senior management in order to gain unauthorized access to our systems. Because of this, we face additional cybersecurity challenges, including threats to our own IT infrastructure or those of our clients, our clients’ customers,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365" w:lineRule="exact"/>
        <w:rPr>
          <w:sz w:val="20"/>
          <w:szCs w:val="20"/>
          <w:color w:val="auto"/>
        </w:rPr>
      </w:pPr>
    </w:p>
    <w:p>
      <w:pPr>
        <w:ind w:right="140" w:firstLine="463"/>
        <w:spacing w:after="0" w:line="244" w:lineRule="auto"/>
        <w:rPr>
          <w:sz w:val="20"/>
          <w:szCs w:val="20"/>
          <w:color w:val="auto"/>
        </w:rPr>
      </w:pPr>
      <w:r>
        <w:rPr>
          <w:rFonts w:ascii="Arial" w:cs="Arial" w:eastAsia="Arial" w:hAnsi="Arial"/>
          <w:sz w:val="19"/>
          <w:szCs w:val="19"/>
          <w:color w:val="231F20"/>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spacing w:after="0" w:line="154" w:lineRule="exact"/>
        <w:rPr>
          <w:sz w:val="20"/>
          <w:szCs w:val="20"/>
          <w:color w:val="auto"/>
        </w:rPr>
      </w:pPr>
    </w:p>
    <w:p>
      <w:pPr>
        <w:ind w:right="500"/>
        <w:spacing w:after="0" w:line="261" w:lineRule="auto"/>
        <w:rPr>
          <w:sz w:val="20"/>
          <w:szCs w:val="20"/>
          <w:color w:val="auto"/>
        </w:rPr>
      </w:pPr>
      <w:r>
        <w:rPr>
          <w:rFonts w:ascii="Arial" w:cs="Arial" w:eastAsia="Arial" w:hAnsi="Arial"/>
          <w:sz w:val="19"/>
          <w:szCs w:val="19"/>
          <w:b w:val="1"/>
          <w:bCs w:val="1"/>
          <w:i w:val="1"/>
          <w:iCs w:val="1"/>
          <w:color w:val="231F20"/>
        </w:rPr>
        <w:t>Our risk management efforts may not be effective to prevent fraudulent activities by our clients, FlyMates or other third parties, which could expose us to material financial losses and liability and otherwise harm our business.</w:t>
      </w:r>
    </w:p>
    <w:p>
      <w:pPr>
        <w:spacing w:after="0" w:line="124" w:lineRule="exact"/>
        <w:rPr>
          <w:sz w:val="20"/>
          <w:szCs w:val="20"/>
          <w:color w:val="auto"/>
        </w:rPr>
      </w:pPr>
    </w:p>
    <w:p>
      <w:pPr>
        <w:ind w:right="180" w:firstLine="463"/>
        <w:spacing w:after="0" w:line="245" w:lineRule="auto"/>
        <w:rPr>
          <w:sz w:val="20"/>
          <w:szCs w:val="20"/>
          <w:color w:val="auto"/>
        </w:rPr>
      </w:pPr>
      <w:r>
        <w:rPr>
          <w:rFonts w:ascii="Arial" w:cs="Arial" w:eastAsia="Arial" w:hAnsi="Arial"/>
          <w:sz w:val="19"/>
          <w:szCs w:val="19"/>
          <w:color w:val="231F20"/>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spacing w:after="0" w:line="148" w:lineRule="exact"/>
        <w:rPr>
          <w:sz w:val="20"/>
          <w:szCs w:val="20"/>
          <w:color w:val="auto"/>
        </w:rPr>
      </w:pPr>
    </w:p>
    <w:p>
      <w:pPr>
        <w:ind w:firstLine="463"/>
        <w:spacing w:after="0" w:line="256" w:lineRule="auto"/>
        <w:rPr>
          <w:sz w:val="20"/>
          <w:szCs w:val="20"/>
          <w:color w:val="auto"/>
        </w:rPr>
      </w:pPr>
      <w:r>
        <w:rPr>
          <w:rFonts w:ascii="Arial" w:cs="Arial" w:eastAsia="Arial" w:hAnsi="Arial"/>
          <w:sz w:val="18"/>
          <w:szCs w:val="18"/>
          <w:color w:val="231F20"/>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w:t>
      </w:r>
    </w:p>
    <w:p>
      <w:pPr>
        <w:sectPr>
          <w:pgSz w:w="12240" w:h="15840" w:orient="portrait"/>
          <w:cols w:equalWidth="0" w:num="1">
            <w:col w:w="10180"/>
          </w:cols>
          <w:pgMar w:left="1020" w:top="1440" w:right="1040" w:bottom="595"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48</w:t>
      </w:r>
    </w:p>
    <w:p>
      <w:pPr>
        <w:sectPr>
          <w:pgSz w:w="12240" w:h="15840" w:orient="portrait"/>
          <w:cols w:equalWidth="0" w:num="1">
            <w:col w:w="10180"/>
          </w:cols>
          <w:pgMar w:left="1020" w:top="1440" w:right="1040" w:bottom="595" w:gutter="0" w:footer="0" w:header="0"/>
          <w:type w:val="continuous"/>
        </w:sectPr>
      </w:pPr>
    </w:p>
    <w:bookmarkStart w:id="49" w:name="page50"/>
    <w:bookmarkEnd w:id="49"/>
    <w:p>
      <w:pPr>
        <w:spacing w:after="0" w:line="97" w:lineRule="exact"/>
        <w:rPr>
          <w:sz w:val="20"/>
          <w:szCs w:val="20"/>
          <w:color w:val="auto"/>
        </w:rPr>
      </w:pPr>
    </w:p>
    <w:p>
      <w:pPr>
        <w:ind w:right="580"/>
        <w:spacing w:after="0" w:line="278" w:lineRule="auto"/>
        <w:rPr>
          <w:sz w:val="20"/>
          <w:szCs w:val="20"/>
          <w:color w:val="auto"/>
        </w:rPr>
      </w:pPr>
      <w:r>
        <w:rPr>
          <w:rFonts w:ascii="Arial" w:cs="Arial" w:eastAsia="Arial" w:hAnsi="Arial"/>
          <w:sz w:val="19"/>
          <w:szCs w:val="19"/>
          <w:color w:val="231F20"/>
        </w:rPr>
        <w:t>teams to investigate and remediate, or prompt us to reimburse our clients for such losses in order to maintain client business relationships.</w:t>
      </w:r>
    </w:p>
    <w:p>
      <w:pPr>
        <w:spacing w:after="0" w:line="117" w:lineRule="exact"/>
        <w:rPr>
          <w:sz w:val="20"/>
          <w:szCs w:val="20"/>
          <w:color w:val="auto"/>
        </w:rPr>
      </w:pPr>
    </w:p>
    <w:p>
      <w:pPr>
        <w:ind w:right="140" w:firstLine="463"/>
        <w:spacing w:after="0" w:line="243" w:lineRule="auto"/>
        <w:rPr>
          <w:sz w:val="20"/>
          <w:szCs w:val="20"/>
          <w:color w:val="auto"/>
        </w:rPr>
      </w:pPr>
      <w:r>
        <w:rPr>
          <w:rFonts w:ascii="Arial" w:cs="Arial" w:eastAsia="Arial" w:hAnsi="Arial"/>
          <w:sz w:val="19"/>
          <w:szCs w:val="19"/>
          <w:color w:val="231F20"/>
        </w:rPr>
        <w:t>Our current business, the changing and uncertain economic, geopolitical and regulatory environment, and our anticipated domestic and international growth will continue to place significant demands on our risk management and compliance efforts. As our business grows and becomes more complex, we will need to continue developing and improving and investing in our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57" w:lineRule="exact"/>
        <w:rPr>
          <w:sz w:val="20"/>
          <w:szCs w:val="20"/>
          <w:color w:val="auto"/>
        </w:rPr>
      </w:pPr>
    </w:p>
    <w:p>
      <w:pPr>
        <w:ind w:right="260"/>
        <w:spacing w:after="0" w:line="283" w:lineRule="auto"/>
        <w:rPr>
          <w:sz w:val="20"/>
          <w:szCs w:val="20"/>
          <w:color w:val="auto"/>
        </w:rPr>
      </w:pPr>
      <w:r>
        <w:rPr>
          <w:rFonts w:ascii="Arial" w:cs="Arial" w:eastAsia="Arial" w:hAnsi="Arial"/>
          <w:sz w:val="18"/>
          <w:szCs w:val="18"/>
          <w:b w:val="1"/>
          <w:bCs w:val="1"/>
          <w:i w:val="1"/>
          <w:iCs w:val="1"/>
          <w:color w:val="231F20"/>
        </w:rPr>
        <w:t>If we fail to adapt and respond effectively to rapidly and significantly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04" w:lineRule="exact"/>
        <w:rPr>
          <w:sz w:val="20"/>
          <w:szCs w:val="20"/>
          <w:color w:val="auto"/>
        </w:rPr>
      </w:pPr>
    </w:p>
    <w:p>
      <w:pPr>
        <w:ind w:right="80" w:firstLine="463"/>
        <w:spacing w:after="0" w:line="242" w:lineRule="auto"/>
        <w:rPr>
          <w:sz w:val="20"/>
          <w:szCs w:val="20"/>
          <w:color w:val="auto"/>
        </w:rPr>
      </w:pPr>
      <w:r>
        <w:rPr>
          <w:rFonts w:ascii="Arial" w:cs="Arial" w:eastAsia="Arial" w:hAnsi="Arial"/>
          <w:sz w:val="19"/>
          <w:szCs w:val="19"/>
          <w:color w:val="231F20"/>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Rapid and significant technological changes, evolving industry standards, changing regulations and business needs continue to confront the verticals in which we operate, including developments in digital banking, open banking, mobile financial apps, as well as developments in cryptocurrencies and in tokenization (e.g., replacing sensitive data such as payment card information) with symbols (tokens) to keep the data safe), blockchain, and artificial intelligence, including machine learning. The success of our business will depend, in part, on our ability to adapt and respond effectively to these changes through methods which include launching new solutions and incorporating new technologies, such as generative artificial intelligence, into our solutions.</w:t>
      </w:r>
    </w:p>
    <w:p>
      <w:pPr>
        <w:spacing w:after="0" w:line="155" w:lineRule="exact"/>
        <w:rPr>
          <w:sz w:val="20"/>
          <w:szCs w:val="20"/>
          <w:color w:val="auto"/>
        </w:rPr>
      </w:pPr>
    </w:p>
    <w:p>
      <w:pPr>
        <w:ind w:firstLine="463"/>
        <w:spacing w:after="0" w:line="242" w:lineRule="auto"/>
        <w:rPr>
          <w:sz w:val="20"/>
          <w:szCs w:val="20"/>
          <w:color w:val="auto"/>
        </w:rPr>
      </w:pPr>
      <w:r>
        <w:rPr>
          <w:rFonts w:ascii="Arial" w:cs="Arial" w:eastAsia="Arial" w:hAnsi="Arial"/>
          <w:sz w:val="19"/>
          <w:szCs w:val="19"/>
          <w:color w:val="231F20"/>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Spain, Romania, the United States, Israel and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156" w:lineRule="exact"/>
        <w:rPr>
          <w:sz w:val="20"/>
          <w:szCs w:val="20"/>
          <w:color w:val="auto"/>
        </w:rPr>
      </w:pPr>
    </w:p>
    <w:p>
      <w:pPr>
        <w:ind w:right="260"/>
        <w:spacing w:after="0" w:line="261" w:lineRule="auto"/>
        <w:rPr>
          <w:sz w:val="20"/>
          <w:szCs w:val="20"/>
          <w:color w:val="auto"/>
        </w:rPr>
      </w:pPr>
      <w:r>
        <w:rPr>
          <w:rFonts w:ascii="Arial" w:cs="Arial" w:eastAsia="Arial" w:hAnsi="Arial"/>
          <w:sz w:val="19"/>
          <w:szCs w:val="19"/>
          <w:b w:val="1"/>
          <w:bCs w:val="1"/>
          <w:i w:val="1"/>
          <w:iCs w:val="1"/>
          <w:color w:val="231F20"/>
        </w:rPr>
        <w:t>We use artificial intelligence in our solutions and services which may result in operational challenges, legal liability, reputational harm, competitive risks and regulatory concerns that could adversely affect our business and results of operations.</w:t>
      </w:r>
    </w:p>
    <w:p>
      <w:pPr>
        <w:spacing w:after="0" w:line="124" w:lineRule="exact"/>
        <w:rPr>
          <w:sz w:val="20"/>
          <w:szCs w:val="20"/>
          <w:color w:val="auto"/>
        </w:rPr>
      </w:pPr>
    </w:p>
    <w:p>
      <w:pPr>
        <w:ind w:right="20" w:firstLine="463"/>
        <w:spacing w:after="0" w:line="256" w:lineRule="auto"/>
        <w:rPr>
          <w:sz w:val="20"/>
          <w:szCs w:val="20"/>
          <w:color w:val="auto"/>
        </w:rPr>
      </w:pPr>
      <w:r>
        <w:rPr>
          <w:rFonts w:ascii="Arial" w:cs="Arial" w:eastAsia="Arial" w:hAnsi="Arial"/>
          <w:sz w:val="18"/>
          <w:szCs w:val="18"/>
          <w:color w:val="231F20"/>
        </w:rPr>
        <w:t>We incorporate AI, including generative AI, into our solutions and services.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 acceptance of their AI solutions, which could impair our ability to compete effectively and adversely affect our results of operations may also encounter new risks, challenges, and unintended consequences as a result of our use of AI. For example, the issue of intellectual property ownership and license rights surrounding AI technologies has not been fully addressed by U.S. courts or federal or state laws and regulations, and the incorporation of AI technologies into our solutions and services could expose us to intellectual property claims or mandatory compliance with open source software or other license terms. Our use of AI may also lead to novel cybersecurity or privacy risks which may adversely affect our operations and reputation. The European Union’s Artificial Intelligence Act, which would apply beyond the European Union's borders, came into force in August 2024, and various other governments have proposed or adopted policy and regulatory responses to oversee the use of AI. Compliance with regulations as well as social and ethical standards relating to AI may require significant research and development costs as well as</w:t>
      </w:r>
    </w:p>
    <w:p>
      <w:pPr>
        <w:sectPr>
          <w:pgSz w:w="12240" w:h="15840" w:orient="portrait"/>
          <w:cols w:equalWidth="0" w:num="1">
            <w:col w:w="10180"/>
          </w:cols>
          <w:pgMar w:left="1020" w:top="1440" w:right="1040" w:bottom="595"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49</w:t>
      </w:r>
    </w:p>
    <w:p>
      <w:pPr>
        <w:sectPr>
          <w:pgSz w:w="12240" w:h="15840" w:orient="portrait"/>
          <w:cols w:equalWidth="0" w:num="1">
            <w:col w:w="10180"/>
          </w:cols>
          <w:pgMar w:left="1020" w:top="1440" w:right="1040" w:bottom="595" w:gutter="0" w:footer="0" w:header="0"/>
          <w:type w:val="continuous"/>
        </w:sectPr>
      </w:pPr>
    </w:p>
    <w:bookmarkStart w:id="50" w:name="page51"/>
    <w:bookmarkEnd w:id="50"/>
    <w:p>
      <w:pPr>
        <w:spacing w:after="0" w:line="97" w:lineRule="exact"/>
        <w:rPr>
          <w:sz w:val="20"/>
          <w:szCs w:val="20"/>
          <w:color w:val="auto"/>
        </w:rPr>
      </w:pPr>
    </w:p>
    <w:p>
      <w:pPr>
        <w:ind w:right="160"/>
        <w:spacing w:after="0" w:line="251" w:lineRule="auto"/>
        <w:rPr>
          <w:sz w:val="20"/>
          <w:szCs w:val="20"/>
          <w:color w:val="auto"/>
        </w:rPr>
      </w:pPr>
      <w:r>
        <w:rPr>
          <w:rFonts w:ascii="Arial" w:cs="Arial" w:eastAsia="Arial" w:hAnsi="Arial"/>
          <w:sz w:val="19"/>
          <w:szCs w:val="19"/>
          <w:color w:val="231F20"/>
        </w:rPr>
        <w:t>management and employee attention. Any actual or perceived failure to comply with these laws, regulations or ethical standards could include severe penalties, reputational harm, and slow adoption of AI in our solutions and services. In addition, our business may be disrupted if any of the third-party AI services we use become unavailable due to extended outages or commercially unreasonable terms of service.</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Changes to payment card networks fees or rules could harm our business.</w:t>
      </w:r>
    </w:p>
    <w:p>
      <w:pPr>
        <w:spacing w:after="0" w:line="184" w:lineRule="exact"/>
        <w:rPr>
          <w:sz w:val="20"/>
          <w:szCs w:val="20"/>
          <w:color w:val="auto"/>
        </w:rPr>
      </w:pPr>
    </w:p>
    <w:p>
      <w:pPr>
        <w:ind w:firstLine="463"/>
        <w:spacing w:after="0"/>
        <w:rPr>
          <w:sz w:val="20"/>
          <w:szCs w:val="20"/>
          <w:color w:val="auto"/>
        </w:rPr>
      </w:pPr>
      <w:r>
        <w:rPr>
          <w:rFonts w:ascii="Arial" w:cs="Arial" w:eastAsia="Arial" w:hAnsi="Arial"/>
          <w:sz w:val="19"/>
          <w:szCs w:val="19"/>
          <w:color w:val="231F20"/>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(including demanding a cash reserve from Flywire)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67" w:lineRule="exact"/>
        <w:rPr>
          <w:sz w:val="20"/>
          <w:szCs w:val="20"/>
          <w:color w:val="auto"/>
        </w:rPr>
      </w:pPr>
    </w:p>
    <w:p>
      <w:pPr>
        <w:ind w:right="380"/>
        <w:spacing w:after="0" w:line="261" w:lineRule="auto"/>
        <w:rPr>
          <w:sz w:val="20"/>
          <w:szCs w:val="20"/>
          <w:color w:val="auto"/>
        </w:rPr>
      </w:pPr>
      <w:r>
        <w:rPr>
          <w:rFonts w:ascii="Arial" w:cs="Arial" w:eastAsia="Arial" w:hAnsi="Arial"/>
          <w:sz w:val="19"/>
          <w:szCs w:val="19"/>
          <w:b w:val="1"/>
          <w:bCs w:val="1"/>
          <w:i w:val="1"/>
          <w:iCs w:val="1"/>
          <w:color w:val="231F20"/>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24" w:lineRule="exact"/>
        <w:rPr>
          <w:sz w:val="20"/>
          <w:szCs w:val="20"/>
          <w:color w:val="auto"/>
        </w:rPr>
      </w:pPr>
    </w:p>
    <w:p>
      <w:pPr>
        <w:ind w:right="140" w:firstLine="463"/>
        <w:spacing w:after="0" w:line="248" w:lineRule="auto"/>
        <w:rPr>
          <w:sz w:val="20"/>
          <w:szCs w:val="20"/>
          <w:color w:val="auto"/>
        </w:rPr>
      </w:pPr>
      <w:r>
        <w:rPr>
          <w:rFonts w:ascii="Arial" w:cs="Arial" w:eastAsia="Arial" w:hAnsi="Arial"/>
          <w:sz w:val="19"/>
          <w:szCs w:val="19"/>
          <w:color w:val="231F20"/>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46" w:lineRule="exact"/>
        <w:rPr>
          <w:sz w:val="20"/>
          <w:szCs w:val="20"/>
          <w:color w:val="auto"/>
        </w:rPr>
      </w:pPr>
    </w:p>
    <w:p>
      <w:pPr>
        <w:jc w:val="both"/>
        <w:ind w:right="20" w:firstLine="463"/>
        <w:spacing w:after="0" w:line="258" w:lineRule="auto"/>
        <w:rPr>
          <w:sz w:val="20"/>
          <w:szCs w:val="20"/>
          <w:color w:val="auto"/>
        </w:rPr>
      </w:pPr>
      <w:r>
        <w:rPr>
          <w:rFonts w:ascii="Arial" w:cs="Arial" w:eastAsia="Arial" w:hAnsi="Arial"/>
          <w:sz w:val="19"/>
          <w:szCs w:val="19"/>
          <w:color w:val="231F20"/>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36" w:lineRule="exact"/>
        <w:rPr>
          <w:sz w:val="20"/>
          <w:szCs w:val="20"/>
          <w:color w:val="auto"/>
        </w:rPr>
      </w:pPr>
    </w:p>
    <w:p>
      <w:pPr>
        <w:ind w:right="140" w:firstLine="463"/>
        <w:spacing w:after="0" w:line="245" w:lineRule="auto"/>
        <w:rPr>
          <w:sz w:val="20"/>
          <w:szCs w:val="20"/>
          <w:color w:val="auto"/>
        </w:rPr>
      </w:pPr>
      <w:r>
        <w:rPr>
          <w:rFonts w:ascii="Arial" w:cs="Arial" w:eastAsia="Arial" w:hAnsi="Arial"/>
          <w:sz w:val="19"/>
          <w:szCs w:val="19"/>
          <w:color w:val="231F20"/>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48" w:lineRule="exact"/>
        <w:rPr>
          <w:sz w:val="20"/>
          <w:szCs w:val="20"/>
          <w:color w:val="auto"/>
        </w:rPr>
      </w:pPr>
    </w:p>
    <w:p>
      <w:pPr>
        <w:jc w:val="both"/>
        <w:ind w:right="60" w:firstLine="463"/>
        <w:spacing w:after="0" w:line="251" w:lineRule="auto"/>
        <w:rPr>
          <w:sz w:val="20"/>
          <w:szCs w:val="20"/>
          <w:color w:val="auto"/>
        </w:rPr>
      </w:pPr>
      <w:r>
        <w:rPr>
          <w:rFonts w:ascii="Arial" w:cs="Arial" w:eastAsia="Arial" w:hAnsi="Arial"/>
          <w:sz w:val="19"/>
          <w:szCs w:val="19"/>
          <w:color w:val="231F20"/>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48" w:lineRule="exact"/>
        <w:rPr>
          <w:sz w:val="20"/>
          <w:szCs w:val="20"/>
          <w:color w:val="auto"/>
        </w:rPr>
      </w:pPr>
    </w:p>
    <w:p>
      <w:pPr>
        <w:ind w:right="320"/>
        <w:spacing w:after="0" w:line="285" w:lineRule="auto"/>
        <w:rPr>
          <w:sz w:val="20"/>
          <w:szCs w:val="20"/>
          <w:color w:val="auto"/>
        </w:rPr>
      </w:pPr>
      <w:r>
        <w:rPr>
          <w:rFonts w:ascii="Arial" w:cs="Arial" w:eastAsia="Arial" w:hAnsi="Arial"/>
          <w:sz w:val="19"/>
          <w:szCs w:val="19"/>
          <w:b w:val="1"/>
          <w:bCs w:val="1"/>
          <w:i w:val="1"/>
          <w:iCs w:val="1"/>
          <w:color w:val="231F20"/>
        </w:rPr>
        <w:t>If we fail to maintain, protect and enhance our brand, our ability to expand our client base will be impaired and our business, operating results, and financial condition may suffer.</w:t>
      </w:r>
    </w:p>
    <w:p>
      <w:pPr>
        <w:spacing w:after="0" w:line="100" w:lineRule="exact"/>
        <w:rPr>
          <w:sz w:val="20"/>
          <w:szCs w:val="20"/>
          <w:color w:val="auto"/>
        </w:rPr>
      </w:pPr>
    </w:p>
    <w:p>
      <w:pPr>
        <w:ind w:right="120" w:firstLine="463"/>
        <w:spacing w:after="0" w:line="307" w:lineRule="auto"/>
        <w:rPr>
          <w:sz w:val="20"/>
          <w:szCs w:val="20"/>
          <w:color w:val="auto"/>
        </w:rPr>
      </w:pPr>
      <w:r>
        <w:rPr>
          <w:rFonts w:ascii="Arial" w:cs="Arial" w:eastAsia="Arial" w:hAnsi="Arial"/>
          <w:sz w:val="18"/>
          <w:szCs w:val="18"/>
          <w:color w:val="231F20"/>
        </w:rPr>
        <w:t>We believe that further developing, maintaining, protecting and enhancing our brand domestically and on a global basis is important to support the marketing and sale of our existing and future solutions to existing and new clients and to</w:t>
      </w:r>
    </w:p>
    <w:p>
      <w:pPr>
        <w:sectPr>
          <w:pgSz w:w="12240" w:h="15840" w:orient="portrait"/>
          <w:cols w:equalWidth="0" w:num="1">
            <w:col w:w="10200"/>
          </w:cols>
          <w:pgMar w:left="1020" w:top="1440" w:right="1020" w:bottom="595" w:gutter="0" w:footer="0" w:header="0"/>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50</w:t>
      </w:r>
    </w:p>
    <w:p>
      <w:pPr>
        <w:sectPr>
          <w:pgSz w:w="12240" w:h="15840" w:orient="portrait"/>
          <w:cols w:equalWidth="0" w:num="1">
            <w:col w:w="10200"/>
          </w:cols>
          <w:pgMar w:left="1020" w:top="1440" w:right="1020" w:bottom="595" w:gutter="0" w:footer="0" w:header="0"/>
          <w:type w:val="continuous"/>
        </w:sectPr>
      </w:pPr>
    </w:p>
    <w:bookmarkStart w:id="51" w:name="page52"/>
    <w:bookmarkEnd w:id="51"/>
    <w:p>
      <w:pPr>
        <w:spacing w:after="0" w:line="97" w:lineRule="exact"/>
        <w:rPr>
          <w:sz w:val="20"/>
          <w:szCs w:val="20"/>
          <w:color w:val="auto"/>
        </w:rPr>
      </w:pPr>
    </w:p>
    <w:p>
      <w:pPr>
        <w:spacing w:after="0" w:line="244" w:lineRule="auto"/>
        <w:rPr>
          <w:sz w:val="20"/>
          <w:szCs w:val="20"/>
          <w:color w:val="auto"/>
        </w:rPr>
      </w:pPr>
      <w:r>
        <w:rPr>
          <w:rFonts w:ascii="Arial" w:cs="Arial" w:eastAsia="Arial" w:hAnsi="Arial"/>
          <w:sz w:val="19"/>
          <w:szCs w:val="19"/>
          <w:color w:val="231F20"/>
        </w:rPr>
        <w:t>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our solutions from competitive solutions. Our brand promotion activities may not generate client awareness or yield increased revenue, and even if they do, any increased revenue may not offset the expenses we incur in maintaining and building our brand. If we fail to successfully promote and maintain our brand or if we incur excessive expenses in this effort, our business could suffer.</w:t>
      </w:r>
    </w:p>
    <w:p>
      <w:pPr>
        <w:spacing w:after="0" w:line="150" w:lineRule="exact"/>
        <w:rPr>
          <w:sz w:val="20"/>
          <w:szCs w:val="20"/>
          <w:color w:val="auto"/>
        </w:rPr>
      </w:pPr>
    </w:p>
    <w:p>
      <w:pPr>
        <w:ind w:right="40" w:firstLine="463"/>
        <w:spacing w:after="0" w:line="246" w:lineRule="auto"/>
        <w:rPr>
          <w:sz w:val="20"/>
          <w:szCs w:val="20"/>
          <w:color w:val="auto"/>
        </w:rPr>
      </w:pPr>
      <w:r>
        <w:rPr>
          <w:rFonts w:ascii="Arial" w:cs="Arial" w:eastAsia="Arial" w:hAnsi="Arial"/>
          <w:sz w:val="19"/>
          <w:szCs w:val="19"/>
          <w:color w:val="231F20"/>
        </w:rPr>
        <w:t>The introduction and promotion of new solutions, as well as the promotion of existing solutions, may be partly dependent on our visibility on third-party advertising platforms, such as Google, LinkedIn, Facebook, or X. Changes in the way these platforms operate or changes in their advertising prices, data use practices or other terms could make the maintenance and promotion of our products and services and our brands more expensive or more difficult. If we are unable to market and promote our brands on third-party platforms effectively, our ability to acquire new clients would be materially harmed.</w:t>
      </w:r>
    </w:p>
    <w:p>
      <w:pPr>
        <w:spacing w:after="0" w:line="148" w:lineRule="exact"/>
        <w:rPr>
          <w:sz w:val="20"/>
          <w:szCs w:val="20"/>
          <w:color w:val="auto"/>
        </w:rPr>
      </w:pPr>
    </w:p>
    <w:p>
      <w:pPr>
        <w:ind w:right="140" w:firstLine="463"/>
        <w:spacing w:after="0" w:line="241" w:lineRule="auto"/>
        <w:rPr>
          <w:sz w:val="20"/>
          <w:szCs w:val="20"/>
          <w:color w:val="auto"/>
        </w:rPr>
      </w:pPr>
      <w:r>
        <w:rPr>
          <w:rFonts w:ascii="Arial" w:cs="Arial" w:eastAsia="Arial" w:hAnsi="Arial"/>
          <w:sz w:val="19"/>
          <w:szCs w:val="19"/>
          <w:color w:val="231F20"/>
        </w:rPr>
        <w:t>Harm to our brand can arise from many sources, including failure by us or our partners and service providers to satisfy expectations of service and quality; inadequate protection or misuse of sensitive information; fraud committed by third parties using our solutions; compliance failures and claims; litigation, regulatory and other claims; errors caused by us or our partners; and misconduct by our partners, service providers, or other counterparties. In addition, negative statements about us can cause and have caused a decline in the market price of our common stock, divert our management’s attention and resources, and could cause other adverse impacts to our business. Partners with whom we maintain relationships could engage in behavior or use their platforms to communicate directly with our clients and their customers in a manner that reflects poorly on our brand and such behavior or communications may adversely affect us. Further, negative publicity or commentary regarding the partners who are, or are perceived to be, affiliated with us may also damage our reputation, even if the negative publicity or commentary is not directly related to us. Any negative publicity about the industries we operate in or our company, the quality and reliability of our solutions, our risk management processes, changes to our products and services, our ability to effectively manage and resolve customer complaints, our privacy, data protection, and information security practices, litigation, regulatory activity, policy positions, and the experience of our clients and their customers with us, our products or services could adversely affect our reputation and the confidence in and use of our solutions. If we do not successfully maintain, protect or enhance our brands, our business could be materially and adversely affected.</w:t>
      </w:r>
    </w:p>
    <w:p>
      <w:pPr>
        <w:spacing w:after="0" w:line="158" w:lineRule="exact"/>
        <w:rPr>
          <w:sz w:val="20"/>
          <w:szCs w:val="20"/>
          <w:color w:val="auto"/>
        </w:rPr>
      </w:pPr>
    </w:p>
    <w:p>
      <w:pPr>
        <w:ind w:right="280"/>
        <w:spacing w:after="0" w:line="285" w:lineRule="auto"/>
        <w:rPr>
          <w:sz w:val="20"/>
          <w:szCs w:val="20"/>
          <w:color w:val="auto"/>
        </w:rPr>
      </w:pPr>
      <w:r>
        <w:rPr>
          <w:rFonts w:ascii="Arial" w:cs="Arial" w:eastAsia="Arial" w:hAnsi="Arial"/>
          <w:sz w:val="19"/>
          <w:szCs w:val="19"/>
          <w:b w:val="1"/>
          <w:bCs w:val="1"/>
          <w:i w:val="1"/>
          <w:iCs w:val="1"/>
          <w:color w:val="231F20"/>
        </w:rPr>
        <w:t>If we lose key members of our management team or are unable to attract and retain executives and employees we need to support our operations and growth, our business may be harmed.</w:t>
      </w:r>
    </w:p>
    <w:p>
      <w:pPr>
        <w:spacing w:after="0" w:line="100"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Changes in our senior management may be disruptive to our business, and, if we are unable to manage an orderly transition, our business may be adversely affected. We currently have “key person” insurance on our Chief Executive Officer, Michael Massaro, but not for any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58" w:lineRule="exact"/>
        <w:rPr>
          <w:sz w:val="20"/>
          <w:szCs w:val="20"/>
          <w:color w:val="auto"/>
        </w:rPr>
      </w:pPr>
    </w:p>
    <w:p>
      <w:pPr>
        <w:ind w:right="480"/>
        <w:spacing w:after="0" w:line="285" w:lineRule="auto"/>
        <w:rPr>
          <w:sz w:val="20"/>
          <w:szCs w:val="20"/>
          <w:color w:val="auto"/>
        </w:rPr>
      </w:pPr>
      <w:r>
        <w:rPr>
          <w:rFonts w:ascii="Arial" w:cs="Arial" w:eastAsia="Arial" w:hAnsi="Arial"/>
          <w:sz w:val="19"/>
          <w:szCs w:val="19"/>
          <w:b w:val="1"/>
          <w:bCs w:val="1"/>
          <w:i w:val="1"/>
          <w:iCs w:val="1"/>
          <w:color w:val="231F20"/>
        </w:rPr>
        <w:t>The failure to attract and retain additional qualified personnel could prevent us from executing our business strategy and growth plans.</w:t>
      </w:r>
    </w:p>
    <w:p>
      <w:pPr>
        <w:spacing w:after="0" w:line="100" w:lineRule="exact"/>
        <w:rPr>
          <w:sz w:val="20"/>
          <w:szCs w:val="20"/>
          <w:color w:val="auto"/>
        </w:rPr>
      </w:pPr>
    </w:p>
    <w:p>
      <w:pPr>
        <w:jc w:val="both"/>
        <w:ind w:right="200" w:firstLine="463"/>
        <w:spacing w:after="0" w:line="279" w:lineRule="auto"/>
        <w:rPr>
          <w:sz w:val="20"/>
          <w:szCs w:val="20"/>
          <w:color w:val="auto"/>
        </w:rPr>
      </w:pPr>
      <w:r>
        <w:rPr>
          <w:rFonts w:ascii="Arial" w:cs="Arial" w:eastAsia="Arial" w:hAnsi="Arial"/>
          <w:sz w:val="18"/>
          <w:szCs w:val="18"/>
          <w:color w:val="231F20"/>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w:t>
      </w:r>
    </w:p>
    <w:p>
      <w:pPr>
        <w:sectPr>
          <w:pgSz w:w="12240" w:h="15840" w:orient="portrait"/>
          <w:cols w:equalWidth="0" w:num="1">
            <w:col w:w="10180"/>
          </w:cols>
          <w:pgMar w:left="1020" w:top="1440" w:right="1040" w:bottom="595"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51</w:t>
      </w:r>
    </w:p>
    <w:p>
      <w:pPr>
        <w:sectPr>
          <w:pgSz w:w="12240" w:h="15840" w:orient="portrait"/>
          <w:cols w:equalWidth="0" w:num="1">
            <w:col w:w="10180"/>
          </w:cols>
          <w:pgMar w:left="1020" w:top="1440" w:right="1040" w:bottom="595" w:gutter="0" w:footer="0" w:header="0"/>
          <w:type w:val="continuous"/>
        </w:sectPr>
      </w:pPr>
    </w:p>
    <w:bookmarkStart w:id="52" w:name="page53"/>
    <w:bookmarkEnd w:id="52"/>
    <w:p>
      <w:pPr>
        <w:spacing w:after="0" w:line="97" w:lineRule="exact"/>
        <w:rPr>
          <w:sz w:val="20"/>
          <w:szCs w:val="20"/>
          <w:color w:val="auto"/>
        </w:rPr>
      </w:pPr>
    </w:p>
    <w:p>
      <w:pPr>
        <w:ind w:right="220"/>
        <w:spacing w:after="0" w:line="245" w:lineRule="auto"/>
        <w:rPr>
          <w:sz w:val="20"/>
          <w:szCs w:val="20"/>
          <w:color w:val="auto"/>
        </w:rPr>
      </w:pPr>
      <w:r>
        <w:rPr>
          <w:rFonts w:ascii="Arial" w:cs="Arial" w:eastAsia="Arial" w:hAnsi="Arial"/>
          <w:sz w:val="19"/>
          <w:szCs w:val="19"/>
          <w:color w:val="231F20"/>
        </w:rPr>
        <w:t>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immigration policy and regulatory changes may also affect our ability to hire, mobilize, or retain some of our global talent. If we fail to identify, attract, develop and integrate new personnel, or fail to retain and motivate our current personnel, our growth prospects would be adversely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If we cannot maintain our company culture as we grow, our success and our business may be harmed.</w:t>
      </w:r>
    </w:p>
    <w:p>
      <w:pPr>
        <w:spacing w:after="0" w:line="184" w:lineRule="exact"/>
        <w:rPr>
          <w:sz w:val="20"/>
          <w:szCs w:val="20"/>
          <w:color w:val="auto"/>
        </w:rPr>
      </w:pPr>
    </w:p>
    <w:p>
      <w:pPr>
        <w:ind w:right="80" w:firstLine="463"/>
        <w:spacing w:after="0" w:line="246" w:lineRule="auto"/>
        <w:rPr>
          <w:sz w:val="20"/>
          <w:szCs w:val="20"/>
          <w:color w:val="auto"/>
        </w:rPr>
      </w:pPr>
      <w:r>
        <w:rPr>
          <w:rFonts w:ascii="Arial" w:cs="Arial" w:eastAsia="Arial" w:hAnsi="Arial"/>
          <w:sz w:val="19"/>
          <w:szCs w:val="19"/>
          <w:color w:val="231F20"/>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Our sales cycles may be long and vary.</w:t>
      </w:r>
    </w:p>
    <w:p>
      <w:pPr>
        <w:spacing w:after="0" w:line="184" w:lineRule="exact"/>
        <w:rPr>
          <w:sz w:val="20"/>
          <w:szCs w:val="20"/>
          <w:color w:val="auto"/>
        </w:rPr>
      </w:pPr>
    </w:p>
    <w:p>
      <w:pPr>
        <w:jc w:val="both"/>
        <w:ind w:right="300" w:firstLine="463"/>
        <w:spacing w:after="0" w:line="258" w:lineRule="auto"/>
        <w:rPr>
          <w:sz w:val="20"/>
          <w:szCs w:val="20"/>
          <w:color w:val="auto"/>
        </w:rPr>
      </w:pPr>
      <w:r>
        <w:rPr>
          <w:rFonts w:ascii="Arial" w:cs="Arial" w:eastAsia="Arial" w:hAnsi="Arial"/>
          <w:sz w:val="19"/>
          <w:szCs w:val="19"/>
          <w:color w:val="231F20"/>
        </w:rPr>
        <w:t>We devote significant resources to establish relationships with new clients and deepen relationships with existing clients. The sales cycles of our solutions tend to vary depending on the client industry sector which makes forecasting more complex and uncertain.</w:t>
      </w:r>
    </w:p>
    <w:p>
      <w:pPr>
        <w:spacing w:after="0" w:line="136" w:lineRule="exact"/>
        <w:rPr>
          <w:sz w:val="20"/>
          <w:szCs w:val="20"/>
          <w:color w:val="auto"/>
        </w:rPr>
      </w:pPr>
    </w:p>
    <w:p>
      <w:pPr>
        <w:ind w:firstLine="463"/>
        <w:spacing w:after="0" w:line="254" w:lineRule="auto"/>
        <w:rPr>
          <w:sz w:val="20"/>
          <w:szCs w:val="20"/>
          <w:color w:val="auto"/>
        </w:rPr>
      </w:pPr>
      <w:r>
        <w:rPr>
          <w:rFonts w:ascii="Arial" w:cs="Arial" w:eastAsia="Arial" w:hAnsi="Arial"/>
          <w:sz w:val="18"/>
          <w:szCs w:val="18"/>
          <w:color w:val="231F20"/>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heightened inflationary conditions, regulatory concerns, recession concerns, priorities of the U.S. presidential administration and related changes in laws, regulations or policies, and the escalation of hostilities between Russia and Ukraine, and Israel and Hamas),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371" w:lineRule="exact"/>
        <w:rPr>
          <w:sz w:val="20"/>
          <w:szCs w:val="20"/>
          <w:color w:val="auto"/>
        </w:rPr>
      </w:pPr>
    </w:p>
    <w:p>
      <w:pPr>
        <w:ind w:right="40" w:firstLine="463"/>
        <w:spacing w:after="0" w:line="246" w:lineRule="auto"/>
        <w:rPr>
          <w:sz w:val="20"/>
          <w:szCs w:val="20"/>
          <w:color w:val="auto"/>
        </w:rPr>
      </w:pPr>
      <w:r>
        <w:rPr>
          <w:rFonts w:ascii="Arial" w:cs="Arial" w:eastAsia="Arial" w:hAnsi="Arial"/>
          <w:sz w:val="19"/>
          <w:szCs w:val="19"/>
          <w:color w:val="231F20"/>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spacing w:after="0" w:line="152" w:lineRule="exact"/>
        <w:rPr>
          <w:sz w:val="20"/>
          <w:szCs w:val="20"/>
          <w:color w:val="auto"/>
        </w:rPr>
      </w:pPr>
    </w:p>
    <w:p>
      <w:pPr>
        <w:ind w:right="320"/>
        <w:spacing w:after="0" w:line="314" w:lineRule="auto"/>
        <w:rPr>
          <w:sz w:val="20"/>
          <w:szCs w:val="20"/>
          <w:color w:val="auto"/>
        </w:rPr>
      </w:pPr>
      <w:r>
        <w:rPr>
          <w:rFonts w:ascii="Arial" w:cs="Arial" w:eastAsia="Arial" w:hAnsi="Arial"/>
          <w:sz w:val="18"/>
          <w:szCs w:val="18"/>
          <w:b w:val="1"/>
          <w:bCs w:val="1"/>
          <w:i w:val="1"/>
          <w:iCs w:val="1"/>
          <w:color w:val="231F20"/>
        </w:rPr>
        <w:t>We typically incur significant upfront costs in our client relationships, and if we are unable to develop or grow these relationships over time, we are unlikely to recover these costs and our operating results may suffer.</w:t>
      </w:r>
    </w:p>
    <w:p>
      <w:pPr>
        <w:spacing w:after="0" w:line="78" w:lineRule="exact"/>
        <w:rPr>
          <w:sz w:val="20"/>
          <w:szCs w:val="20"/>
          <w:color w:val="auto"/>
        </w:rPr>
      </w:pPr>
    </w:p>
    <w:p>
      <w:pPr>
        <w:ind w:right="60" w:firstLine="463"/>
        <w:spacing w:after="0" w:line="262" w:lineRule="auto"/>
        <w:rPr>
          <w:sz w:val="20"/>
          <w:szCs w:val="20"/>
          <w:color w:val="auto"/>
        </w:rPr>
      </w:pPr>
      <w:r>
        <w:rPr>
          <w:rFonts w:ascii="Arial" w:cs="Arial" w:eastAsia="Arial" w:hAnsi="Arial"/>
          <w:sz w:val="18"/>
          <w:szCs w:val="18"/>
          <w:color w:val="231F20"/>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w:t>
      </w:r>
    </w:p>
    <w:p>
      <w:pPr>
        <w:sectPr>
          <w:pgSz w:w="12240" w:h="15840" w:orient="portrait"/>
          <w:cols w:equalWidth="0" w:num="1">
            <w:col w:w="10180"/>
          </w:cols>
          <w:pgMar w:left="1020" w:top="1440" w:right="1040" w:bottom="595" w:gutter="0" w:footer="0" w:header="0"/>
        </w:sectPr>
      </w:pP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52</w:t>
      </w:r>
    </w:p>
    <w:p>
      <w:pPr>
        <w:sectPr>
          <w:pgSz w:w="12240" w:h="15840" w:orient="portrait"/>
          <w:cols w:equalWidth="0" w:num="1">
            <w:col w:w="10180"/>
          </w:cols>
          <w:pgMar w:left="1020" w:top="1440" w:right="1040" w:bottom="595" w:gutter="0" w:footer="0" w:header="0"/>
          <w:type w:val="continuous"/>
        </w:sectPr>
      </w:pPr>
    </w:p>
    <w:bookmarkStart w:id="53" w:name="page54"/>
    <w:bookmarkEnd w:id="53"/>
    <w:p>
      <w:pPr>
        <w:spacing w:after="0" w:line="97" w:lineRule="exact"/>
        <w:rPr>
          <w:sz w:val="20"/>
          <w:szCs w:val="20"/>
          <w:color w:val="auto"/>
        </w:rPr>
      </w:pPr>
    </w:p>
    <w:p>
      <w:pPr>
        <w:spacing w:after="0" w:line="279" w:lineRule="auto"/>
        <w:rPr>
          <w:sz w:val="20"/>
          <w:szCs w:val="20"/>
          <w:color w:val="auto"/>
        </w:rPr>
      </w:pPr>
      <w:r>
        <w:rPr>
          <w:rFonts w:ascii="Arial" w:cs="Arial" w:eastAsia="Arial" w:hAnsi="Arial"/>
          <w:sz w:val="18"/>
          <w:szCs w:val="18"/>
          <w:color w:val="231F20"/>
        </w:rPr>
        <w:t>could outpace our build-up of recurring revenue, and we may be unable to reduce our total operating costs through economies of scale such that we are unable to achieve or maintain profitability. Any increased or unexpected costs or unanticipated delays, including delays caused by factors outside of our control, could cause our operating results to suffer.</w:t>
      </w:r>
    </w:p>
    <w:p>
      <w:pPr>
        <w:spacing w:after="0" w:line="123" w:lineRule="exact"/>
        <w:rPr>
          <w:sz w:val="20"/>
          <w:szCs w:val="20"/>
          <w:color w:val="auto"/>
        </w:rPr>
      </w:pPr>
    </w:p>
    <w:p>
      <w:pPr>
        <w:ind w:right="280"/>
        <w:spacing w:after="0" w:line="285" w:lineRule="auto"/>
        <w:rPr>
          <w:sz w:val="20"/>
          <w:szCs w:val="20"/>
          <w:color w:val="auto"/>
        </w:rPr>
      </w:pPr>
      <w:r>
        <w:rPr>
          <w:rFonts w:ascii="Arial" w:cs="Arial" w:eastAsia="Arial" w:hAnsi="Arial"/>
          <w:sz w:val="19"/>
          <w:szCs w:val="19"/>
          <w:b w:val="1"/>
          <w:bCs w:val="1"/>
          <w:i w:val="1"/>
          <w:iCs w:val="1"/>
          <w:color w:val="231F20"/>
        </w:rPr>
        <w:t>If we fail to offer high-quality client support, or if our support is more expensive than anticipated, our business and reputation could suffer.</w:t>
      </w:r>
    </w:p>
    <w:p>
      <w:pPr>
        <w:spacing w:after="0" w:line="100" w:lineRule="exact"/>
        <w:rPr>
          <w:sz w:val="20"/>
          <w:szCs w:val="20"/>
          <w:color w:val="auto"/>
        </w:rPr>
      </w:pPr>
    </w:p>
    <w:p>
      <w:pPr>
        <w:ind w:right="40" w:firstLine="463"/>
        <w:spacing w:after="0" w:line="242" w:lineRule="auto"/>
        <w:rPr>
          <w:sz w:val="20"/>
          <w:szCs w:val="20"/>
          <w:color w:val="auto"/>
        </w:rPr>
      </w:pPr>
      <w:r>
        <w:rPr>
          <w:rFonts w:ascii="Arial" w:cs="Arial" w:eastAsia="Arial" w:hAnsi="Arial"/>
          <w:sz w:val="19"/>
          <w:szCs w:val="19"/>
          <w:color w:val="231F20"/>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55" w:lineRule="exact"/>
        <w:rPr>
          <w:sz w:val="20"/>
          <w:szCs w:val="20"/>
          <w:color w:val="auto"/>
        </w:rPr>
      </w:pPr>
    </w:p>
    <w:p>
      <w:pPr>
        <w:ind w:right="20" w:firstLine="463"/>
        <w:spacing w:after="0" w:line="251" w:lineRule="auto"/>
        <w:rPr>
          <w:sz w:val="20"/>
          <w:szCs w:val="20"/>
          <w:color w:val="auto"/>
        </w:rPr>
      </w:pPr>
      <w:r>
        <w:rPr>
          <w:rFonts w:ascii="Arial" w:cs="Arial" w:eastAsia="Arial" w:hAnsi="Arial"/>
          <w:sz w:val="19"/>
          <w:szCs w:val="19"/>
          <w:color w:val="231F20"/>
        </w:rPr>
        <w:t>In addition, as we continue to operate and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48" w:lineRule="exact"/>
        <w:rPr>
          <w:sz w:val="20"/>
          <w:szCs w:val="20"/>
          <w:color w:val="auto"/>
        </w:rPr>
      </w:pPr>
    </w:p>
    <w:p>
      <w:pPr>
        <w:ind w:right="220"/>
        <w:spacing w:after="0" w:line="285" w:lineRule="auto"/>
        <w:rPr>
          <w:sz w:val="20"/>
          <w:szCs w:val="20"/>
          <w:color w:val="auto"/>
        </w:rPr>
      </w:pPr>
      <w:r>
        <w:rPr>
          <w:rFonts w:ascii="Arial" w:cs="Arial" w:eastAsia="Arial" w:hAnsi="Arial"/>
          <w:sz w:val="19"/>
          <w:szCs w:val="19"/>
          <w:b w:val="1"/>
          <w:bCs w:val="1"/>
          <w:i w:val="1"/>
          <w:iCs w:val="1"/>
          <w:color w:val="231F20"/>
        </w:rPr>
        <w:t>We may require additional capital to support the growth of our business, and this capital might not be available on acceptable terms, if at all.</w:t>
      </w:r>
    </w:p>
    <w:p>
      <w:pPr>
        <w:spacing w:after="0" w:line="100" w:lineRule="exact"/>
        <w:rPr>
          <w:sz w:val="20"/>
          <w:szCs w:val="20"/>
          <w:color w:val="auto"/>
        </w:rPr>
      </w:pPr>
    </w:p>
    <w:p>
      <w:pPr>
        <w:ind w:right="100" w:firstLine="463"/>
        <w:spacing w:after="0" w:line="241" w:lineRule="auto"/>
        <w:rPr>
          <w:sz w:val="20"/>
          <w:szCs w:val="20"/>
          <w:color w:val="auto"/>
        </w:rPr>
      </w:pPr>
      <w:r>
        <w:rPr>
          <w:rFonts w:ascii="Arial" w:cs="Arial" w:eastAsia="Arial" w:hAnsi="Arial"/>
          <w:sz w:val="19"/>
          <w:szCs w:val="19"/>
          <w:color w:val="231F20"/>
        </w:rPr>
        <w:t>We have funded our operations since inception primarily through equity and debt financings, sales of our solutions, and fees.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Our business could be harmed as a result of the risks associated with our acquisitions.</w:t>
      </w:r>
    </w:p>
    <w:p>
      <w:pPr>
        <w:spacing w:after="0" w:line="184" w:lineRule="exact"/>
        <w:rPr>
          <w:sz w:val="20"/>
          <w:szCs w:val="20"/>
          <w:color w:val="auto"/>
        </w:rPr>
      </w:pPr>
    </w:p>
    <w:p>
      <w:pPr>
        <w:ind w:right="60" w:firstLine="463"/>
        <w:spacing w:after="0" w:line="243" w:lineRule="auto"/>
        <w:rPr>
          <w:sz w:val="20"/>
          <w:szCs w:val="20"/>
          <w:color w:val="auto"/>
        </w:rPr>
      </w:pPr>
      <w:r>
        <w:rPr>
          <w:rFonts w:ascii="Arial" w:cs="Arial" w:eastAsia="Arial" w:hAnsi="Arial"/>
          <w:sz w:val="19"/>
          <w:szCs w:val="19"/>
          <w:color w:val="231F20"/>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49" w:lineRule="exact"/>
        <w:rPr>
          <w:sz w:val="20"/>
          <w:szCs w:val="20"/>
          <w:color w:val="auto"/>
        </w:rPr>
      </w:pPr>
    </w:p>
    <w:p>
      <w:pPr>
        <w:ind w:right="380" w:firstLine="463"/>
        <w:spacing w:after="0" w:line="258" w:lineRule="auto"/>
        <w:rPr>
          <w:sz w:val="20"/>
          <w:szCs w:val="20"/>
          <w:color w:val="auto"/>
        </w:rPr>
      </w:pPr>
      <w:r>
        <w:rPr>
          <w:rFonts w:ascii="Arial" w:cs="Arial" w:eastAsia="Arial" w:hAnsi="Arial"/>
          <w:sz w:val="19"/>
          <w:szCs w:val="19"/>
          <w:color w:val="231F20"/>
        </w:rPr>
        <w:t>Any acquisitions we undertake or have recently completed, including the acquisitions of Sertifi in February 2025, Invoiced in August 2024, StudyLink in November 2023 and Cohort Go in July 2022, will likely be accompanied by business risks which may include, among other things:</w:t>
      </w:r>
    </w:p>
    <w:p>
      <w:pPr>
        <w:spacing w:after="0" w:line="149" w:lineRule="exact"/>
        <w:rPr>
          <w:sz w:val="20"/>
          <w:szCs w:val="20"/>
          <w:color w:val="auto"/>
        </w:rPr>
      </w:pPr>
    </w:p>
    <w:p>
      <w:pPr>
        <w:ind w:left="800" w:hanging="229"/>
        <w:spacing w:after="0"/>
        <w:tabs>
          <w:tab w:leader="none" w:pos="800" w:val="left"/>
        </w:tabs>
        <w:numPr>
          <w:ilvl w:val="0"/>
          <w:numId w:val="34"/>
        </w:numPr>
        <w:rPr>
          <w:rFonts w:ascii="Arial" w:cs="Arial" w:eastAsia="Arial" w:hAnsi="Arial"/>
          <w:sz w:val="19"/>
          <w:szCs w:val="19"/>
          <w:color w:val="231F20"/>
        </w:rPr>
      </w:pPr>
      <w:r>
        <w:rPr>
          <w:rFonts w:ascii="Arial" w:cs="Arial" w:eastAsia="Arial" w:hAnsi="Arial"/>
          <w:sz w:val="19"/>
          <w:szCs w:val="19"/>
          <w:color w:val="231F20"/>
        </w:rPr>
        <w:t>the effect of the acquisition on our financial results, strategic position or reputation;</w:t>
      </w:r>
    </w:p>
    <w:p>
      <w:pPr>
        <w:sectPr>
          <w:pgSz w:w="12240" w:h="15840" w:orient="portrait"/>
          <w:cols w:equalWidth="0" w:num="1">
            <w:col w:w="10200"/>
          </w:cols>
          <w:pgMar w:left="1020" w:top="1440" w:right="1020" w:bottom="595"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53</w:t>
      </w:r>
    </w:p>
    <w:p>
      <w:pPr>
        <w:sectPr>
          <w:pgSz w:w="12240" w:h="15840" w:orient="portrait"/>
          <w:cols w:equalWidth="0" w:num="1">
            <w:col w:w="10200"/>
          </w:cols>
          <w:pgMar w:left="1020" w:top="1440" w:right="1020" w:bottom="595" w:gutter="0" w:footer="0" w:header="0"/>
          <w:type w:val="continuous"/>
        </w:sectPr>
      </w:pPr>
    </w:p>
    <w:bookmarkStart w:id="54" w:name="page55"/>
    <w:bookmarkEnd w:id="54"/>
    <w:p>
      <w:pPr>
        <w:spacing w:after="0" w:line="109" w:lineRule="exact"/>
        <w:rPr>
          <w:sz w:val="20"/>
          <w:szCs w:val="20"/>
          <w:color w:val="auto"/>
        </w:rPr>
      </w:pPr>
    </w:p>
    <w:p>
      <w:pPr>
        <w:ind w:left="800" w:right="340" w:hanging="229"/>
        <w:spacing w:after="0" w:line="307" w:lineRule="auto"/>
        <w:tabs>
          <w:tab w:leader="none" w:pos="80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the failure of an acquisition to result in expected benefits, which may include benefits relating to enhanced revenues, technology, human resources, costs savings, operating efficiencies, goodwill and other synergies;</w:t>
      </w:r>
    </w:p>
    <w:p>
      <w:pPr>
        <w:spacing w:after="0" w:line="106" w:lineRule="exact"/>
        <w:rPr>
          <w:rFonts w:ascii="Arial" w:cs="Arial" w:eastAsia="Arial" w:hAnsi="Arial"/>
          <w:sz w:val="18"/>
          <w:szCs w:val="18"/>
          <w:color w:val="231F20"/>
        </w:rPr>
      </w:pPr>
    </w:p>
    <w:p>
      <w:pPr>
        <w:ind w:left="800" w:right="380" w:hanging="229"/>
        <w:spacing w:after="0" w:line="258" w:lineRule="auto"/>
        <w:tabs>
          <w:tab w:leader="none" w:pos="800" w:val="left"/>
        </w:tabs>
        <w:numPr>
          <w:ilvl w:val="0"/>
          <w:numId w:val="35"/>
        </w:numPr>
        <w:rPr>
          <w:rFonts w:ascii="Arial" w:cs="Arial" w:eastAsia="Arial" w:hAnsi="Arial"/>
          <w:sz w:val="19"/>
          <w:szCs w:val="19"/>
          <w:color w:val="231F20"/>
        </w:rPr>
      </w:pPr>
      <w:r>
        <w:rPr>
          <w:rFonts w:ascii="Arial" w:cs="Arial" w:eastAsia="Arial" w:hAnsi="Arial"/>
          <w:sz w:val="19"/>
          <w:szCs w:val="19"/>
          <w:color w:val="231F20"/>
        </w:rPr>
        <w:t>the difficulty, cost and management effort required to integrate the acquired businesses, including costs and delays in implementing common systems and procedures and costs and delays caused by communication difficulties;</w:t>
      </w:r>
    </w:p>
    <w:p>
      <w:pPr>
        <w:spacing w:after="0" w:line="148" w:lineRule="exact"/>
        <w:rPr>
          <w:rFonts w:ascii="Arial" w:cs="Arial" w:eastAsia="Arial" w:hAnsi="Arial"/>
          <w:sz w:val="19"/>
          <w:szCs w:val="19"/>
          <w:color w:val="231F20"/>
        </w:rPr>
      </w:pPr>
    </w:p>
    <w:p>
      <w:pPr>
        <w:ind w:left="800" w:right="540" w:hanging="229"/>
        <w:spacing w:after="0" w:line="278" w:lineRule="auto"/>
        <w:tabs>
          <w:tab w:leader="none" w:pos="800" w:val="left"/>
        </w:tabs>
        <w:numPr>
          <w:ilvl w:val="0"/>
          <w:numId w:val="35"/>
        </w:numPr>
        <w:rPr>
          <w:rFonts w:ascii="Arial" w:cs="Arial" w:eastAsia="Arial" w:hAnsi="Arial"/>
          <w:sz w:val="19"/>
          <w:szCs w:val="19"/>
          <w:color w:val="231F20"/>
        </w:rPr>
      </w:pPr>
      <w:r>
        <w:rPr>
          <w:rFonts w:ascii="Arial" w:cs="Arial" w:eastAsia="Arial" w:hAnsi="Arial"/>
          <w:sz w:val="19"/>
          <w:szCs w:val="19"/>
          <w:color w:val="231F20"/>
        </w:rPr>
        <w:t>the assumption of certain known or unknown liabilities of the acquired business, including litigation-related liabilities;</w:t>
      </w:r>
    </w:p>
    <w:p>
      <w:pPr>
        <w:spacing w:after="0" w:line="129" w:lineRule="exact"/>
        <w:rPr>
          <w:rFonts w:ascii="Arial" w:cs="Arial" w:eastAsia="Arial" w:hAnsi="Arial"/>
          <w:sz w:val="19"/>
          <w:szCs w:val="19"/>
          <w:color w:val="231F20"/>
        </w:rPr>
      </w:pPr>
    </w:p>
    <w:p>
      <w:pPr>
        <w:ind w:left="800" w:right="180" w:hanging="229"/>
        <w:spacing w:after="0" w:line="307" w:lineRule="auto"/>
        <w:tabs>
          <w:tab w:leader="none" w:pos="80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the reduction of our cash available for operations and other uses, the increase in amortization expense related to identifiable assets acquired, potentially dilutive issuances of equity securities or the incurrence of debt;</w:t>
      </w:r>
    </w:p>
    <w:p>
      <w:pPr>
        <w:spacing w:after="0" w:line="106" w:lineRule="exact"/>
        <w:rPr>
          <w:rFonts w:ascii="Arial" w:cs="Arial" w:eastAsia="Arial" w:hAnsi="Arial"/>
          <w:sz w:val="18"/>
          <w:szCs w:val="18"/>
          <w:color w:val="231F20"/>
        </w:rPr>
      </w:pPr>
    </w:p>
    <w:p>
      <w:pPr>
        <w:ind w:left="800" w:right="320" w:hanging="229"/>
        <w:spacing w:after="0" w:line="278" w:lineRule="auto"/>
        <w:tabs>
          <w:tab w:leader="none" w:pos="800" w:val="left"/>
        </w:tabs>
        <w:numPr>
          <w:ilvl w:val="0"/>
          <w:numId w:val="35"/>
        </w:numPr>
        <w:rPr>
          <w:rFonts w:ascii="Arial" w:cs="Arial" w:eastAsia="Arial" w:hAnsi="Arial"/>
          <w:sz w:val="19"/>
          <w:szCs w:val="19"/>
          <w:color w:val="231F20"/>
        </w:rPr>
      </w:pPr>
      <w:r>
        <w:rPr>
          <w:rFonts w:ascii="Arial" w:cs="Arial" w:eastAsia="Arial" w:hAnsi="Arial"/>
          <w:sz w:val="19"/>
          <w:szCs w:val="19"/>
          <w:color w:val="231F20"/>
        </w:rPr>
        <w:t>a lack of experience in new markets, new geographies, new business culture, products or technologies or an initial dependence on unfamiliar distribution partners;</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35"/>
        </w:numPr>
        <w:rPr>
          <w:rFonts w:ascii="Arial" w:cs="Arial" w:eastAsia="Arial" w:hAnsi="Arial"/>
          <w:sz w:val="19"/>
          <w:szCs w:val="19"/>
          <w:color w:val="231F20"/>
        </w:rPr>
      </w:pPr>
      <w:r>
        <w:rPr>
          <w:rFonts w:ascii="Arial" w:cs="Arial" w:eastAsia="Arial" w:hAnsi="Arial"/>
          <w:sz w:val="19"/>
          <w:szCs w:val="19"/>
          <w:color w:val="231F20"/>
        </w:rPr>
        <w:t>the possibility that we will pay more than the value we derive from the acquisition;</w:t>
      </w:r>
    </w:p>
    <w:p>
      <w:pPr>
        <w:spacing w:after="0" w:line="200" w:lineRule="exact"/>
        <w:rPr>
          <w:rFonts w:ascii="Arial" w:cs="Arial" w:eastAsia="Arial" w:hAnsi="Arial"/>
          <w:sz w:val="19"/>
          <w:szCs w:val="19"/>
          <w:color w:val="231F20"/>
        </w:rPr>
      </w:pPr>
    </w:p>
    <w:p>
      <w:pPr>
        <w:ind w:left="800" w:right="40" w:hanging="229"/>
        <w:spacing w:after="0" w:line="278" w:lineRule="auto"/>
        <w:tabs>
          <w:tab w:leader="none" w:pos="800" w:val="left"/>
        </w:tabs>
        <w:numPr>
          <w:ilvl w:val="0"/>
          <w:numId w:val="35"/>
        </w:numPr>
        <w:rPr>
          <w:rFonts w:ascii="Arial" w:cs="Arial" w:eastAsia="Arial" w:hAnsi="Arial"/>
          <w:sz w:val="19"/>
          <w:szCs w:val="19"/>
          <w:color w:val="231F20"/>
        </w:rPr>
      </w:pPr>
      <w:r>
        <w:rPr>
          <w:rFonts w:ascii="Arial" w:cs="Arial" w:eastAsia="Arial" w:hAnsi="Arial"/>
          <w:sz w:val="19"/>
          <w:szCs w:val="19"/>
          <w:color w:val="231F20"/>
        </w:rPr>
        <w:t>the impairment of relationships with our clients, clients' customers, partners or suppliers or those of the acquired business; and</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35"/>
        </w:numPr>
        <w:rPr>
          <w:rFonts w:ascii="Arial" w:cs="Arial" w:eastAsia="Arial" w:hAnsi="Arial"/>
          <w:sz w:val="19"/>
          <w:szCs w:val="19"/>
          <w:color w:val="231F20"/>
        </w:rPr>
      </w:pPr>
      <w:r>
        <w:rPr>
          <w:rFonts w:ascii="Arial" w:cs="Arial" w:eastAsia="Arial" w:hAnsi="Arial"/>
          <w:sz w:val="19"/>
          <w:szCs w:val="19"/>
          <w:color w:val="231F20"/>
        </w:rPr>
        <w:t>the potential loss of key employees of the acquired business.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These factors could harm our business, results of operations or financial condition.</w:t>
      </w:r>
    </w:p>
    <w:p>
      <w:pPr>
        <w:spacing w:after="0" w:line="188" w:lineRule="exact"/>
        <w:rPr>
          <w:sz w:val="20"/>
          <w:szCs w:val="20"/>
          <w:color w:val="auto"/>
        </w:rPr>
      </w:pPr>
    </w:p>
    <w:p>
      <w:pPr>
        <w:ind w:right="20" w:firstLine="463"/>
        <w:spacing w:after="0" w:line="258" w:lineRule="auto"/>
        <w:rPr>
          <w:sz w:val="20"/>
          <w:szCs w:val="20"/>
          <w:color w:val="auto"/>
        </w:rPr>
      </w:pPr>
      <w:r>
        <w:rPr>
          <w:rFonts w:ascii="Arial" w:cs="Arial" w:eastAsia="Arial" w:hAnsi="Arial"/>
          <w:sz w:val="19"/>
          <w:szCs w:val="19"/>
          <w:color w:val="231F20"/>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40" w:lineRule="exact"/>
        <w:rPr>
          <w:sz w:val="20"/>
          <w:szCs w:val="20"/>
          <w:color w:val="auto"/>
        </w:rPr>
      </w:pPr>
    </w:p>
    <w:p>
      <w:pPr>
        <w:ind w:right="140"/>
        <w:spacing w:after="0" w:line="285" w:lineRule="auto"/>
        <w:rPr>
          <w:sz w:val="20"/>
          <w:szCs w:val="20"/>
          <w:color w:val="auto"/>
        </w:rPr>
      </w:pPr>
      <w:r>
        <w:rPr>
          <w:rFonts w:ascii="Arial" w:cs="Arial" w:eastAsia="Arial" w:hAnsi="Arial"/>
          <w:sz w:val="19"/>
          <w:szCs w:val="19"/>
          <w:b w:val="1"/>
          <w:bCs w:val="1"/>
          <w:i w:val="1"/>
          <w:iCs w:val="1"/>
          <w:color w:val="231F20"/>
        </w:rPr>
        <w:t>Systems failures and resulting interruptions in the availability of our solutions and core payment platform could harm our business.</w:t>
      </w:r>
    </w:p>
    <w:p>
      <w:pPr>
        <w:spacing w:after="0" w:line="100" w:lineRule="exact"/>
        <w:rPr>
          <w:sz w:val="20"/>
          <w:szCs w:val="20"/>
          <w:color w:val="auto"/>
        </w:rPr>
      </w:pPr>
    </w:p>
    <w:p>
      <w:pPr>
        <w:ind w:firstLine="463"/>
        <w:spacing w:after="0" w:line="242" w:lineRule="auto"/>
        <w:rPr>
          <w:sz w:val="20"/>
          <w:szCs w:val="20"/>
          <w:color w:val="auto"/>
        </w:rPr>
      </w:pPr>
      <w:r>
        <w:rPr>
          <w:rFonts w:ascii="Arial" w:cs="Arial" w:eastAsia="Arial" w:hAnsi="Arial"/>
          <w:sz w:val="19"/>
          <w:szCs w:val="19"/>
          <w:color w:val="231F20"/>
        </w:rPr>
        <w:t>Our systems and payment platform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an escalation of the conflicts between Russia and Ukraine, and Israel and Hamas,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are costly and time-consuming to implement, and may divert our resources from other business priorities.</w:t>
      </w:r>
    </w:p>
    <w:p>
      <w:pPr>
        <w:spacing w:after="0" w:line="155" w:lineRule="exact"/>
        <w:rPr>
          <w:sz w:val="20"/>
          <w:szCs w:val="20"/>
          <w:color w:val="auto"/>
        </w:rPr>
      </w:pPr>
    </w:p>
    <w:p>
      <w:pPr>
        <w:ind w:right="100" w:firstLine="463"/>
        <w:spacing w:after="0" w:line="261" w:lineRule="auto"/>
        <w:rPr>
          <w:sz w:val="20"/>
          <w:szCs w:val="20"/>
          <w:color w:val="auto"/>
        </w:rPr>
      </w:pPr>
      <w:r>
        <w:rPr>
          <w:rFonts w:ascii="Arial" w:cs="Arial" w:eastAsia="Arial" w:hAnsi="Arial"/>
          <w:sz w:val="18"/>
          <w:szCs w:val="18"/>
          <w:color w:val="231F20"/>
        </w:rPr>
        <w:t>A prolonged interruption in the availability, speed, or functionality of our solutions, payment platform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or platform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34" w:lineRule="exact"/>
        <w:rPr>
          <w:sz w:val="20"/>
          <w:szCs w:val="20"/>
          <w:color w:val="auto"/>
        </w:rPr>
      </w:pPr>
    </w:p>
    <w:p>
      <w:pPr>
        <w:ind w:right="140" w:firstLine="463"/>
        <w:spacing w:after="0" w:line="245" w:lineRule="auto"/>
        <w:rPr>
          <w:sz w:val="20"/>
          <w:szCs w:val="20"/>
          <w:color w:val="auto"/>
        </w:rPr>
      </w:pPr>
      <w:r>
        <w:rPr>
          <w:rFonts w:ascii="Arial" w:cs="Arial" w:eastAsia="Arial" w:hAnsi="Arial"/>
          <w:sz w:val="19"/>
          <w:szCs w:val="19"/>
          <w:color w:val="231F20"/>
        </w:rPr>
        <w:t>We have undertaken and continue to make certain technology and network upgrades and redundancies which are designed to improve the reliability of our solutions and payment platform.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ectPr>
          <w:pgSz w:w="12240" w:h="15840" w:orient="portrait"/>
          <w:cols w:equalWidth="0" w:num="1">
            <w:col w:w="10180"/>
          </w:cols>
          <w:pgMar w:left="1020" w:top="1440" w:right="1040" w:bottom="595"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54</w:t>
      </w:r>
    </w:p>
    <w:p>
      <w:pPr>
        <w:sectPr>
          <w:pgSz w:w="12240" w:h="15840" w:orient="portrait"/>
          <w:cols w:equalWidth="0" w:num="1">
            <w:col w:w="10180"/>
          </w:cols>
          <w:pgMar w:left="1020" w:top="1440" w:right="1040" w:bottom="595" w:gutter="0" w:footer="0" w:header="0"/>
          <w:type w:val="continuous"/>
        </w:sectPr>
      </w:pPr>
    </w:p>
    <w:bookmarkStart w:id="55" w:name="page56"/>
    <w:bookmarkEnd w:id="55"/>
    <w:p>
      <w:pPr>
        <w:spacing w:after="0" w:line="97" w:lineRule="exact"/>
        <w:rPr>
          <w:sz w:val="20"/>
          <w:szCs w:val="20"/>
          <w:color w:val="auto"/>
        </w:rPr>
      </w:pPr>
    </w:p>
    <w:p>
      <w:pPr>
        <w:ind w:right="20" w:firstLine="463"/>
        <w:spacing w:after="0"/>
        <w:rPr>
          <w:sz w:val="20"/>
          <w:szCs w:val="20"/>
          <w:color w:val="auto"/>
        </w:rPr>
      </w:pPr>
      <w:r>
        <w:rPr>
          <w:rFonts w:ascii="Arial" w:cs="Arial" w:eastAsia="Arial" w:hAnsi="Arial"/>
          <w:sz w:val="19"/>
          <w:szCs w:val="19"/>
          <w:color w:val="231F20"/>
        </w:rPr>
        <w:t>We use public cloud hosting with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Additionally, in July 2024, a software update by CrowdStrike Holdings, Inc., a cybersecurity technology company, caused widespread crashes of Windows systems into which it was integrated, including certain Windows systems used by our vendors and customers. As of the date of this Annual Report on Form 10-K, we have not experienced any significant impacts as a result of the CrowdStrike software update, but we could in the future experience similar software-induced interruptions to our operations.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In addition, we may experience financial losses due to a number of factors, including:</w:t>
      </w:r>
    </w:p>
    <w:p>
      <w:pPr>
        <w:spacing w:after="0" w:line="125" w:lineRule="exact"/>
        <w:rPr>
          <w:sz w:val="20"/>
          <w:szCs w:val="20"/>
          <w:color w:val="auto"/>
        </w:rPr>
      </w:pPr>
    </w:p>
    <w:p>
      <w:pPr>
        <w:ind w:left="920" w:hanging="458"/>
        <w:spacing w:after="0"/>
        <w:tabs>
          <w:tab w:leader="none" w:pos="920" w:val="left"/>
        </w:tabs>
        <w:numPr>
          <w:ilvl w:val="0"/>
          <w:numId w:val="36"/>
        </w:numPr>
        <w:rPr>
          <w:rFonts w:ascii="Arial" w:cs="Arial" w:eastAsia="Arial" w:hAnsi="Arial"/>
          <w:sz w:val="19"/>
          <w:szCs w:val="19"/>
          <w:color w:val="231F20"/>
        </w:rPr>
      </w:pPr>
      <w:r>
        <w:rPr>
          <w:rFonts w:ascii="Arial" w:cs="Arial" w:eastAsia="Arial" w:hAnsi="Arial"/>
          <w:sz w:val="19"/>
          <w:szCs w:val="19"/>
          <w:color w:val="231F20"/>
        </w:rPr>
        <w:t>third party disruptions, including potential outages at network providers and other suppliers;</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36"/>
        </w:numPr>
        <w:rPr>
          <w:rFonts w:ascii="Arial" w:cs="Arial" w:eastAsia="Arial" w:hAnsi="Arial"/>
          <w:sz w:val="19"/>
          <w:szCs w:val="19"/>
          <w:color w:val="231F20"/>
        </w:rPr>
      </w:pPr>
      <w:r>
        <w:rPr>
          <w:rFonts w:ascii="Arial" w:cs="Arial" w:eastAsia="Arial" w:hAnsi="Arial"/>
          <w:sz w:val="19"/>
          <w:szCs w:val="19"/>
          <w:color w:val="231F20"/>
        </w:rPr>
        <w:t>supply chain impacts, including shortages of goods, raw materials, increased prices or delays in shipment;</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36"/>
        </w:numPr>
        <w:rPr>
          <w:rFonts w:ascii="Arial" w:cs="Arial" w:eastAsia="Arial" w:hAnsi="Arial"/>
          <w:sz w:val="19"/>
          <w:szCs w:val="19"/>
          <w:color w:val="231F20"/>
        </w:rPr>
      </w:pPr>
      <w:r>
        <w:rPr>
          <w:rFonts w:ascii="Arial" w:cs="Arial" w:eastAsia="Arial" w:hAnsi="Arial"/>
          <w:sz w:val="19"/>
          <w:szCs w:val="19"/>
          <w:color w:val="231F20"/>
        </w:rPr>
        <w:t>challenges to the availability and reliability of our network due to changes to normal operations;</w:t>
      </w:r>
    </w:p>
    <w:p>
      <w:pPr>
        <w:spacing w:after="0" w:line="124" w:lineRule="exact"/>
        <w:rPr>
          <w:rFonts w:ascii="Arial" w:cs="Arial" w:eastAsia="Arial" w:hAnsi="Arial"/>
          <w:sz w:val="19"/>
          <w:szCs w:val="19"/>
          <w:color w:val="231F20"/>
        </w:rPr>
      </w:pPr>
    </w:p>
    <w:p>
      <w:pPr>
        <w:ind w:left="920" w:right="120" w:hanging="458"/>
        <w:spacing w:after="0" w:line="258" w:lineRule="auto"/>
        <w:tabs>
          <w:tab w:leader="none" w:pos="920" w:val="left"/>
        </w:tabs>
        <w:numPr>
          <w:ilvl w:val="0"/>
          <w:numId w:val="36"/>
        </w:numPr>
        <w:rPr>
          <w:rFonts w:ascii="Arial" w:cs="Arial" w:eastAsia="Arial" w:hAnsi="Arial"/>
          <w:sz w:val="19"/>
          <w:szCs w:val="19"/>
          <w:color w:val="231F20"/>
        </w:rPr>
      </w:pPr>
      <w:r>
        <w:rPr>
          <w:rFonts w:ascii="Arial" w:cs="Arial" w:eastAsia="Arial" w:hAnsi="Arial"/>
          <w:sz w:val="19"/>
          <w:szCs w:val="19"/>
          <w:color w:val="231F20"/>
        </w:rPr>
        <w:t>increased cyber and payment fraud risk, as cybercriminals attempt DDoS related attacks, phishing scams and other disruptive actions, given the shift to online banking, e-commerce and other online activity, as well as more FlyMates working remotely; and</w:t>
      </w:r>
    </w:p>
    <w:p>
      <w:pPr>
        <w:spacing w:after="0" w:line="73" w:lineRule="exact"/>
        <w:rPr>
          <w:rFonts w:ascii="Arial" w:cs="Arial" w:eastAsia="Arial" w:hAnsi="Arial"/>
          <w:sz w:val="19"/>
          <w:szCs w:val="19"/>
          <w:color w:val="231F20"/>
        </w:rPr>
      </w:pPr>
    </w:p>
    <w:p>
      <w:pPr>
        <w:ind w:left="920" w:right="80" w:hanging="458"/>
        <w:spacing w:after="0" w:line="251" w:lineRule="auto"/>
        <w:tabs>
          <w:tab w:leader="none" w:pos="920" w:val="left"/>
        </w:tabs>
        <w:numPr>
          <w:ilvl w:val="0"/>
          <w:numId w:val="36"/>
        </w:numPr>
        <w:rPr>
          <w:rFonts w:ascii="Arial" w:cs="Arial" w:eastAsia="Arial" w:hAnsi="Arial"/>
          <w:sz w:val="19"/>
          <w:szCs w:val="19"/>
          <w:color w:val="231F20"/>
        </w:rPr>
      </w:pPr>
      <w:r>
        <w:rPr>
          <w:rFonts w:ascii="Arial" w:cs="Arial" w:eastAsia="Arial" w:hAnsi="Arial"/>
          <w:sz w:val="19"/>
          <w:szCs w:val="19"/>
          <w:color w:val="231F20"/>
        </w:rPr>
        <w:t>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w:t>
      </w:r>
    </w:p>
    <w:p>
      <w:pPr>
        <w:spacing w:after="0" w:line="144" w:lineRule="exact"/>
        <w:rPr>
          <w:sz w:val="20"/>
          <w:szCs w:val="20"/>
          <w:color w:val="auto"/>
        </w:rPr>
      </w:pPr>
    </w:p>
    <w:p>
      <w:pPr>
        <w:ind w:right="140" w:firstLine="463"/>
        <w:spacing w:after="0" w:line="243" w:lineRule="auto"/>
        <w:rPr>
          <w:sz w:val="20"/>
          <w:szCs w:val="20"/>
          <w:color w:val="auto"/>
        </w:rPr>
      </w:pPr>
      <w:r>
        <w:rPr>
          <w:rFonts w:ascii="Arial" w:cs="Arial" w:eastAsia="Arial" w:hAnsi="Arial"/>
          <w:sz w:val="19"/>
          <w:szCs w:val="19"/>
          <w:color w:val="231F20"/>
        </w:rPr>
        <w:t>Our solutions and payment platform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platform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53" w:lineRule="exact"/>
        <w:rPr>
          <w:sz w:val="20"/>
          <w:szCs w:val="20"/>
          <w:color w:val="auto"/>
        </w:rPr>
      </w:pPr>
    </w:p>
    <w:p>
      <w:pPr>
        <w:ind w:right="20" w:firstLine="463"/>
        <w:spacing w:after="0" w:line="246" w:lineRule="auto"/>
        <w:rPr>
          <w:sz w:val="20"/>
          <w:szCs w:val="20"/>
          <w:color w:val="auto"/>
        </w:rPr>
      </w:pPr>
      <w:r>
        <w:rPr>
          <w:rFonts w:ascii="Arial" w:cs="Arial" w:eastAsia="Arial" w:hAnsi="Arial"/>
          <w:sz w:val="19"/>
          <w:szCs w:val="19"/>
          <w:color w:val="231F20"/>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48" w:lineRule="exact"/>
        <w:rPr>
          <w:sz w:val="20"/>
          <w:szCs w:val="20"/>
          <w:color w:val="auto"/>
        </w:rPr>
      </w:pPr>
    </w:p>
    <w:p>
      <w:pPr>
        <w:ind w:firstLine="463"/>
        <w:spacing w:after="0" w:line="248" w:lineRule="auto"/>
        <w:rPr>
          <w:sz w:val="20"/>
          <w:szCs w:val="20"/>
          <w:color w:val="auto"/>
        </w:rPr>
      </w:pPr>
      <w:r>
        <w:rPr>
          <w:rFonts w:ascii="Arial" w:cs="Arial" w:eastAsia="Arial" w:hAnsi="Arial"/>
          <w:sz w:val="19"/>
          <w:szCs w:val="19"/>
          <w:color w:val="231F20"/>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55</w:t>
      </w:r>
    </w:p>
    <w:p>
      <w:pPr>
        <w:sectPr>
          <w:pgSz w:w="12240" w:h="15840" w:orient="portrait"/>
          <w:cols w:equalWidth="0" w:num="1">
            <w:col w:w="10200"/>
          </w:cols>
          <w:pgMar w:left="1020" w:top="1440" w:right="1020" w:bottom="595" w:gutter="0" w:footer="0" w:header="0"/>
          <w:type w:val="continuous"/>
        </w:sectPr>
      </w:pPr>
    </w:p>
    <w:bookmarkStart w:id="56" w:name="page57"/>
    <w:bookmarkEnd w:id="56"/>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Our Legal, Regulatory and Compliance Landscape</w:t>
      </w:r>
    </w:p>
    <w:p>
      <w:pPr>
        <w:spacing w:after="0" w:line="196" w:lineRule="exact"/>
        <w:rPr>
          <w:sz w:val="20"/>
          <w:szCs w:val="20"/>
          <w:color w:val="auto"/>
        </w:rPr>
      </w:pPr>
    </w:p>
    <w:p>
      <w:pPr>
        <w:jc w:val="both"/>
        <w:ind w:right="140"/>
        <w:spacing w:after="0" w:line="254" w:lineRule="auto"/>
        <w:rPr>
          <w:sz w:val="20"/>
          <w:szCs w:val="20"/>
          <w:color w:val="auto"/>
        </w:rPr>
      </w:pPr>
      <w:r>
        <w:rPr>
          <w:rFonts w:ascii="Arial" w:cs="Arial" w:eastAsia="Arial" w:hAnsi="Arial"/>
          <w:sz w:val="19"/>
          <w:szCs w:val="19"/>
          <w:b w:val="1"/>
          <w:bCs w:val="1"/>
          <w:i w:val="1"/>
          <w:iCs w:val="1"/>
          <w:color w:val="231F20"/>
        </w:rPr>
        <w:t>We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29" w:lineRule="exact"/>
        <w:rPr>
          <w:sz w:val="20"/>
          <w:szCs w:val="20"/>
          <w:color w:val="auto"/>
        </w:rPr>
      </w:pPr>
    </w:p>
    <w:p>
      <w:pPr>
        <w:ind w:right="80" w:firstLine="463"/>
        <w:spacing w:after="0" w:line="241" w:lineRule="auto"/>
        <w:rPr>
          <w:sz w:val="20"/>
          <w:szCs w:val="20"/>
          <w:color w:val="auto"/>
        </w:rPr>
      </w:pPr>
      <w:r>
        <w:rPr>
          <w:rFonts w:ascii="Arial" w:cs="Arial" w:eastAsia="Arial" w:hAnsi="Arial"/>
          <w:sz w:val="19"/>
          <w:szCs w:val="19"/>
          <w:color w:val="231F20"/>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potential implementation of tariffs, the possibility of renegotiated trade deals and international tax law treaties, priorities of the U.S. presidential administration and related changes in laws, regulations or policies, United States-China and Canada-India diplomatic and trade friction, heightened tensions between China and Taiwan and the escalation of the conflicts between Russia and Ukraine, and Israel and Hamas,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173" w:lineRule="exact"/>
        <w:rPr>
          <w:sz w:val="20"/>
          <w:szCs w:val="20"/>
          <w:color w:val="auto"/>
        </w:rPr>
      </w:pPr>
    </w:p>
    <w:p>
      <w:pPr>
        <w:ind w:left="800" w:hanging="229"/>
        <w:spacing w:after="0"/>
        <w:tabs>
          <w:tab w:leader="none" w:pos="80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foreign currency exchange rate volatility;</w:t>
      </w:r>
    </w:p>
    <w:p>
      <w:pPr>
        <w:spacing w:after="0" w:line="200" w:lineRule="exact"/>
        <w:rPr>
          <w:rFonts w:ascii="Arial" w:cs="Arial" w:eastAsia="Arial" w:hAnsi="Arial"/>
          <w:sz w:val="19"/>
          <w:szCs w:val="19"/>
          <w:color w:val="231F20"/>
        </w:rPr>
      </w:pPr>
    </w:p>
    <w:p>
      <w:pPr>
        <w:jc w:val="both"/>
        <w:ind w:left="800" w:right="520" w:hanging="229"/>
        <w:spacing w:after="0" w:line="258" w:lineRule="auto"/>
        <w:tabs>
          <w:tab w:leader="none" w:pos="80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adverse economic conditions in the United States and globally, including economic slowdown, heightened interest rates, inflation, recession concerns and the disruption, volatility and tightening of credit and capital markets;</w:t>
      </w:r>
    </w:p>
    <w:p>
      <w:pPr>
        <w:spacing w:after="0" w:line="148" w:lineRule="exact"/>
        <w:rPr>
          <w:rFonts w:ascii="Arial" w:cs="Arial" w:eastAsia="Arial" w:hAnsi="Arial"/>
          <w:sz w:val="19"/>
          <w:szCs w:val="19"/>
          <w:color w:val="231F20"/>
        </w:rPr>
      </w:pPr>
    </w:p>
    <w:p>
      <w:pPr>
        <w:ind w:left="800" w:right="240" w:hanging="229"/>
        <w:spacing w:after="0" w:line="278" w:lineRule="auto"/>
        <w:tabs>
          <w:tab w:leader="none" w:pos="80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risks related to compliance with multiple complex, potentially conflicting and changing governmental laws and regulations;</w:t>
      </w:r>
    </w:p>
    <w:p>
      <w:pPr>
        <w:spacing w:after="0" w:line="129" w:lineRule="exact"/>
        <w:rPr>
          <w:rFonts w:ascii="Arial" w:cs="Arial" w:eastAsia="Arial" w:hAnsi="Arial"/>
          <w:sz w:val="19"/>
          <w:szCs w:val="19"/>
          <w:color w:val="231F20"/>
        </w:rPr>
      </w:pPr>
    </w:p>
    <w:p>
      <w:pPr>
        <w:ind w:left="800" w:right="560" w:hanging="229"/>
        <w:spacing w:after="0" w:line="278" w:lineRule="auto"/>
        <w:tabs>
          <w:tab w:leader="none" w:pos="80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local licensing and reporting obligations or the imposition of currency controls which make it impossible or increasingly difficult for our clients to collect payments from international customers;</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local regulatory and legal obligations related to privacy, data protection, data localization, and user protections;</w:t>
      </w:r>
    </w:p>
    <w:p>
      <w:pPr>
        <w:spacing w:after="0" w:line="200" w:lineRule="exact"/>
        <w:rPr>
          <w:rFonts w:ascii="Arial" w:cs="Arial" w:eastAsia="Arial" w:hAnsi="Arial"/>
          <w:sz w:val="19"/>
          <w:szCs w:val="19"/>
          <w:color w:val="231F20"/>
        </w:rPr>
      </w:pPr>
    </w:p>
    <w:p>
      <w:pPr>
        <w:ind w:left="800" w:hanging="229"/>
        <w:spacing w:after="0" w:line="258" w:lineRule="auto"/>
        <w:tabs>
          <w:tab w:leader="none" w:pos="80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148" w:lineRule="exact"/>
        <w:rPr>
          <w:rFonts w:ascii="Arial" w:cs="Arial" w:eastAsia="Arial" w:hAnsi="Arial"/>
          <w:sz w:val="19"/>
          <w:szCs w:val="19"/>
          <w:color w:val="231F20"/>
        </w:rPr>
      </w:pPr>
    </w:p>
    <w:p>
      <w:pPr>
        <w:ind w:left="800" w:hanging="229"/>
        <w:spacing w:after="0"/>
        <w:tabs>
          <w:tab w:leader="none" w:pos="80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trade barriers and changes in trade regulations;</w:t>
      </w:r>
    </w:p>
    <w:p>
      <w:pPr>
        <w:spacing w:after="0" w:line="200" w:lineRule="exact"/>
        <w:rPr>
          <w:rFonts w:ascii="Arial" w:cs="Arial" w:eastAsia="Arial" w:hAnsi="Arial"/>
          <w:sz w:val="19"/>
          <w:szCs w:val="19"/>
          <w:color w:val="231F20"/>
        </w:rPr>
      </w:pPr>
    </w:p>
    <w:p>
      <w:pPr>
        <w:ind w:left="800" w:right="160" w:hanging="229"/>
        <w:spacing w:after="0" w:line="278" w:lineRule="auto"/>
        <w:tabs>
          <w:tab w:leader="none" w:pos="80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the impact of government sanctions on our ability to offer services in a region, such as sanctions issued by the U.S. and other countries against Russia;</w:t>
      </w:r>
    </w:p>
    <w:p>
      <w:pPr>
        <w:spacing w:after="0" w:line="129" w:lineRule="exact"/>
        <w:rPr>
          <w:rFonts w:ascii="Arial" w:cs="Arial" w:eastAsia="Arial" w:hAnsi="Arial"/>
          <w:sz w:val="19"/>
          <w:szCs w:val="19"/>
          <w:color w:val="231F20"/>
        </w:rPr>
      </w:pPr>
    </w:p>
    <w:p>
      <w:pPr>
        <w:ind w:left="800" w:right="460" w:hanging="229"/>
        <w:spacing w:after="0" w:line="278" w:lineRule="auto"/>
        <w:tabs>
          <w:tab w:leader="none" w:pos="80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difficulties in developing, staffing, and managing a large number of varying foreign operations as a result of distance, language, and cultural differences;</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stringent local labor laws and regulations;</w:t>
      </w:r>
    </w:p>
    <w:p>
      <w:pPr>
        <w:spacing w:after="0" w:line="200" w:lineRule="exact"/>
        <w:rPr>
          <w:rFonts w:ascii="Arial" w:cs="Arial" w:eastAsia="Arial" w:hAnsi="Arial"/>
          <w:sz w:val="19"/>
          <w:szCs w:val="19"/>
          <w:color w:val="231F20"/>
        </w:rPr>
      </w:pPr>
    </w:p>
    <w:p>
      <w:pPr>
        <w:ind w:left="800" w:right="720" w:hanging="229"/>
        <w:spacing w:after="0" w:line="278" w:lineRule="auto"/>
        <w:tabs>
          <w:tab w:leader="none" w:pos="80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limitations on the repatriation of cash, including imposition or increase of withholding and other taxes on remittances and other payments by foreign subsidiaries;</w:t>
      </w:r>
    </w:p>
    <w:p>
      <w:pPr>
        <w:spacing w:after="0" w:line="129" w:lineRule="exact"/>
        <w:rPr>
          <w:rFonts w:ascii="Arial" w:cs="Arial" w:eastAsia="Arial" w:hAnsi="Arial"/>
          <w:sz w:val="19"/>
          <w:szCs w:val="19"/>
          <w:color w:val="231F20"/>
        </w:rPr>
      </w:pPr>
    </w:p>
    <w:p>
      <w:pPr>
        <w:ind w:left="800" w:right="120" w:hanging="229"/>
        <w:spacing w:after="0" w:line="258" w:lineRule="auto"/>
        <w:tabs>
          <w:tab w:leader="none" w:pos="80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diplomatic friction, political or social unrest, war or other military conflict, including an escalation of the conflict between Russia and Ukraine, and between Israel and Hamas, respectively, economic instability, repression, or human rights issues;</w:t>
      </w:r>
    </w:p>
    <w:p>
      <w:pPr>
        <w:spacing w:after="0" w:line="148" w:lineRule="exact"/>
        <w:rPr>
          <w:rFonts w:ascii="Arial" w:cs="Arial" w:eastAsia="Arial" w:hAnsi="Arial"/>
          <w:sz w:val="19"/>
          <w:szCs w:val="19"/>
          <w:color w:val="231F20"/>
        </w:rPr>
      </w:pPr>
    </w:p>
    <w:p>
      <w:pPr>
        <w:ind w:left="800" w:right="380" w:hanging="229"/>
        <w:spacing w:after="0" w:line="278" w:lineRule="auto"/>
        <w:tabs>
          <w:tab w:leader="none" w:pos="80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natural disasters, global pandemics such as COVID-19 or other public health emergencies, acts of war, and terrorism;</w:t>
      </w:r>
    </w:p>
    <w:p>
      <w:pPr>
        <w:sectPr>
          <w:pgSz w:w="12240" w:h="15840" w:orient="portrait"/>
          <w:cols w:equalWidth="0" w:num="1">
            <w:col w:w="10160"/>
          </w:cols>
          <w:pgMar w:left="1020" w:top="1440" w:right="1060" w:bottom="595"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231F20"/>
        </w:rPr>
        <w:t>56</w:t>
      </w:r>
    </w:p>
    <w:p>
      <w:pPr>
        <w:sectPr>
          <w:pgSz w:w="12240" w:h="15840" w:orient="portrait"/>
          <w:cols w:equalWidth="0" w:num="1">
            <w:col w:w="10160"/>
          </w:cols>
          <w:pgMar w:left="1020" w:top="1440" w:right="1060" w:bottom="595" w:gutter="0" w:footer="0" w:header="0"/>
          <w:type w:val="continuous"/>
        </w:sectPr>
      </w:pPr>
    </w:p>
    <w:bookmarkStart w:id="57" w:name="page58"/>
    <w:bookmarkEnd w:id="57"/>
    <w:p>
      <w:pPr>
        <w:spacing w:after="0" w:line="109" w:lineRule="exact"/>
        <w:rPr>
          <w:sz w:val="20"/>
          <w:szCs w:val="20"/>
          <w:color w:val="auto"/>
        </w:rPr>
      </w:pPr>
    </w:p>
    <w:p>
      <w:pPr>
        <w:ind w:left="800" w:right="300" w:hanging="229"/>
        <w:spacing w:after="0" w:line="278" w:lineRule="auto"/>
        <w:tabs>
          <w:tab w:leader="none" w:pos="800" w:val="left"/>
        </w:tabs>
        <w:numPr>
          <w:ilvl w:val="0"/>
          <w:numId w:val="38"/>
        </w:numPr>
        <w:rPr>
          <w:rFonts w:ascii="Arial" w:cs="Arial" w:eastAsia="Arial" w:hAnsi="Arial"/>
          <w:sz w:val="19"/>
          <w:szCs w:val="19"/>
          <w:color w:val="231F20"/>
        </w:rPr>
      </w:pPr>
      <w:r>
        <w:rPr>
          <w:rFonts w:ascii="Arial" w:cs="Arial" w:eastAsia="Arial" w:hAnsi="Arial"/>
          <w:sz w:val="19"/>
          <w:szCs w:val="19"/>
          <w:color w:val="231F20"/>
        </w:rPr>
        <w:t>compliance with U.S. laws and foreign laws prohibiting corrupt payments to government officials, such as the Foreign Corrupt Practices Act (FCPA) and the U.K. Bribery Act, and other local anti-corruption laws;</w:t>
      </w:r>
    </w:p>
    <w:p>
      <w:pPr>
        <w:spacing w:after="0" w:line="129" w:lineRule="exact"/>
        <w:rPr>
          <w:rFonts w:ascii="Arial" w:cs="Arial" w:eastAsia="Arial" w:hAnsi="Arial"/>
          <w:sz w:val="19"/>
          <w:szCs w:val="19"/>
          <w:color w:val="231F20"/>
        </w:rPr>
      </w:pPr>
    </w:p>
    <w:p>
      <w:pPr>
        <w:ind w:left="800" w:right="540" w:hanging="229"/>
        <w:spacing w:after="0" w:line="278" w:lineRule="auto"/>
        <w:tabs>
          <w:tab w:leader="none" w:pos="800" w:val="left"/>
        </w:tabs>
        <w:numPr>
          <w:ilvl w:val="0"/>
          <w:numId w:val="38"/>
        </w:numPr>
        <w:rPr>
          <w:rFonts w:ascii="Arial" w:cs="Arial" w:eastAsia="Arial" w:hAnsi="Arial"/>
          <w:sz w:val="19"/>
          <w:szCs w:val="19"/>
          <w:color w:val="231F20"/>
        </w:rPr>
      </w:pPr>
      <w:r>
        <w:rPr>
          <w:rFonts w:ascii="Arial" w:cs="Arial" w:eastAsia="Arial" w:hAnsi="Arial"/>
          <w:sz w:val="19"/>
          <w:szCs w:val="19"/>
          <w:color w:val="231F20"/>
        </w:rPr>
        <w:t>compliance with U.S. and foreign laws designed to combat money laundering and the financing of terrorist activities;</w:t>
      </w:r>
    </w:p>
    <w:p>
      <w:pPr>
        <w:spacing w:after="0" w:line="129" w:lineRule="exact"/>
        <w:rPr>
          <w:rFonts w:ascii="Arial" w:cs="Arial" w:eastAsia="Arial" w:hAnsi="Arial"/>
          <w:sz w:val="19"/>
          <w:szCs w:val="19"/>
          <w:color w:val="231F20"/>
        </w:rPr>
      </w:pPr>
    </w:p>
    <w:p>
      <w:pPr>
        <w:ind w:left="800" w:right="200" w:hanging="229"/>
        <w:spacing w:after="0" w:line="258" w:lineRule="auto"/>
        <w:tabs>
          <w:tab w:leader="none" w:pos="800" w:val="left"/>
        </w:tabs>
        <w:numPr>
          <w:ilvl w:val="0"/>
          <w:numId w:val="38"/>
        </w:numPr>
        <w:rPr>
          <w:rFonts w:ascii="Arial" w:cs="Arial" w:eastAsia="Arial" w:hAnsi="Arial"/>
          <w:sz w:val="19"/>
          <w:szCs w:val="19"/>
          <w:color w:val="231F20"/>
        </w:rPr>
      </w:pPr>
      <w:r>
        <w:rPr>
          <w:rFonts w:ascii="Arial" w:cs="Arial" w:eastAsia="Arial" w:hAnsi="Arial"/>
          <w:sz w:val="19"/>
          <w:szCs w:val="19"/>
          <w:color w:val="231F20"/>
        </w:rPr>
        <w:t>retaliatory tariffs and restrictions limiting free movement of currency and an unfavorable trade environment, including as a result of political conditions and changes in the laws, regulations or policies in the United States and elsewhere and as described in more detail below;</w:t>
      </w:r>
    </w:p>
    <w:p>
      <w:pPr>
        <w:spacing w:after="0" w:line="148" w:lineRule="exact"/>
        <w:rPr>
          <w:rFonts w:ascii="Arial" w:cs="Arial" w:eastAsia="Arial" w:hAnsi="Arial"/>
          <w:sz w:val="19"/>
          <w:szCs w:val="19"/>
          <w:color w:val="231F20"/>
        </w:rPr>
      </w:pPr>
    </w:p>
    <w:p>
      <w:pPr>
        <w:ind w:left="800" w:hanging="229"/>
        <w:spacing w:after="0"/>
        <w:tabs>
          <w:tab w:leader="none" w:pos="800" w:val="left"/>
        </w:tabs>
        <w:numPr>
          <w:ilvl w:val="0"/>
          <w:numId w:val="38"/>
        </w:numPr>
        <w:rPr>
          <w:rFonts w:ascii="Arial" w:cs="Arial" w:eastAsia="Arial" w:hAnsi="Arial"/>
          <w:sz w:val="19"/>
          <w:szCs w:val="19"/>
          <w:color w:val="231F20"/>
        </w:rPr>
      </w:pPr>
      <w:r>
        <w:rPr>
          <w:rFonts w:ascii="Arial" w:cs="Arial" w:eastAsia="Arial" w:hAnsi="Arial"/>
          <w:sz w:val="19"/>
          <w:szCs w:val="19"/>
          <w:color w:val="231F20"/>
        </w:rPr>
        <w:t>antitrust and competition regulations;</w:t>
      </w:r>
    </w:p>
    <w:p>
      <w:pPr>
        <w:spacing w:after="0" w:line="200" w:lineRule="exact"/>
        <w:rPr>
          <w:rFonts w:ascii="Arial" w:cs="Arial" w:eastAsia="Arial" w:hAnsi="Arial"/>
          <w:sz w:val="19"/>
          <w:szCs w:val="19"/>
          <w:color w:val="231F20"/>
        </w:rPr>
      </w:pPr>
    </w:p>
    <w:p>
      <w:pPr>
        <w:ind w:left="800" w:right="180" w:hanging="229"/>
        <w:spacing w:after="0" w:line="248" w:lineRule="auto"/>
        <w:tabs>
          <w:tab w:leader="none" w:pos="800" w:val="left"/>
        </w:tabs>
        <w:numPr>
          <w:ilvl w:val="0"/>
          <w:numId w:val="38"/>
        </w:numPr>
        <w:rPr>
          <w:rFonts w:ascii="Arial" w:cs="Arial" w:eastAsia="Arial" w:hAnsi="Arial"/>
          <w:sz w:val="19"/>
          <w:szCs w:val="19"/>
          <w:color w:val="231F20"/>
        </w:rPr>
      </w:pPr>
      <w:r>
        <w:rPr>
          <w:rFonts w:ascii="Arial" w:cs="Arial" w:eastAsia="Arial" w:hAnsi="Arial"/>
          <w:sz w:val="19"/>
          <w:szCs w:val="19"/>
          <w:color w:val="231F20"/>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Inflation Reduction Act of 2022, which includes a minimum corporate tax which could result in an additional tax liability in a given year;</w:t>
      </w:r>
    </w:p>
    <w:p>
      <w:pPr>
        <w:spacing w:after="0" w:line="158" w:lineRule="exact"/>
        <w:rPr>
          <w:rFonts w:ascii="Arial" w:cs="Arial" w:eastAsia="Arial" w:hAnsi="Arial"/>
          <w:sz w:val="19"/>
          <w:szCs w:val="19"/>
          <w:color w:val="231F20"/>
        </w:rPr>
      </w:pPr>
    </w:p>
    <w:p>
      <w:pPr>
        <w:ind w:left="800" w:right="1100" w:hanging="229"/>
        <w:spacing w:after="0" w:line="278" w:lineRule="auto"/>
        <w:tabs>
          <w:tab w:leader="none" w:pos="800" w:val="left"/>
        </w:tabs>
        <w:numPr>
          <w:ilvl w:val="0"/>
          <w:numId w:val="38"/>
        </w:numPr>
        <w:rPr>
          <w:rFonts w:ascii="Arial" w:cs="Arial" w:eastAsia="Arial" w:hAnsi="Arial"/>
          <w:sz w:val="19"/>
          <w:szCs w:val="19"/>
          <w:color w:val="231F20"/>
        </w:rPr>
      </w:pPr>
      <w:r>
        <w:rPr>
          <w:rFonts w:ascii="Arial" w:cs="Arial" w:eastAsia="Arial" w:hAnsi="Arial"/>
          <w:sz w:val="19"/>
          <w:szCs w:val="19"/>
          <w:color w:val="231F20"/>
        </w:rPr>
        <w:t>expected or actual extended federal government shutdowns or the priorities of the U.S. presidential administration and related changes in laws, regulations or policies;</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38"/>
        </w:numPr>
        <w:rPr>
          <w:rFonts w:ascii="Arial" w:cs="Arial" w:eastAsia="Arial" w:hAnsi="Arial"/>
          <w:sz w:val="19"/>
          <w:szCs w:val="19"/>
          <w:color w:val="231F20"/>
        </w:rPr>
      </w:pPr>
      <w:r>
        <w:rPr>
          <w:rFonts w:ascii="Arial" w:cs="Arial" w:eastAsia="Arial" w:hAnsi="Arial"/>
          <w:sz w:val="19"/>
          <w:szCs w:val="19"/>
          <w:color w:val="231F20"/>
        </w:rPr>
        <w:t>national or regional differences in macroeconomic growth rates; and</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38"/>
        </w:numPr>
        <w:rPr>
          <w:rFonts w:ascii="Arial" w:cs="Arial" w:eastAsia="Arial" w:hAnsi="Arial"/>
          <w:sz w:val="19"/>
          <w:szCs w:val="19"/>
          <w:color w:val="231F20"/>
        </w:rPr>
      </w:pPr>
      <w:r>
        <w:rPr>
          <w:rFonts w:ascii="Arial" w:cs="Arial" w:eastAsia="Arial" w:hAnsi="Arial"/>
          <w:sz w:val="19"/>
          <w:szCs w:val="19"/>
          <w:color w:val="231F20"/>
        </w:rPr>
        <w:t>increased difficulties in collecting accounts receivable.</w:t>
      </w:r>
    </w:p>
    <w:p>
      <w:pPr>
        <w:spacing w:after="0" w:line="188" w:lineRule="exact"/>
        <w:rPr>
          <w:sz w:val="20"/>
          <w:szCs w:val="20"/>
          <w:color w:val="auto"/>
        </w:rPr>
      </w:pPr>
    </w:p>
    <w:p>
      <w:pPr>
        <w:ind w:right="40" w:firstLine="463"/>
        <w:spacing w:after="0" w:line="245" w:lineRule="auto"/>
        <w:rPr>
          <w:sz w:val="20"/>
          <w:szCs w:val="20"/>
          <w:color w:val="auto"/>
        </w:rPr>
      </w:pPr>
      <w:r>
        <w:rPr>
          <w:rFonts w:ascii="Arial" w:cs="Arial" w:eastAsia="Arial" w:hAnsi="Arial"/>
          <w:sz w:val="19"/>
          <w:szCs w:val="19"/>
          <w:color w:val="231F20"/>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48" w:lineRule="exact"/>
        <w:rPr>
          <w:sz w:val="20"/>
          <w:szCs w:val="20"/>
          <w:color w:val="auto"/>
        </w:rPr>
      </w:pPr>
    </w:p>
    <w:p>
      <w:pPr>
        <w:ind w:right="40" w:firstLine="463"/>
        <w:spacing w:after="0" w:line="242" w:lineRule="auto"/>
        <w:rPr>
          <w:sz w:val="20"/>
          <w:szCs w:val="20"/>
          <w:color w:val="auto"/>
        </w:rPr>
      </w:pPr>
      <w:r>
        <w:rPr>
          <w:rFonts w:ascii="Arial" w:cs="Arial" w:eastAsia="Arial" w:hAnsi="Arial"/>
          <w:sz w:val="19"/>
          <w:szCs w:val="19"/>
          <w:color w:val="231F20"/>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or impose regulatory requirements that may require modifications to our business model for our clients' payors located in China.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55" w:lineRule="exact"/>
        <w:rPr>
          <w:sz w:val="20"/>
          <w:szCs w:val="20"/>
          <w:color w:val="auto"/>
        </w:rPr>
      </w:pPr>
    </w:p>
    <w:p>
      <w:pPr>
        <w:ind w:firstLine="463"/>
        <w:spacing w:after="0" w:line="246" w:lineRule="auto"/>
        <w:rPr>
          <w:sz w:val="20"/>
          <w:szCs w:val="20"/>
          <w:color w:val="auto"/>
        </w:rPr>
      </w:pPr>
      <w:r>
        <w:rPr>
          <w:rFonts w:ascii="Arial" w:cs="Arial" w:eastAsia="Arial" w:hAnsi="Arial"/>
          <w:sz w:val="19"/>
          <w:szCs w:val="19"/>
          <w:color w:val="231F20"/>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52" w:lineRule="exact"/>
        <w:rPr>
          <w:sz w:val="20"/>
          <w:szCs w:val="20"/>
          <w:color w:val="auto"/>
        </w:rPr>
      </w:pPr>
    </w:p>
    <w:p>
      <w:pPr>
        <w:ind w:right="80"/>
        <w:spacing w:after="0" w:line="285" w:lineRule="auto"/>
        <w:rPr>
          <w:sz w:val="20"/>
          <w:szCs w:val="20"/>
          <w:color w:val="auto"/>
        </w:rPr>
      </w:pPr>
      <w:r>
        <w:rPr>
          <w:rFonts w:ascii="Arial" w:cs="Arial" w:eastAsia="Arial" w:hAnsi="Arial"/>
          <w:sz w:val="19"/>
          <w:szCs w:val="19"/>
          <w:b w:val="1"/>
          <w:bCs w:val="1"/>
          <w:i w:val="1"/>
          <w:iCs w:val="1"/>
          <w:color w:val="231F20"/>
        </w:rPr>
        <w:t>Payments and other financial services-related regulations and oversight are material to our business. Our failure to comply could materially harm our business.</w:t>
      </w:r>
    </w:p>
    <w:p>
      <w:pPr>
        <w:spacing w:after="0" w:line="100" w:lineRule="exact"/>
        <w:rPr>
          <w:sz w:val="20"/>
          <w:szCs w:val="20"/>
          <w:color w:val="auto"/>
        </w:rPr>
      </w:pPr>
    </w:p>
    <w:p>
      <w:pPr>
        <w:ind w:firstLine="463"/>
        <w:spacing w:after="0" w:line="265" w:lineRule="auto"/>
        <w:rPr>
          <w:sz w:val="20"/>
          <w:szCs w:val="20"/>
          <w:color w:val="auto"/>
        </w:rPr>
      </w:pPr>
      <w:r>
        <w:rPr>
          <w:rFonts w:ascii="Arial" w:cs="Arial" w:eastAsia="Arial" w:hAnsi="Arial"/>
          <w:sz w:val="18"/>
          <w:szCs w:val="18"/>
          <w:color w:val="231F20"/>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w:t>
      </w:r>
    </w:p>
    <w:p>
      <w:pPr>
        <w:sectPr>
          <w:pgSz w:w="12240" w:h="15840" w:orient="portrait"/>
          <w:cols w:equalWidth="0" w:num="1">
            <w:col w:w="10180"/>
          </w:cols>
          <w:pgMar w:left="1020" w:top="1440" w:right="1040" w:bottom="595"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57</w:t>
      </w:r>
    </w:p>
    <w:p>
      <w:pPr>
        <w:sectPr>
          <w:pgSz w:w="12240" w:h="15840" w:orient="portrait"/>
          <w:cols w:equalWidth="0" w:num="1">
            <w:col w:w="10180"/>
          </w:cols>
          <w:pgMar w:left="1020" w:top="1440" w:right="1040" w:bottom="595" w:gutter="0" w:footer="0" w:header="0"/>
          <w:type w:val="continuous"/>
        </w:sectPr>
      </w:pPr>
    </w:p>
    <w:bookmarkStart w:id="58" w:name="page59"/>
    <w:bookmarkEnd w:id="58"/>
    <w:p>
      <w:pPr>
        <w:spacing w:after="0" w:line="97" w:lineRule="exact"/>
        <w:rPr>
          <w:sz w:val="20"/>
          <w:szCs w:val="20"/>
          <w:color w:val="auto"/>
        </w:rPr>
      </w:pPr>
    </w:p>
    <w:p>
      <w:pPr>
        <w:spacing w:after="0" w:line="242" w:lineRule="auto"/>
        <w:rPr>
          <w:sz w:val="20"/>
          <w:szCs w:val="20"/>
          <w:color w:val="auto"/>
        </w:rPr>
      </w:pPr>
      <w:r>
        <w:rPr>
          <w:rFonts w:ascii="Arial" w:cs="Arial" w:eastAsia="Arial" w:hAnsi="Arial"/>
          <w:sz w:val="19"/>
          <w:szCs w:val="19"/>
          <w:color w:val="231F20"/>
        </w:rPr>
        <w:t>and standards are enforced by multiple authorities and governing bodies in the United States, including the Department of the Treasury, the Federal Deposit Insurance Corporation, the SEC,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55" w:lineRule="exact"/>
        <w:rPr>
          <w:sz w:val="20"/>
          <w:szCs w:val="20"/>
          <w:color w:val="auto"/>
        </w:rPr>
      </w:pPr>
    </w:p>
    <w:p>
      <w:pPr>
        <w:ind w:right="60" w:firstLine="463"/>
        <w:spacing w:after="0" w:line="242" w:lineRule="auto"/>
        <w:rPr>
          <w:sz w:val="20"/>
          <w:szCs w:val="20"/>
          <w:color w:val="auto"/>
        </w:rPr>
      </w:pPr>
      <w:r>
        <w:rPr>
          <w:rFonts w:ascii="Arial" w:cs="Arial" w:eastAsia="Arial" w:hAnsi="Arial"/>
          <w:sz w:val="19"/>
          <w:szCs w:val="19"/>
          <w:color w:val="231F20"/>
        </w:rPr>
        <w:t>Certain of our subsidiaries are registered with FinCEN. Our subsidiary Flywire Global Corp. has obtained licenses to operate as a money transmitter (or the statutory equivalent) in 45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spacing w:after="0" w:line="155" w:lineRule="exact"/>
        <w:rPr>
          <w:sz w:val="20"/>
          <w:szCs w:val="20"/>
          <w:color w:val="auto"/>
        </w:rPr>
      </w:pPr>
    </w:p>
    <w:p>
      <w:pPr>
        <w:ind w:right="20" w:firstLine="463"/>
        <w:spacing w:after="0"/>
        <w:rPr>
          <w:sz w:val="20"/>
          <w:szCs w:val="20"/>
          <w:color w:val="auto"/>
        </w:rPr>
      </w:pPr>
      <w:r>
        <w:rPr>
          <w:rFonts w:ascii="Arial" w:cs="Arial" w:eastAsia="Arial" w:hAnsi="Arial"/>
          <w:sz w:val="19"/>
          <w:szCs w:val="19"/>
          <w:color w:val="231F20"/>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63" w:lineRule="exact"/>
        <w:rPr>
          <w:sz w:val="20"/>
          <w:szCs w:val="20"/>
          <w:color w:val="auto"/>
        </w:rPr>
      </w:pPr>
    </w:p>
    <w:p>
      <w:pPr>
        <w:ind w:right="280" w:firstLine="463"/>
        <w:spacing w:after="0" w:line="244" w:lineRule="auto"/>
        <w:rPr>
          <w:sz w:val="20"/>
          <w:szCs w:val="20"/>
          <w:color w:val="auto"/>
        </w:rPr>
      </w:pPr>
      <w:r>
        <w:rPr>
          <w:rFonts w:ascii="Arial" w:cs="Arial" w:eastAsia="Arial" w:hAnsi="Arial"/>
          <w:sz w:val="19"/>
          <w:szCs w:val="19"/>
          <w:color w:val="231F20"/>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54" w:lineRule="exact"/>
        <w:rPr>
          <w:sz w:val="20"/>
          <w:szCs w:val="20"/>
          <w:color w:val="auto"/>
        </w:rPr>
      </w:pPr>
    </w:p>
    <w:p>
      <w:pPr>
        <w:ind w:right="120"/>
        <w:spacing w:after="0" w:line="285" w:lineRule="auto"/>
        <w:rPr>
          <w:sz w:val="20"/>
          <w:szCs w:val="20"/>
          <w:color w:val="auto"/>
        </w:rPr>
      </w:pPr>
      <w:r>
        <w:rPr>
          <w:rFonts w:ascii="Arial" w:cs="Arial" w:eastAsia="Arial" w:hAnsi="Arial"/>
          <w:sz w:val="19"/>
          <w:szCs w:val="19"/>
          <w:b w:val="1"/>
          <w:bCs w:val="1"/>
          <w:i w:val="1"/>
          <w:iCs w:val="1"/>
          <w:color w:val="231F20"/>
        </w:rPr>
        <w:t>The regulatory environment in which we operate is subject to constant change, and new regulations could make aspects of our business as currently conducted no longer possible.</w:t>
      </w:r>
    </w:p>
    <w:p>
      <w:pPr>
        <w:spacing w:after="0" w:line="100" w:lineRule="exact"/>
        <w:rPr>
          <w:sz w:val="20"/>
          <w:szCs w:val="20"/>
          <w:color w:val="auto"/>
        </w:rPr>
      </w:pPr>
    </w:p>
    <w:p>
      <w:pPr>
        <w:ind w:firstLine="463"/>
        <w:spacing w:after="0" w:line="307" w:lineRule="auto"/>
        <w:rPr>
          <w:sz w:val="20"/>
          <w:szCs w:val="20"/>
          <w:color w:val="auto"/>
        </w:rPr>
      </w:pPr>
      <w:r>
        <w:rPr>
          <w:rFonts w:ascii="Arial" w:cs="Arial" w:eastAsia="Arial" w:hAnsi="Arial"/>
          <w:sz w:val="18"/>
          <w:szCs w:val="18"/>
          <w:color w:val="231F20"/>
        </w:rPr>
        <w:t>As a result of the regulations applicable to our business, we could be subject to investigations and resulting liability, including governmental fines, restrictions on our business, or other sanctions, and we could be forced to cease conducting</w:t>
      </w:r>
    </w:p>
    <w:p>
      <w:pPr>
        <w:sectPr>
          <w:pgSz w:w="12240" w:h="15840" w:orient="portrait"/>
          <w:cols w:equalWidth="0" w:num="1">
            <w:col w:w="10200"/>
          </w:cols>
          <w:pgMar w:left="1020" w:top="1440" w:right="1020" w:bottom="595"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58</w:t>
      </w:r>
    </w:p>
    <w:p>
      <w:pPr>
        <w:sectPr>
          <w:pgSz w:w="12240" w:h="15840" w:orient="portrait"/>
          <w:cols w:equalWidth="0" w:num="1">
            <w:col w:w="10200"/>
          </w:cols>
          <w:pgMar w:left="1020" w:top="1440" w:right="1020" w:bottom="595" w:gutter="0" w:footer="0" w:header="0"/>
          <w:type w:val="continuous"/>
        </w:sectPr>
      </w:pPr>
    </w:p>
    <w:bookmarkStart w:id="59" w:name="page60"/>
    <w:bookmarkEnd w:id="59"/>
    <w:p>
      <w:pPr>
        <w:spacing w:after="0" w:line="97"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231F20"/>
        </w:rPr>
        <w:t>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48" w:lineRule="exact"/>
        <w:rPr>
          <w:sz w:val="20"/>
          <w:szCs w:val="20"/>
          <w:color w:val="auto"/>
        </w:rPr>
      </w:pPr>
    </w:p>
    <w:p>
      <w:pPr>
        <w:ind w:right="60" w:firstLine="463"/>
        <w:spacing w:after="0" w:line="278" w:lineRule="auto"/>
        <w:rPr>
          <w:sz w:val="20"/>
          <w:szCs w:val="20"/>
          <w:color w:val="auto"/>
        </w:rPr>
      </w:pPr>
      <w:r>
        <w:rPr>
          <w:rFonts w:ascii="Arial" w:cs="Arial" w:eastAsia="Arial" w:hAnsi="Arial"/>
          <w:sz w:val="19"/>
          <w:szCs w:val="19"/>
          <w:color w:val="231F20"/>
        </w:rPr>
        <w:t>Government agencies may impose new or additional rules on money transmission, which may increase our costs of doing business, including, but not limited to regulations that:</w:t>
      </w:r>
    </w:p>
    <w:p>
      <w:pPr>
        <w:spacing w:after="0" w:line="130" w:lineRule="exact"/>
        <w:rPr>
          <w:sz w:val="20"/>
          <w:szCs w:val="20"/>
          <w:color w:val="auto"/>
        </w:rPr>
      </w:pPr>
    </w:p>
    <w:p>
      <w:pPr>
        <w:ind w:left="800" w:right="40" w:hanging="229"/>
        <w:spacing w:after="0" w:line="278" w:lineRule="auto"/>
        <w:tabs>
          <w:tab w:leader="none" w:pos="800" w:val="left"/>
        </w:tabs>
        <w:numPr>
          <w:ilvl w:val="0"/>
          <w:numId w:val="39"/>
        </w:numPr>
        <w:rPr>
          <w:rFonts w:ascii="Arial" w:cs="Arial" w:eastAsia="Arial" w:hAnsi="Arial"/>
          <w:sz w:val="19"/>
          <w:szCs w:val="19"/>
          <w:color w:val="231F20"/>
        </w:rPr>
      </w:pPr>
      <w:r>
        <w:rPr>
          <w:rFonts w:ascii="Arial" w:cs="Arial" w:eastAsia="Arial" w:hAnsi="Arial"/>
          <w:sz w:val="19"/>
          <w:szCs w:val="19"/>
          <w:color w:val="231F20"/>
        </w:rPr>
        <w:t>prohibit, restrict, and/or impose taxes or fees on money transmission transactions in, to or from certain countries or with certain governments, individuals, and entities;</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39"/>
        </w:numPr>
        <w:rPr>
          <w:rFonts w:ascii="Arial" w:cs="Arial" w:eastAsia="Arial" w:hAnsi="Arial"/>
          <w:sz w:val="19"/>
          <w:szCs w:val="19"/>
          <w:color w:val="231F20"/>
        </w:rPr>
      </w:pPr>
      <w:r>
        <w:rPr>
          <w:rFonts w:ascii="Arial" w:cs="Arial" w:eastAsia="Arial" w:hAnsi="Arial"/>
          <w:sz w:val="19"/>
          <w:szCs w:val="19"/>
          <w:color w:val="231F20"/>
        </w:rPr>
        <w:t>impose additional client identification and client due diligence requirements;</w:t>
      </w:r>
    </w:p>
    <w:p>
      <w:pPr>
        <w:spacing w:after="0" w:line="200" w:lineRule="exact"/>
        <w:rPr>
          <w:rFonts w:ascii="Arial" w:cs="Arial" w:eastAsia="Arial" w:hAnsi="Arial"/>
          <w:sz w:val="19"/>
          <w:szCs w:val="19"/>
          <w:color w:val="231F20"/>
        </w:rPr>
      </w:pPr>
    </w:p>
    <w:p>
      <w:pPr>
        <w:ind w:left="800" w:hanging="229"/>
        <w:spacing w:after="0"/>
        <w:tabs>
          <w:tab w:leader="none" w:pos="800" w:val="left"/>
        </w:tabs>
        <w:numPr>
          <w:ilvl w:val="0"/>
          <w:numId w:val="39"/>
        </w:numPr>
        <w:rPr>
          <w:rFonts w:ascii="Arial" w:cs="Arial" w:eastAsia="Arial" w:hAnsi="Arial"/>
          <w:sz w:val="19"/>
          <w:szCs w:val="19"/>
          <w:color w:val="231F20"/>
        </w:rPr>
      </w:pPr>
      <w:r>
        <w:rPr>
          <w:rFonts w:ascii="Arial" w:cs="Arial" w:eastAsia="Arial" w:hAnsi="Arial"/>
          <w:sz w:val="19"/>
          <w:szCs w:val="19"/>
          <w:color w:val="231F20"/>
        </w:rPr>
        <w:t>impose additional reporting or recordkeeping requirements, or require enhanced transaction monitoring;</w:t>
      </w:r>
    </w:p>
    <w:p>
      <w:pPr>
        <w:spacing w:after="0" w:line="200" w:lineRule="exact"/>
        <w:rPr>
          <w:rFonts w:ascii="Arial" w:cs="Arial" w:eastAsia="Arial" w:hAnsi="Arial"/>
          <w:sz w:val="19"/>
          <w:szCs w:val="19"/>
          <w:color w:val="231F20"/>
        </w:rPr>
      </w:pPr>
    </w:p>
    <w:p>
      <w:pPr>
        <w:ind w:left="800" w:right="340" w:hanging="229"/>
        <w:spacing w:after="0" w:line="278" w:lineRule="auto"/>
        <w:tabs>
          <w:tab w:leader="none" w:pos="800" w:val="left"/>
        </w:tabs>
        <w:numPr>
          <w:ilvl w:val="0"/>
          <w:numId w:val="39"/>
        </w:numPr>
        <w:rPr>
          <w:rFonts w:ascii="Arial" w:cs="Arial" w:eastAsia="Arial" w:hAnsi="Arial"/>
          <w:sz w:val="19"/>
          <w:szCs w:val="19"/>
          <w:color w:val="231F20"/>
        </w:rPr>
      </w:pPr>
      <w:r>
        <w:rPr>
          <w:rFonts w:ascii="Arial" w:cs="Arial" w:eastAsia="Arial" w:hAnsi="Arial"/>
          <w:sz w:val="19"/>
          <w:szCs w:val="19"/>
          <w:color w:val="231F20"/>
        </w:rPr>
        <w:t>limit the types of entities capable of providing money transmission services, or impose additional licensing or registration requirements;</w:t>
      </w:r>
    </w:p>
    <w:p>
      <w:pPr>
        <w:spacing w:after="0" w:line="129" w:lineRule="exact"/>
        <w:rPr>
          <w:rFonts w:ascii="Arial" w:cs="Arial" w:eastAsia="Arial" w:hAnsi="Arial"/>
          <w:sz w:val="19"/>
          <w:szCs w:val="19"/>
          <w:color w:val="231F20"/>
        </w:rPr>
      </w:pPr>
    </w:p>
    <w:p>
      <w:pPr>
        <w:ind w:left="800" w:hanging="229"/>
        <w:spacing w:after="0"/>
        <w:tabs>
          <w:tab w:leader="none" w:pos="800" w:val="left"/>
        </w:tabs>
        <w:numPr>
          <w:ilvl w:val="0"/>
          <w:numId w:val="39"/>
        </w:numPr>
        <w:rPr>
          <w:rFonts w:ascii="Arial" w:cs="Arial" w:eastAsia="Arial" w:hAnsi="Arial"/>
          <w:sz w:val="19"/>
          <w:szCs w:val="19"/>
          <w:color w:val="231F20"/>
        </w:rPr>
      </w:pPr>
      <w:r>
        <w:rPr>
          <w:rFonts w:ascii="Arial" w:cs="Arial" w:eastAsia="Arial" w:hAnsi="Arial"/>
          <w:sz w:val="19"/>
          <w:szCs w:val="19"/>
          <w:color w:val="231F20"/>
        </w:rPr>
        <w:t>impose minimum capital or other financial requirements;</w:t>
      </w:r>
    </w:p>
    <w:p>
      <w:pPr>
        <w:spacing w:after="0" w:line="200" w:lineRule="exact"/>
        <w:rPr>
          <w:rFonts w:ascii="Arial" w:cs="Arial" w:eastAsia="Arial" w:hAnsi="Arial"/>
          <w:sz w:val="19"/>
          <w:szCs w:val="19"/>
          <w:color w:val="231F20"/>
        </w:rPr>
      </w:pPr>
    </w:p>
    <w:p>
      <w:pPr>
        <w:ind w:left="800" w:right="80" w:hanging="229"/>
        <w:spacing w:after="0" w:line="258" w:lineRule="auto"/>
        <w:tabs>
          <w:tab w:leader="none" w:pos="800" w:val="left"/>
        </w:tabs>
        <w:numPr>
          <w:ilvl w:val="0"/>
          <w:numId w:val="39"/>
        </w:numPr>
        <w:rPr>
          <w:rFonts w:ascii="Arial" w:cs="Arial" w:eastAsia="Arial" w:hAnsi="Arial"/>
          <w:sz w:val="19"/>
          <w:szCs w:val="19"/>
          <w:color w:val="231F20"/>
        </w:rPr>
      </w:pPr>
      <w:r>
        <w:rPr>
          <w:rFonts w:ascii="Arial" w:cs="Arial" w:eastAsia="Arial" w:hAnsi="Arial"/>
          <w:sz w:val="19"/>
          <w:szCs w:val="19"/>
          <w:color w:val="231F20"/>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148" w:lineRule="exact"/>
        <w:rPr>
          <w:rFonts w:ascii="Arial" w:cs="Arial" w:eastAsia="Arial" w:hAnsi="Arial"/>
          <w:sz w:val="19"/>
          <w:szCs w:val="19"/>
          <w:color w:val="231F20"/>
        </w:rPr>
      </w:pPr>
    </w:p>
    <w:p>
      <w:pPr>
        <w:ind w:left="800" w:hanging="229"/>
        <w:spacing w:after="0"/>
        <w:tabs>
          <w:tab w:leader="none" w:pos="800" w:val="left"/>
        </w:tabs>
        <w:numPr>
          <w:ilvl w:val="0"/>
          <w:numId w:val="39"/>
        </w:numPr>
        <w:rPr>
          <w:rFonts w:ascii="Arial" w:cs="Arial" w:eastAsia="Arial" w:hAnsi="Arial"/>
          <w:sz w:val="19"/>
          <w:szCs w:val="19"/>
          <w:color w:val="231F20"/>
        </w:rPr>
      </w:pPr>
      <w:r>
        <w:rPr>
          <w:rFonts w:ascii="Arial" w:cs="Arial" w:eastAsia="Arial" w:hAnsi="Arial"/>
          <w:sz w:val="19"/>
          <w:szCs w:val="19"/>
          <w:color w:val="231F20"/>
        </w:rPr>
        <w:t>require enhanced disclosures to our money transmission clients or their customers;</w:t>
      </w:r>
    </w:p>
    <w:p>
      <w:pPr>
        <w:spacing w:after="0" w:line="200" w:lineRule="exact"/>
        <w:rPr>
          <w:rFonts w:ascii="Arial" w:cs="Arial" w:eastAsia="Arial" w:hAnsi="Arial"/>
          <w:sz w:val="19"/>
          <w:szCs w:val="19"/>
          <w:color w:val="231F20"/>
        </w:rPr>
      </w:pPr>
    </w:p>
    <w:p>
      <w:pPr>
        <w:ind w:left="800" w:right="320" w:hanging="229"/>
        <w:spacing w:after="0" w:line="278" w:lineRule="auto"/>
        <w:tabs>
          <w:tab w:leader="none" w:pos="800" w:val="left"/>
        </w:tabs>
        <w:numPr>
          <w:ilvl w:val="0"/>
          <w:numId w:val="39"/>
        </w:numPr>
        <w:rPr>
          <w:rFonts w:ascii="Arial" w:cs="Arial" w:eastAsia="Arial" w:hAnsi="Arial"/>
          <w:sz w:val="19"/>
          <w:szCs w:val="19"/>
          <w:color w:val="231F20"/>
        </w:rPr>
      </w:pPr>
      <w:r>
        <w:rPr>
          <w:rFonts w:ascii="Arial" w:cs="Arial" w:eastAsia="Arial" w:hAnsi="Arial"/>
          <w:sz w:val="19"/>
          <w:szCs w:val="19"/>
          <w:color w:val="231F20"/>
        </w:rPr>
        <w:t>require the principal amount of money transmission transactions originated in a country to be invested in that country or held in trust until paid;</w:t>
      </w:r>
    </w:p>
    <w:p>
      <w:pPr>
        <w:spacing w:after="0" w:line="129" w:lineRule="exact"/>
        <w:rPr>
          <w:rFonts w:ascii="Arial" w:cs="Arial" w:eastAsia="Arial" w:hAnsi="Arial"/>
          <w:sz w:val="19"/>
          <w:szCs w:val="19"/>
          <w:color w:val="231F20"/>
        </w:rPr>
      </w:pPr>
    </w:p>
    <w:p>
      <w:pPr>
        <w:ind w:left="800" w:right="900" w:hanging="229"/>
        <w:spacing w:after="0" w:line="278" w:lineRule="auto"/>
        <w:tabs>
          <w:tab w:leader="none" w:pos="800" w:val="left"/>
        </w:tabs>
        <w:numPr>
          <w:ilvl w:val="0"/>
          <w:numId w:val="39"/>
        </w:numPr>
        <w:rPr>
          <w:rFonts w:ascii="Arial" w:cs="Arial" w:eastAsia="Arial" w:hAnsi="Arial"/>
          <w:sz w:val="19"/>
          <w:szCs w:val="19"/>
          <w:color w:val="231F20"/>
        </w:rPr>
      </w:pPr>
      <w:r>
        <w:rPr>
          <w:rFonts w:ascii="Arial" w:cs="Arial" w:eastAsia="Arial" w:hAnsi="Arial"/>
          <w:sz w:val="19"/>
          <w:szCs w:val="19"/>
          <w:color w:val="231F20"/>
        </w:rPr>
        <w:t>limit the number or principal amount of money transmission transactions that may be sent to or from a jurisdiction, whether by an individual or in the aggregate; and</w:t>
      </w:r>
    </w:p>
    <w:p>
      <w:pPr>
        <w:spacing w:after="0" w:line="129" w:lineRule="exact"/>
        <w:rPr>
          <w:rFonts w:ascii="Arial" w:cs="Arial" w:eastAsia="Arial" w:hAnsi="Arial"/>
          <w:sz w:val="19"/>
          <w:szCs w:val="19"/>
          <w:color w:val="231F20"/>
        </w:rPr>
      </w:pPr>
    </w:p>
    <w:p>
      <w:pPr>
        <w:ind w:left="800" w:right="400" w:hanging="229"/>
        <w:spacing w:after="0" w:line="278" w:lineRule="auto"/>
        <w:tabs>
          <w:tab w:leader="none" w:pos="800" w:val="left"/>
        </w:tabs>
        <w:numPr>
          <w:ilvl w:val="0"/>
          <w:numId w:val="39"/>
        </w:numPr>
        <w:rPr>
          <w:rFonts w:ascii="Arial" w:cs="Arial" w:eastAsia="Arial" w:hAnsi="Arial"/>
          <w:sz w:val="19"/>
          <w:szCs w:val="19"/>
          <w:color w:val="231F20"/>
        </w:rPr>
      </w:pPr>
      <w:r>
        <w:rPr>
          <w:rFonts w:ascii="Arial" w:cs="Arial" w:eastAsia="Arial" w:hAnsi="Arial"/>
          <w:sz w:val="19"/>
          <w:szCs w:val="19"/>
          <w:color w:val="231F20"/>
        </w:rPr>
        <w:t>restrict or limit our ability to process transactions using centralized databases, for example, by requiring that transactions be processed using a database maintained in a particular country or region.</w:t>
      </w:r>
    </w:p>
    <w:p>
      <w:pPr>
        <w:spacing w:after="0" w:line="121" w:lineRule="exact"/>
        <w:rPr>
          <w:sz w:val="20"/>
          <w:szCs w:val="20"/>
          <w:color w:val="auto"/>
        </w:rPr>
      </w:pPr>
    </w:p>
    <w:p>
      <w:pPr>
        <w:ind w:right="200"/>
        <w:spacing w:after="0" w:line="261" w:lineRule="auto"/>
        <w:rPr>
          <w:sz w:val="20"/>
          <w:szCs w:val="20"/>
          <w:color w:val="auto"/>
        </w:rPr>
      </w:pPr>
      <w:r>
        <w:rPr>
          <w:rFonts w:ascii="Arial" w:cs="Arial" w:eastAsia="Arial" w:hAnsi="Arial"/>
          <w:sz w:val="19"/>
          <w:szCs w:val="19"/>
          <w:b w:val="1"/>
          <w:bCs w:val="1"/>
          <w:i w:val="1"/>
          <w:iCs w:val="1"/>
          <w:color w:val="231F20"/>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124"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We are currently required to comply with U.S. economic and trade sanctions administered by OFAC and we have processes in place designed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 enhancing our sanctions compliance function, we initiated an internal review that identified issues related to our compliance with sanctions, including payments that may have originated from sanctioned jurisdictions or sanctioned persons. We have made voluntary submissions to OFAC to report the apparent violations and to provide supplemental information. Flywire is currently engaging with OFAC to resolve these matters. Although the internal investigation completed to date suggests that any loss incurred as a result of this matter would not be material to our business, if OFAC ultimately concludes any violation has occurred in connection with these or other transactions, it could result in penalties, fines, costs, and restrictions on our ability to do business, which could also harm our operating results.</w:t>
      </w:r>
    </w:p>
    <w:p>
      <w:pPr>
        <w:spacing w:after="0" w:line="160" w:lineRule="exact"/>
        <w:rPr>
          <w:sz w:val="20"/>
          <w:szCs w:val="20"/>
          <w:color w:val="auto"/>
        </w:rPr>
      </w:pPr>
    </w:p>
    <w:p>
      <w:pPr>
        <w:ind w:right="100" w:firstLine="463"/>
        <w:spacing w:after="0" w:line="270" w:lineRule="auto"/>
        <w:rPr>
          <w:sz w:val="20"/>
          <w:szCs w:val="20"/>
          <w:color w:val="auto"/>
        </w:rPr>
      </w:pPr>
      <w:r>
        <w:rPr>
          <w:rFonts w:ascii="Arial" w:cs="Arial" w:eastAsia="Arial" w:hAnsi="Arial"/>
          <w:sz w:val="18"/>
          <w:szCs w:val="18"/>
          <w:color w:val="231F20"/>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w:t>
      </w:r>
    </w:p>
    <w:p>
      <w:pPr>
        <w:sectPr>
          <w:pgSz w:w="12240" w:h="15840" w:orient="portrait"/>
          <w:cols w:equalWidth="0" w:num="1">
            <w:col w:w="10180"/>
          </w:cols>
          <w:pgMar w:left="1020" w:top="1440" w:right="1040" w:bottom="595" w:gutter="0" w:footer="0" w:header="0"/>
        </w:sectPr>
      </w:pP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59</w:t>
      </w:r>
    </w:p>
    <w:p>
      <w:pPr>
        <w:sectPr>
          <w:pgSz w:w="12240" w:h="15840" w:orient="portrait"/>
          <w:cols w:equalWidth="0" w:num="1">
            <w:col w:w="10180"/>
          </w:cols>
          <w:pgMar w:left="1020" w:top="1440" w:right="1040" w:bottom="595" w:gutter="0" w:footer="0" w:header="0"/>
          <w:type w:val="continuous"/>
        </w:sectPr>
      </w:pPr>
    </w:p>
    <w:bookmarkStart w:id="60" w:name="page61"/>
    <w:bookmarkEnd w:id="60"/>
    <w:p>
      <w:pPr>
        <w:spacing w:after="0" w:line="97" w:lineRule="exact"/>
        <w:rPr>
          <w:sz w:val="20"/>
          <w:szCs w:val="20"/>
          <w:color w:val="auto"/>
        </w:rPr>
      </w:pPr>
    </w:p>
    <w:p>
      <w:pPr>
        <w:ind w:right="400"/>
        <w:spacing w:after="0" w:line="248" w:lineRule="auto"/>
        <w:rPr>
          <w:sz w:val="20"/>
          <w:szCs w:val="20"/>
          <w:color w:val="auto"/>
        </w:rPr>
      </w:pPr>
      <w:r>
        <w:rPr>
          <w:rFonts w:ascii="Arial" w:cs="Arial" w:eastAsia="Arial" w:hAnsi="Arial"/>
          <w:sz w:val="19"/>
          <w:szCs w:val="19"/>
          <w:color w:val="231F20"/>
        </w:rPr>
        <w:t>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spacing w:after="0" w:line="146"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Our business operations in other parts of the world such as the U.K., Lithuania, Canada, Australia, Hong Kong, New Zealand, Indonesia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160" w:lineRule="exact"/>
        <w:rPr>
          <w:sz w:val="20"/>
          <w:szCs w:val="20"/>
          <w:color w:val="auto"/>
        </w:rPr>
      </w:pPr>
    </w:p>
    <w:p>
      <w:pPr>
        <w:jc w:val="both"/>
        <w:ind w:right="240"/>
        <w:spacing w:after="0" w:line="283" w:lineRule="auto"/>
        <w:rPr>
          <w:sz w:val="20"/>
          <w:szCs w:val="20"/>
          <w:color w:val="auto"/>
        </w:rPr>
      </w:pPr>
      <w:r>
        <w:rPr>
          <w:rFonts w:ascii="Arial" w:cs="Arial" w:eastAsia="Arial" w:hAnsi="Arial"/>
          <w:sz w:val="18"/>
          <w:szCs w:val="18"/>
          <w:b w:val="1"/>
          <w:bCs w:val="1"/>
          <w:i w:val="1"/>
          <w:iCs w:val="1"/>
          <w:color w:val="231F20"/>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04" w:lineRule="exact"/>
        <w:rPr>
          <w:sz w:val="20"/>
          <w:szCs w:val="20"/>
          <w:color w:val="auto"/>
        </w:rPr>
      </w:pPr>
    </w:p>
    <w:p>
      <w:pPr>
        <w:ind w:firstLine="463"/>
        <w:spacing w:after="0" w:line="246" w:lineRule="auto"/>
        <w:rPr>
          <w:sz w:val="20"/>
          <w:szCs w:val="20"/>
          <w:color w:val="auto"/>
        </w:rPr>
      </w:pPr>
      <w:r>
        <w:rPr>
          <w:rFonts w:ascii="Arial" w:cs="Arial" w:eastAsia="Arial" w:hAnsi="Arial"/>
          <w:sz w:val="19"/>
          <w:szCs w:val="19"/>
          <w:color w:val="231F20"/>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48" w:lineRule="exact"/>
        <w:rPr>
          <w:sz w:val="20"/>
          <w:szCs w:val="20"/>
          <w:color w:val="auto"/>
        </w:rPr>
      </w:pPr>
    </w:p>
    <w:p>
      <w:pPr>
        <w:ind w:right="40" w:firstLine="463"/>
        <w:spacing w:after="0"/>
        <w:rPr>
          <w:sz w:val="20"/>
          <w:szCs w:val="20"/>
          <w:color w:val="auto"/>
        </w:rPr>
      </w:pPr>
      <w:r>
        <w:rPr>
          <w:rFonts w:ascii="Arial" w:cs="Arial" w:eastAsia="Arial" w:hAnsi="Arial"/>
          <w:sz w:val="19"/>
          <w:szCs w:val="19"/>
          <w:color w:val="231F20"/>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 ordered to pay a $1.2 million penalty and, among other things, implement a monitoring and reporting program to demonstrate its ongoing compliance with the CCPA.</w:t>
      </w:r>
    </w:p>
    <w:p>
      <w:pPr>
        <w:spacing w:after="0" w:line="162" w:lineRule="exact"/>
        <w:rPr>
          <w:sz w:val="20"/>
          <w:szCs w:val="20"/>
          <w:color w:val="auto"/>
        </w:rPr>
      </w:pPr>
    </w:p>
    <w:p>
      <w:pPr>
        <w:ind w:right="60" w:firstLine="463"/>
        <w:spacing w:after="0" w:line="270" w:lineRule="auto"/>
        <w:rPr>
          <w:sz w:val="20"/>
          <w:szCs w:val="20"/>
          <w:color w:val="auto"/>
        </w:rPr>
      </w:pPr>
      <w:r>
        <w:rPr>
          <w:rFonts w:ascii="Arial" w:cs="Arial" w:eastAsia="Arial" w:hAnsi="Arial"/>
          <w:sz w:val="18"/>
          <w:szCs w:val="18"/>
          <w:color w:val="231F20"/>
        </w:rPr>
        <w:t>Additionally, the California Privacy Rights Act (CPRA), which was passed in November 2020 and became effective on January 1, 2023,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w:t>
      </w:r>
    </w:p>
    <w:p>
      <w:pPr>
        <w:sectPr>
          <w:pgSz w:w="12240" w:h="15840" w:orient="portrait"/>
          <w:cols w:equalWidth="0" w:num="1">
            <w:col w:w="10200"/>
          </w:cols>
          <w:pgMar w:left="1020" w:top="1440" w:right="1020" w:bottom="595"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60</w:t>
      </w:r>
    </w:p>
    <w:p>
      <w:pPr>
        <w:sectPr>
          <w:pgSz w:w="12240" w:h="15840" w:orient="portrait"/>
          <w:cols w:equalWidth="0" w:num="1">
            <w:col w:w="10200"/>
          </w:cols>
          <w:pgMar w:left="1020" w:top="1440" w:right="1020" w:bottom="595" w:gutter="0" w:footer="0" w:header="0"/>
          <w:type w:val="continuous"/>
        </w:sectPr>
      </w:pPr>
    </w:p>
    <w:bookmarkStart w:id="61" w:name="page62"/>
    <w:bookmarkEnd w:id="61"/>
    <w:p>
      <w:pPr>
        <w:spacing w:after="0" w:line="97" w:lineRule="exact"/>
        <w:rPr>
          <w:sz w:val="20"/>
          <w:szCs w:val="20"/>
          <w:color w:val="auto"/>
        </w:rPr>
      </w:pPr>
    </w:p>
    <w:p>
      <w:pPr>
        <w:ind w:right="440"/>
        <w:spacing w:after="0" w:line="258" w:lineRule="auto"/>
        <w:rPr>
          <w:sz w:val="20"/>
          <w:szCs w:val="20"/>
          <w:color w:val="auto"/>
        </w:rPr>
      </w:pPr>
      <w:r>
        <w:rPr>
          <w:rFonts w:ascii="Arial" w:cs="Arial" w:eastAsia="Arial" w:hAnsi="Arial"/>
          <w:sz w:val="19"/>
          <w:szCs w:val="19"/>
          <w:color w:val="231F20"/>
        </w:rPr>
        <w:t>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36" w:lineRule="exact"/>
        <w:rPr>
          <w:sz w:val="20"/>
          <w:szCs w:val="20"/>
          <w:color w:val="auto"/>
        </w:rPr>
      </w:pPr>
    </w:p>
    <w:p>
      <w:pPr>
        <w:ind w:right="20" w:firstLine="463"/>
        <w:spacing w:after="0" w:line="243" w:lineRule="auto"/>
        <w:rPr>
          <w:sz w:val="20"/>
          <w:szCs w:val="20"/>
          <w:color w:val="auto"/>
        </w:rPr>
      </w:pPr>
      <w:r>
        <w:rPr>
          <w:rFonts w:ascii="Arial" w:cs="Arial" w:eastAsia="Arial" w:hAnsi="Arial"/>
          <w:sz w:val="19"/>
          <w:szCs w:val="19"/>
          <w:color w:val="231F20"/>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Several states in the U.S. have proposed or enacted laws that contain obligations similar to the CCPA and CPRA that have taken effect or will take effect in coming years. The U.S. federal government also is contemplating federal privacy legislation. The effects of recently proposed or enacted legislation potentially are far-reaching.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49" w:lineRule="exact"/>
        <w:rPr>
          <w:sz w:val="20"/>
          <w:szCs w:val="20"/>
          <w:color w:val="auto"/>
        </w:rPr>
      </w:pPr>
    </w:p>
    <w:p>
      <w:pPr>
        <w:ind w:right="120" w:firstLine="463"/>
        <w:spacing w:after="0" w:line="256" w:lineRule="auto"/>
        <w:rPr>
          <w:sz w:val="20"/>
          <w:szCs w:val="20"/>
          <w:color w:val="auto"/>
        </w:rPr>
      </w:pPr>
      <w:r>
        <w:rPr>
          <w:rFonts w:ascii="Arial" w:cs="Arial" w:eastAsia="Arial" w:hAnsi="Arial"/>
          <w:sz w:val="18"/>
          <w:szCs w:val="18"/>
          <w:color w:val="231F20"/>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39" w:lineRule="exact"/>
        <w:rPr>
          <w:sz w:val="20"/>
          <w:szCs w:val="20"/>
          <w:color w:val="auto"/>
        </w:rPr>
      </w:pPr>
    </w:p>
    <w:p>
      <w:pPr>
        <w:ind w:right="20" w:firstLine="463"/>
        <w:spacing w:after="0"/>
        <w:rPr>
          <w:sz w:val="20"/>
          <w:szCs w:val="20"/>
          <w:color w:val="auto"/>
        </w:rPr>
      </w:pPr>
      <w:r>
        <w:rPr>
          <w:rFonts w:ascii="Arial" w:cs="Arial" w:eastAsia="Arial" w:hAnsi="Arial"/>
          <w:sz w:val="19"/>
          <w:szCs w:val="19"/>
          <w:color w:val="231F20"/>
        </w:rPr>
        <w:t>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cs="Arial" w:eastAsia="Arial" w:hAnsi="Arial"/>
          <w:sz w:val="19"/>
          <w:szCs w:val="19"/>
          <w:i w:val="1"/>
          <w:iCs w:val="1"/>
          <w:color w:val="231F20"/>
        </w:rPr>
        <w:t>Schrems II</w:t>
      </w:r>
      <w:r>
        <w:rPr>
          <w:rFonts w:ascii="Arial" w:cs="Arial" w:eastAsia="Arial" w:hAnsi="Arial"/>
          <w:sz w:val="19"/>
          <w:szCs w:val="19"/>
          <w:color w:val="231F20"/>
        </w:rPr>
        <w:t xml:space="preserve">”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SCCs, while the authorities interpret the </w:t>
      </w:r>
      <w:r>
        <w:rPr>
          <w:rFonts w:ascii="Arial" w:cs="Arial" w:eastAsia="Arial" w:hAnsi="Arial"/>
          <w:sz w:val="19"/>
          <w:szCs w:val="19"/>
          <w:i w:val="1"/>
          <w:iCs w:val="1"/>
          <w:color w:val="231F20"/>
        </w:rPr>
        <w:t>Schrems II</w:t>
      </w:r>
      <w:r>
        <w:rPr>
          <w:rFonts w:ascii="Arial" w:cs="Arial" w:eastAsia="Arial" w:hAnsi="Arial"/>
          <w:sz w:val="19"/>
          <w:szCs w:val="19"/>
          <w:color w:val="231F20"/>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9"/>
          <w:szCs w:val="19"/>
          <w:i w:val="1"/>
          <w:iCs w:val="1"/>
          <w:color w:val="231F20"/>
        </w:rPr>
        <w:t>Schrems II</w:t>
      </w:r>
      <w:r>
        <w:rPr>
          <w:rFonts w:ascii="Arial" w:cs="Arial" w:eastAsia="Arial" w:hAnsi="Arial"/>
          <w:sz w:val="19"/>
          <w:szCs w:val="19"/>
          <w:color w:val="231F20"/>
        </w:rPr>
        <w:t xml:space="preserve"> decision), and may be further challenged, suspended or invalidated for transfers to some or all countries. For example, guidance regarding </w:t>
      </w:r>
      <w:r>
        <w:rPr>
          <w:rFonts w:ascii="Arial" w:cs="Arial" w:eastAsia="Arial" w:hAnsi="Arial"/>
          <w:sz w:val="19"/>
          <w:szCs w:val="19"/>
          <w:i w:val="1"/>
          <w:iCs w:val="1"/>
          <w:color w:val="231F20"/>
        </w:rPr>
        <w:t>Schrems II</w:t>
      </w:r>
      <w:r>
        <w:rPr>
          <w:rFonts w:ascii="Arial" w:cs="Arial" w:eastAsia="Arial" w:hAnsi="Arial"/>
          <w:sz w:val="19"/>
          <w:szCs w:val="19"/>
          <w:color w:val="231F20"/>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163" w:lineRule="exact"/>
        <w:rPr>
          <w:sz w:val="20"/>
          <w:szCs w:val="20"/>
          <w:color w:val="auto"/>
        </w:rPr>
      </w:pPr>
    </w:p>
    <w:p>
      <w:pPr>
        <w:ind w:firstLine="463"/>
        <w:spacing w:after="0" w:line="259" w:lineRule="auto"/>
        <w:rPr>
          <w:sz w:val="20"/>
          <w:szCs w:val="20"/>
          <w:color w:val="auto"/>
        </w:rPr>
      </w:pPr>
      <w:r>
        <w:rPr>
          <w:rFonts w:ascii="Arial" w:cs="Arial" w:eastAsia="Arial" w:hAnsi="Arial"/>
          <w:sz w:val="18"/>
          <w:szCs w:val="18"/>
          <w:color w:val="231F20"/>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w:t>
      </w:r>
    </w:p>
    <w:p>
      <w:pPr>
        <w:sectPr>
          <w:pgSz w:w="12240" w:h="15840" w:orient="portrait"/>
          <w:cols w:equalWidth="0" w:num="1">
            <w:col w:w="10200"/>
          </w:cols>
          <w:pgMar w:left="1020" w:top="1440" w:right="1020" w:bottom="595"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61</w:t>
      </w:r>
    </w:p>
    <w:p>
      <w:pPr>
        <w:sectPr>
          <w:pgSz w:w="12240" w:h="15840" w:orient="portrait"/>
          <w:cols w:equalWidth="0" w:num="1">
            <w:col w:w="10200"/>
          </w:cols>
          <w:pgMar w:left="1020" w:top="1440" w:right="1020" w:bottom="595" w:gutter="0" w:footer="0" w:header="0"/>
          <w:type w:val="continuous"/>
        </w:sectPr>
      </w:pPr>
    </w:p>
    <w:bookmarkStart w:id="62" w:name="page63"/>
    <w:bookmarkEnd w:id="62"/>
    <w:p>
      <w:pPr>
        <w:spacing w:after="0" w:line="97" w:lineRule="exact"/>
        <w:rPr>
          <w:sz w:val="20"/>
          <w:szCs w:val="20"/>
          <w:color w:val="auto"/>
        </w:rPr>
      </w:pPr>
    </w:p>
    <w:p>
      <w:pPr>
        <w:ind w:right="200"/>
        <w:spacing w:after="0" w:line="307" w:lineRule="auto"/>
        <w:rPr>
          <w:sz w:val="20"/>
          <w:szCs w:val="20"/>
          <w:color w:val="auto"/>
        </w:rPr>
      </w:pPr>
      <w:r>
        <w:rPr>
          <w:rFonts w:ascii="Arial" w:cs="Arial" w:eastAsia="Arial" w:hAnsi="Arial"/>
          <w:sz w:val="18"/>
          <w:szCs w:val="18"/>
          <w:color w:val="231F20"/>
        </w:rPr>
        <w:t>SCCs are not immediately in force, compliance with them will be required for new transfer agreements entered into from late September 2021. SCCs then in effect were required to be replaced with the New SCCs by December 27, 2022.</w:t>
      </w:r>
    </w:p>
    <w:p>
      <w:pPr>
        <w:spacing w:after="0" w:line="94" w:lineRule="exact"/>
        <w:rPr>
          <w:sz w:val="20"/>
          <w:szCs w:val="20"/>
          <w:color w:val="auto"/>
        </w:rPr>
      </w:pPr>
    </w:p>
    <w:p>
      <w:pPr>
        <w:ind w:right="40" w:firstLine="463"/>
        <w:spacing w:after="0" w:line="248" w:lineRule="auto"/>
        <w:rPr>
          <w:sz w:val="20"/>
          <w:szCs w:val="20"/>
          <w:color w:val="auto"/>
        </w:rPr>
      </w:pPr>
      <w:r>
        <w:rPr>
          <w:rFonts w:ascii="Arial" w:cs="Arial" w:eastAsia="Arial" w:hAnsi="Arial"/>
          <w:sz w:val="19"/>
          <w:szCs w:val="19"/>
          <w:color w:val="231F20"/>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We are in the process of evaluating how we may self-certify as a participating organization with the U.S. Department of Commerce.</w:t>
      </w:r>
    </w:p>
    <w:p>
      <w:pPr>
        <w:spacing w:after="0" w:line="146" w:lineRule="exact"/>
        <w:rPr>
          <w:sz w:val="20"/>
          <w:szCs w:val="20"/>
          <w:color w:val="auto"/>
        </w:rPr>
      </w:pPr>
    </w:p>
    <w:p>
      <w:pPr>
        <w:ind w:right="180" w:firstLine="463"/>
        <w:spacing w:after="0" w:line="243" w:lineRule="auto"/>
        <w:rPr>
          <w:sz w:val="20"/>
          <w:szCs w:val="20"/>
          <w:color w:val="auto"/>
        </w:rPr>
      </w:pPr>
      <w:r>
        <w:rPr>
          <w:rFonts w:ascii="Arial" w:cs="Arial" w:eastAsia="Arial" w:hAnsi="Arial"/>
          <w:sz w:val="19"/>
          <w:szCs w:val="19"/>
          <w:color w:val="231F20"/>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53" w:lineRule="exact"/>
        <w:rPr>
          <w:sz w:val="20"/>
          <w:szCs w:val="20"/>
          <w:color w:val="auto"/>
        </w:rPr>
      </w:pPr>
    </w:p>
    <w:p>
      <w:pPr>
        <w:ind w:right="160" w:firstLine="463"/>
        <w:spacing w:after="0" w:line="243" w:lineRule="auto"/>
        <w:rPr>
          <w:sz w:val="20"/>
          <w:szCs w:val="20"/>
          <w:color w:val="auto"/>
        </w:rPr>
      </w:pPr>
      <w:r>
        <w:rPr>
          <w:rFonts w:ascii="Arial" w:cs="Arial" w:eastAsia="Arial" w:hAnsi="Arial"/>
          <w:sz w:val="19"/>
          <w:szCs w:val="19"/>
          <w:color w:val="231F20"/>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53" w:lineRule="exact"/>
        <w:rPr>
          <w:sz w:val="20"/>
          <w:szCs w:val="20"/>
          <w:color w:val="auto"/>
        </w:rPr>
      </w:pPr>
    </w:p>
    <w:p>
      <w:pPr>
        <w:ind w:firstLine="463"/>
        <w:spacing w:after="0" w:line="245" w:lineRule="auto"/>
        <w:rPr>
          <w:sz w:val="20"/>
          <w:szCs w:val="20"/>
          <w:color w:val="auto"/>
        </w:rPr>
      </w:pPr>
      <w:r>
        <w:rPr>
          <w:rFonts w:ascii="Arial" w:cs="Arial" w:eastAsia="Arial" w:hAnsi="Arial"/>
          <w:sz w:val="19"/>
          <w:szCs w:val="19"/>
          <w:color w:val="231F20"/>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48" w:lineRule="exact"/>
        <w:rPr>
          <w:sz w:val="20"/>
          <w:szCs w:val="20"/>
          <w:color w:val="auto"/>
        </w:rPr>
      </w:pPr>
    </w:p>
    <w:p>
      <w:pPr>
        <w:ind w:right="80" w:firstLine="463"/>
        <w:spacing w:after="0" w:line="248" w:lineRule="auto"/>
        <w:rPr>
          <w:sz w:val="20"/>
          <w:szCs w:val="20"/>
          <w:color w:val="auto"/>
        </w:rPr>
      </w:pPr>
      <w:r>
        <w:rPr>
          <w:rFonts w:ascii="Arial" w:cs="Arial" w:eastAsia="Arial" w:hAnsi="Arial"/>
          <w:sz w:val="19"/>
          <w:szCs w:val="19"/>
          <w:color w:val="231F20"/>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46" w:lineRule="exact"/>
        <w:rPr>
          <w:sz w:val="20"/>
          <w:szCs w:val="20"/>
          <w:color w:val="auto"/>
        </w:rPr>
      </w:pPr>
    </w:p>
    <w:p>
      <w:pPr>
        <w:ind w:right="20" w:firstLine="463"/>
        <w:spacing w:after="0" w:line="245" w:lineRule="auto"/>
        <w:rPr>
          <w:sz w:val="20"/>
          <w:szCs w:val="20"/>
          <w:color w:val="auto"/>
        </w:rPr>
      </w:pPr>
      <w:r>
        <w:rPr>
          <w:rFonts w:ascii="Arial" w:cs="Arial" w:eastAsia="Arial" w:hAnsi="Arial"/>
          <w:sz w:val="19"/>
          <w:szCs w:val="19"/>
          <w:color w:val="231F20"/>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spacing w:after="0" w:line="148" w:lineRule="exact"/>
        <w:rPr>
          <w:sz w:val="20"/>
          <w:szCs w:val="20"/>
          <w:color w:val="auto"/>
        </w:rPr>
      </w:pPr>
    </w:p>
    <w:p>
      <w:pPr>
        <w:ind w:right="20" w:firstLine="463"/>
        <w:spacing w:after="0" w:line="244" w:lineRule="auto"/>
        <w:rPr>
          <w:sz w:val="20"/>
          <w:szCs w:val="20"/>
          <w:color w:val="auto"/>
        </w:rPr>
      </w:pPr>
      <w:r>
        <w:rPr>
          <w:rFonts w:ascii="Arial" w:cs="Arial" w:eastAsia="Arial" w:hAnsi="Arial"/>
          <w:sz w:val="19"/>
          <w:szCs w:val="19"/>
          <w:color w:val="231F20"/>
        </w:rPr>
        <w:t>China (home to the most online users in the world) passed its DSL and its PIPL in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enforcement actions against Alibaba Group Holding Ltd and Didi Global Inc. in 2022.</w:t>
      </w:r>
    </w:p>
    <w:p>
      <w:pPr>
        <w:sectPr>
          <w:pgSz w:w="12240" w:h="15840" w:orient="portrait"/>
          <w:cols w:equalWidth="0" w:num="1">
            <w:col w:w="10200"/>
          </w:cols>
          <w:pgMar w:left="1020" w:top="1440" w:right="1020" w:bottom="595"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62</w:t>
      </w:r>
    </w:p>
    <w:p>
      <w:pPr>
        <w:sectPr>
          <w:pgSz w:w="12240" w:h="15840" w:orient="portrait"/>
          <w:cols w:equalWidth="0" w:num="1">
            <w:col w:w="10200"/>
          </w:cols>
          <w:pgMar w:left="1020" w:top="1440" w:right="1020" w:bottom="595" w:gutter="0" w:footer="0" w:header="0"/>
          <w:type w:val="continuous"/>
        </w:sectPr>
      </w:pPr>
    </w:p>
    <w:bookmarkStart w:id="63" w:name="page64"/>
    <w:bookmarkEnd w:id="63"/>
    <w:p>
      <w:pPr>
        <w:spacing w:after="0" w:line="97" w:lineRule="exact"/>
        <w:rPr>
          <w:sz w:val="20"/>
          <w:szCs w:val="20"/>
          <w:color w:val="auto"/>
        </w:rPr>
      </w:pPr>
    </w:p>
    <w:p>
      <w:pPr>
        <w:ind w:right="160" w:firstLine="463"/>
        <w:spacing w:after="0" w:line="259" w:lineRule="auto"/>
        <w:rPr>
          <w:sz w:val="20"/>
          <w:szCs w:val="20"/>
          <w:color w:val="auto"/>
        </w:rPr>
      </w:pPr>
      <w:r>
        <w:rPr>
          <w:rFonts w:ascii="Arial" w:cs="Arial" w:eastAsia="Arial" w:hAnsi="Arial"/>
          <w:sz w:val="18"/>
          <w:szCs w:val="18"/>
          <w:color w:val="231F20"/>
        </w:rPr>
        <w:t>As a reaction to data security concerns, in 2022, the Australian parliament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spacing w:after="0" w:line="140" w:lineRule="exact"/>
        <w:rPr>
          <w:sz w:val="20"/>
          <w:szCs w:val="20"/>
          <w:color w:val="auto"/>
        </w:rPr>
      </w:pPr>
    </w:p>
    <w:p>
      <w:pPr>
        <w:ind w:right="160" w:firstLine="463"/>
        <w:spacing w:after="0" w:line="258" w:lineRule="auto"/>
        <w:rPr>
          <w:sz w:val="20"/>
          <w:szCs w:val="20"/>
          <w:color w:val="auto"/>
        </w:rPr>
      </w:pPr>
      <w:r>
        <w:rPr>
          <w:rFonts w:ascii="Arial" w:cs="Arial" w:eastAsia="Arial" w:hAnsi="Arial"/>
          <w:sz w:val="19"/>
          <w:szCs w:val="19"/>
          <w:color w:val="231F20"/>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spacing w:after="0" w:line="136" w:lineRule="exact"/>
        <w:rPr>
          <w:sz w:val="20"/>
          <w:szCs w:val="20"/>
          <w:color w:val="auto"/>
        </w:rPr>
      </w:pPr>
    </w:p>
    <w:p>
      <w:pPr>
        <w:ind w:firstLine="463"/>
        <w:spacing w:after="0" w:line="254" w:lineRule="auto"/>
        <w:rPr>
          <w:sz w:val="20"/>
          <w:szCs w:val="20"/>
          <w:color w:val="auto"/>
        </w:rPr>
      </w:pPr>
      <w:r>
        <w:rPr>
          <w:rFonts w:ascii="Arial" w:cs="Arial" w:eastAsia="Arial" w:hAnsi="Arial"/>
          <w:sz w:val="18"/>
          <w:szCs w:val="18"/>
          <w:color w:val="231F20"/>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54" w:lineRule="exact"/>
        <w:rPr>
          <w:sz w:val="20"/>
          <w:szCs w:val="20"/>
          <w:color w:val="auto"/>
        </w:rPr>
      </w:pPr>
    </w:p>
    <w:p>
      <w:pPr>
        <w:ind w:right="60" w:firstLine="463"/>
        <w:spacing w:after="0" w:line="246" w:lineRule="auto"/>
        <w:rPr>
          <w:sz w:val="20"/>
          <w:szCs w:val="20"/>
          <w:color w:val="auto"/>
        </w:rPr>
      </w:pPr>
      <w:r>
        <w:rPr>
          <w:rFonts w:ascii="Arial" w:cs="Arial" w:eastAsia="Arial" w:hAnsi="Arial"/>
          <w:sz w:val="19"/>
          <w:szCs w:val="19"/>
          <w:color w:val="231F20"/>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52" w:lineRule="exact"/>
        <w:rPr>
          <w:sz w:val="20"/>
          <w:szCs w:val="20"/>
          <w:color w:val="auto"/>
        </w:rPr>
      </w:pPr>
    </w:p>
    <w:p>
      <w:pPr>
        <w:ind w:right="100"/>
        <w:spacing w:after="0" w:line="285" w:lineRule="auto"/>
        <w:rPr>
          <w:sz w:val="20"/>
          <w:szCs w:val="20"/>
          <w:color w:val="auto"/>
        </w:rPr>
      </w:pPr>
      <w:r>
        <w:rPr>
          <w:rFonts w:ascii="Arial" w:cs="Arial" w:eastAsia="Arial" w:hAnsi="Arial"/>
          <w:sz w:val="19"/>
          <w:szCs w:val="19"/>
          <w:b w:val="1"/>
          <w:bCs w:val="1"/>
          <w:i w:val="1"/>
          <w:iCs w:val="1"/>
          <w:color w:val="231F20"/>
        </w:rPr>
        <w:t>We are subject to anti-corruption, anti-bribery, and similar laws, and non-compliance with such laws can subject us to criminal or civil liability and harm our business.</w:t>
      </w:r>
    </w:p>
    <w:p>
      <w:pPr>
        <w:spacing w:after="0" w:line="100" w:lineRule="exact"/>
        <w:rPr>
          <w:sz w:val="20"/>
          <w:szCs w:val="20"/>
          <w:color w:val="auto"/>
        </w:rPr>
      </w:pPr>
    </w:p>
    <w:p>
      <w:pPr>
        <w:ind w:right="20" w:firstLine="463"/>
        <w:spacing w:after="0" w:line="241" w:lineRule="auto"/>
        <w:rPr>
          <w:sz w:val="20"/>
          <w:szCs w:val="20"/>
          <w:color w:val="auto"/>
        </w:rPr>
      </w:pPr>
      <w:r>
        <w:rPr>
          <w:rFonts w:ascii="Arial" w:cs="Arial" w:eastAsia="Arial" w:hAnsi="Arial"/>
          <w:sz w:val="19"/>
          <w:szCs w:val="19"/>
          <w:color w:val="231F20"/>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solutions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60" w:lineRule="exact"/>
        <w:rPr>
          <w:sz w:val="20"/>
          <w:szCs w:val="20"/>
          <w:color w:val="auto"/>
        </w:rPr>
      </w:pPr>
    </w:p>
    <w:p>
      <w:pPr>
        <w:ind w:right="80" w:firstLine="463"/>
        <w:spacing w:after="0" w:line="307" w:lineRule="auto"/>
        <w:rPr>
          <w:sz w:val="20"/>
          <w:szCs w:val="20"/>
          <w:color w:val="auto"/>
        </w:rPr>
      </w:pPr>
      <w:r>
        <w:rPr>
          <w:rFonts w:ascii="Arial" w:cs="Arial" w:eastAsia="Arial" w:hAnsi="Arial"/>
          <w:sz w:val="18"/>
          <w:szCs w:val="18"/>
          <w:color w:val="231F20"/>
        </w:rPr>
        <w:t>While we maintain policies and training programs for our FlyMates related to anti-corruption, anti-bribery and gift giving, and include representations regarding legal compliance in our contracts with vendors and strategic partners, there</w:t>
      </w:r>
    </w:p>
    <w:p>
      <w:pPr>
        <w:sectPr>
          <w:pgSz w:w="12240" w:h="15840" w:orient="portrait"/>
          <w:cols w:equalWidth="0" w:num="1">
            <w:col w:w="10180"/>
          </w:cols>
          <w:pgMar w:left="1020" w:top="1440" w:right="1040" w:bottom="595"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63</w:t>
      </w:r>
    </w:p>
    <w:p>
      <w:pPr>
        <w:sectPr>
          <w:pgSz w:w="12240" w:h="15840" w:orient="portrait"/>
          <w:cols w:equalWidth="0" w:num="1">
            <w:col w:w="10180"/>
          </w:cols>
          <w:pgMar w:left="1020" w:top="1440" w:right="1040" w:bottom="595" w:gutter="0" w:footer="0" w:header="0"/>
          <w:type w:val="continuous"/>
        </w:sectPr>
      </w:pPr>
    </w:p>
    <w:bookmarkStart w:id="64" w:name="page65"/>
    <w:bookmarkEnd w:id="64"/>
    <w:p>
      <w:pPr>
        <w:spacing w:after="0" w:line="97" w:lineRule="exact"/>
        <w:rPr>
          <w:sz w:val="20"/>
          <w:szCs w:val="20"/>
          <w:color w:val="auto"/>
        </w:rPr>
      </w:pPr>
    </w:p>
    <w:p>
      <w:pPr>
        <w:ind w:right="40"/>
        <w:spacing w:after="0" w:line="251" w:lineRule="auto"/>
        <w:rPr>
          <w:sz w:val="20"/>
          <w:szCs w:val="20"/>
          <w:color w:val="auto"/>
        </w:rPr>
      </w:pPr>
      <w:r>
        <w:rPr>
          <w:rFonts w:ascii="Arial" w:cs="Arial" w:eastAsia="Arial" w:hAnsi="Arial"/>
          <w:sz w:val="19"/>
          <w:szCs w:val="19"/>
          <w:color w:val="231F20"/>
        </w:rPr>
        <w:t>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44" w:lineRule="exact"/>
        <w:rPr>
          <w:sz w:val="20"/>
          <w:szCs w:val="20"/>
          <w:color w:val="auto"/>
        </w:rPr>
      </w:pPr>
    </w:p>
    <w:p>
      <w:pPr>
        <w:ind w:right="200" w:firstLine="463"/>
        <w:spacing w:after="0" w:line="243" w:lineRule="auto"/>
        <w:rPr>
          <w:sz w:val="20"/>
          <w:szCs w:val="20"/>
          <w:color w:val="auto"/>
        </w:rPr>
      </w:pPr>
      <w:r>
        <w:rPr>
          <w:rFonts w:ascii="Arial" w:cs="Arial" w:eastAsia="Arial" w:hAnsi="Arial"/>
          <w:sz w:val="19"/>
          <w:szCs w:val="19"/>
          <w:color w:val="231F20"/>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53"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In February 2022, following Russia’s invasion of Ukraine, the United States and other countries announced sanctions against Russia. The sanctions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spacing w:after="0" w:line="153" w:lineRule="exact"/>
        <w:rPr>
          <w:sz w:val="20"/>
          <w:szCs w:val="20"/>
          <w:color w:val="auto"/>
        </w:rPr>
      </w:pPr>
    </w:p>
    <w:p>
      <w:pPr>
        <w:ind w:right="400"/>
        <w:spacing w:after="0" w:line="285" w:lineRule="auto"/>
        <w:rPr>
          <w:sz w:val="20"/>
          <w:szCs w:val="20"/>
          <w:color w:val="auto"/>
        </w:rPr>
      </w:pPr>
      <w:r>
        <w:rPr>
          <w:rFonts w:ascii="Arial" w:cs="Arial" w:eastAsia="Arial" w:hAnsi="Arial"/>
          <w:sz w:val="19"/>
          <w:szCs w:val="19"/>
          <w:b w:val="1"/>
          <w:bCs w:val="1"/>
          <w:i w:val="1"/>
          <w:iCs w:val="1"/>
          <w:color w:val="231F20"/>
        </w:rPr>
        <w:t>If we fail to adequately protect our proprietary rights, our competitive position could be impaired and we may lose valuable assets, generate less revenue and incur costly litigation to protect our rights.</w:t>
      </w:r>
    </w:p>
    <w:p>
      <w:pPr>
        <w:spacing w:after="0" w:line="100" w:lineRule="exact"/>
        <w:rPr>
          <w:sz w:val="20"/>
          <w:szCs w:val="20"/>
          <w:color w:val="auto"/>
        </w:rPr>
      </w:pPr>
    </w:p>
    <w:p>
      <w:pPr>
        <w:ind w:right="20" w:firstLine="463"/>
        <w:spacing w:after="0" w:line="257" w:lineRule="auto"/>
        <w:rPr>
          <w:sz w:val="20"/>
          <w:szCs w:val="20"/>
          <w:color w:val="auto"/>
        </w:rPr>
      </w:pPr>
      <w:r>
        <w:rPr>
          <w:rFonts w:ascii="Arial" w:cs="Arial" w:eastAsia="Arial" w:hAnsi="Arial"/>
          <w:sz w:val="18"/>
          <w:szCs w:val="18"/>
          <w:color w:val="231F20"/>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40" w:lineRule="exact"/>
        <w:rPr>
          <w:sz w:val="20"/>
          <w:szCs w:val="20"/>
          <w:color w:val="auto"/>
        </w:rPr>
      </w:pPr>
    </w:p>
    <w:p>
      <w:pPr>
        <w:ind w:firstLine="463"/>
        <w:spacing w:after="0" w:line="242" w:lineRule="auto"/>
        <w:rPr>
          <w:sz w:val="20"/>
          <w:szCs w:val="20"/>
          <w:color w:val="auto"/>
        </w:rPr>
      </w:pPr>
      <w:r>
        <w:rPr>
          <w:rFonts w:ascii="Arial" w:cs="Arial" w:eastAsia="Arial" w:hAnsi="Arial"/>
          <w:sz w:val="19"/>
          <w:szCs w:val="19"/>
          <w:color w:val="231F20"/>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 Furthermore, the growing use of generative artificial intelligence presents an increased risk of unintentional and/or unauthorized disclosure or use of our intellectual property rights.</w:t>
      </w:r>
    </w:p>
    <w:p>
      <w:pPr>
        <w:spacing w:after="0" w:line="152" w:lineRule="exact"/>
        <w:rPr>
          <w:sz w:val="20"/>
          <w:szCs w:val="20"/>
          <w:color w:val="auto"/>
        </w:rPr>
      </w:pPr>
    </w:p>
    <w:p>
      <w:pPr>
        <w:ind w:right="220" w:firstLine="463"/>
        <w:spacing w:after="0" w:line="265" w:lineRule="auto"/>
        <w:rPr>
          <w:sz w:val="20"/>
          <w:szCs w:val="20"/>
          <w:color w:val="auto"/>
        </w:rPr>
      </w:pPr>
      <w:r>
        <w:rPr>
          <w:rFonts w:ascii="Arial" w:cs="Arial" w:eastAsia="Arial" w:hAnsi="Arial"/>
          <w:sz w:val="18"/>
          <w:szCs w:val="18"/>
          <w:color w:val="231F20"/>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w:t>
      </w:r>
    </w:p>
    <w:p>
      <w:pPr>
        <w:sectPr>
          <w:pgSz w:w="12240" w:h="15840" w:orient="portrait"/>
          <w:cols w:equalWidth="0" w:num="1">
            <w:col w:w="10180"/>
          </w:cols>
          <w:pgMar w:left="1020" w:top="1440" w:right="1040" w:bottom="595"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64</w:t>
      </w:r>
    </w:p>
    <w:p>
      <w:pPr>
        <w:sectPr>
          <w:pgSz w:w="12240" w:h="15840" w:orient="portrait"/>
          <w:cols w:equalWidth="0" w:num="1">
            <w:col w:w="10180"/>
          </w:cols>
          <w:pgMar w:left="1020" w:top="1440" w:right="1040" w:bottom="595" w:gutter="0" w:footer="0" w:header="0"/>
          <w:type w:val="continuous"/>
        </w:sectPr>
      </w:pPr>
    </w:p>
    <w:bookmarkStart w:id="65" w:name="page66"/>
    <w:bookmarkEnd w:id="65"/>
    <w:p>
      <w:pPr>
        <w:spacing w:after="0" w:line="97" w:lineRule="exact"/>
        <w:rPr>
          <w:sz w:val="20"/>
          <w:szCs w:val="20"/>
          <w:color w:val="auto"/>
        </w:rPr>
      </w:pPr>
    </w:p>
    <w:p>
      <w:pPr>
        <w:ind w:right="200"/>
        <w:spacing w:after="0" w:line="248" w:lineRule="auto"/>
        <w:rPr>
          <w:sz w:val="20"/>
          <w:szCs w:val="20"/>
          <w:color w:val="auto"/>
        </w:rPr>
      </w:pPr>
      <w:r>
        <w:rPr>
          <w:rFonts w:ascii="Arial" w:cs="Arial" w:eastAsia="Arial" w:hAnsi="Arial"/>
          <w:sz w:val="19"/>
          <w:szCs w:val="19"/>
          <w:color w:val="231F20"/>
        </w:rPr>
        <w:t>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46" w:lineRule="exact"/>
        <w:rPr>
          <w:sz w:val="20"/>
          <w:szCs w:val="20"/>
          <w:color w:val="auto"/>
        </w:rPr>
      </w:pPr>
    </w:p>
    <w:p>
      <w:pPr>
        <w:ind w:right="60" w:firstLine="463"/>
        <w:spacing w:after="0" w:line="242" w:lineRule="auto"/>
        <w:rPr>
          <w:sz w:val="20"/>
          <w:szCs w:val="20"/>
          <w:color w:val="auto"/>
        </w:rPr>
      </w:pPr>
      <w:r>
        <w:rPr>
          <w:rFonts w:ascii="Arial" w:cs="Arial" w:eastAsia="Arial" w:hAnsi="Arial"/>
          <w:sz w:val="19"/>
          <w:szCs w:val="19"/>
          <w:color w:val="231F20"/>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56" w:lineRule="exact"/>
        <w:rPr>
          <w:sz w:val="20"/>
          <w:szCs w:val="20"/>
          <w:color w:val="auto"/>
        </w:rPr>
      </w:pPr>
    </w:p>
    <w:p>
      <w:pPr>
        <w:ind w:right="820"/>
        <w:spacing w:after="0" w:line="285" w:lineRule="auto"/>
        <w:rPr>
          <w:sz w:val="20"/>
          <w:szCs w:val="20"/>
          <w:color w:val="auto"/>
        </w:rPr>
      </w:pPr>
      <w:r>
        <w:rPr>
          <w:rFonts w:ascii="Arial" w:cs="Arial" w:eastAsia="Arial" w:hAnsi="Arial"/>
          <w:sz w:val="19"/>
          <w:szCs w:val="19"/>
          <w:b w:val="1"/>
          <w:bCs w:val="1"/>
          <w:i w:val="1"/>
          <w:iCs w:val="1"/>
          <w:color w:val="231F20"/>
        </w:rPr>
        <w:t>We may in the future be subject to intellectual property disputes, which are costly and may subject us to significant liability and increased costs of doing business.</w:t>
      </w:r>
    </w:p>
    <w:p>
      <w:pPr>
        <w:spacing w:after="0" w:line="100" w:lineRule="exact"/>
        <w:rPr>
          <w:sz w:val="20"/>
          <w:szCs w:val="20"/>
          <w:color w:val="auto"/>
        </w:rPr>
      </w:pPr>
    </w:p>
    <w:p>
      <w:pPr>
        <w:ind w:right="140" w:firstLine="463"/>
        <w:spacing w:after="0" w:line="241" w:lineRule="auto"/>
        <w:rPr>
          <w:sz w:val="20"/>
          <w:szCs w:val="20"/>
          <w:color w:val="auto"/>
        </w:rPr>
      </w:pPr>
      <w:r>
        <w:rPr>
          <w:rFonts w:ascii="Arial" w:cs="Arial" w:eastAsia="Arial" w:hAnsi="Arial"/>
          <w:sz w:val="19"/>
          <w:szCs w:val="19"/>
          <w:color w:val="231F20"/>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64" w:lineRule="exact"/>
        <w:rPr>
          <w:sz w:val="20"/>
          <w:szCs w:val="20"/>
          <w:color w:val="auto"/>
        </w:rPr>
      </w:pPr>
    </w:p>
    <w:p>
      <w:pPr>
        <w:spacing w:after="0" w:line="285" w:lineRule="auto"/>
        <w:rPr>
          <w:sz w:val="20"/>
          <w:szCs w:val="20"/>
          <w:color w:val="auto"/>
        </w:rPr>
      </w:pPr>
      <w:r>
        <w:rPr>
          <w:rFonts w:ascii="Arial" w:cs="Arial" w:eastAsia="Arial" w:hAnsi="Arial"/>
          <w:sz w:val="19"/>
          <w:szCs w:val="19"/>
          <w:b w:val="1"/>
          <w:bCs w:val="1"/>
          <w:i w:val="1"/>
          <w:iCs w:val="1"/>
          <w:color w:val="231F20"/>
        </w:rPr>
        <w:t>Our use of “open source” software could negatively affect our ability to offer and sell access to our solutions and subject us to possible litigation.</w:t>
      </w:r>
    </w:p>
    <w:p>
      <w:pPr>
        <w:spacing w:after="0" w:line="100" w:lineRule="exact"/>
        <w:rPr>
          <w:sz w:val="20"/>
          <w:szCs w:val="20"/>
          <w:color w:val="auto"/>
        </w:rPr>
      </w:pPr>
    </w:p>
    <w:p>
      <w:pPr>
        <w:ind w:right="140" w:firstLine="463"/>
        <w:spacing w:after="0" w:line="244" w:lineRule="auto"/>
        <w:rPr>
          <w:sz w:val="20"/>
          <w:szCs w:val="20"/>
          <w:color w:val="auto"/>
        </w:rPr>
      </w:pPr>
      <w:r>
        <w:rPr>
          <w:rFonts w:ascii="Arial" w:cs="Arial" w:eastAsia="Arial" w:hAnsi="Arial"/>
          <w:sz w:val="19"/>
          <w:szCs w:val="19"/>
          <w:color w:val="231F20"/>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50" w:lineRule="exact"/>
        <w:rPr>
          <w:sz w:val="20"/>
          <w:szCs w:val="20"/>
          <w:color w:val="auto"/>
        </w:rPr>
      </w:pPr>
    </w:p>
    <w:p>
      <w:pPr>
        <w:jc w:val="both"/>
        <w:ind w:right="40" w:firstLine="463"/>
        <w:spacing w:after="0" w:line="261" w:lineRule="auto"/>
        <w:rPr>
          <w:sz w:val="20"/>
          <w:szCs w:val="20"/>
          <w:color w:val="auto"/>
        </w:rPr>
      </w:pPr>
      <w:r>
        <w:rPr>
          <w:rFonts w:ascii="Arial" w:cs="Arial" w:eastAsia="Arial" w:hAnsi="Arial"/>
          <w:sz w:val="18"/>
          <w:szCs w:val="18"/>
          <w:color w:val="231F20"/>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w:t>
      </w:r>
    </w:p>
    <w:p>
      <w:pPr>
        <w:ind w:right="20"/>
        <w:spacing w:after="0"/>
        <w:rPr>
          <w:sz w:val="20"/>
          <w:szCs w:val="20"/>
          <w:color w:val="auto"/>
        </w:rPr>
      </w:pPr>
      <w:r>
        <w:rPr>
          <w:rFonts w:ascii="Arial" w:cs="Arial" w:eastAsia="Arial" w:hAnsi="Arial"/>
          <w:sz w:val="19"/>
          <w:szCs w:val="19"/>
          <w:color w:val="231F20"/>
        </w:rPr>
        <w:t>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w:t>
      </w:r>
    </w:p>
    <w:p>
      <w:pPr>
        <w:sectPr>
          <w:pgSz w:w="12240" w:h="15840" w:orient="portrait"/>
          <w:cols w:equalWidth="0" w:num="1">
            <w:col w:w="10200"/>
          </w:cols>
          <w:pgMar w:left="1020" w:top="1440" w:right="1020" w:bottom="595"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65</w:t>
      </w:r>
    </w:p>
    <w:p>
      <w:pPr>
        <w:sectPr>
          <w:pgSz w:w="12240" w:h="15840" w:orient="portrait"/>
          <w:cols w:equalWidth="0" w:num="1">
            <w:col w:w="10200"/>
          </w:cols>
          <w:pgMar w:left="1020" w:top="1440" w:right="1020" w:bottom="595" w:gutter="0" w:footer="0" w:header="0"/>
          <w:type w:val="continuous"/>
        </w:sectPr>
      </w:pPr>
    </w:p>
    <w:bookmarkStart w:id="66" w:name="page67"/>
    <w:bookmarkEnd w:id="66"/>
    <w:p>
      <w:pPr>
        <w:spacing w:after="0" w:line="97" w:lineRule="exact"/>
        <w:rPr>
          <w:sz w:val="20"/>
          <w:szCs w:val="20"/>
          <w:color w:val="auto"/>
        </w:rPr>
      </w:pPr>
    </w:p>
    <w:p>
      <w:pPr>
        <w:ind w:right="60"/>
        <w:spacing w:after="0" w:line="278" w:lineRule="auto"/>
        <w:rPr>
          <w:sz w:val="20"/>
          <w:szCs w:val="20"/>
          <w:color w:val="auto"/>
        </w:rPr>
      </w:pPr>
      <w:r>
        <w:rPr>
          <w:rFonts w:ascii="Arial" w:cs="Arial" w:eastAsia="Arial" w:hAnsi="Arial"/>
          <w:sz w:val="19"/>
          <w:szCs w:val="19"/>
          <w:color w:val="231F20"/>
        </w:rPr>
        <w:t>incorporation of open source software into our solutions, we cannot be certain that we have not incorporated open source software in our solutions in a manner that is inconsistent with such policies.</w:t>
      </w:r>
    </w:p>
    <w:p>
      <w:pPr>
        <w:spacing w:after="0" w:line="121" w:lineRule="exact"/>
        <w:rPr>
          <w:sz w:val="20"/>
          <w:szCs w:val="20"/>
          <w:color w:val="auto"/>
        </w:rPr>
      </w:pPr>
    </w:p>
    <w:p>
      <w:pPr>
        <w:ind w:right="860"/>
        <w:spacing w:after="0" w:line="285" w:lineRule="auto"/>
        <w:rPr>
          <w:sz w:val="20"/>
          <w:szCs w:val="20"/>
          <w:color w:val="auto"/>
        </w:rPr>
      </w:pPr>
      <w:r>
        <w:rPr>
          <w:rFonts w:ascii="Arial" w:cs="Arial" w:eastAsia="Arial" w:hAnsi="Arial"/>
          <w:sz w:val="19"/>
          <w:szCs w:val="19"/>
          <w:b w:val="1"/>
          <w:bCs w:val="1"/>
          <w:i w:val="1"/>
          <w:iCs w:val="1"/>
          <w:color w:val="231F20"/>
        </w:rPr>
        <w:t>Indemnity and liability provisions in various agreements potentially expose us to substantial liability for intellectual property infringement, data protection, and other losses.</w:t>
      </w:r>
    </w:p>
    <w:p>
      <w:pPr>
        <w:spacing w:after="0" w:line="100" w:lineRule="exact"/>
        <w:rPr>
          <w:sz w:val="20"/>
          <w:szCs w:val="20"/>
          <w:color w:val="auto"/>
        </w:rPr>
      </w:pPr>
    </w:p>
    <w:p>
      <w:pPr>
        <w:ind w:firstLine="463"/>
        <w:spacing w:after="0" w:line="256" w:lineRule="auto"/>
        <w:rPr>
          <w:sz w:val="20"/>
          <w:szCs w:val="20"/>
          <w:color w:val="auto"/>
        </w:rPr>
      </w:pPr>
      <w:r>
        <w:rPr>
          <w:rFonts w:ascii="Arial" w:cs="Arial" w:eastAsia="Arial" w:hAnsi="Arial"/>
          <w:sz w:val="18"/>
          <w:szCs w:val="18"/>
          <w:color w:val="231F20"/>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50" w:lineRule="exact"/>
        <w:rPr>
          <w:sz w:val="20"/>
          <w:szCs w:val="20"/>
          <w:color w:val="auto"/>
        </w:rPr>
      </w:pPr>
    </w:p>
    <w:p>
      <w:pPr>
        <w:ind w:right="540"/>
        <w:spacing w:after="0" w:line="285" w:lineRule="auto"/>
        <w:rPr>
          <w:sz w:val="20"/>
          <w:szCs w:val="20"/>
          <w:color w:val="auto"/>
        </w:rPr>
      </w:pPr>
      <w:r>
        <w:rPr>
          <w:rFonts w:ascii="Arial" w:cs="Arial" w:eastAsia="Arial" w:hAnsi="Arial"/>
          <w:sz w:val="19"/>
          <w:szCs w:val="19"/>
          <w:b w:val="1"/>
          <w:bCs w:val="1"/>
          <w:i w:val="1"/>
          <w:iCs w:val="1"/>
          <w:color w:val="231F20"/>
        </w:rPr>
        <w:t>New or revised tax regulations, unfavorable resolution of tax contingencies or changes to enacted tax rates could adversely affect our tax expense.</w:t>
      </w:r>
    </w:p>
    <w:p>
      <w:pPr>
        <w:spacing w:after="0" w:line="100" w:lineRule="exact"/>
        <w:rPr>
          <w:sz w:val="20"/>
          <w:szCs w:val="20"/>
          <w:color w:val="auto"/>
        </w:rPr>
      </w:pPr>
    </w:p>
    <w:p>
      <w:pPr>
        <w:ind w:right="120" w:firstLine="463"/>
        <w:spacing w:after="0" w:line="262" w:lineRule="auto"/>
        <w:rPr>
          <w:sz w:val="20"/>
          <w:szCs w:val="20"/>
          <w:color w:val="auto"/>
        </w:rPr>
      </w:pPr>
      <w:r>
        <w:rPr>
          <w:rFonts w:ascii="Arial" w:cs="Arial" w:eastAsia="Arial" w:hAnsi="Arial"/>
          <w:sz w:val="18"/>
          <w:szCs w:val="18"/>
          <w:color w:val="231F20"/>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36" w:lineRule="exact"/>
        <w:rPr>
          <w:sz w:val="20"/>
          <w:szCs w:val="20"/>
          <w:color w:val="auto"/>
        </w:rPr>
      </w:pPr>
    </w:p>
    <w:p>
      <w:pPr>
        <w:ind w:firstLine="463"/>
        <w:spacing w:after="0" w:line="248" w:lineRule="auto"/>
        <w:rPr>
          <w:sz w:val="20"/>
          <w:szCs w:val="20"/>
          <w:color w:val="auto"/>
        </w:rPr>
      </w:pPr>
      <w:r>
        <w:rPr>
          <w:rFonts w:ascii="Arial" w:cs="Arial" w:eastAsia="Arial" w:hAnsi="Arial"/>
          <w:sz w:val="19"/>
          <w:szCs w:val="19"/>
          <w:color w:val="231F20"/>
        </w:rPr>
        <w:t>For example, the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spacing w:after="0" w:line="146" w:lineRule="exact"/>
        <w:rPr>
          <w:sz w:val="20"/>
          <w:szCs w:val="20"/>
          <w:color w:val="auto"/>
        </w:rPr>
      </w:pPr>
    </w:p>
    <w:p>
      <w:pPr>
        <w:ind w:right="20" w:firstLine="463"/>
        <w:spacing w:after="0" w:line="242" w:lineRule="auto"/>
        <w:rPr>
          <w:sz w:val="20"/>
          <w:szCs w:val="20"/>
          <w:color w:val="auto"/>
        </w:rPr>
      </w:pPr>
      <w:r>
        <w:rPr>
          <w:rFonts w:ascii="Arial" w:cs="Arial" w:eastAsia="Arial" w:hAnsi="Arial"/>
          <w:sz w:val="19"/>
          <w:szCs w:val="19"/>
          <w:color w:val="231F20"/>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52" w:lineRule="exact"/>
        <w:rPr>
          <w:sz w:val="20"/>
          <w:szCs w:val="20"/>
          <w:color w:val="auto"/>
        </w:rPr>
      </w:pPr>
    </w:p>
    <w:p>
      <w:pPr>
        <w:ind w:right="40" w:firstLine="463"/>
        <w:spacing w:after="0" w:line="245" w:lineRule="auto"/>
        <w:rPr>
          <w:sz w:val="20"/>
          <w:szCs w:val="20"/>
          <w:color w:val="auto"/>
        </w:rPr>
      </w:pPr>
      <w:r>
        <w:rPr>
          <w:rFonts w:ascii="Arial" w:cs="Arial" w:eastAsia="Arial" w:hAnsi="Arial"/>
          <w:sz w:val="19"/>
          <w:szCs w:val="19"/>
          <w:color w:val="231F20"/>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48" w:lineRule="exact"/>
        <w:rPr>
          <w:sz w:val="20"/>
          <w:szCs w:val="20"/>
          <w:color w:val="auto"/>
        </w:rPr>
      </w:pPr>
    </w:p>
    <w:p>
      <w:pPr>
        <w:ind w:firstLine="463"/>
        <w:spacing w:after="0" w:line="270" w:lineRule="auto"/>
        <w:rPr>
          <w:sz w:val="20"/>
          <w:szCs w:val="20"/>
          <w:color w:val="auto"/>
        </w:rPr>
      </w:pPr>
      <w:r>
        <w:rPr>
          <w:rFonts w:ascii="Arial" w:cs="Arial" w:eastAsia="Arial" w:hAnsi="Arial"/>
          <w:sz w:val="18"/>
          <w:szCs w:val="18"/>
          <w:color w:val="231F20"/>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w:t>
      </w:r>
    </w:p>
    <w:p>
      <w:pPr>
        <w:sectPr>
          <w:pgSz w:w="12240" w:h="15840" w:orient="portrait"/>
          <w:cols w:equalWidth="0" w:num="1">
            <w:col w:w="10180"/>
          </w:cols>
          <w:pgMar w:left="1020" w:top="1440" w:right="1040" w:bottom="595" w:gutter="0" w:footer="0" w:header="0"/>
        </w:sectPr>
      </w:pP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66</w:t>
      </w:r>
    </w:p>
    <w:p>
      <w:pPr>
        <w:sectPr>
          <w:pgSz w:w="12240" w:h="15840" w:orient="portrait"/>
          <w:cols w:equalWidth="0" w:num="1">
            <w:col w:w="10180"/>
          </w:cols>
          <w:pgMar w:left="1020" w:top="1440" w:right="1040" w:bottom="595" w:gutter="0" w:footer="0" w:header="0"/>
          <w:type w:val="continuous"/>
        </w:sectPr>
      </w:pPr>
    </w:p>
    <w:bookmarkStart w:id="67" w:name="page68"/>
    <w:bookmarkEnd w:id="67"/>
    <w:p>
      <w:pPr>
        <w:spacing w:after="0" w:line="97" w:lineRule="exact"/>
        <w:rPr>
          <w:sz w:val="20"/>
          <w:szCs w:val="20"/>
          <w:color w:val="auto"/>
        </w:rPr>
      </w:pPr>
    </w:p>
    <w:p>
      <w:pPr>
        <w:ind w:right="180"/>
        <w:spacing w:after="0" w:line="248" w:lineRule="auto"/>
        <w:rPr>
          <w:sz w:val="20"/>
          <w:szCs w:val="20"/>
          <w:color w:val="auto"/>
        </w:rPr>
      </w:pPr>
      <w:r>
        <w:rPr>
          <w:rFonts w:ascii="Arial" w:cs="Arial" w:eastAsia="Arial" w:hAnsi="Arial"/>
          <w:sz w:val="19"/>
          <w:szCs w:val="19"/>
          <w:color w:val="231F20"/>
        </w:rPr>
        <w:t>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50" w:lineRule="exact"/>
        <w:rPr>
          <w:sz w:val="20"/>
          <w:szCs w:val="20"/>
          <w:color w:val="auto"/>
        </w:rPr>
      </w:pPr>
    </w:p>
    <w:p>
      <w:pPr>
        <w:ind w:right="580"/>
        <w:spacing w:after="0" w:line="285" w:lineRule="auto"/>
        <w:rPr>
          <w:sz w:val="20"/>
          <w:szCs w:val="20"/>
          <w:color w:val="auto"/>
        </w:rPr>
      </w:pPr>
      <w:r>
        <w:rPr>
          <w:rFonts w:ascii="Arial" w:cs="Arial" w:eastAsia="Arial" w:hAnsi="Arial"/>
          <w:sz w:val="19"/>
          <w:szCs w:val="19"/>
          <w:b w:val="1"/>
          <w:bCs w:val="1"/>
          <w:i w:val="1"/>
          <w:iCs w:val="1"/>
          <w:color w:val="231F20"/>
        </w:rPr>
        <w:t>Our ability to use our net operating losses (NOLs) to offset future taxable income may be subject to certain limitations.</w:t>
      </w:r>
    </w:p>
    <w:p>
      <w:pPr>
        <w:spacing w:after="0" w:line="100" w:lineRule="exact"/>
        <w:rPr>
          <w:sz w:val="20"/>
          <w:szCs w:val="20"/>
          <w:color w:val="auto"/>
        </w:rPr>
      </w:pPr>
    </w:p>
    <w:p>
      <w:pPr>
        <w:ind w:right="20" w:firstLine="463"/>
        <w:spacing w:after="0" w:line="243" w:lineRule="auto"/>
        <w:rPr>
          <w:sz w:val="20"/>
          <w:szCs w:val="20"/>
          <w:color w:val="auto"/>
        </w:rPr>
      </w:pPr>
      <w:r>
        <w:rPr>
          <w:rFonts w:ascii="Arial" w:cs="Arial" w:eastAsia="Arial" w:hAnsi="Arial"/>
          <w:sz w:val="19"/>
          <w:szCs w:val="19"/>
          <w:color w:val="231F20"/>
        </w:rPr>
        <w:t>As of December 31, 2024, we had U.S. federal NOL carryforwards of approximately $57.9 million and state NOL carryforwards of approximately $88.3 million. The federal and material state NOL carryforwards will begin to expire in 2030 and 2029,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Future changes in our stock ownership, many of which are outside of our control, could result in an ownership change under Sections 382 or 383 of the Code. Furthermore, our ability to utilize NOLs of companies that we may acquire in the future may be subject to limitations.</w:t>
      </w:r>
    </w:p>
    <w:p>
      <w:pPr>
        <w:spacing w:after="0" w:line="149" w:lineRule="exact"/>
        <w:rPr>
          <w:sz w:val="20"/>
          <w:szCs w:val="20"/>
          <w:color w:val="auto"/>
        </w:rPr>
      </w:pPr>
    </w:p>
    <w:p>
      <w:pPr>
        <w:ind w:right="40" w:firstLine="463"/>
        <w:spacing w:after="0" w:line="251" w:lineRule="auto"/>
        <w:rPr>
          <w:sz w:val="20"/>
          <w:szCs w:val="20"/>
          <w:color w:val="auto"/>
        </w:rPr>
      </w:pPr>
      <w:r>
        <w:rPr>
          <w:rFonts w:ascii="Arial" w:cs="Arial" w:eastAsia="Arial" w:hAnsi="Arial"/>
          <w:sz w:val="19"/>
          <w:szCs w:val="19"/>
          <w:color w:val="231F20"/>
        </w:rPr>
        <w:t>During 2022, the Company completed a Section 382 study and as a result of the ownership changes identified, $1.6 million of Flywire’s NOLs and $0.2 million of Simplee’s NOLs will expire unutilized, assuming sufficient taxable income is generated in the future. In 2024, the Company completed its refresh of the Section 382 study through the 2023 tax year and there are no additional limitations in using federal and state NOL carryforwards.</w:t>
      </w:r>
    </w:p>
    <w:p>
      <w:pPr>
        <w:spacing w:after="0" w:line="144" w:lineRule="exact"/>
        <w:rPr>
          <w:sz w:val="20"/>
          <w:szCs w:val="20"/>
          <w:color w:val="auto"/>
        </w:rPr>
      </w:pPr>
    </w:p>
    <w:p>
      <w:pPr>
        <w:ind w:firstLine="463"/>
        <w:spacing w:after="0" w:line="242" w:lineRule="auto"/>
        <w:rPr>
          <w:sz w:val="20"/>
          <w:szCs w:val="20"/>
          <w:color w:val="auto"/>
        </w:rPr>
      </w:pPr>
      <w:r>
        <w:rPr>
          <w:rFonts w:ascii="Arial" w:cs="Arial" w:eastAsia="Arial" w:hAnsi="Arial"/>
          <w:sz w:val="19"/>
          <w:szCs w:val="19"/>
          <w:color w:val="231F20"/>
        </w:rPr>
        <w:t>Under the Tax Cuts and Jobs Act enacted in 2017 as modified by the Coronavirus Aid, Relief, and Economic Security Act enacted in 2020,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Being a Public Company</w:t>
      </w:r>
    </w:p>
    <w:p>
      <w:pPr>
        <w:spacing w:after="0" w:line="196" w:lineRule="exact"/>
        <w:rPr>
          <w:sz w:val="20"/>
          <w:szCs w:val="20"/>
          <w:color w:val="auto"/>
        </w:rPr>
      </w:pPr>
    </w:p>
    <w:p>
      <w:pPr>
        <w:ind w:right="220"/>
        <w:spacing w:after="0" w:line="254" w:lineRule="auto"/>
        <w:rPr>
          <w:sz w:val="20"/>
          <w:szCs w:val="20"/>
          <w:color w:val="auto"/>
        </w:rPr>
      </w:pPr>
      <w:r>
        <w:rPr>
          <w:rFonts w:ascii="Arial" w:cs="Arial" w:eastAsia="Arial" w:hAnsi="Arial"/>
          <w:sz w:val="19"/>
          <w:szCs w:val="19"/>
          <w:b w:val="1"/>
          <w:bCs w:val="1"/>
          <w:i w:val="1"/>
          <w:iCs w:val="1"/>
          <w:color w:val="231F20"/>
        </w:rPr>
        <w:t>As a public company, we are obligated to develop and maintain proper and effective internal control over financial reporting, and if we fail to continue to maintain an effective system of disclosure controls and internal control over financial reporting, our ability to produce timely and accurate financial statements or comply with applicable laws and regulations could be impaired.</w:t>
      </w:r>
    </w:p>
    <w:p>
      <w:pPr>
        <w:spacing w:after="0" w:line="129" w:lineRule="exact"/>
        <w:rPr>
          <w:sz w:val="20"/>
          <w:szCs w:val="20"/>
          <w:color w:val="auto"/>
        </w:rPr>
      </w:pPr>
    </w:p>
    <w:p>
      <w:pPr>
        <w:ind w:right="20" w:firstLine="463"/>
        <w:spacing w:after="0" w:line="241" w:lineRule="auto"/>
        <w:rPr>
          <w:sz w:val="20"/>
          <w:szCs w:val="20"/>
          <w:color w:val="auto"/>
        </w:rPr>
      </w:pPr>
      <w:r>
        <w:rPr>
          <w:rFonts w:ascii="Arial" w:cs="Arial" w:eastAsia="Arial" w:hAnsi="Arial"/>
          <w:sz w:val="19"/>
          <w:szCs w:val="19"/>
          <w:color w:val="231F20"/>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requires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60" w:lineRule="exact"/>
        <w:rPr>
          <w:sz w:val="20"/>
          <w:szCs w:val="20"/>
          <w:color w:val="auto"/>
        </w:rPr>
      </w:pPr>
    </w:p>
    <w:p>
      <w:pPr>
        <w:jc w:val="both"/>
        <w:ind w:right="140" w:firstLine="463"/>
        <w:spacing w:after="0" w:line="307" w:lineRule="auto"/>
        <w:rPr>
          <w:sz w:val="20"/>
          <w:szCs w:val="20"/>
          <w:color w:val="auto"/>
        </w:rPr>
      </w:pPr>
      <w:r>
        <w:rPr>
          <w:rFonts w:ascii="Arial" w:cs="Arial" w:eastAsia="Arial" w:hAnsi="Arial"/>
          <w:sz w:val="18"/>
          <w:szCs w:val="18"/>
          <w:color w:val="231F20"/>
        </w:rPr>
        <w:t>As a "large accelerated" filer, we are required, pursuant to Section 404 of the Sarbanes-Oxley Act (Section 404), to furnish a report by management on, among other things, the effectiveness of our internal control over financial reporting.</w:t>
      </w:r>
    </w:p>
    <w:p>
      <w:pPr>
        <w:sectPr>
          <w:pgSz w:w="12240" w:h="15840" w:orient="portrait"/>
          <w:cols w:equalWidth="0" w:num="1">
            <w:col w:w="10180"/>
          </w:cols>
          <w:pgMar w:left="1020" w:top="1440" w:right="1040" w:bottom="595" w:gutter="0" w:footer="0" w:header="0"/>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67</w:t>
      </w:r>
    </w:p>
    <w:p>
      <w:pPr>
        <w:sectPr>
          <w:pgSz w:w="12240" w:h="15840" w:orient="portrait"/>
          <w:cols w:equalWidth="0" w:num="1">
            <w:col w:w="10180"/>
          </w:cols>
          <w:pgMar w:left="1020" w:top="1440" w:right="1040" w:bottom="595" w:gutter="0" w:footer="0" w:header="0"/>
          <w:type w:val="continuous"/>
        </w:sectPr>
      </w:pPr>
    </w:p>
    <w:bookmarkStart w:id="68" w:name="page69"/>
    <w:bookmarkEnd w:id="68"/>
    <w:p>
      <w:pPr>
        <w:spacing w:after="0" w:line="97" w:lineRule="exact"/>
        <w:rPr>
          <w:sz w:val="20"/>
          <w:szCs w:val="20"/>
          <w:color w:val="auto"/>
        </w:rPr>
      </w:pPr>
    </w:p>
    <w:p>
      <w:pPr>
        <w:ind w:right="120"/>
        <w:spacing w:after="0" w:line="248" w:lineRule="auto"/>
        <w:rPr>
          <w:sz w:val="20"/>
          <w:szCs w:val="20"/>
          <w:color w:val="auto"/>
        </w:rPr>
      </w:pPr>
      <w:r>
        <w:rPr>
          <w:rFonts w:ascii="Arial" w:cs="Arial" w:eastAsia="Arial" w:hAnsi="Arial"/>
          <w:sz w:val="19"/>
          <w:szCs w:val="19"/>
          <w:color w:val="231F20"/>
        </w:rPr>
        <w:t>Effective internal control over financial reporting is necessary for us to provide reliable financial reports and, together with adequate disclosure controls and procedures, are designed to prevent fraud. Any failure to maintain our internal controls,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46" w:lineRule="exact"/>
        <w:rPr>
          <w:sz w:val="20"/>
          <w:szCs w:val="20"/>
          <w:color w:val="auto"/>
        </w:rPr>
      </w:pPr>
    </w:p>
    <w:p>
      <w:pPr>
        <w:ind w:right="120" w:firstLine="463"/>
        <w:spacing w:after="0" w:line="246" w:lineRule="auto"/>
        <w:rPr>
          <w:sz w:val="20"/>
          <w:szCs w:val="20"/>
          <w:color w:val="auto"/>
        </w:rPr>
      </w:pPr>
      <w:r>
        <w:rPr>
          <w:rFonts w:ascii="Arial" w:cs="Arial" w:eastAsia="Arial" w:hAnsi="Arial"/>
          <w:sz w:val="19"/>
          <w:szCs w:val="19"/>
          <w:color w:val="231F20"/>
        </w:rPr>
        <w:t>This assessment includes disclosure of any material weaknesses identified by our management in our internal control over financial reporting and our independent registered public accounting firm is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spacing w:after="0" w:line="148" w:lineRule="exact"/>
        <w:rPr>
          <w:sz w:val="20"/>
          <w:szCs w:val="20"/>
          <w:color w:val="auto"/>
        </w:rPr>
      </w:pPr>
    </w:p>
    <w:p>
      <w:pPr>
        <w:ind w:right="20" w:firstLine="463"/>
        <w:spacing w:after="0" w:line="245" w:lineRule="auto"/>
        <w:rPr>
          <w:sz w:val="20"/>
          <w:szCs w:val="20"/>
          <w:color w:val="auto"/>
        </w:rPr>
      </w:pPr>
      <w:r>
        <w:rPr>
          <w:rFonts w:ascii="Arial" w:cs="Arial" w:eastAsia="Arial" w:hAnsi="Arial"/>
          <w:sz w:val="19"/>
          <w:szCs w:val="19"/>
          <w:color w:val="231F20"/>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expect to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48" w:lineRule="exact"/>
        <w:rPr>
          <w:sz w:val="20"/>
          <w:szCs w:val="20"/>
          <w:color w:val="auto"/>
        </w:rPr>
      </w:pPr>
    </w:p>
    <w:p>
      <w:pPr>
        <w:ind w:right="120" w:firstLine="463"/>
        <w:spacing w:after="0" w:line="251" w:lineRule="auto"/>
        <w:rPr>
          <w:sz w:val="20"/>
          <w:szCs w:val="20"/>
          <w:color w:val="auto"/>
        </w:rPr>
      </w:pPr>
      <w:r>
        <w:rPr>
          <w:rFonts w:ascii="Arial" w:cs="Arial" w:eastAsia="Arial" w:hAnsi="Arial"/>
          <w:sz w:val="19"/>
          <w:szCs w:val="19"/>
          <w:color w:val="231F20"/>
        </w:rPr>
        <w:t>We are actively engaged in the ongoing costly process of maintaining compliance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44" w:lineRule="exact"/>
        <w:rPr>
          <w:sz w:val="20"/>
          <w:szCs w:val="20"/>
          <w:color w:val="auto"/>
        </w:rPr>
      </w:pPr>
    </w:p>
    <w:p>
      <w:pPr>
        <w:ind w:firstLine="463"/>
        <w:spacing w:after="0" w:line="246" w:lineRule="auto"/>
        <w:rPr>
          <w:sz w:val="20"/>
          <w:szCs w:val="20"/>
          <w:color w:val="auto"/>
        </w:rPr>
      </w:pPr>
      <w:r>
        <w:rPr>
          <w:rFonts w:ascii="Arial" w:cs="Arial" w:eastAsia="Arial" w:hAnsi="Arial"/>
          <w:sz w:val="19"/>
          <w:szCs w:val="19"/>
          <w:color w:val="231F20"/>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52"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b w:val="1"/>
          <w:bCs w:val="1"/>
          <w:i w:val="1"/>
          <w:iCs w:val="1"/>
          <w:color w:val="231F20"/>
        </w:rPr>
        <w:t>Increased scrutiny from investors and others or changes in regulations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spacing w:after="0" w:line="129" w:lineRule="exact"/>
        <w:rPr>
          <w:sz w:val="20"/>
          <w:szCs w:val="20"/>
          <w:color w:val="auto"/>
        </w:rPr>
      </w:pPr>
    </w:p>
    <w:p>
      <w:pPr>
        <w:ind w:right="60" w:firstLine="463"/>
        <w:spacing w:after="0" w:line="241" w:lineRule="auto"/>
        <w:rPr>
          <w:sz w:val="20"/>
          <w:szCs w:val="20"/>
          <w:color w:val="auto"/>
        </w:rPr>
      </w:pPr>
      <w:r>
        <w:rPr>
          <w:rFonts w:ascii="Arial" w:cs="Arial" w:eastAsia="Arial" w:hAnsi="Arial"/>
          <w:sz w:val="19"/>
          <w:szCs w:val="19"/>
          <w:color w:val="231F20"/>
        </w:rPr>
        <w:t>Investor advocacy groups, certain institutional investors, investment funds, other market participants, stockholders, and consumer groups have focused increasingly on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management.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spacing w:after="0" w:line="154" w:lineRule="exact"/>
        <w:rPr>
          <w:sz w:val="20"/>
          <w:szCs w:val="20"/>
          <w:color w:val="auto"/>
        </w:rPr>
      </w:pPr>
    </w:p>
    <w:p>
      <w:pPr>
        <w:ind w:right="20" w:firstLine="463"/>
        <w:spacing w:after="0" w:line="265" w:lineRule="auto"/>
        <w:rPr>
          <w:sz w:val="20"/>
          <w:szCs w:val="20"/>
          <w:color w:val="auto"/>
        </w:rPr>
      </w:pPr>
      <w:r>
        <w:rPr>
          <w:rFonts w:ascii="Arial" w:cs="Arial" w:eastAsia="Arial" w:hAnsi="Arial"/>
          <w:sz w:val="18"/>
          <w:szCs w:val="18"/>
          <w:color w:val="231F20"/>
        </w:rPr>
        <w:t>In addition, increasing governmental interest in, and public awareness of, the impacts and effects of climate change and greater emphasis on sustainability by federal, state, and international governments could lead to further regulatory efforts to address the carbon impact of housing and travel. In particular, the current regulatory landscape regarding climate change (including disclosure requirements and requirements regarding energy and water use and efficiency), both within the United States and in many other locations where we operate worldwide, is evolving at a pace, and is likely to</w:t>
      </w:r>
    </w:p>
    <w:p>
      <w:pPr>
        <w:sectPr>
          <w:pgSz w:w="12240" w:h="15840" w:orient="portrait"/>
          <w:cols w:equalWidth="0" w:num="1">
            <w:col w:w="10200"/>
          </w:cols>
          <w:pgMar w:left="1020" w:top="1440" w:right="1020" w:bottom="595" w:gutter="0" w:footer="0" w:header="0"/>
        </w:sectPr>
      </w:pP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68</w:t>
      </w:r>
    </w:p>
    <w:p>
      <w:pPr>
        <w:sectPr>
          <w:pgSz w:w="12240" w:h="15840" w:orient="portrait"/>
          <w:cols w:equalWidth="0" w:num="1">
            <w:col w:w="10200"/>
          </w:cols>
          <w:pgMar w:left="1020" w:top="1440" w:right="1020" w:bottom="595" w:gutter="0" w:footer="0" w:header="0"/>
          <w:type w:val="continuous"/>
        </w:sectPr>
      </w:pPr>
    </w:p>
    <w:bookmarkStart w:id="69" w:name="page70"/>
    <w:bookmarkEnd w:id="69"/>
    <w:p>
      <w:pPr>
        <w:spacing w:after="0" w:line="97" w:lineRule="exact"/>
        <w:rPr>
          <w:sz w:val="20"/>
          <w:szCs w:val="20"/>
          <w:color w:val="auto"/>
        </w:rPr>
      </w:pPr>
    </w:p>
    <w:p>
      <w:pPr>
        <w:spacing w:after="0" w:line="243" w:lineRule="auto"/>
        <w:rPr>
          <w:sz w:val="20"/>
          <w:szCs w:val="20"/>
          <w:color w:val="auto"/>
        </w:rPr>
      </w:pPr>
      <w:r>
        <w:rPr>
          <w:rFonts w:ascii="Arial" w:cs="Arial" w:eastAsia="Arial" w:hAnsi="Arial"/>
          <w:sz w:val="19"/>
          <w:szCs w:val="19"/>
          <w:color w:val="231F20"/>
        </w:rPr>
        <w:t>continue to develop in ways, that require our business to adapt. Many U.S. states, either individually or through multi-state regional initiatives, have begun to address greenhouse gas emissions, including disclosure requirements relating thereto, and some U.S. states have also adopted various ESG-related efforts, initiatives and requirements. As a result, governments may enact new laws and regulations and/or view matters or interpret laws and regulations differently than they have in the past, including laws and regulations which are responsive to ESG trends or otherwise seek to reduce the carbon emissions relating to travel and set minimum energy efficiency requirements, which could materially adversely affect our business, results of operations, and financial condition. The legislative landscape continues to be in a state of constant change as well as legal challenge with respect to these laws and regulations, making it difficult to predict with certainty the ultimate impact they will have on our business in the aggregate.</w:t>
      </w:r>
    </w:p>
    <w:p>
      <w:pPr>
        <w:spacing w:after="0" w:line="157" w:lineRule="exact"/>
        <w:rPr>
          <w:sz w:val="20"/>
          <w:szCs w:val="20"/>
          <w:color w:val="auto"/>
        </w:rPr>
      </w:pPr>
    </w:p>
    <w:p>
      <w:pPr>
        <w:ind w:right="60"/>
        <w:spacing w:after="0" w:line="261" w:lineRule="auto"/>
        <w:rPr>
          <w:sz w:val="20"/>
          <w:szCs w:val="20"/>
          <w:color w:val="auto"/>
        </w:rPr>
      </w:pPr>
      <w:r>
        <w:rPr>
          <w:rFonts w:ascii="Arial" w:cs="Arial" w:eastAsia="Arial" w:hAnsi="Arial"/>
          <w:sz w:val="19"/>
          <w:szCs w:val="19"/>
          <w:b w:val="1"/>
          <w:bCs w:val="1"/>
          <w:i w:val="1"/>
          <w:iCs w:val="1"/>
          <w:color w:val="231F20"/>
        </w:rPr>
        <w:t>We will continue to incur increased costs as a result of operating as a public company, and our management will be required to devote substantial time to compliance with our public company responsibilities and corporate governance practices.</w:t>
      </w:r>
    </w:p>
    <w:p>
      <w:pPr>
        <w:spacing w:after="0" w:line="124" w:lineRule="exact"/>
        <w:rPr>
          <w:sz w:val="20"/>
          <w:szCs w:val="20"/>
          <w:color w:val="auto"/>
        </w:rPr>
      </w:pPr>
    </w:p>
    <w:p>
      <w:pPr>
        <w:ind w:right="60" w:firstLine="463"/>
        <w:spacing w:after="0" w:line="243" w:lineRule="auto"/>
        <w:rPr>
          <w:sz w:val="20"/>
          <w:szCs w:val="20"/>
          <w:color w:val="auto"/>
        </w:rPr>
      </w:pPr>
      <w:r>
        <w:rPr>
          <w:rFonts w:ascii="Arial" w:cs="Arial" w:eastAsia="Arial" w:hAnsi="Arial"/>
          <w:sz w:val="19"/>
          <w:szCs w:val="19"/>
          <w:color w:val="231F20"/>
        </w:rPr>
        <w:t>As a public company, we will continue to incur significant legal, accounting, and other expenses as a result of operating as a public company, which increased during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Ownership of Our Common Stock</w:t>
      </w:r>
    </w:p>
    <w:p>
      <w:pPr>
        <w:spacing w:after="0" w:line="196" w:lineRule="exact"/>
        <w:rPr>
          <w:sz w:val="20"/>
          <w:szCs w:val="20"/>
          <w:color w:val="auto"/>
        </w:rPr>
      </w:pPr>
    </w:p>
    <w:p>
      <w:pPr>
        <w:ind w:right="100"/>
        <w:spacing w:after="0" w:line="285" w:lineRule="auto"/>
        <w:rPr>
          <w:sz w:val="20"/>
          <w:szCs w:val="20"/>
          <w:color w:val="auto"/>
        </w:rPr>
      </w:pPr>
      <w:r>
        <w:rPr>
          <w:rFonts w:ascii="Arial" w:cs="Arial" w:eastAsia="Arial" w:hAnsi="Arial"/>
          <w:sz w:val="19"/>
          <w:szCs w:val="19"/>
          <w:b w:val="1"/>
          <w:bCs w:val="1"/>
          <w:i w:val="1"/>
          <w:iCs w:val="1"/>
          <w:color w:val="231F20"/>
        </w:rPr>
        <w:t>The price of our common stock may be volatile or may decline regardless of our operating performance and you may not be able to resell your shares at or above the price you paid for them.</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An active or liquid market in our common stock may not be sustainable.</w:t>
      </w:r>
    </w:p>
    <w:p>
      <w:pPr>
        <w:spacing w:after="0" w:line="188" w:lineRule="exact"/>
        <w:rPr>
          <w:sz w:val="20"/>
          <w:szCs w:val="20"/>
          <w:color w:val="auto"/>
        </w:rPr>
      </w:pPr>
    </w:p>
    <w:p>
      <w:pPr>
        <w:ind w:right="220" w:firstLine="463"/>
        <w:spacing w:after="0" w:line="278" w:lineRule="auto"/>
        <w:rPr>
          <w:sz w:val="20"/>
          <w:szCs w:val="20"/>
          <w:color w:val="auto"/>
        </w:rPr>
      </w:pPr>
      <w:r>
        <w:rPr>
          <w:rFonts w:ascii="Arial" w:cs="Arial" w:eastAsia="Arial" w:hAnsi="Arial"/>
          <w:sz w:val="19"/>
          <w:szCs w:val="19"/>
          <w:color w:val="231F20"/>
        </w:rPr>
        <w:t>The market price of our common stock may fluctuate significantly in response to numerous factors, many of which are beyond our control, including:</w:t>
      </w:r>
    </w:p>
    <w:p>
      <w:pPr>
        <w:spacing w:after="0" w:line="130" w:lineRule="exact"/>
        <w:rPr>
          <w:sz w:val="20"/>
          <w:szCs w:val="20"/>
          <w:color w:val="auto"/>
        </w:rPr>
      </w:pPr>
    </w:p>
    <w:p>
      <w:pPr>
        <w:ind w:left="920" w:hanging="458"/>
        <w:spacing w:after="0"/>
        <w:tabs>
          <w:tab w:leader="none" w:pos="920" w:val="left"/>
        </w:tabs>
        <w:numPr>
          <w:ilvl w:val="0"/>
          <w:numId w:val="40"/>
        </w:numPr>
        <w:rPr>
          <w:rFonts w:ascii="Arial" w:cs="Arial" w:eastAsia="Arial" w:hAnsi="Arial"/>
          <w:sz w:val="19"/>
          <w:szCs w:val="19"/>
          <w:color w:val="231F20"/>
        </w:rPr>
      </w:pPr>
      <w:r>
        <w:rPr>
          <w:rFonts w:ascii="Arial" w:cs="Arial" w:eastAsia="Arial" w:hAnsi="Arial"/>
          <w:sz w:val="19"/>
          <w:szCs w:val="19"/>
          <w:color w:val="231F20"/>
        </w:rPr>
        <w:t>overall performance of the equity markets;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40"/>
        </w:numPr>
        <w:rPr>
          <w:rFonts w:ascii="Arial" w:cs="Arial" w:eastAsia="Arial" w:hAnsi="Arial"/>
          <w:sz w:val="19"/>
          <w:szCs w:val="19"/>
          <w:color w:val="231F20"/>
        </w:rPr>
      </w:pPr>
      <w:r>
        <w:rPr>
          <w:rFonts w:ascii="Arial" w:cs="Arial" w:eastAsia="Arial" w:hAnsi="Arial"/>
          <w:sz w:val="19"/>
          <w:szCs w:val="19"/>
          <w:color w:val="231F20"/>
        </w:rPr>
        <w:t>our operating performance and the performance of other similar companies;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40"/>
        </w:numPr>
        <w:rPr>
          <w:rFonts w:ascii="Arial" w:cs="Arial" w:eastAsia="Arial" w:hAnsi="Arial"/>
          <w:sz w:val="19"/>
          <w:szCs w:val="19"/>
          <w:color w:val="231F20"/>
        </w:rPr>
      </w:pPr>
      <w:r>
        <w:rPr>
          <w:rFonts w:ascii="Arial" w:cs="Arial" w:eastAsia="Arial" w:hAnsi="Arial"/>
          <w:sz w:val="19"/>
          <w:szCs w:val="19"/>
          <w:color w:val="231F20"/>
        </w:rPr>
        <w:t>delays in the roll out of new solutions;</w:t>
      </w:r>
    </w:p>
    <w:p>
      <w:pPr>
        <w:spacing w:after="0" w:line="200" w:lineRule="exact"/>
        <w:rPr>
          <w:rFonts w:ascii="Arial" w:cs="Arial" w:eastAsia="Arial" w:hAnsi="Arial"/>
          <w:sz w:val="19"/>
          <w:szCs w:val="19"/>
          <w:color w:val="231F20"/>
        </w:rPr>
      </w:pPr>
    </w:p>
    <w:p>
      <w:pPr>
        <w:ind w:left="920" w:hanging="458"/>
        <w:spacing w:after="0" w:line="278" w:lineRule="auto"/>
        <w:tabs>
          <w:tab w:leader="none" w:pos="920" w:val="left"/>
        </w:tabs>
        <w:numPr>
          <w:ilvl w:val="0"/>
          <w:numId w:val="40"/>
        </w:numPr>
        <w:rPr>
          <w:rFonts w:ascii="Arial" w:cs="Arial" w:eastAsia="Arial" w:hAnsi="Arial"/>
          <w:sz w:val="19"/>
          <w:szCs w:val="19"/>
          <w:color w:val="231F20"/>
        </w:rPr>
      </w:pPr>
      <w:r>
        <w:rPr>
          <w:rFonts w:ascii="Arial" w:cs="Arial" w:eastAsia="Arial" w:hAnsi="Arial"/>
          <w:sz w:val="19"/>
          <w:szCs w:val="19"/>
          <w:color w:val="231F20"/>
        </w:rPr>
        <w:t>changes in our projected operating results that we provide to the public, our failure to meet these projections or changes in recommendations by securities analysts that elect to follow our common stock;</w:t>
      </w:r>
    </w:p>
    <w:p>
      <w:pPr>
        <w:spacing w:after="0" w:line="129" w:lineRule="exact"/>
        <w:rPr>
          <w:rFonts w:ascii="Arial" w:cs="Arial" w:eastAsia="Arial" w:hAnsi="Arial"/>
          <w:sz w:val="19"/>
          <w:szCs w:val="19"/>
          <w:color w:val="231F20"/>
        </w:rPr>
      </w:pPr>
    </w:p>
    <w:p>
      <w:pPr>
        <w:ind w:left="920" w:hanging="458"/>
        <w:spacing w:after="0"/>
        <w:tabs>
          <w:tab w:leader="none" w:pos="920" w:val="left"/>
        </w:tabs>
        <w:numPr>
          <w:ilvl w:val="0"/>
          <w:numId w:val="40"/>
        </w:numPr>
        <w:rPr>
          <w:rFonts w:ascii="Arial" w:cs="Arial" w:eastAsia="Arial" w:hAnsi="Arial"/>
          <w:sz w:val="19"/>
          <w:szCs w:val="19"/>
          <w:color w:val="231F20"/>
        </w:rPr>
      </w:pPr>
      <w:r>
        <w:rPr>
          <w:rFonts w:ascii="Arial" w:cs="Arial" w:eastAsia="Arial" w:hAnsi="Arial"/>
          <w:sz w:val="19"/>
          <w:szCs w:val="19"/>
          <w:color w:val="231F20"/>
        </w:rPr>
        <w:t>regulatory actions with respect to our payment solutions;</w:t>
      </w:r>
    </w:p>
    <w:p>
      <w:pPr>
        <w:spacing w:after="0" w:line="200" w:lineRule="exact"/>
        <w:rPr>
          <w:rFonts w:ascii="Arial" w:cs="Arial" w:eastAsia="Arial" w:hAnsi="Arial"/>
          <w:sz w:val="19"/>
          <w:szCs w:val="19"/>
          <w:color w:val="231F20"/>
        </w:rPr>
      </w:pPr>
    </w:p>
    <w:p>
      <w:pPr>
        <w:ind w:left="920" w:right="260" w:hanging="458"/>
        <w:spacing w:after="0" w:line="278" w:lineRule="auto"/>
        <w:tabs>
          <w:tab w:leader="none" w:pos="920" w:val="left"/>
        </w:tabs>
        <w:numPr>
          <w:ilvl w:val="0"/>
          <w:numId w:val="40"/>
        </w:numPr>
        <w:rPr>
          <w:rFonts w:ascii="Arial" w:cs="Arial" w:eastAsia="Arial" w:hAnsi="Arial"/>
          <w:sz w:val="19"/>
          <w:szCs w:val="19"/>
          <w:color w:val="231F20"/>
        </w:rPr>
      </w:pPr>
      <w:r>
        <w:rPr>
          <w:rFonts w:ascii="Arial" w:cs="Arial" w:eastAsia="Arial" w:hAnsi="Arial"/>
          <w:sz w:val="19"/>
          <w:szCs w:val="19"/>
          <w:color w:val="231F20"/>
        </w:rPr>
        <w:t>regulatory or legal developments in the United States and other countries, including the priorities of the U.S. presidential administration and related changes in laws, regulations or policies;</w:t>
      </w:r>
    </w:p>
    <w:p>
      <w:pPr>
        <w:spacing w:after="0" w:line="129" w:lineRule="exact"/>
        <w:rPr>
          <w:rFonts w:ascii="Arial" w:cs="Arial" w:eastAsia="Arial" w:hAnsi="Arial"/>
          <w:sz w:val="19"/>
          <w:szCs w:val="19"/>
          <w:color w:val="231F20"/>
        </w:rPr>
      </w:pPr>
    </w:p>
    <w:p>
      <w:pPr>
        <w:ind w:left="920" w:hanging="458"/>
        <w:spacing w:after="0"/>
        <w:tabs>
          <w:tab w:leader="none" w:pos="920" w:val="left"/>
        </w:tabs>
        <w:numPr>
          <w:ilvl w:val="0"/>
          <w:numId w:val="40"/>
        </w:numPr>
        <w:rPr>
          <w:rFonts w:ascii="Arial" w:cs="Arial" w:eastAsia="Arial" w:hAnsi="Arial"/>
          <w:sz w:val="19"/>
          <w:szCs w:val="19"/>
          <w:color w:val="231F20"/>
        </w:rPr>
      </w:pPr>
      <w:r>
        <w:rPr>
          <w:rFonts w:ascii="Arial" w:cs="Arial" w:eastAsia="Arial" w:hAnsi="Arial"/>
          <w:sz w:val="19"/>
          <w:szCs w:val="19"/>
          <w:color w:val="231F20"/>
        </w:rPr>
        <w:t>the level of expenses related to our solutions;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40"/>
        </w:numPr>
        <w:rPr>
          <w:rFonts w:ascii="Arial" w:cs="Arial" w:eastAsia="Arial" w:hAnsi="Arial"/>
          <w:sz w:val="19"/>
          <w:szCs w:val="19"/>
          <w:color w:val="231F20"/>
        </w:rPr>
      </w:pPr>
      <w:r>
        <w:rPr>
          <w:rFonts w:ascii="Arial" w:cs="Arial" w:eastAsia="Arial" w:hAnsi="Arial"/>
          <w:sz w:val="19"/>
          <w:szCs w:val="19"/>
          <w:color w:val="231F20"/>
        </w:rPr>
        <w:t>announcements of acquisitions, strategic alliances or significant agreements by us or by our competitors;</w:t>
      </w:r>
    </w:p>
    <w:p>
      <w:pPr>
        <w:spacing w:after="0" w:line="200" w:lineRule="exact"/>
        <w:rPr>
          <w:rFonts w:ascii="Arial" w:cs="Arial" w:eastAsia="Arial" w:hAnsi="Arial"/>
          <w:sz w:val="19"/>
          <w:szCs w:val="19"/>
          <w:color w:val="231F20"/>
        </w:rPr>
      </w:pPr>
    </w:p>
    <w:p>
      <w:pPr>
        <w:ind w:left="920" w:right="560" w:hanging="458"/>
        <w:spacing w:after="0" w:line="278" w:lineRule="auto"/>
        <w:tabs>
          <w:tab w:leader="none" w:pos="920" w:val="left"/>
        </w:tabs>
        <w:numPr>
          <w:ilvl w:val="0"/>
          <w:numId w:val="40"/>
        </w:numPr>
        <w:rPr>
          <w:rFonts w:ascii="Arial" w:cs="Arial" w:eastAsia="Arial" w:hAnsi="Arial"/>
          <w:sz w:val="19"/>
          <w:szCs w:val="19"/>
          <w:color w:val="231F20"/>
        </w:rPr>
      </w:pPr>
      <w:r>
        <w:rPr>
          <w:rFonts w:ascii="Arial" w:cs="Arial" w:eastAsia="Arial" w:hAnsi="Arial"/>
          <w:sz w:val="19"/>
          <w:szCs w:val="19"/>
          <w:color w:val="231F20"/>
        </w:rPr>
        <w:t>developments or disputes concerning patent applications, issued patents or other intellectual property or proprietary rights;</w:t>
      </w:r>
    </w:p>
    <w:p>
      <w:pPr>
        <w:spacing w:after="0" w:line="129" w:lineRule="exact"/>
        <w:rPr>
          <w:rFonts w:ascii="Arial" w:cs="Arial" w:eastAsia="Arial" w:hAnsi="Arial"/>
          <w:sz w:val="19"/>
          <w:szCs w:val="19"/>
          <w:color w:val="231F20"/>
        </w:rPr>
      </w:pPr>
    </w:p>
    <w:p>
      <w:pPr>
        <w:ind w:left="920" w:hanging="458"/>
        <w:spacing w:after="0"/>
        <w:tabs>
          <w:tab w:leader="none" w:pos="920" w:val="left"/>
        </w:tabs>
        <w:numPr>
          <w:ilvl w:val="0"/>
          <w:numId w:val="40"/>
        </w:numPr>
        <w:rPr>
          <w:rFonts w:ascii="Arial" w:cs="Arial" w:eastAsia="Arial" w:hAnsi="Arial"/>
          <w:sz w:val="19"/>
          <w:szCs w:val="19"/>
          <w:color w:val="231F20"/>
        </w:rPr>
      </w:pPr>
      <w:r>
        <w:rPr>
          <w:rFonts w:ascii="Arial" w:cs="Arial" w:eastAsia="Arial" w:hAnsi="Arial"/>
          <w:sz w:val="19"/>
          <w:szCs w:val="19"/>
          <w:color w:val="231F20"/>
        </w:rPr>
        <w:t>recruitment or departure of key personnel;</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40"/>
        </w:numPr>
        <w:rPr>
          <w:rFonts w:ascii="Arial" w:cs="Arial" w:eastAsia="Arial" w:hAnsi="Arial"/>
          <w:sz w:val="19"/>
          <w:szCs w:val="19"/>
          <w:color w:val="231F20"/>
        </w:rPr>
      </w:pPr>
      <w:r>
        <w:rPr>
          <w:rFonts w:ascii="Arial" w:cs="Arial" w:eastAsia="Arial" w:hAnsi="Arial"/>
          <w:sz w:val="19"/>
          <w:szCs w:val="19"/>
          <w:color w:val="231F20"/>
        </w:rPr>
        <w:t>the economy as a whole and market conditions in our industry;</w:t>
      </w:r>
    </w:p>
    <w:p>
      <w:pPr>
        <w:sectPr>
          <w:pgSz w:w="12240" w:h="15840" w:orient="portrait"/>
          <w:cols w:equalWidth="0" w:num="1">
            <w:col w:w="10180"/>
          </w:cols>
          <w:pgMar w:left="1020" w:top="1440" w:right="1040" w:bottom="595"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69</w:t>
      </w:r>
    </w:p>
    <w:p>
      <w:pPr>
        <w:sectPr>
          <w:pgSz w:w="12240" w:h="15840" w:orient="portrait"/>
          <w:cols w:equalWidth="0" w:num="1">
            <w:col w:w="10180"/>
          </w:cols>
          <w:pgMar w:left="1020" w:top="1440" w:right="1040" w:bottom="595" w:gutter="0" w:footer="0" w:header="0"/>
          <w:type w:val="continuous"/>
        </w:sectPr>
      </w:pPr>
    </w:p>
    <w:bookmarkStart w:id="70" w:name="page71"/>
    <w:bookmarkEnd w:id="70"/>
    <w:p>
      <w:pPr>
        <w:spacing w:after="0" w:line="109" w:lineRule="exact"/>
        <w:rPr>
          <w:sz w:val="20"/>
          <w:szCs w:val="20"/>
          <w:color w:val="auto"/>
        </w:rPr>
      </w:pPr>
    </w:p>
    <w:p>
      <w:pPr>
        <w:ind w:left="920" w:right="340" w:hanging="458"/>
        <w:spacing w:after="0" w:line="258" w:lineRule="auto"/>
        <w:tabs>
          <w:tab w:leader="none" w:pos="920" w:val="left"/>
        </w:tabs>
        <w:numPr>
          <w:ilvl w:val="0"/>
          <w:numId w:val="41"/>
        </w:numPr>
        <w:rPr>
          <w:rFonts w:ascii="Arial" w:cs="Arial" w:eastAsia="Arial" w:hAnsi="Arial"/>
          <w:sz w:val="19"/>
          <w:szCs w:val="19"/>
          <w:color w:val="231F20"/>
        </w:rPr>
      </w:pPr>
      <w:r>
        <w:rPr>
          <w:rFonts w:ascii="Arial" w:cs="Arial" w:eastAsia="Arial" w:hAnsi="Arial"/>
          <w:sz w:val="19"/>
          <w:szCs w:val="19"/>
          <w:color w:val="231F20"/>
        </w:rPr>
        <w:t>political or social unrest, war or other military conflict, including an escalation of the conflict between Russia and Ukraine, or between Israel and Hamas (or other combatants in the region), respectively, economic instability, repression, or human rights issues;</w:t>
      </w:r>
    </w:p>
    <w:p>
      <w:pPr>
        <w:spacing w:after="0" w:line="148" w:lineRule="exact"/>
        <w:rPr>
          <w:rFonts w:ascii="Arial" w:cs="Arial" w:eastAsia="Arial" w:hAnsi="Arial"/>
          <w:sz w:val="19"/>
          <w:szCs w:val="19"/>
          <w:color w:val="231F20"/>
        </w:rPr>
      </w:pPr>
    </w:p>
    <w:p>
      <w:pPr>
        <w:ind w:left="920" w:hanging="458"/>
        <w:spacing w:after="0"/>
        <w:tabs>
          <w:tab w:leader="none" w:pos="920" w:val="left"/>
        </w:tabs>
        <w:numPr>
          <w:ilvl w:val="0"/>
          <w:numId w:val="41"/>
        </w:numPr>
        <w:rPr>
          <w:rFonts w:ascii="Arial" w:cs="Arial" w:eastAsia="Arial" w:hAnsi="Arial"/>
          <w:sz w:val="19"/>
          <w:szCs w:val="19"/>
          <w:color w:val="231F20"/>
        </w:rPr>
      </w:pPr>
      <w:r>
        <w:rPr>
          <w:rFonts w:ascii="Arial" w:cs="Arial" w:eastAsia="Arial" w:hAnsi="Arial"/>
          <w:sz w:val="19"/>
          <w:szCs w:val="19"/>
          <w:color w:val="231F20"/>
        </w:rPr>
        <w:t>variations in our financial results or the financial results of companies that are perceived to be similar to us;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41"/>
        </w:numPr>
        <w:rPr>
          <w:rFonts w:ascii="Arial" w:cs="Arial" w:eastAsia="Arial" w:hAnsi="Arial"/>
          <w:sz w:val="19"/>
          <w:szCs w:val="19"/>
          <w:color w:val="231F20"/>
        </w:rPr>
      </w:pPr>
      <w:r>
        <w:rPr>
          <w:rFonts w:ascii="Arial" w:cs="Arial" w:eastAsia="Arial" w:hAnsi="Arial"/>
          <w:sz w:val="19"/>
          <w:szCs w:val="19"/>
          <w:color w:val="231F20"/>
        </w:rPr>
        <w:t>financing or other corporate transactions, or inability to obtain additional funding;</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41"/>
        </w:numPr>
        <w:rPr>
          <w:rFonts w:ascii="Arial" w:cs="Arial" w:eastAsia="Arial" w:hAnsi="Arial"/>
          <w:sz w:val="19"/>
          <w:szCs w:val="19"/>
          <w:color w:val="231F20"/>
        </w:rPr>
      </w:pPr>
      <w:r>
        <w:rPr>
          <w:rFonts w:ascii="Arial" w:cs="Arial" w:eastAsia="Arial" w:hAnsi="Arial"/>
          <w:sz w:val="19"/>
          <w:szCs w:val="19"/>
          <w:color w:val="231F20"/>
        </w:rPr>
        <w:t>restrictions that negatively impact international travel, study or commerce;</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41"/>
        </w:numPr>
        <w:rPr>
          <w:rFonts w:ascii="Arial" w:cs="Arial" w:eastAsia="Arial" w:hAnsi="Arial"/>
          <w:sz w:val="19"/>
          <w:szCs w:val="19"/>
          <w:color w:val="231F20"/>
        </w:rPr>
      </w:pPr>
      <w:r>
        <w:rPr>
          <w:rFonts w:ascii="Arial" w:cs="Arial" w:eastAsia="Arial" w:hAnsi="Arial"/>
          <w:sz w:val="19"/>
          <w:szCs w:val="19"/>
          <w:color w:val="231F20"/>
        </w:rPr>
        <w:t>changes in the structure of payment systems;</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41"/>
        </w:numPr>
        <w:rPr>
          <w:rFonts w:ascii="Arial" w:cs="Arial" w:eastAsia="Arial" w:hAnsi="Arial"/>
          <w:sz w:val="19"/>
          <w:szCs w:val="19"/>
          <w:color w:val="231F20"/>
        </w:rPr>
      </w:pPr>
      <w:r>
        <w:rPr>
          <w:rFonts w:ascii="Arial" w:cs="Arial" w:eastAsia="Arial" w:hAnsi="Arial"/>
          <w:sz w:val="19"/>
          <w:szCs w:val="19"/>
          <w:color w:val="231F20"/>
        </w:rPr>
        <w:t>effects of ongoing United States-China and Canada-India diplomatic and trade friction;</w:t>
      </w:r>
    </w:p>
    <w:p>
      <w:pPr>
        <w:spacing w:after="0" w:line="200" w:lineRule="exact"/>
        <w:rPr>
          <w:rFonts w:ascii="Arial" w:cs="Arial" w:eastAsia="Arial" w:hAnsi="Arial"/>
          <w:sz w:val="19"/>
          <w:szCs w:val="19"/>
          <w:color w:val="231F20"/>
        </w:rPr>
      </w:pPr>
    </w:p>
    <w:p>
      <w:pPr>
        <w:ind w:left="920" w:right="80" w:hanging="458"/>
        <w:spacing w:after="0" w:line="278" w:lineRule="auto"/>
        <w:tabs>
          <w:tab w:leader="none" w:pos="920" w:val="left"/>
        </w:tabs>
        <w:numPr>
          <w:ilvl w:val="0"/>
          <w:numId w:val="41"/>
        </w:numPr>
        <w:rPr>
          <w:rFonts w:ascii="Arial" w:cs="Arial" w:eastAsia="Arial" w:hAnsi="Arial"/>
          <w:sz w:val="19"/>
          <w:szCs w:val="19"/>
          <w:color w:val="231F20"/>
        </w:rPr>
      </w:pPr>
      <w:r>
        <w:rPr>
          <w:rFonts w:ascii="Arial" w:cs="Arial" w:eastAsia="Arial" w:hAnsi="Arial"/>
          <w:sz w:val="19"/>
          <w:szCs w:val="19"/>
          <w:color w:val="231F20"/>
        </w:rPr>
        <w:t>trading activity by a limited number of stockholders who together beneficially own a majority of our outstanding common stock;</w:t>
      </w:r>
    </w:p>
    <w:p>
      <w:pPr>
        <w:spacing w:after="0" w:line="129" w:lineRule="exact"/>
        <w:rPr>
          <w:rFonts w:ascii="Arial" w:cs="Arial" w:eastAsia="Arial" w:hAnsi="Arial"/>
          <w:sz w:val="19"/>
          <w:szCs w:val="19"/>
          <w:color w:val="231F20"/>
        </w:rPr>
      </w:pPr>
    </w:p>
    <w:p>
      <w:pPr>
        <w:ind w:left="920" w:hanging="458"/>
        <w:spacing w:after="0"/>
        <w:tabs>
          <w:tab w:leader="none" w:pos="920" w:val="left"/>
        </w:tabs>
        <w:numPr>
          <w:ilvl w:val="0"/>
          <w:numId w:val="41"/>
        </w:numPr>
        <w:rPr>
          <w:rFonts w:ascii="Arial" w:cs="Arial" w:eastAsia="Arial" w:hAnsi="Arial"/>
          <w:sz w:val="19"/>
          <w:szCs w:val="19"/>
          <w:color w:val="231F20"/>
        </w:rPr>
      </w:pPr>
      <w:r>
        <w:rPr>
          <w:rFonts w:ascii="Arial" w:cs="Arial" w:eastAsia="Arial" w:hAnsi="Arial"/>
          <w:sz w:val="19"/>
          <w:szCs w:val="19"/>
          <w:color w:val="231F20"/>
        </w:rPr>
        <w:t>the size of our market float; and</w:t>
      </w:r>
    </w:p>
    <w:p>
      <w:pPr>
        <w:spacing w:after="0" w:line="200" w:lineRule="exact"/>
        <w:rPr>
          <w:rFonts w:ascii="Arial" w:cs="Arial" w:eastAsia="Arial" w:hAnsi="Arial"/>
          <w:sz w:val="19"/>
          <w:szCs w:val="19"/>
          <w:color w:val="231F20"/>
        </w:rPr>
      </w:pPr>
    </w:p>
    <w:p>
      <w:pPr>
        <w:ind w:left="920" w:hanging="458"/>
        <w:spacing w:after="0"/>
        <w:tabs>
          <w:tab w:leader="none" w:pos="920" w:val="left"/>
        </w:tabs>
        <w:numPr>
          <w:ilvl w:val="0"/>
          <w:numId w:val="41"/>
        </w:numPr>
        <w:rPr>
          <w:rFonts w:ascii="Arial" w:cs="Arial" w:eastAsia="Arial" w:hAnsi="Arial"/>
          <w:sz w:val="19"/>
          <w:szCs w:val="19"/>
          <w:color w:val="231F20"/>
        </w:rPr>
      </w:pPr>
      <w:r>
        <w:rPr>
          <w:rFonts w:ascii="Arial" w:cs="Arial" w:eastAsia="Arial" w:hAnsi="Arial"/>
          <w:sz w:val="19"/>
          <w:szCs w:val="19"/>
          <w:color w:val="231F20"/>
        </w:rPr>
        <w:t>any other factors discussed in this Annual Report on Form 10-K and our other SEC filings.</w:t>
      </w:r>
    </w:p>
    <w:p>
      <w:pPr>
        <w:spacing w:after="0" w:line="188" w:lineRule="exact"/>
        <w:rPr>
          <w:sz w:val="20"/>
          <w:szCs w:val="20"/>
          <w:color w:val="auto"/>
        </w:rPr>
      </w:pPr>
    </w:p>
    <w:p>
      <w:pPr>
        <w:ind w:right="580" w:firstLine="463"/>
        <w:spacing w:after="0" w:line="278" w:lineRule="auto"/>
        <w:rPr>
          <w:sz w:val="20"/>
          <w:szCs w:val="20"/>
          <w:color w:val="auto"/>
        </w:rPr>
      </w:pPr>
      <w:r>
        <w:rPr>
          <w:rFonts w:ascii="Arial" w:cs="Arial" w:eastAsia="Arial" w:hAnsi="Arial"/>
          <w:sz w:val="19"/>
          <w:szCs w:val="19"/>
          <w:color w:val="231F20"/>
        </w:rPr>
        <w:t>In addition, the stock markets have experienced extreme price and volume fluctuations that have affected and continue to affect the market prices of equity securities of many companies.</w:t>
      </w:r>
    </w:p>
    <w:p>
      <w:pPr>
        <w:spacing w:after="0" w:line="117" w:lineRule="exact"/>
        <w:rPr>
          <w:sz w:val="20"/>
          <w:szCs w:val="20"/>
          <w:color w:val="auto"/>
        </w:rPr>
      </w:pPr>
    </w:p>
    <w:p>
      <w:pPr>
        <w:ind w:right="20" w:firstLine="463"/>
        <w:spacing w:after="0" w:line="243" w:lineRule="auto"/>
        <w:rPr>
          <w:sz w:val="20"/>
          <w:szCs w:val="20"/>
          <w:color w:val="auto"/>
        </w:rPr>
      </w:pPr>
      <w:r>
        <w:rPr>
          <w:rFonts w:ascii="Arial" w:cs="Arial" w:eastAsia="Arial" w:hAnsi="Arial"/>
          <w:sz w:val="19"/>
          <w:szCs w:val="19"/>
          <w:color w:val="231F20"/>
        </w:rPr>
        <w:t>Concerns over economic recession, heightened interest rates and inflation, supply chain delays and disruptions, priorities of the U.S. presidential administration and Congress and related changes in laws, regulations or policies,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Our business and operations could be negatively affected by securities litigation or stockholder activism.</w:t>
      </w:r>
    </w:p>
    <w:p>
      <w:pPr>
        <w:spacing w:after="0" w:line="184" w:lineRule="exact"/>
        <w:rPr>
          <w:sz w:val="20"/>
          <w:szCs w:val="20"/>
          <w:color w:val="auto"/>
        </w:rPr>
      </w:pPr>
    </w:p>
    <w:p>
      <w:pPr>
        <w:ind w:right="400" w:firstLine="463"/>
        <w:spacing w:after="0" w:line="278" w:lineRule="auto"/>
        <w:rPr>
          <w:sz w:val="20"/>
          <w:szCs w:val="20"/>
          <w:color w:val="auto"/>
        </w:rPr>
      </w:pPr>
      <w:r>
        <w:rPr>
          <w:rFonts w:ascii="Arial" w:cs="Arial" w:eastAsia="Arial" w:hAnsi="Arial"/>
          <w:sz w:val="19"/>
          <w:szCs w:val="19"/>
          <w:color w:val="231F20"/>
        </w:rPr>
        <w:t>From time to time, we may be subject to securities class actions, derivative suits or other securities-related legal actions.</w:t>
      </w:r>
    </w:p>
    <w:p>
      <w:pPr>
        <w:spacing w:after="0" w:line="117" w:lineRule="exact"/>
        <w:rPr>
          <w:sz w:val="20"/>
          <w:szCs w:val="20"/>
          <w:color w:val="auto"/>
        </w:rPr>
      </w:pPr>
    </w:p>
    <w:p>
      <w:pPr>
        <w:ind w:firstLine="463"/>
        <w:spacing w:after="0" w:line="256" w:lineRule="auto"/>
        <w:rPr>
          <w:sz w:val="20"/>
          <w:szCs w:val="20"/>
          <w:color w:val="auto"/>
        </w:rPr>
      </w:pPr>
      <w:r>
        <w:rPr>
          <w:rFonts w:ascii="Arial" w:cs="Arial" w:eastAsia="Arial" w:hAnsi="Arial"/>
          <w:sz w:val="18"/>
          <w:szCs w:val="18"/>
          <w:color w:val="231F20"/>
        </w:rPr>
        <w:t>In the past, securities class action litigation have often been brought against a company following a decline in the market price of its securities. 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business. Additionally, securities litigation and stockholder activism could give rise to perceived uncertainties as to our future, adversely affect our relationships with clients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spacing w:after="0" w:line="146" w:lineRule="exact"/>
        <w:rPr>
          <w:sz w:val="20"/>
          <w:szCs w:val="20"/>
          <w:color w:val="auto"/>
        </w:rPr>
      </w:pPr>
    </w:p>
    <w:p>
      <w:pPr>
        <w:ind w:right="40" w:firstLine="463"/>
        <w:spacing w:after="0" w:line="259" w:lineRule="auto"/>
        <w:rPr>
          <w:sz w:val="20"/>
          <w:szCs w:val="20"/>
          <w:color w:val="auto"/>
        </w:rPr>
      </w:pPr>
      <w:r>
        <w:rPr>
          <w:rFonts w:ascii="Arial" w:cs="Arial" w:eastAsia="Arial" w:hAnsi="Arial"/>
          <w:sz w:val="18"/>
          <w:szCs w:val="18"/>
          <w:color w:val="231F20"/>
        </w:rPr>
        <w:t>Any claims or litigation, even if fully indemnified or insured, could adversely affect our relationships with clients and business partners, damage our reputation, decrease client or their customers’ demand for our solutions and make it more difficult to attract and retain qualified personnel, making it more difficult for us to compete effectively. In addition, lawsuits or legal claims involving us may increase our insurance premiums, deductibles or co-insurance requirements or otherwise make it more difficult for us to maintain or obtain adequate insurance coverage on acceptable terms, if at all. Furthermore, while we maintain insurance for certain potential liabilities, such insurance does not cover all types and amounts of potential liabilities and is subject to various exclusions, as well as caps on amounts recoverable. Even if we believe that a claim is covered by insurance, insurers may dispute our entitlement to recovery for a variety of potential reasons, which</w:t>
      </w:r>
    </w:p>
    <w:p>
      <w:pPr>
        <w:sectPr>
          <w:pgSz w:w="12240" w:h="15840" w:orient="portrait"/>
          <w:cols w:equalWidth="0" w:num="1">
            <w:col w:w="10200"/>
          </w:cols>
          <w:pgMar w:left="1020" w:top="1440" w:right="1020" w:bottom="595"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70</w:t>
      </w:r>
    </w:p>
    <w:p>
      <w:pPr>
        <w:sectPr>
          <w:pgSz w:w="12240" w:h="15840" w:orient="portrait"/>
          <w:cols w:equalWidth="0" w:num="1">
            <w:col w:w="10200"/>
          </w:cols>
          <w:pgMar w:left="1020" w:top="1440" w:right="1020" w:bottom="595" w:gutter="0" w:footer="0" w:header="0"/>
          <w:type w:val="continuous"/>
        </w:sectPr>
      </w:pPr>
    </w:p>
    <w:bookmarkStart w:id="71" w:name="page72"/>
    <w:bookmarkEnd w:id="71"/>
    <w:p>
      <w:pPr>
        <w:spacing w:after="0" w:line="97" w:lineRule="exact"/>
        <w:rPr>
          <w:sz w:val="20"/>
          <w:szCs w:val="20"/>
          <w:color w:val="auto"/>
        </w:rPr>
      </w:pPr>
    </w:p>
    <w:p>
      <w:pPr>
        <w:jc w:val="both"/>
        <w:ind w:right="40"/>
        <w:spacing w:after="0" w:line="258" w:lineRule="auto"/>
        <w:rPr>
          <w:sz w:val="20"/>
          <w:szCs w:val="20"/>
          <w:color w:val="auto"/>
        </w:rPr>
      </w:pPr>
      <w:r>
        <w:rPr>
          <w:rFonts w:ascii="Arial" w:cs="Arial" w:eastAsia="Arial" w:hAnsi="Arial"/>
          <w:sz w:val="19"/>
          <w:szCs w:val="19"/>
          <w:color w:val="231F20"/>
        </w:rPr>
        <w:t>may affect the timing and, if the insurers prevail, the amount of our recovery. Our exposure under these matters may also include our indemnification obligations, to the extent that we have any, to current and former officers and directors against losses incurred in connection with these matters, including reimbursement of legal fees and other expenses.</w:t>
      </w:r>
    </w:p>
    <w:p>
      <w:pPr>
        <w:spacing w:after="0" w:line="136" w:lineRule="exact"/>
        <w:rPr>
          <w:sz w:val="20"/>
          <w:szCs w:val="20"/>
          <w:color w:val="auto"/>
        </w:rPr>
      </w:pPr>
    </w:p>
    <w:p>
      <w:pPr>
        <w:ind w:right="200" w:firstLine="463"/>
        <w:spacing w:after="0" w:line="278" w:lineRule="auto"/>
        <w:rPr>
          <w:sz w:val="20"/>
          <w:szCs w:val="20"/>
          <w:color w:val="auto"/>
        </w:rPr>
      </w:pPr>
      <w:r>
        <w:rPr>
          <w:rFonts w:ascii="Arial" w:cs="Arial" w:eastAsia="Arial" w:hAnsi="Arial"/>
          <w:sz w:val="19"/>
          <w:szCs w:val="19"/>
          <w:color w:val="231F20"/>
        </w:rPr>
        <w:t>As a result, lawsuits involving us, or our officers or directors, could have a material adverse effect on our business, reputation, financial condition, results of operations, liquidity and the trading price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We may allocate our cash and cash equivalents in ways that you and other stockholders may not approve.</w:t>
      </w:r>
    </w:p>
    <w:p>
      <w:pPr>
        <w:spacing w:after="0" w:line="184" w:lineRule="exact"/>
        <w:rPr>
          <w:sz w:val="20"/>
          <w:szCs w:val="20"/>
          <w:color w:val="auto"/>
        </w:rPr>
      </w:pPr>
    </w:p>
    <w:p>
      <w:pPr>
        <w:ind w:firstLine="463"/>
        <w:spacing w:after="0" w:line="244" w:lineRule="auto"/>
        <w:rPr>
          <w:sz w:val="20"/>
          <w:szCs w:val="20"/>
          <w:color w:val="auto"/>
        </w:rPr>
      </w:pPr>
      <w:r>
        <w:rPr>
          <w:rFonts w:ascii="Arial" w:cs="Arial" w:eastAsia="Arial" w:hAnsi="Arial"/>
          <w:sz w:val="19"/>
          <w:szCs w:val="19"/>
          <w:color w:val="231F20"/>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spacing w:after="0" w:line="154" w:lineRule="exact"/>
        <w:rPr>
          <w:sz w:val="20"/>
          <w:szCs w:val="20"/>
          <w:color w:val="auto"/>
        </w:rPr>
      </w:pPr>
    </w:p>
    <w:p>
      <w:pPr>
        <w:ind w:right="240"/>
        <w:spacing w:after="0" w:line="285" w:lineRule="auto"/>
        <w:rPr>
          <w:sz w:val="20"/>
          <w:szCs w:val="20"/>
          <w:color w:val="auto"/>
        </w:rPr>
      </w:pPr>
      <w:r>
        <w:rPr>
          <w:rFonts w:ascii="Arial" w:cs="Arial" w:eastAsia="Arial" w:hAnsi="Arial"/>
          <w:sz w:val="19"/>
          <w:szCs w:val="19"/>
          <w:b w:val="1"/>
          <w:bCs w:val="1"/>
          <w:i w:val="1"/>
          <w:iCs w:val="1"/>
          <w:color w:val="231F20"/>
        </w:rPr>
        <w:t>We cannot guarantee that our repurchase program will be fully implemented or that it will enhance stockholder value, and share repurchases could affect the price of our common stock.</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In August 2024, we announced that our Board of Directors authorized a share repurchase program, or the</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231F20"/>
        </w:rPr>
        <w:t>Repurchase Program, pursuant to which we may, from time to time, purchase shares of our Voting and Non-voting</w:t>
      </w:r>
    </w:p>
    <w:p>
      <w:pPr>
        <w:spacing w:after="0" w:line="238" w:lineRule="auto"/>
        <w:rPr>
          <w:sz w:val="20"/>
          <w:szCs w:val="20"/>
          <w:color w:val="auto"/>
        </w:rPr>
      </w:pPr>
      <w:r>
        <w:rPr>
          <w:rFonts w:ascii="Arial" w:cs="Arial" w:eastAsia="Arial" w:hAnsi="Arial"/>
          <w:sz w:val="19"/>
          <w:szCs w:val="19"/>
          <w:color w:val="231F20"/>
        </w:rPr>
        <w:t>common stock for an aggregate purchase price not to exceed $150 million. As of December 31, 2024, approximately</w:t>
      </w:r>
    </w:p>
    <w:p>
      <w:pPr>
        <w:spacing w:after="0"/>
        <w:rPr>
          <w:sz w:val="20"/>
          <w:szCs w:val="20"/>
          <w:color w:val="auto"/>
        </w:rPr>
      </w:pPr>
      <w:r>
        <w:rPr>
          <w:rFonts w:ascii="Arial" w:cs="Arial" w:eastAsia="Arial" w:hAnsi="Arial"/>
          <w:sz w:val="19"/>
          <w:szCs w:val="19"/>
          <w:color w:val="231F20"/>
        </w:rPr>
        <w:t>$104.9 million remained available for repurchases under the Repurchase Program. Repurchases under the Repurchase</w:t>
      </w:r>
    </w:p>
    <w:p>
      <w:pPr>
        <w:spacing w:after="0" w:line="238" w:lineRule="auto"/>
        <w:rPr>
          <w:sz w:val="20"/>
          <w:szCs w:val="20"/>
          <w:color w:val="auto"/>
        </w:rPr>
      </w:pPr>
      <w:r>
        <w:rPr>
          <w:rFonts w:ascii="Arial" w:cs="Arial" w:eastAsia="Arial" w:hAnsi="Arial"/>
          <w:sz w:val="19"/>
          <w:szCs w:val="19"/>
          <w:color w:val="231F20"/>
        </w:rPr>
        <w:t>Program may be made through a variety of methods and are subject to market and business conditions, levels of</w:t>
      </w:r>
    </w:p>
    <w:p>
      <w:pPr>
        <w:spacing w:after="0"/>
        <w:rPr>
          <w:sz w:val="20"/>
          <w:szCs w:val="20"/>
          <w:color w:val="auto"/>
        </w:rPr>
      </w:pPr>
      <w:r>
        <w:rPr>
          <w:rFonts w:ascii="Arial" w:cs="Arial" w:eastAsia="Arial" w:hAnsi="Arial"/>
          <w:sz w:val="19"/>
          <w:szCs w:val="19"/>
          <w:color w:val="231F20"/>
        </w:rPr>
        <w:t>available liquidity, cash requirements for other purposes, regulatory, and other relevant factors. The timing, pricing, and</w:t>
      </w:r>
    </w:p>
    <w:p>
      <w:pPr>
        <w:spacing w:after="0"/>
        <w:rPr>
          <w:sz w:val="20"/>
          <w:szCs w:val="20"/>
          <w:color w:val="auto"/>
        </w:rPr>
      </w:pPr>
      <w:r>
        <w:rPr>
          <w:rFonts w:ascii="Arial" w:cs="Arial" w:eastAsia="Arial" w:hAnsi="Arial"/>
          <w:sz w:val="18"/>
          <w:szCs w:val="18"/>
          <w:color w:val="231F20"/>
        </w:rPr>
        <w:t>size of share repurchases will depend on a number of factors, including price, corporate and regulatory requirements, and</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231F20"/>
        </w:rPr>
        <w:t>general market and economic conditions. The Repurchase Program does not obligate us to repurchase any minimum</w:t>
      </w:r>
    </w:p>
    <w:p>
      <w:pPr>
        <w:spacing w:after="0" w:line="238" w:lineRule="auto"/>
        <w:rPr>
          <w:sz w:val="20"/>
          <w:szCs w:val="20"/>
          <w:color w:val="auto"/>
        </w:rPr>
      </w:pPr>
      <w:r>
        <w:rPr>
          <w:rFonts w:ascii="Arial" w:cs="Arial" w:eastAsia="Arial" w:hAnsi="Arial"/>
          <w:sz w:val="19"/>
          <w:szCs w:val="19"/>
          <w:color w:val="231F20"/>
        </w:rPr>
        <w:t>dollar amount or number of shares, and may be suspended or discontinued by our Board of Directors at any time, which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231F20"/>
        </w:rPr>
        <w:t>may result in a decrease in the price of our common stock.</w:t>
      </w:r>
    </w:p>
    <w:p>
      <w:pPr>
        <w:spacing w:after="0" w:line="164" w:lineRule="exact"/>
        <w:rPr>
          <w:sz w:val="20"/>
          <w:szCs w:val="20"/>
          <w:color w:val="auto"/>
        </w:rPr>
      </w:pPr>
    </w:p>
    <w:p>
      <w:pPr>
        <w:ind w:right="20" w:firstLine="463"/>
        <w:spacing w:after="0" w:line="243" w:lineRule="auto"/>
        <w:rPr>
          <w:sz w:val="20"/>
          <w:szCs w:val="20"/>
          <w:color w:val="auto"/>
        </w:rPr>
      </w:pPr>
      <w:r>
        <w:rPr>
          <w:rFonts w:ascii="Arial" w:cs="Arial" w:eastAsia="Arial" w:hAnsi="Arial"/>
          <w:sz w:val="19"/>
          <w:szCs w:val="19"/>
          <w:color w:val="231F20"/>
        </w:rPr>
        <w:t>Repurchases under the Repurchase Program will decrease the number of outstanding shares of our common stock and therefore could affect the price of our common stock and increase its volatility. The existence of the Repurchase Program could also cause the price of our common stock to be higher than it would be in the absence of such a program and could reduce the market liquidity for our common stock. Repurchases under the Repurchase Program will diminish our cash reserves, which could impact our ability to further develop our business and service our indebtedness. There can be no assurance that any share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common stock price. Although the Repurchase Program is intended to enhance long-term stockholder value, short-term price fluctuations could reduce the program’s effectiveness.</w:t>
      </w:r>
    </w:p>
    <w:p>
      <w:pPr>
        <w:spacing w:after="0" w:line="153" w:lineRule="exact"/>
        <w:rPr>
          <w:sz w:val="20"/>
          <w:szCs w:val="20"/>
          <w:color w:val="auto"/>
        </w:rPr>
      </w:pPr>
    </w:p>
    <w:p>
      <w:pPr>
        <w:ind w:right="20"/>
        <w:spacing w:after="0" w:line="285" w:lineRule="auto"/>
        <w:rPr>
          <w:sz w:val="20"/>
          <w:szCs w:val="20"/>
          <w:color w:val="auto"/>
        </w:rPr>
      </w:pPr>
      <w:r>
        <w:rPr>
          <w:rFonts w:ascii="Arial" w:cs="Arial" w:eastAsia="Arial" w:hAnsi="Arial"/>
          <w:sz w:val="19"/>
          <w:szCs w:val="19"/>
          <w:b w:val="1"/>
          <w:bCs w:val="1"/>
          <w:i w:val="1"/>
          <w:iCs w:val="1"/>
          <w:color w:val="231F20"/>
        </w:rPr>
        <w:t>If securities or industry analysts do not publish research or publish inaccurate or unfavorable research about our business, our stock price and trading volume could decline.</w:t>
      </w:r>
    </w:p>
    <w:p>
      <w:pPr>
        <w:spacing w:after="0" w:line="100" w:lineRule="exact"/>
        <w:rPr>
          <w:sz w:val="20"/>
          <w:szCs w:val="20"/>
          <w:color w:val="auto"/>
        </w:rPr>
      </w:pPr>
    </w:p>
    <w:p>
      <w:pPr>
        <w:ind w:right="160" w:firstLine="463"/>
        <w:spacing w:after="0" w:line="246" w:lineRule="auto"/>
        <w:rPr>
          <w:sz w:val="20"/>
          <w:szCs w:val="20"/>
          <w:color w:val="auto"/>
        </w:rPr>
      </w:pPr>
      <w:r>
        <w:rPr>
          <w:rFonts w:ascii="Arial" w:cs="Arial" w:eastAsia="Arial" w:hAnsi="Arial"/>
          <w:sz w:val="19"/>
          <w:szCs w:val="19"/>
          <w:color w:val="231F20"/>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52" w:lineRule="exact"/>
        <w:rPr>
          <w:sz w:val="20"/>
          <w:szCs w:val="20"/>
          <w:color w:val="auto"/>
        </w:rPr>
      </w:pPr>
    </w:p>
    <w:p>
      <w:pPr>
        <w:ind w:right="420"/>
        <w:spacing w:after="0" w:line="285" w:lineRule="auto"/>
        <w:rPr>
          <w:sz w:val="20"/>
          <w:szCs w:val="20"/>
          <w:color w:val="auto"/>
        </w:rPr>
      </w:pPr>
      <w:r>
        <w:rPr>
          <w:rFonts w:ascii="Arial" w:cs="Arial" w:eastAsia="Arial" w:hAnsi="Arial"/>
          <w:sz w:val="19"/>
          <w:szCs w:val="19"/>
          <w:b w:val="1"/>
          <w:bCs w:val="1"/>
          <w:i w:val="1"/>
          <w:iCs w:val="1"/>
          <w:color w:val="231F20"/>
        </w:rPr>
        <w:t>Sales of substantial amounts of our common stock in the public markets could cause the market price of our common stock to decline.</w:t>
      </w:r>
    </w:p>
    <w:p>
      <w:pPr>
        <w:spacing w:after="0" w:line="100" w:lineRule="exact"/>
        <w:rPr>
          <w:sz w:val="20"/>
          <w:szCs w:val="20"/>
          <w:color w:val="auto"/>
        </w:rPr>
      </w:pPr>
    </w:p>
    <w:p>
      <w:pPr>
        <w:ind w:right="20" w:firstLine="463"/>
        <w:spacing w:after="0" w:line="270" w:lineRule="auto"/>
        <w:rPr>
          <w:sz w:val="20"/>
          <w:szCs w:val="20"/>
          <w:color w:val="auto"/>
        </w:rPr>
      </w:pPr>
      <w:r>
        <w:rPr>
          <w:rFonts w:ascii="Arial" w:cs="Arial" w:eastAsia="Arial" w:hAnsi="Arial"/>
          <w:sz w:val="18"/>
          <w:szCs w:val="18"/>
          <w:color w:val="231F20"/>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122,182,878 shares of our voting common stock and 1,873,320 shares of our non-voting common stock outstanding as of December 31, 2024. Other than</w:t>
      </w:r>
    </w:p>
    <w:p>
      <w:pPr>
        <w:sectPr>
          <w:pgSz w:w="12240" w:h="15840" w:orient="portrait"/>
          <w:cols w:equalWidth="0" w:num="1">
            <w:col w:w="10200"/>
          </w:cols>
          <w:pgMar w:left="1020" w:top="1440" w:right="1020" w:bottom="595"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71</w:t>
      </w:r>
    </w:p>
    <w:p>
      <w:pPr>
        <w:sectPr>
          <w:pgSz w:w="12240" w:h="15840" w:orient="portrait"/>
          <w:cols w:equalWidth="0" w:num="1">
            <w:col w:w="10200"/>
          </w:cols>
          <w:pgMar w:left="1020" w:top="1440" w:right="1020" w:bottom="595" w:gutter="0" w:footer="0" w:header="0"/>
          <w:type w:val="continuous"/>
        </w:sectPr>
      </w:pPr>
    </w:p>
    <w:bookmarkStart w:id="72" w:name="page73"/>
    <w:bookmarkEnd w:id="72"/>
    <w:p>
      <w:pPr>
        <w:spacing w:after="0" w:line="97"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231F20"/>
        </w:rPr>
        <w:t>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spacing w:after="0" w:line="136" w:lineRule="exact"/>
        <w:rPr>
          <w:sz w:val="20"/>
          <w:szCs w:val="20"/>
          <w:color w:val="auto"/>
        </w:rPr>
      </w:pPr>
    </w:p>
    <w:p>
      <w:pPr>
        <w:ind w:right="220" w:firstLine="463"/>
        <w:spacing w:after="0" w:line="248" w:lineRule="auto"/>
        <w:rPr>
          <w:sz w:val="20"/>
          <w:szCs w:val="20"/>
          <w:color w:val="auto"/>
        </w:rPr>
      </w:pPr>
      <w:r>
        <w:rPr>
          <w:rFonts w:ascii="Arial" w:cs="Arial" w:eastAsia="Arial" w:hAnsi="Arial"/>
          <w:sz w:val="19"/>
          <w:szCs w:val="19"/>
          <w:color w:val="231F20"/>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spacing w:after="0" w:line="146" w:lineRule="exact"/>
        <w:rPr>
          <w:sz w:val="20"/>
          <w:szCs w:val="20"/>
          <w:color w:val="auto"/>
        </w:rPr>
      </w:pPr>
    </w:p>
    <w:p>
      <w:pPr>
        <w:ind w:right="120" w:firstLine="463"/>
        <w:spacing w:after="0" w:line="258" w:lineRule="auto"/>
        <w:rPr>
          <w:sz w:val="20"/>
          <w:szCs w:val="20"/>
          <w:color w:val="auto"/>
        </w:rPr>
      </w:pPr>
      <w:r>
        <w:rPr>
          <w:rFonts w:ascii="Arial" w:cs="Arial" w:eastAsia="Arial" w:hAnsi="Arial"/>
          <w:sz w:val="19"/>
          <w:szCs w:val="19"/>
          <w:color w:val="231F20"/>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40" w:lineRule="exact"/>
        <w:rPr>
          <w:sz w:val="20"/>
          <w:szCs w:val="20"/>
          <w:color w:val="auto"/>
        </w:rPr>
      </w:pPr>
    </w:p>
    <w:p>
      <w:pPr>
        <w:ind w:right="320"/>
        <w:spacing w:after="0" w:line="314" w:lineRule="auto"/>
        <w:rPr>
          <w:sz w:val="20"/>
          <w:szCs w:val="20"/>
          <w:color w:val="auto"/>
        </w:rPr>
      </w:pPr>
      <w:r>
        <w:rPr>
          <w:rFonts w:ascii="Arial" w:cs="Arial" w:eastAsia="Arial" w:hAnsi="Arial"/>
          <w:sz w:val="18"/>
          <w:szCs w:val="18"/>
          <w:b w:val="1"/>
          <w:bCs w:val="1"/>
          <w:i w:val="1"/>
          <w:iCs w:val="1"/>
          <w:color w:val="231F20"/>
        </w:rPr>
        <w:t>The concentration of our stock ownership will likely limit your ability to influence corporate matters, including the ability to influence the outcome of director elections and other matters requiring stockholder approval.</w:t>
      </w:r>
    </w:p>
    <w:p>
      <w:pPr>
        <w:spacing w:after="0" w:line="78" w:lineRule="exact"/>
        <w:rPr>
          <w:sz w:val="20"/>
          <w:szCs w:val="20"/>
          <w:color w:val="auto"/>
        </w:rPr>
      </w:pPr>
    </w:p>
    <w:p>
      <w:pPr>
        <w:ind w:right="220" w:firstLine="463"/>
        <w:spacing w:after="0" w:line="245" w:lineRule="auto"/>
        <w:rPr>
          <w:sz w:val="20"/>
          <w:szCs w:val="20"/>
          <w:color w:val="auto"/>
        </w:rPr>
      </w:pPr>
      <w:r>
        <w:rPr>
          <w:rFonts w:ascii="Arial" w:cs="Arial" w:eastAsia="Arial" w:hAnsi="Arial"/>
          <w:sz w:val="19"/>
          <w:szCs w:val="19"/>
          <w:color w:val="231F20"/>
        </w:rPr>
        <w:t>As of December 31, 2024,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52" w:lineRule="exact"/>
        <w:rPr>
          <w:sz w:val="20"/>
          <w:szCs w:val="20"/>
          <w:color w:val="auto"/>
        </w:rPr>
      </w:pPr>
    </w:p>
    <w:p>
      <w:pPr>
        <w:ind w:right="160"/>
        <w:spacing w:after="0" w:line="285" w:lineRule="auto"/>
        <w:rPr>
          <w:sz w:val="20"/>
          <w:szCs w:val="20"/>
          <w:color w:val="auto"/>
        </w:rPr>
      </w:pPr>
      <w:r>
        <w:rPr>
          <w:rFonts w:ascii="Arial" w:cs="Arial" w:eastAsia="Arial" w:hAnsi="Arial"/>
          <w:sz w:val="19"/>
          <w:szCs w:val="19"/>
          <w:b w:val="1"/>
          <w:bCs w:val="1"/>
          <w:i w:val="1"/>
          <w:iCs w:val="1"/>
          <w:color w:val="231F20"/>
        </w:rPr>
        <w:t>We do not intend to pay dividends on our common stock, consequently, your ability to achieve a return on your investment will depend on appreciation in the price of our common stock.</w:t>
      </w:r>
    </w:p>
    <w:p>
      <w:pPr>
        <w:spacing w:after="0" w:line="100" w:lineRule="exact"/>
        <w:rPr>
          <w:sz w:val="20"/>
          <w:szCs w:val="20"/>
          <w:color w:val="auto"/>
        </w:rPr>
      </w:pPr>
    </w:p>
    <w:p>
      <w:pPr>
        <w:ind w:right="20" w:firstLine="463"/>
        <w:spacing w:after="0" w:line="243" w:lineRule="auto"/>
        <w:rPr>
          <w:sz w:val="20"/>
          <w:szCs w:val="20"/>
          <w:color w:val="auto"/>
        </w:rPr>
      </w:pPr>
      <w:r>
        <w:rPr>
          <w:rFonts w:ascii="Arial" w:cs="Arial" w:eastAsia="Arial" w:hAnsi="Arial"/>
          <w:sz w:val="19"/>
          <w:szCs w:val="19"/>
          <w:color w:val="231F20"/>
        </w:rPr>
        <w:t>We have never declared or paid any cash dividend on our common stock and do not currently intend to do so for the foreseeable future. We currently anticipate that we will retain all available funds and any future earnings for reinvestment to fund the development, operation, expansion and growth of our business and to fund our Repurchase Program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53"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b w:val="1"/>
          <w:bCs w:val="1"/>
          <w:i w:val="1"/>
          <w:iCs w:val="1"/>
          <w:color w:val="231F20"/>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24" w:lineRule="exact"/>
        <w:rPr>
          <w:sz w:val="20"/>
          <w:szCs w:val="20"/>
          <w:color w:val="auto"/>
        </w:rPr>
      </w:pPr>
    </w:p>
    <w:p>
      <w:pPr>
        <w:ind w:right="120" w:firstLine="463"/>
        <w:spacing w:after="0" w:line="246" w:lineRule="auto"/>
        <w:rPr>
          <w:sz w:val="20"/>
          <w:szCs w:val="20"/>
          <w:color w:val="auto"/>
        </w:rPr>
      </w:pPr>
      <w:r>
        <w:rPr>
          <w:rFonts w:ascii="Arial" w:cs="Arial" w:eastAsia="Arial" w:hAnsi="Arial"/>
          <w:sz w:val="19"/>
          <w:szCs w:val="19"/>
          <w:color w:val="231F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61" w:lineRule="exact"/>
        <w:rPr>
          <w:sz w:val="20"/>
          <w:szCs w:val="20"/>
          <w:color w:val="auto"/>
        </w:rPr>
      </w:pPr>
    </w:p>
    <w:p>
      <w:pPr>
        <w:ind w:left="800" w:right="220" w:hanging="229"/>
        <w:spacing w:after="0" w:line="278" w:lineRule="auto"/>
        <w:tabs>
          <w:tab w:leader="none" w:pos="800" w:val="left"/>
        </w:tabs>
        <w:numPr>
          <w:ilvl w:val="0"/>
          <w:numId w:val="42"/>
        </w:numPr>
        <w:rPr>
          <w:rFonts w:ascii="Arial" w:cs="Arial" w:eastAsia="Arial" w:hAnsi="Arial"/>
          <w:sz w:val="19"/>
          <w:szCs w:val="19"/>
          <w:color w:val="231F20"/>
        </w:rPr>
      </w:pPr>
      <w:r>
        <w:rPr>
          <w:rFonts w:ascii="Arial" w:cs="Arial" w:eastAsia="Arial" w:hAnsi="Arial"/>
          <w:sz w:val="19"/>
          <w:szCs w:val="19"/>
          <w:color w:val="231F20"/>
        </w:rPr>
        <w:t>a classified board of directors with three-year staggered terms, which could delay the ability of stockholders to change the membership of a majority of our board of directors;</w:t>
      </w:r>
    </w:p>
    <w:p>
      <w:pPr>
        <w:spacing w:after="0" w:line="129" w:lineRule="exact"/>
        <w:rPr>
          <w:rFonts w:ascii="Arial" w:cs="Arial" w:eastAsia="Arial" w:hAnsi="Arial"/>
          <w:sz w:val="19"/>
          <w:szCs w:val="19"/>
          <w:color w:val="231F20"/>
        </w:rPr>
      </w:pPr>
    </w:p>
    <w:p>
      <w:pPr>
        <w:ind w:left="800" w:right="60" w:hanging="229"/>
        <w:spacing w:after="0" w:line="258" w:lineRule="auto"/>
        <w:tabs>
          <w:tab w:leader="none" w:pos="800" w:val="left"/>
        </w:tabs>
        <w:numPr>
          <w:ilvl w:val="0"/>
          <w:numId w:val="42"/>
        </w:numPr>
        <w:rPr>
          <w:rFonts w:ascii="Arial" w:cs="Arial" w:eastAsia="Arial" w:hAnsi="Arial"/>
          <w:sz w:val="19"/>
          <w:szCs w:val="19"/>
          <w:color w:val="231F20"/>
        </w:rPr>
      </w:pPr>
      <w:r>
        <w:rPr>
          <w:rFonts w:ascii="Arial" w:cs="Arial" w:eastAsia="Arial" w:hAnsi="Arial"/>
          <w:sz w:val="19"/>
          <w:szCs w:val="19"/>
          <w:color w:val="231F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48" w:lineRule="exact"/>
        <w:rPr>
          <w:rFonts w:ascii="Arial" w:cs="Arial" w:eastAsia="Arial" w:hAnsi="Arial"/>
          <w:sz w:val="19"/>
          <w:szCs w:val="19"/>
          <w:color w:val="231F20"/>
        </w:rPr>
      </w:pPr>
    </w:p>
    <w:p>
      <w:pPr>
        <w:ind w:left="800" w:hanging="229"/>
        <w:spacing w:after="0" w:line="258" w:lineRule="auto"/>
        <w:tabs>
          <w:tab w:leader="none" w:pos="800" w:val="left"/>
        </w:tabs>
        <w:numPr>
          <w:ilvl w:val="0"/>
          <w:numId w:val="42"/>
        </w:numPr>
        <w:rPr>
          <w:rFonts w:ascii="Arial" w:cs="Arial" w:eastAsia="Arial" w:hAnsi="Arial"/>
          <w:sz w:val="19"/>
          <w:szCs w:val="19"/>
          <w:color w:val="231F20"/>
        </w:rPr>
      </w:pPr>
      <w:r>
        <w:rPr>
          <w:rFonts w:ascii="Arial" w:cs="Arial" w:eastAsia="Arial" w:hAnsi="Arial"/>
          <w:sz w:val="19"/>
          <w:szCs w:val="19"/>
          <w:color w:val="231F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ectPr>
          <w:pgSz w:w="12240" w:h="15840" w:orient="portrait"/>
          <w:cols w:equalWidth="0" w:num="1">
            <w:col w:w="10180"/>
          </w:cols>
          <w:pgMar w:left="1020" w:top="1440" w:right="1040" w:bottom="595"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72</w:t>
      </w:r>
    </w:p>
    <w:p>
      <w:pPr>
        <w:sectPr>
          <w:pgSz w:w="12240" w:h="15840" w:orient="portrait"/>
          <w:cols w:equalWidth="0" w:num="1">
            <w:col w:w="10180"/>
          </w:cols>
          <w:pgMar w:left="1020" w:top="1440" w:right="1040" w:bottom="595" w:gutter="0" w:footer="0" w:header="0"/>
          <w:type w:val="continuous"/>
        </w:sectPr>
      </w:pPr>
    </w:p>
    <w:bookmarkStart w:id="73" w:name="page74"/>
    <w:bookmarkEnd w:id="73"/>
    <w:p>
      <w:pPr>
        <w:spacing w:after="0" w:line="109" w:lineRule="exact"/>
        <w:rPr>
          <w:sz w:val="20"/>
          <w:szCs w:val="20"/>
          <w:color w:val="auto"/>
        </w:rPr>
      </w:pPr>
    </w:p>
    <w:p>
      <w:pPr>
        <w:ind w:left="800" w:right="140" w:hanging="229"/>
        <w:spacing w:after="0" w:line="278" w:lineRule="auto"/>
        <w:tabs>
          <w:tab w:leader="none" w:pos="800" w:val="left"/>
        </w:tabs>
        <w:numPr>
          <w:ilvl w:val="0"/>
          <w:numId w:val="43"/>
        </w:numPr>
        <w:rPr>
          <w:rFonts w:ascii="Arial" w:cs="Arial" w:eastAsia="Arial" w:hAnsi="Arial"/>
          <w:sz w:val="19"/>
          <w:szCs w:val="19"/>
          <w:color w:val="231F20"/>
        </w:rPr>
      </w:pPr>
      <w:r>
        <w:rPr>
          <w:rFonts w:ascii="Arial" w:cs="Arial" w:eastAsia="Arial" w:hAnsi="Arial"/>
          <w:sz w:val="19"/>
          <w:szCs w:val="19"/>
          <w:color w:val="231F20"/>
        </w:rPr>
        <w:t>a prohibition on stockholder action by written consent, which forces stockholder action to be taken at an annual or special meeting of our stockholders;</w:t>
      </w:r>
    </w:p>
    <w:p>
      <w:pPr>
        <w:spacing w:after="0" w:line="129" w:lineRule="exact"/>
        <w:rPr>
          <w:rFonts w:ascii="Arial" w:cs="Arial" w:eastAsia="Arial" w:hAnsi="Arial"/>
          <w:sz w:val="19"/>
          <w:szCs w:val="19"/>
          <w:color w:val="231F20"/>
        </w:rPr>
      </w:pPr>
    </w:p>
    <w:p>
      <w:pPr>
        <w:jc w:val="both"/>
        <w:ind w:left="800" w:right="120" w:hanging="229"/>
        <w:spacing w:after="0" w:line="279" w:lineRule="auto"/>
        <w:tabs>
          <w:tab w:leader="none" w:pos="80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31" w:lineRule="exact"/>
        <w:rPr>
          <w:rFonts w:ascii="Arial" w:cs="Arial" w:eastAsia="Arial" w:hAnsi="Arial"/>
          <w:sz w:val="18"/>
          <w:szCs w:val="18"/>
          <w:color w:val="231F20"/>
        </w:rPr>
      </w:pPr>
    </w:p>
    <w:p>
      <w:pPr>
        <w:ind w:left="800" w:right="320" w:hanging="229"/>
        <w:spacing w:after="0" w:line="251" w:lineRule="auto"/>
        <w:tabs>
          <w:tab w:leader="none" w:pos="800" w:val="left"/>
        </w:tabs>
        <w:numPr>
          <w:ilvl w:val="0"/>
          <w:numId w:val="43"/>
        </w:numPr>
        <w:rPr>
          <w:rFonts w:ascii="Arial" w:cs="Arial" w:eastAsia="Arial" w:hAnsi="Arial"/>
          <w:sz w:val="19"/>
          <w:szCs w:val="19"/>
          <w:color w:val="231F20"/>
        </w:rPr>
      </w:pPr>
      <w:r>
        <w:rPr>
          <w:rFonts w:ascii="Arial" w:cs="Arial" w:eastAsia="Arial" w:hAnsi="Arial"/>
          <w:sz w:val="19"/>
          <w:szCs w:val="19"/>
          <w:color w:val="231F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56" w:lineRule="exact"/>
        <w:rPr>
          <w:rFonts w:ascii="Arial" w:cs="Arial" w:eastAsia="Arial" w:hAnsi="Arial"/>
          <w:sz w:val="19"/>
          <w:szCs w:val="19"/>
          <w:color w:val="231F20"/>
        </w:rPr>
      </w:pPr>
    </w:p>
    <w:p>
      <w:pPr>
        <w:ind w:left="800" w:right="280" w:hanging="229"/>
        <w:spacing w:after="0" w:line="251" w:lineRule="auto"/>
        <w:tabs>
          <w:tab w:leader="none" w:pos="800" w:val="left"/>
        </w:tabs>
        <w:numPr>
          <w:ilvl w:val="0"/>
          <w:numId w:val="43"/>
        </w:numPr>
        <w:rPr>
          <w:rFonts w:ascii="Arial" w:cs="Arial" w:eastAsia="Arial" w:hAnsi="Arial"/>
          <w:sz w:val="19"/>
          <w:szCs w:val="19"/>
          <w:color w:val="231F20"/>
        </w:rPr>
      </w:pPr>
      <w:r>
        <w:rPr>
          <w:rFonts w:ascii="Arial" w:cs="Arial" w:eastAsia="Arial" w:hAnsi="Arial"/>
          <w:sz w:val="19"/>
          <w:szCs w:val="19"/>
          <w:color w:val="231F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4" w:lineRule="exact"/>
        <w:rPr>
          <w:sz w:val="20"/>
          <w:szCs w:val="20"/>
          <w:color w:val="auto"/>
        </w:rPr>
      </w:pPr>
    </w:p>
    <w:p>
      <w:pPr>
        <w:ind w:firstLine="463"/>
        <w:spacing w:after="0" w:line="248" w:lineRule="auto"/>
        <w:rPr>
          <w:sz w:val="20"/>
          <w:szCs w:val="20"/>
          <w:color w:val="auto"/>
        </w:rPr>
      </w:pPr>
      <w:r>
        <w:rPr>
          <w:rFonts w:ascii="Arial" w:cs="Arial" w:eastAsia="Arial" w:hAnsi="Arial"/>
          <w:sz w:val="19"/>
          <w:szCs w:val="19"/>
          <w:color w:val="231F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46" w:lineRule="exact"/>
        <w:rPr>
          <w:sz w:val="20"/>
          <w:szCs w:val="20"/>
          <w:color w:val="auto"/>
        </w:rPr>
      </w:pPr>
    </w:p>
    <w:p>
      <w:pPr>
        <w:ind w:right="80" w:firstLine="463"/>
        <w:spacing w:after="0" w:line="248" w:lineRule="auto"/>
        <w:rPr>
          <w:sz w:val="20"/>
          <w:szCs w:val="20"/>
          <w:color w:val="auto"/>
        </w:rPr>
      </w:pPr>
      <w:r>
        <w:rPr>
          <w:rFonts w:ascii="Arial" w:cs="Arial" w:eastAsia="Arial" w:hAnsi="Arial"/>
          <w:sz w:val="19"/>
          <w:szCs w:val="19"/>
          <w:color w:val="231F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50" w:lineRule="exact"/>
        <w:rPr>
          <w:sz w:val="20"/>
          <w:szCs w:val="20"/>
          <w:color w:val="auto"/>
        </w:rPr>
      </w:pPr>
    </w:p>
    <w:p>
      <w:pPr>
        <w:ind w:right="600"/>
        <w:spacing w:after="0" w:line="254" w:lineRule="auto"/>
        <w:rPr>
          <w:sz w:val="20"/>
          <w:szCs w:val="20"/>
          <w:color w:val="auto"/>
        </w:rPr>
      </w:pPr>
      <w:r>
        <w:rPr>
          <w:rFonts w:ascii="Arial" w:cs="Arial" w:eastAsia="Arial" w:hAnsi="Arial"/>
          <w:sz w:val="19"/>
          <w:szCs w:val="19"/>
          <w:b w:val="1"/>
          <w:bCs w:val="1"/>
          <w:i w:val="1"/>
          <w:iCs w:val="1"/>
          <w:color w:val="231F20"/>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spacing w:after="0" w:line="129" w:lineRule="exact"/>
        <w:rPr>
          <w:sz w:val="20"/>
          <w:szCs w:val="20"/>
          <w:color w:val="auto"/>
        </w:rPr>
      </w:pPr>
    </w:p>
    <w:p>
      <w:pPr>
        <w:ind w:right="40" w:firstLine="463"/>
        <w:spacing w:after="0" w:line="241" w:lineRule="auto"/>
        <w:rPr>
          <w:sz w:val="20"/>
          <w:szCs w:val="20"/>
          <w:color w:val="auto"/>
        </w:rPr>
      </w:pPr>
      <w:r>
        <w:rPr>
          <w:rFonts w:ascii="Arial" w:cs="Arial" w:eastAsia="Arial" w:hAnsi="Arial"/>
          <w:sz w:val="19"/>
          <w:szCs w:val="19"/>
          <w:color w:val="231F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73</w:t>
      </w:r>
    </w:p>
    <w:p>
      <w:pPr>
        <w:sectPr>
          <w:pgSz w:w="12240" w:h="15840" w:orient="portrait"/>
          <w:cols w:equalWidth="0" w:num="1">
            <w:col w:w="10200"/>
          </w:cols>
          <w:pgMar w:left="1020" w:top="1440" w:right="1020" w:bottom="595" w:gutter="0" w:footer="0" w:header="0"/>
          <w:type w:val="continuous"/>
        </w:sectPr>
      </w:pPr>
    </w:p>
    <w:bookmarkStart w:id="74" w:name="page75"/>
    <w:bookmarkEnd w:id="74"/>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1B. Unresolved Staff Comments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None.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1C. Cybersecurity</w:t>
      </w:r>
    </w:p>
    <w:p>
      <w:pPr>
        <w:spacing w:after="0" w:line="192" w:lineRule="exact"/>
        <w:rPr>
          <w:sz w:val="20"/>
          <w:szCs w:val="20"/>
          <w:color w:val="auto"/>
        </w:rPr>
      </w:pPr>
    </w:p>
    <w:p>
      <w:pPr>
        <w:ind w:right="360" w:firstLine="463"/>
        <w:spacing w:after="0" w:line="258" w:lineRule="auto"/>
        <w:rPr>
          <w:sz w:val="20"/>
          <w:szCs w:val="20"/>
          <w:color w:val="auto"/>
        </w:rPr>
      </w:pPr>
      <w:r>
        <w:rPr>
          <w:rFonts w:ascii="Arial" w:cs="Arial" w:eastAsia="Arial" w:hAnsi="Arial"/>
          <w:sz w:val="19"/>
          <w:szCs w:val="19"/>
          <w:color w:val="231F20"/>
        </w:rPr>
        <w:t>Flywire recognizes the critical importance of developing, implementing and maintaining robust cybersecurity measures to safeguard our information systems and protect the confidentiality, integrity, and availability of our and our client’s data.</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Risk Management and Strategy</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Managing Material Risks and Integrated Overall Risk Management</w:t>
      </w:r>
    </w:p>
    <w:p>
      <w:pPr>
        <w:spacing w:after="0" w:line="180" w:lineRule="exact"/>
        <w:rPr>
          <w:sz w:val="20"/>
          <w:szCs w:val="20"/>
          <w:color w:val="auto"/>
        </w:rPr>
      </w:pPr>
    </w:p>
    <w:p>
      <w:pPr>
        <w:ind w:right="140" w:firstLine="463"/>
        <w:spacing w:after="0" w:line="248" w:lineRule="auto"/>
        <w:rPr>
          <w:sz w:val="20"/>
          <w:szCs w:val="20"/>
          <w:color w:val="auto"/>
        </w:rPr>
      </w:pPr>
      <w:r>
        <w:rPr>
          <w:rFonts w:ascii="Arial" w:cs="Arial" w:eastAsia="Arial" w:hAnsi="Arial"/>
          <w:sz w:val="19"/>
          <w:szCs w:val="19"/>
          <w:color w:val="231F20"/>
        </w:rPr>
        <w:t>Flywire has strategically integrated cybersecurity risk management into our broader risk management framework to promote a company-wide culture of cybersecurity risk management. This integration is designed to ensure that cybersecurity considerations are an integral part of our decision-making processes at every level. Our security and risk management team works closely with our IT department to continuously evaluate and address cybersecurity risks in alignment with our business objectives and operational needs.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Engage Third-parties on Risk Management</w:t>
      </w:r>
    </w:p>
    <w:p>
      <w:pPr>
        <w:spacing w:after="0" w:line="180" w:lineRule="exact"/>
        <w:rPr>
          <w:sz w:val="20"/>
          <w:szCs w:val="20"/>
          <w:color w:val="auto"/>
        </w:rPr>
      </w:pPr>
    </w:p>
    <w:p>
      <w:pPr>
        <w:ind w:right="180" w:firstLine="463"/>
        <w:spacing w:after="0" w:line="248" w:lineRule="auto"/>
        <w:rPr>
          <w:sz w:val="20"/>
          <w:szCs w:val="20"/>
          <w:color w:val="auto"/>
        </w:rPr>
      </w:pPr>
      <w:r>
        <w:rPr>
          <w:rFonts w:ascii="Arial" w:cs="Arial" w:eastAsia="Arial" w:hAnsi="Arial"/>
          <w:sz w:val="19"/>
          <w:szCs w:val="19"/>
          <w:color w:val="231F20"/>
        </w:rPr>
        <w:t>Recognizing the complexity and evolving nature of cybersecurity threats, Flywire engages with a range of external experts, including cybersecurity assessors, consultants and auditors in evaluating and testing our risk management systems. These partnerships enable us to leverage specialized knowledge and insights to help ensure our cybersecurity strategies and processes remain at the forefront of industry best practices. Our collaboration with these third-parties includes regular audits, threat assessments and consultation on security enhancements.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Oversee Third-party Risk</w:t>
      </w:r>
    </w:p>
    <w:p>
      <w:pPr>
        <w:spacing w:after="0" w:line="180" w:lineRule="exact"/>
        <w:rPr>
          <w:sz w:val="20"/>
          <w:szCs w:val="20"/>
          <w:color w:val="auto"/>
        </w:rPr>
      </w:pPr>
    </w:p>
    <w:p>
      <w:pPr>
        <w:ind w:right="100" w:firstLine="463"/>
        <w:spacing w:after="0" w:line="246" w:lineRule="auto"/>
        <w:rPr>
          <w:sz w:val="20"/>
          <w:szCs w:val="20"/>
          <w:color w:val="auto"/>
        </w:rPr>
      </w:pPr>
      <w:r>
        <w:rPr>
          <w:rFonts w:ascii="Arial" w:cs="Arial" w:eastAsia="Arial" w:hAnsi="Arial"/>
          <w:sz w:val="19"/>
          <w:szCs w:val="19"/>
          <w:color w:val="231F20"/>
        </w:rPr>
        <w:t>Flywire implements stringent processes to oversee and manage the risks associated with third-party service providers. We conduct thorough security assessments of all third-party providers before engagement and maintain ongoing monitoring to ensure compliance with our cybersecurity standards. The monitoring includes annual assessments by our Chief Information Security Officer (CISO) and on an ongoing basis by our security and risk management team and our security engineers. This approach is designed to mitigate risks related to data breaches or other security incidents originating from third-parties.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Risks from Cybersecurity Threats</w:t>
      </w:r>
    </w:p>
    <w:p>
      <w:pPr>
        <w:spacing w:after="0" w:line="180" w:lineRule="exact"/>
        <w:rPr>
          <w:sz w:val="20"/>
          <w:szCs w:val="20"/>
          <w:color w:val="auto"/>
        </w:rPr>
      </w:pPr>
    </w:p>
    <w:p>
      <w:pPr>
        <w:ind w:right="760" w:firstLine="463"/>
        <w:spacing w:after="0" w:line="278" w:lineRule="auto"/>
        <w:rPr>
          <w:sz w:val="20"/>
          <w:szCs w:val="20"/>
          <w:color w:val="auto"/>
        </w:rPr>
      </w:pPr>
      <w:r>
        <w:rPr>
          <w:rFonts w:ascii="Arial" w:cs="Arial" w:eastAsia="Arial" w:hAnsi="Arial"/>
          <w:sz w:val="19"/>
          <w:szCs w:val="19"/>
          <w:color w:val="231F20"/>
        </w:rPr>
        <w:t>We have not encountered cybersecurity challenges that have materially impaired our operations or financial standing.</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Governance</w:t>
      </w:r>
    </w:p>
    <w:p>
      <w:pPr>
        <w:spacing w:after="0" w:line="184" w:lineRule="exact"/>
        <w:rPr>
          <w:sz w:val="20"/>
          <w:szCs w:val="20"/>
          <w:color w:val="auto"/>
        </w:rPr>
      </w:pPr>
    </w:p>
    <w:p>
      <w:pPr>
        <w:ind w:right="20" w:firstLine="463"/>
        <w:spacing w:after="0" w:line="251" w:lineRule="auto"/>
        <w:rPr>
          <w:sz w:val="20"/>
          <w:szCs w:val="20"/>
          <w:color w:val="auto"/>
        </w:rPr>
      </w:pPr>
      <w:r>
        <w:rPr>
          <w:rFonts w:ascii="Arial" w:cs="Arial" w:eastAsia="Arial" w:hAnsi="Arial"/>
          <w:sz w:val="19"/>
          <w:szCs w:val="19"/>
          <w:color w:val="231F20"/>
        </w:rPr>
        <w:t>Our Board of Directors is acutely aware of the critical nature of managing risks associated with cybersecurity threats. Our Board has established robust oversight mechanisms to ensure effective governance in managing risks associated with cybersecurity threats because we recognize the significance of these threats to our operational integrity and stakeholder confidence.</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Board of Directors Oversight</w:t>
      </w:r>
    </w:p>
    <w:p>
      <w:pPr>
        <w:spacing w:after="0" w:line="180"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Our Audit Committee is central to the Board’s oversight of cybersecurity risks and bears the primary responsibility for this domain. The Audit Committee is composed of board members with diverse expertise including risk management, technology and finance, which we believe equips them to oversee cybersecurity risks effectively.</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Management’s Role Managing Risk</w:t>
      </w:r>
    </w:p>
    <w:p>
      <w:pPr>
        <w:spacing w:after="0" w:line="180" w:lineRule="exact"/>
        <w:rPr>
          <w:sz w:val="20"/>
          <w:szCs w:val="20"/>
          <w:color w:val="auto"/>
        </w:rPr>
      </w:pPr>
    </w:p>
    <w:p>
      <w:pPr>
        <w:ind w:right="120" w:firstLine="463"/>
        <w:spacing w:after="0" w:line="278" w:lineRule="auto"/>
        <w:rPr>
          <w:sz w:val="20"/>
          <w:szCs w:val="20"/>
          <w:color w:val="auto"/>
        </w:rPr>
      </w:pPr>
      <w:r>
        <w:rPr>
          <w:rFonts w:ascii="Arial" w:cs="Arial" w:eastAsia="Arial" w:hAnsi="Arial"/>
          <w:sz w:val="19"/>
          <w:szCs w:val="19"/>
          <w:color w:val="231F20"/>
        </w:rPr>
        <w:t>The CISO, General Counsel &amp; Chief Compliance Officer (GC &amp; CCO), Chief Operating Officer (COO) and the Chief Executive Officer (CEO) play a pivotal role in informing the Audit Committee on cybersecurity risks. They provide</w:t>
      </w:r>
    </w:p>
    <w:p>
      <w:pPr>
        <w:sectPr>
          <w:pgSz w:w="12240" w:h="15840" w:orient="portrait"/>
          <w:cols w:equalWidth="0" w:num="1">
            <w:col w:w="10200"/>
          </w:cols>
          <w:pgMar w:left="1020" w:top="1440" w:right="1020" w:bottom="595"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74</w:t>
      </w:r>
    </w:p>
    <w:p>
      <w:pPr>
        <w:sectPr>
          <w:pgSz w:w="12240" w:h="15840" w:orient="portrait"/>
          <w:cols w:equalWidth="0" w:num="1">
            <w:col w:w="10200"/>
          </w:cols>
          <w:pgMar w:left="1020" w:top="1440" w:right="1020" w:bottom="595" w:gutter="0" w:footer="0" w:header="0"/>
          <w:type w:val="continuous"/>
        </w:sectPr>
      </w:pPr>
    </w:p>
    <w:bookmarkStart w:id="75" w:name="page76"/>
    <w:bookmarkEnd w:id="75"/>
    <w:p>
      <w:pPr>
        <w:spacing w:after="0" w:line="97" w:lineRule="exact"/>
        <w:rPr>
          <w:sz w:val="20"/>
          <w:szCs w:val="20"/>
          <w:color w:val="auto"/>
        </w:rPr>
      </w:pPr>
    </w:p>
    <w:p>
      <w:pPr>
        <w:ind w:right="20"/>
        <w:spacing w:after="0" w:line="278" w:lineRule="auto"/>
        <w:rPr>
          <w:sz w:val="20"/>
          <w:szCs w:val="20"/>
          <w:color w:val="auto"/>
        </w:rPr>
      </w:pPr>
      <w:r>
        <w:rPr>
          <w:rFonts w:ascii="Arial" w:cs="Arial" w:eastAsia="Arial" w:hAnsi="Arial"/>
          <w:sz w:val="19"/>
          <w:szCs w:val="19"/>
          <w:color w:val="231F20"/>
        </w:rPr>
        <w:t>comprehensive briefings to the Audit Committee on a quarterly basis. These briefings encompass a broad range of topics, including:</w:t>
      </w:r>
    </w:p>
    <w:p>
      <w:pPr>
        <w:spacing w:after="0" w:line="130" w:lineRule="exact"/>
        <w:rPr>
          <w:sz w:val="20"/>
          <w:szCs w:val="20"/>
          <w:color w:val="auto"/>
        </w:rPr>
      </w:pPr>
    </w:p>
    <w:p>
      <w:pPr>
        <w:ind w:left="920" w:hanging="458"/>
        <w:spacing w:after="0"/>
        <w:tabs>
          <w:tab w:leader="none" w:pos="920" w:val="left"/>
        </w:tabs>
        <w:numPr>
          <w:ilvl w:val="0"/>
          <w:numId w:val="44"/>
        </w:numPr>
        <w:rPr>
          <w:rFonts w:ascii="Arial" w:cs="Arial" w:eastAsia="Arial" w:hAnsi="Arial"/>
          <w:sz w:val="19"/>
          <w:szCs w:val="19"/>
          <w:color w:val="231F20"/>
        </w:rPr>
      </w:pPr>
      <w:r>
        <w:rPr>
          <w:rFonts w:ascii="Arial" w:cs="Arial" w:eastAsia="Arial" w:hAnsi="Arial"/>
          <w:sz w:val="19"/>
          <w:szCs w:val="19"/>
          <w:color w:val="231F20"/>
        </w:rPr>
        <w:t>Current cybersecurity landscape and emerging threats;</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44"/>
        </w:numPr>
        <w:rPr>
          <w:rFonts w:ascii="Arial" w:cs="Arial" w:eastAsia="Arial" w:hAnsi="Arial"/>
          <w:sz w:val="19"/>
          <w:szCs w:val="19"/>
          <w:color w:val="231F20"/>
        </w:rPr>
      </w:pPr>
      <w:r>
        <w:rPr>
          <w:rFonts w:ascii="Arial" w:cs="Arial" w:eastAsia="Arial" w:hAnsi="Arial"/>
          <w:sz w:val="19"/>
          <w:szCs w:val="19"/>
          <w:color w:val="231F20"/>
        </w:rPr>
        <w:t>Status of ongoing cybersecurity initiatives and strategies;</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44"/>
        </w:numPr>
        <w:rPr>
          <w:rFonts w:ascii="Arial" w:cs="Arial" w:eastAsia="Arial" w:hAnsi="Arial"/>
          <w:sz w:val="19"/>
          <w:szCs w:val="19"/>
          <w:color w:val="231F20"/>
        </w:rPr>
      </w:pPr>
      <w:r>
        <w:rPr>
          <w:rFonts w:ascii="Arial" w:cs="Arial" w:eastAsia="Arial" w:hAnsi="Arial"/>
          <w:sz w:val="19"/>
          <w:szCs w:val="19"/>
          <w:color w:val="231F20"/>
        </w:rPr>
        <w:t>Incident reports and learnings from any cybersecurity events;</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44"/>
        </w:numPr>
        <w:rPr>
          <w:rFonts w:ascii="Arial" w:cs="Arial" w:eastAsia="Arial" w:hAnsi="Arial"/>
          <w:sz w:val="19"/>
          <w:szCs w:val="19"/>
          <w:color w:val="231F20"/>
        </w:rPr>
      </w:pPr>
      <w:r>
        <w:rPr>
          <w:rFonts w:ascii="Arial" w:cs="Arial" w:eastAsia="Arial" w:hAnsi="Arial"/>
          <w:sz w:val="19"/>
          <w:szCs w:val="19"/>
          <w:color w:val="231F20"/>
        </w:rPr>
        <w:t>Risk mitigation efforts and insurance; and</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44"/>
        </w:numPr>
        <w:rPr>
          <w:rFonts w:ascii="Arial" w:cs="Arial" w:eastAsia="Arial" w:hAnsi="Arial"/>
          <w:sz w:val="19"/>
          <w:szCs w:val="19"/>
          <w:color w:val="231F20"/>
        </w:rPr>
      </w:pPr>
      <w:r>
        <w:rPr>
          <w:rFonts w:ascii="Arial" w:cs="Arial" w:eastAsia="Arial" w:hAnsi="Arial"/>
          <w:sz w:val="19"/>
          <w:szCs w:val="19"/>
          <w:color w:val="231F20"/>
        </w:rPr>
        <w:t>Compliance with regulatory requirements and industry standards.</w:t>
      </w:r>
    </w:p>
    <w:p>
      <w:pPr>
        <w:spacing w:after="0" w:line="188" w:lineRule="exact"/>
        <w:rPr>
          <w:sz w:val="20"/>
          <w:szCs w:val="20"/>
          <w:color w:val="auto"/>
        </w:rPr>
      </w:pPr>
    </w:p>
    <w:p>
      <w:pPr>
        <w:ind w:right="60" w:firstLine="463"/>
        <w:spacing w:after="0" w:line="244" w:lineRule="auto"/>
        <w:rPr>
          <w:sz w:val="20"/>
          <w:szCs w:val="20"/>
          <w:color w:val="auto"/>
        </w:rPr>
      </w:pPr>
      <w:r>
        <w:rPr>
          <w:rFonts w:ascii="Arial" w:cs="Arial" w:eastAsia="Arial" w:hAnsi="Arial"/>
          <w:sz w:val="19"/>
          <w:szCs w:val="19"/>
          <w:color w:val="231F20"/>
        </w:rPr>
        <w:t>In addition to our scheduled meetings, the Audit Committee, CISO, GC &amp; CCO, COO and CEO maintain an ongoing dialogue regarding emerging or potential cybersecurity risks. Together, they receive updates on any significant developments in the cybersecurity domain, ensuring the Board’s oversight is proactive and responsive. The Audit Committee actively participates in strategic decisions related to cybersecurity, offering guidance and approval for major initiatives. This involvement ensures that cybersecurity considerations are integrated into the broader strategic objectives of Flywire. Our Audit Committee conducts an annual review of our cybersecurity posture and the effectiveness of its risk management strategies. This review helps in identifying areas for improvement and ensuring the alignment of cybersecurity efforts with the overall risk management framework.</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Risk Management Personnel</w:t>
      </w:r>
    </w:p>
    <w:p>
      <w:pPr>
        <w:spacing w:after="0" w:line="180" w:lineRule="exact"/>
        <w:rPr>
          <w:sz w:val="20"/>
          <w:szCs w:val="20"/>
          <w:color w:val="auto"/>
        </w:rPr>
      </w:pPr>
    </w:p>
    <w:p>
      <w:pPr>
        <w:ind w:right="20" w:firstLine="463"/>
        <w:spacing w:after="0" w:line="246" w:lineRule="auto"/>
        <w:rPr>
          <w:sz w:val="20"/>
          <w:szCs w:val="20"/>
          <w:color w:val="auto"/>
        </w:rPr>
      </w:pPr>
      <w:r>
        <w:rPr>
          <w:rFonts w:ascii="Arial" w:cs="Arial" w:eastAsia="Arial" w:hAnsi="Arial"/>
          <w:sz w:val="19"/>
          <w:szCs w:val="19"/>
          <w:color w:val="231F20"/>
        </w:rPr>
        <w:t>Primary responsibility for assessing, monitoring and managing our cybersecurity risks rests with the CISO. With over 30 years of experience in the field of cybersecurity, the CISO brings a wealth of expertise to her role. Her background includes extensive experience as an enterprise CISO and she is well-recognized within the industry. Her in-depth knowledge and experience are instrumental in developing and executing our cybersecurity strategies. Our CISO oversees our governance programs, tests our compliance with standards, remediates known risks, and leads our employee training program.</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Monitor Cybersecurity Incidents</w:t>
      </w:r>
    </w:p>
    <w:p>
      <w:pPr>
        <w:spacing w:after="0" w:line="180" w:lineRule="exact"/>
        <w:rPr>
          <w:sz w:val="20"/>
          <w:szCs w:val="20"/>
          <w:color w:val="auto"/>
        </w:rPr>
      </w:pPr>
    </w:p>
    <w:p>
      <w:pPr>
        <w:ind w:firstLine="463"/>
        <w:spacing w:after="0" w:line="244" w:lineRule="auto"/>
        <w:rPr>
          <w:sz w:val="20"/>
          <w:szCs w:val="20"/>
          <w:color w:val="auto"/>
        </w:rPr>
      </w:pPr>
      <w:r>
        <w:rPr>
          <w:rFonts w:ascii="Arial" w:cs="Arial" w:eastAsia="Arial" w:hAnsi="Arial"/>
          <w:sz w:val="19"/>
          <w:szCs w:val="19"/>
          <w:color w:val="231F20"/>
        </w:rPr>
        <w:t>The CISO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The CISO implements and oversees processes for the regular monitoring of our information systems. This includes the deployment of advanced security measures and regular system audits to identify potential vulnerabilities. In the event of a cybersecurity incident, the CISO is equipped with a well-defined incident response plan. This plan includes immediate actions to mitigate the impact and long-term strategies for remediation and prevention of future incidents and is subject to periodic testing for effectiveness of response and remediation.</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Reporting to Management and Board of Directors</w:t>
      </w:r>
    </w:p>
    <w:p>
      <w:pPr>
        <w:spacing w:after="0" w:line="180" w:lineRule="exact"/>
        <w:rPr>
          <w:sz w:val="20"/>
          <w:szCs w:val="20"/>
          <w:color w:val="auto"/>
        </w:rPr>
      </w:pPr>
    </w:p>
    <w:p>
      <w:pPr>
        <w:ind w:right="80" w:firstLine="463"/>
        <w:spacing w:after="0" w:line="248" w:lineRule="auto"/>
        <w:rPr>
          <w:sz w:val="20"/>
          <w:szCs w:val="20"/>
          <w:color w:val="auto"/>
        </w:rPr>
      </w:pPr>
      <w:r>
        <w:rPr>
          <w:rFonts w:ascii="Arial" w:cs="Arial" w:eastAsia="Arial" w:hAnsi="Arial"/>
          <w:sz w:val="19"/>
          <w:szCs w:val="19"/>
          <w:color w:val="231F20"/>
        </w:rPr>
        <w:t>Our CISO, in her capacity, regularly informs our Chief Financial Officer (CFO), GC &amp; CCO, COO and CEO of all aspects related to cybersecurity risks and incidents. This ensures that the highest levels of management are kept abreast of the cybersecurity posture and potential risks facing Flywire. Furthermore, our CISO reports to the Board of Directors at a minimum twice a year, ensuring that they have comprehensive oversight and can provide guidance on significant cybersecurity matters, and strategic risk management decisions.</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2. Properties</w:t>
      </w:r>
    </w:p>
    <w:p>
      <w:pPr>
        <w:spacing w:after="0" w:line="192" w:lineRule="exact"/>
        <w:rPr>
          <w:sz w:val="20"/>
          <w:szCs w:val="20"/>
          <w:color w:val="auto"/>
        </w:rPr>
      </w:pPr>
    </w:p>
    <w:p>
      <w:pPr>
        <w:jc w:val="both"/>
        <w:ind w:firstLine="463"/>
        <w:spacing w:after="0" w:line="258" w:lineRule="auto"/>
        <w:rPr>
          <w:sz w:val="20"/>
          <w:szCs w:val="20"/>
          <w:color w:val="auto"/>
        </w:rPr>
      </w:pPr>
      <w:r>
        <w:rPr>
          <w:rFonts w:ascii="Arial" w:cs="Arial" w:eastAsia="Arial" w:hAnsi="Arial"/>
          <w:sz w:val="19"/>
          <w:szCs w:val="19"/>
          <w:color w:val="231F20"/>
        </w:rPr>
        <w:t>Our corporate headquarters are located in Boston, Massachusetts, where we occupy facilities totaling 10,946 square feet under a lease that expires in June 2027. We use these facilities for administration, finance, legal, compliance, human resources, global payments, IT, sales and marketing, engineering, and customer success.</w:t>
      </w:r>
    </w:p>
    <w:p>
      <w:pPr>
        <w:spacing w:after="0" w:line="136" w:lineRule="exact"/>
        <w:rPr>
          <w:sz w:val="20"/>
          <w:szCs w:val="20"/>
          <w:color w:val="auto"/>
        </w:rPr>
      </w:pPr>
    </w:p>
    <w:p>
      <w:pPr>
        <w:ind w:right="240" w:firstLine="463"/>
        <w:spacing w:after="0" w:line="251" w:lineRule="auto"/>
        <w:rPr>
          <w:sz w:val="20"/>
          <w:szCs w:val="20"/>
          <w:color w:val="auto"/>
        </w:rPr>
      </w:pPr>
      <w:r>
        <w:rPr>
          <w:rFonts w:ascii="Arial" w:cs="Arial" w:eastAsia="Arial" w:hAnsi="Arial"/>
          <w:sz w:val="19"/>
          <w:szCs w:val="19"/>
          <w:color w:val="231F20"/>
        </w:rPr>
        <w:t>We maintain other leased locations in the United States and throughout the world. We intend to procure additional space as we strategically add FlyMates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231F20"/>
        </w:rPr>
        <w:t>Item 3. Legal Proceedings</w:t>
      </w:r>
    </w:p>
    <w:p>
      <w:pPr>
        <w:sectPr>
          <w:pgSz w:w="12240" w:h="15840" w:orient="portrait"/>
          <w:cols w:equalWidth="0" w:num="1">
            <w:col w:w="10200"/>
          </w:cols>
          <w:pgMar w:left="1020" w:top="1440" w:right="1020" w:bottom="595"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75</w:t>
      </w:r>
    </w:p>
    <w:p>
      <w:pPr>
        <w:sectPr>
          <w:pgSz w:w="12240" w:h="15840" w:orient="portrait"/>
          <w:cols w:equalWidth="0" w:num="1">
            <w:col w:w="10200"/>
          </w:cols>
          <w:pgMar w:left="1020" w:top="1440" w:right="1020" w:bottom="595" w:gutter="0" w:footer="0" w:header="0"/>
          <w:type w:val="continuous"/>
        </w:sectPr>
      </w:pPr>
    </w:p>
    <w:bookmarkStart w:id="76" w:name="page77"/>
    <w:bookmarkEnd w:id="76"/>
    <w:p>
      <w:pPr>
        <w:spacing w:after="0" w:line="97" w:lineRule="exact"/>
        <w:rPr>
          <w:sz w:val="20"/>
          <w:szCs w:val="20"/>
          <w:color w:val="auto"/>
        </w:rPr>
      </w:pPr>
    </w:p>
    <w:p>
      <w:pPr>
        <w:ind w:right="140" w:firstLine="463"/>
        <w:spacing w:after="0" w:line="261" w:lineRule="auto"/>
        <w:rPr>
          <w:sz w:val="20"/>
          <w:szCs w:val="20"/>
          <w:color w:val="auto"/>
        </w:rPr>
      </w:pPr>
      <w:r>
        <w:rPr>
          <w:rFonts w:ascii="Arial" w:cs="Arial" w:eastAsia="Arial" w:hAnsi="Arial"/>
          <w:sz w:val="18"/>
          <w:szCs w:val="18"/>
          <w:color w:val="231F20"/>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34"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In the course of enhancing our sanctions compliance function, we initiated an internal review that identified issues related to our compliance with sanctions, including payments that may have originated from sanctioned jurisdictions or sanctioned persons. Although Flywire continues to evaluate whether these or other transactions constitute potential violations of OFAC sanctions (including whether certain of these payments may have been authorized by general licenses or license exemptions under the relevant sanctions regulations), Flywire has made voluntary submissions to OFAC to report apparent violations and provide supplemental information. Flywire is currently engaging with OFAC to resolve these matters. Based upon the results of the internal investigation completed to date, we do not believe that the amount of any loss incurred as a result of this matter would be material to our business, financial condition, results of operations or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4. Mine Safety Disclosures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Not applicable.</w:t>
      </w:r>
    </w:p>
    <w:p>
      <w:pPr>
        <w:sectPr>
          <w:pgSz w:w="12240" w:h="15840" w:orient="portrait"/>
          <w:cols w:equalWidth="0" w:num="1">
            <w:col w:w="10180"/>
          </w:cols>
          <w:pgMar w:left="1020" w:top="1440" w:right="104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76</w:t>
      </w:r>
    </w:p>
    <w:p>
      <w:pPr>
        <w:sectPr>
          <w:pgSz w:w="12240" w:h="15840" w:orient="portrait"/>
          <w:cols w:equalWidth="0" w:num="1">
            <w:col w:w="10180"/>
          </w:cols>
          <w:pgMar w:left="1020" w:top="1440" w:right="1040" w:bottom="595" w:gutter="0" w:footer="0" w:header="0"/>
          <w:type w:val="continuous"/>
        </w:sectPr>
      </w:pPr>
    </w:p>
    <w:bookmarkStart w:id="77" w:name="page78"/>
    <w:bookmarkEnd w:id="77"/>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PART II</w:t>
      </w:r>
    </w:p>
    <w:p>
      <w:pPr>
        <w:spacing w:after="0" w:line="188" w:lineRule="exact"/>
        <w:rPr>
          <w:sz w:val="20"/>
          <w:szCs w:val="20"/>
          <w:color w:val="auto"/>
        </w:rPr>
      </w:pPr>
    </w:p>
    <w:p>
      <w:pPr>
        <w:ind w:right="460"/>
        <w:spacing w:after="0" w:line="294" w:lineRule="auto"/>
        <w:rPr>
          <w:sz w:val="20"/>
          <w:szCs w:val="20"/>
          <w:color w:val="auto"/>
        </w:rPr>
      </w:pPr>
      <w:r>
        <w:rPr>
          <w:rFonts w:ascii="Arial" w:cs="Arial" w:eastAsia="Arial" w:hAnsi="Arial"/>
          <w:sz w:val="19"/>
          <w:szCs w:val="19"/>
          <w:b w:val="1"/>
          <w:bCs w:val="1"/>
          <w:color w:val="231F20"/>
        </w:rPr>
        <w:t>Item 5. Market for Registrant’s Common Equity, Related Stockholder Matters and Issuer Purchases of Equity Securities</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Market Information</w:t>
      </w:r>
    </w:p>
    <w:p>
      <w:pPr>
        <w:spacing w:after="0" w:line="192" w:lineRule="exact"/>
        <w:rPr>
          <w:sz w:val="20"/>
          <w:szCs w:val="20"/>
          <w:color w:val="auto"/>
        </w:rPr>
      </w:pPr>
    </w:p>
    <w:p>
      <w:pPr>
        <w:ind w:right="380" w:firstLine="463"/>
        <w:spacing w:after="0" w:line="278" w:lineRule="auto"/>
        <w:rPr>
          <w:sz w:val="20"/>
          <w:szCs w:val="20"/>
          <w:color w:val="auto"/>
        </w:rPr>
      </w:pPr>
      <w:r>
        <w:rPr>
          <w:rFonts w:ascii="Arial" w:cs="Arial" w:eastAsia="Arial" w:hAnsi="Arial"/>
          <w:sz w:val="19"/>
          <w:szCs w:val="19"/>
          <w:color w:val="231F20"/>
        </w:rPr>
        <w:t>Our voting common stock trades on the Nasdaq Global Select Market under the symbol “FLYW.” Our non-voting common stock is not listed on any stock exchange nor traded on any public market.</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Holders of Record</w:t>
      </w:r>
    </w:p>
    <w:p>
      <w:pPr>
        <w:spacing w:after="0" w:line="192" w:lineRule="exact"/>
        <w:rPr>
          <w:sz w:val="20"/>
          <w:szCs w:val="20"/>
          <w:color w:val="auto"/>
        </w:rPr>
      </w:pPr>
    </w:p>
    <w:p>
      <w:pPr>
        <w:jc w:val="both"/>
        <w:ind w:right="240" w:firstLine="463"/>
        <w:spacing w:after="0" w:line="258" w:lineRule="auto"/>
        <w:rPr>
          <w:sz w:val="20"/>
          <w:szCs w:val="20"/>
          <w:color w:val="auto"/>
        </w:rPr>
      </w:pPr>
      <w:r>
        <w:rPr>
          <w:rFonts w:ascii="Arial" w:cs="Arial" w:eastAsia="Arial" w:hAnsi="Arial"/>
          <w:sz w:val="19"/>
          <w:szCs w:val="19"/>
          <w:color w:val="231F20"/>
        </w:rPr>
        <w:t>As of February 21, 2025, there were approximately 25 holders of record of our voting common stock. This number does not include beneficial owners whose shares are held by nominees in street name. As of February 21, 2025, there was 1 holder of record of our non-voting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Dividend Policy</w:t>
      </w:r>
    </w:p>
    <w:p>
      <w:pPr>
        <w:spacing w:after="0" w:line="192" w:lineRule="exact"/>
        <w:rPr>
          <w:sz w:val="20"/>
          <w:szCs w:val="20"/>
          <w:color w:val="auto"/>
        </w:rPr>
      </w:pPr>
    </w:p>
    <w:p>
      <w:pPr>
        <w:ind w:right="40" w:firstLine="463"/>
        <w:spacing w:after="0" w:line="245" w:lineRule="auto"/>
        <w:rPr>
          <w:sz w:val="20"/>
          <w:szCs w:val="20"/>
          <w:color w:val="auto"/>
        </w:rPr>
      </w:pPr>
      <w:r>
        <w:rPr>
          <w:rFonts w:ascii="Arial" w:cs="Arial" w:eastAsia="Arial" w:hAnsi="Arial"/>
          <w:sz w:val="19"/>
          <w:szCs w:val="19"/>
          <w:color w:val="231F20"/>
        </w:rPr>
        <w:t>We have never declared nor paid any cash dividends on our capital stock. We currently intend to retain all available funds and any future earnings for reinvestment to fund the development, operation, expansion and growth of our business and to fund our Repurchase Program,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the terms of our revolving credit syndication loan restrict our ability to pay dividends.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Stock Performance Graph</w:t>
      </w:r>
    </w:p>
    <w:p>
      <w:pPr>
        <w:spacing w:after="0" w:line="192" w:lineRule="exact"/>
        <w:rPr>
          <w:sz w:val="20"/>
          <w:szCs w:val="20"/>
          <w:color w:val="auto"/>
        </w:rPr>
      </w:pPr>
    </w:p>
    <w:p>
      <w:pPr>
        <w:ind w:firstLine="463"/>
        <w:spacing w:after="0" w:line="248" w:lineRule="auto"/>
        <w:rPr>
          <w:sz w:val="20"/>
          <w:szCs w:val="20"/>
          <w:color w:val="auto"/>
        </w:rPr>
      </w:pPr>
      <w:r>
        <w:rPr>
          <w:rFonts w:ascii="Arial" w:cs="Arial" w:eastAsia="Arial" w:hAnsi="Arial"/>
          <w:sz w:val="19"/>
          <w:szCs w:val="19"/>
          <w:color w:val="231F20"/>
        </w:rPr>
        <w:t>The following performance graph and related information shall not be deemed “soliciting material” or to be “filed” with the SEC for purposes of Section 18 of the Exchange Act,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46" w:lineRule="exact"/>
        <w:rPr>
          <w:sz w:val="20"/>
          <w:szCs w:val="20"/>
          <w:color w:val="auto"/>
        </w:rPr>
      </w:pPr>
    </w:p>
    <w:p>
      <w:pPr>
        <w:ind w:right="120" w:firstLine="463"/>
        <w:spacing w:after="0" w:line="246" w:lineRule="auto"/>
        <w:rPr>
          <w:sz w:val="20"/>
          <w:szCs w:val="20"/>
          <w:color w:val="auto"/>
        </w:rPr>
      </w:pPr>
      <w:r>
        <w:rPr>
          <w:rFonts w:ascii="Arial" w:cs="Arial" w:eastAsia="Arial" w:hAnsi="Arial"/>
          <w:sz w:val="19"/>
          <w:szCs w:val="19"/>
          <w:color w:val="231F20"/>
        </w:rPr>
        <w:t>The following graph depicts the total cumulative stockholder return on our common stock from May 26, 2021, the first day of trading of our common stock on the Nasdaq Global Select Market, through December 31, 2024, relative to the performance of the S&amp;P 500 Index and S&amp;P 500 IT Index. The graph assumes an initial investment of $100.00 at the close of trading on May 26, 2021 and that all dividends paid by companies included in these indices have been reinvested. The performance shown in the graph below is not intended to forecast or be indicative of future stock price performance.</w: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77</w:t>
      </w:r>
    </w:p>
    <w:p>
      <w:pPr>
        <w:sectPr>
          <w:pgSz w:w="12240" w:h="15840" w:orient="portrait"/>
          <w:cols w:equalWidth="0" w:num="1">
            <w:col w:w="10200"/>
          </w:cols>
          <w:pgMar w:left="1020" w:top="1440" w:right="1020" w:bottom="595" w:gutter="0" w:footer="0" w:header="0"/>
          <w:type w:val="continuous"/>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1294765</wp:posOffset>
            </wp:positionH>
            <wp:positionV relativeFrom="page">
              <wp:posOffset>986155</wp:posOffset>
            </wp:positionV>
            <wp:extent cx="5511165" cy="2894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511165" cy="289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Recent Sales of Unregistered Equity Securities</w:t>
      </w:r>
    </w:p>
    <w:p>
      <w:pPr>
        <w:spacing w:after="0" w:line="192" w:lineRule="exact"/>
        <w:rPr>
          <w:sz w:val="20"/>
          <w:szCs w:val="20"/>
          <w:color w:val="auto"/>
        </w:rPr>
      </w:pPr>
    </w:p>
    <w:p>
      <w:pPr>
        <w:ind w:right="60" w:firstLine="463"/>
        <w:spacing w:after="0" w:line="248" w:lineRule="auto"/>
        <w:rPr>
          <w:sz w:val="20"/>
          <w:szCs w:val="20"/>
          <w:color w:val="auto"/>
        </w:rPr>
      </w:pPr>
      <w:r>
        <w:rPr>
          <w:rFonts w:ascii="Arial" w:cs="Arial" w:eastAsia="Arial" w:hAnsi="Arial"/>
          <w:sz w:val="19"/>
          <w:szCs w:val="19"/>
          <w:color w:val="231F20"/>
        </w:rPr>
        <w:t>During the quarter ended December 31, 2024, we issued an aggregate of 41,998 shares of common stock (the Shares) as a stock-based compensation associated with the retention of a key employee of StudyLink. The key employee was not a “U.S. person”, as defined in Rule 902 of Regulation S under the Securities Act, and the issuance was exempt from the registration requirements of the Securities Act under Regulation S. The certificates evidencing the Shares are endorsed with a restrictive Securities Act legend.</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Issuer Purchases of Equity Securities</w:t>
      </w:r>
    </w:p>
    <w:p>
      <w:pPr>
        <w:spacing w:after="0" w:line="192" w:lineRule="exact"/>
        <w:rPr>
          <w:sz w:val="20"/>
          <w:szCs w:val="20"/>
          <w:color w:val="auto"/>
        </w:rPr>
      </w:pPr>
    </w:p>
    <w:p>
      <w:pPr>
        <w:ind w:right="100" w:firstLine="463"/>
        <w:spacing w:after="0" w:line="278" w:lineRule="auto"/>
        <w:rPr>
          <w:sz w:val="20"/>
          <w:szCs w:val="20"/>
          <w:color w:val="auto"/>
        </w:rPr>
      </w:pPr>
      <w:r>
        <w:rPr>
          <w:rFonts w:ascii="Arial" w:cs="Arial" w:eastAsia="Arial" w:hAnsi="Arial"/>
          <w:sz w:val="19"/>
          <w:szCs w:val="19"/>
          <w:color w:val="231F20"/>
        </w:rPr>
        <w:t>The following table summarizes the repurchases of voting common stock during the three months ended December 31, 2024 (in thousands, except shares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78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rPr>
              <w:t>Total Number</w:t>
            </w:r>
          </w:p>
        </w:tc>
        <w:tc>
          <w:tcPr>
            <w:tcW w:w="220" w:type="dxa"/>
            <w:vAlign w:val="bottom"/>
            <w:shd w:val="clear" w:color="auto" w:fill="FDFDFC"/>
          </w:tcPr>
          <w:p>
            <w:pPr>
              <w:spacing w:after="0"/>
              <w:rPr>
                <w:sz w:val="15"/>
                <w:szCs w:val="15"/>
                <w:color w:val="auto"/>
              </w:rPr>
            </w:pPr>
          </w:p>
        </w:tc>
        <w:tc>
          <w:tcPr>
            <w:tcW w:w="1140" w:type="dxa"/>
            <w:vAlign w:val="bottom"/>
            <w:gridSpan w:val="3"/>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rPr>
              <w:t>Approximate</w:t>
            </w:r>
          </w:p>
        </w:tc>
        <w:tc>
          <w:tcPr>
            <w:tcW w:w="0" w:type="dxa"/>
            <w:vAlign w:val="bottom"/>
          </w:tcPr>
          <w:p>
            <w:pPr>
              <w:spacing w:after="0"/>
              <w:rPr>
                <w:sz w:val="1"/>
                <w:szCs w:val="1"/>
                <w:color w:val="auto"/>
              </w:rPr>
            </w:pPr>
          </w:p>
        </w:tc>
      </w:tr>
      <w:tr>
        <w:trPr>
          <w:trHeight w:val="174"/>
        </w:trPr>
        <w:tc>
          <w:tcPr>
            <w:tcW w:w="5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78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w w:val="98"/>
              </w:rPr>
              <w:t>of</w:t>
            </w:r>
          </w:p>
        </w:tc>
        <w:tc>
          <w:tcPr>
            <w:tcW w:w="2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40" w:type="dxa"/>
            <w:vAlign w:val="bottom"/>
            <w:gridSpan w:val="2"/>
            <w:shd w:val="clear" w:color="auto" w:fill="FDFDFC"/>
          </w:tcPr>
          <w:p>
            <w:pPr>
              <w:jc w:val="center"/>
              <w:ind w:right="200"/>
              <w:spacing w:after="0"/>
              <w:rPr>
                <w:sz w:val="20"/>
                <w:szCs w:val="20"/>
                <w:color w:val="auto"/>
              </w:rPr>
            </w:pPr>
            <w:r>
              <w:rPr>
                <w:rFonts w:ascii="Arial" w:cs="Arial" w:eastAsia="Arial" w:hAnsi="Arial"/>
                <w:sz w:val="15"/>
                <w:szCs w:val="15"/>
                <w:b w:val="1"/>
                <w:bCs w:val="1"/>
                <w:color w:val="231F20"/>
              </w:rPr>
              <w:t>Dollar</w:t>
            </w:r>
          </w:p>
        </w:tc>
        <w:tc>
          <w:tcPr>
            <w:tcW w:w="0" w:type="dxa"/>
            <w:vAlign w:val="bottom"/>
          </w:tcPr>
          <w:p>
            <w:pPr>
              <w:spacing w:after="0"/>
              <w:rPr>
                <w:sz w:val="1"/>
                <w:szCs w:val="1"/>
                <w:color w:val="auto"/>
              </w:rPr>
            </w:pPr>
          </w:p>
        </w:tc>
      </w:tr>
      <w:tr>
        <w:trPr>
          <w:trHeight w:val="174"/>
        </w:trPr>
        <w:tc>
          <w:tcPr>
            <w:tcW w:w="5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78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w w:val="99"/>
              </w:rPr>
              <w:t>Shares</w:t>
            </w:r>
          </w:p>
        </w:tc>
        <w:tc>
          <w:tcPr>
            <w:tcW w:w="2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40" w:type="dxa"/>
            <w:vAlign w:val="bottom"/>
            <w:gridSpan w:val="2"/>
            <w:shd w:val="clear" w:color="auto" w:fill="FDFDFC"/>
          </w:tcPr>
          <w:p>
            <w:pPr>
              <w:jc w:val="center"/>
              <w:ind w:right="200"/>
              <w:spacing w:after="0"/>
              <w:rPr>
                <w:sz w:val="20"/>
                <w:szCs w:val="20"/>
                <w:color w:val="auto"/>
              </w:rPr>
            </w:pPr>
            <w:r>
              <w:rPr>
                <w:rFonts w:ascii="Arial" w:cs="Arial" w:eastAsia="Arial" w:hAnsi="Arial"/>
                <w:sz w:val="15"/>
                <w:szCs w:val="15"/>
                <w:b w:val="1"/>
                <w:bCs w:val="1"/>
                <w:color w:val="231F20"/>
              </w:rPr>
              <w:t>Value of</w:t>
            </w:r>
          </w:p>
        </w:tc>
        <w:tc>
          <w:tcPr>
            <w:tcW w:w="0" w:type="dxa"/>
            <w:vAlign w:val="bottom"/>
          </w:tcPr>
          <w:p>
            <w:pPr>
              <w:spacing w:after="0"/>
              <w:rPr>
                <w:sz w:val="1"/>
                <w:szCs w:val="1"/>
                <w:color w:val="auto"/>
              </w:rPr>
            </w:pPr>
          </w:p>
        </w:tc>
      </w:tr>
      <w:tr>
        <w:trPr>
          <w:trHeight w:val="174"/>
        </w:trPr>
        <w:tc>
          <w:tcPr>
            <w:tcW w:w="5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78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rPr>
              <w:t>Purchased as</w:t>
            </w:r>
          </w:p>
        </w:tc>
        <w:tc>
          <w:tcPr>
            <w:tcW w:w="2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40" w:type="dxa"/>
            <w:vAlign w:val="bottom"/>
            <w:gridSpan w:val="2"/>
            <w:shd w:val="clear" w:color="auto" w:fill="FDFDFC"/>
          </w:tcPr>
          <w:p>
            <w:pPr>
              <w:jc w:val="center"/>
              <w:ind w:right="200"/>
              <w:spacing w:after="0"/>
              <w:rPr>
                <w:sz w:val="20"/>
                <w:szCs w:val="20"/>
                <w:color w:val="auto"/>
              </w:rPr>
            </w:pPr>
            <w:r>
              <w:rPr>
                <w:rFonts w:ascii="Arial" w:cs="Arial" w:eastAsia="Arial" w:hAnsi="Arial"/>
                <w:sz w:val="15"/>
                <w:szCs w:val="15"/>
                <w:b w:val="1"/>
                <w:bCs w:val="1"/>
                <w:color w:val="231F20"/>
              </w:rPr>
              <w:t>Shares that</w:t>
            </w:r>
          </w:p>
        </w:tc>
        <w:tc>
          <w:tcPr>
            <w:tcW w:w="0" w:type="dxa"/>
            <w:vAlign w:val="bottom"/>
          </w:tcPr>
          <w:p>
            <w:pPr>
              <w:spacing w:after="0"/>
              <w:rPr>
                <w:sz w:val="1"/>
                <w:szCs w:val="1"/>
                <w:color w:val="auto"/>
              </w:rPr>
            </w:pPr>
          </w:p>
        </w:tc>
      </w:tr>
      <w:tr>
        <w:trPr>
          <w:trHeight w:val="174"/>
        </w:trPr>
        <w:tc>
          <w:tcPr>
            <w:tcW w:w="5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0" w:type="dxa"/>
            <w:vAlign w:val="bottom"/>
            <w:gridSpan w:val="2"/>
            <w:vMerge w:val="restart"/>
            <w:shd w:val="clear" w:color="auto" w:fill="FDFDFC"/>
          </w:tcPr>
          <w:p>
            <w:pPr>
              <w:jc w:val="center"/>
              <w:ind w:right="120"/>
              <w:spacing w:after="0"/>
              <w:rPr>
                <w:sz w:val="20"/>
                <w:szCs w:val="20"/>
                <w:color w:val="auto"/>
              </w:rPr>
            </w:pPr>
            <w:r>
              <w:rPr>
                <w:rFonts w:ascii="Arial" w:cs="Arial" w:eastAsia="Arial" w:hAnsi="Arial"/>
                <w:sz w:val="15"/>
                <w:szCs w:val="15"/>
                <w:b w:val="1"/>
                <w:bCs w:val="1"/>
                <w:color w:val="231F20"/>
                <w:w w:val="99"/>
              </w:rPr>
              <w:t>Total Number</w:t>
            </w:r>
          </w:p>
        </w:tc>
        <w:tc>
          <w:tcPr>
            <w:tcW w:w="1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78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rPr>
              <w:t>Part of</w:t>
            </w:r>
          </w:p>
        </w:tc>
        <w:tc>
          <w:tcPr>
            <w:tcW w:w="2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40" w:type="dxa"/>
            <w:vAlign w:val="bottom"/>
            <w:gridSpan w:val="2"/>
            <w:shd w:val="clear" w:color="auto" w:fill="FDFDFC"/>
          </w:tcPr>
          <w:p>
            <w:pPr>
              <w:jc w:val="center"/>
              <w:ind w:right="200"/>
              <w:spacing w:after="0"/>
              <w:rPr>
                <w:sz w:val="20"/>
                <w:szCs w:val="20"/>
                <w:color w:val="auto"/>
              </w:rPr>
            </w:pPr>
            <w:r>
              <w:rPr>
                <w:rFonts w:ascii="Arial" w:cs="Arial" w:eastAsia="Arial" w:hAnsi="Arial"/>
                <w:sz w:val="15"/>
                <w:szCs w:val="15"/>
                <w:b w:val="1"/>
                <w:bCs w:val="1"/>
                <w:color w:val="231F20"/>
                <w:w w:val="99"/>
              </w:rPr>
              <w:t>May Yet Be</w:t>
            </w:r>
          </w:p>
        </w:tc>
        <w:tc>
          <w:tcPr>
            <w:tcW w:w="0" w:type="dxa"/>
            <w:vAlign w:val="bottom"/>
          </w:tcPr>
          <w:p>
            <w:pPr>
              <w:spacing w:after="0"/>
              <w:rPr>
                <w:sz w:val="1"/>
                <w:szCs w:val="1"/>
                <w:color w:val="auto"/>
              </w:rPr>
            </w:pPr>
          </w:p>
        </w:tc>
      </w:tr>
      <w:tr>
        <w:trPr>
          <w:trHeight w:val="174"/>
        </w:trPr>
        <w:tc>
          <w:tcPr>
            <w:tcW w:w="5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0" w:type="dxa"/>
            <w:vAlign w:val="bottom"/>
            <w:gridSpan w:val="2"/>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20" w:type="dxa"/>
            <w:vAlign w:val="bottom"/>
            <w:gridSpan w:val="2"/>
            <w:vMerge w:val="restart"/>
            <w:shd w:val="clear" w:color="auto" w:fill="FDFDFC"/>
          </w:tcPr>
          <w:p>
            <w:pPr>
              <w:ind w:left="20"/>
              <w:spacing w:after="0"/>
              <w:rPr>
                <w:sz w:val="20"/>
                <w:szCs w:val="20"/>
                <w:color w:val="auto"/>
              </w:rPr>
            </w:pPr>
            <w:r>
              <w:rPr>
                <w:rFonts w:ascii="Arial" w:cs="Arial" w:eastAsia="Arial" w:hAnsi="Arial"/>
                <w:sz w:val="15"/>
                <w:szCs w:val="15"/>
                <w:b w:val="1"/>
                <w:bCs w:val="1"/>
                <w:color w:val="231F20"/>
                <w:w w:val="97"/>
              </w:rPr>
              <w:t>Average Price</w:t>
            </w:r>
          </w:p>
        </w:tc>
        <w:tc>
          <w:tcPr>
            <w:tcW w:w="220" w:type="dxa"/>
            <w:vAlign w:val="bottom"/>
            <w:shd w:val="clear" w:color="auto" w:fill="FDFDFC"/>
          </w:tcPr>
          <w:p>
            <w:pPr>
              <w:spacing w:after="0"/>
              <w:rPr>
                <w:sz w:val="15"/>
                <w:szCs w:val="15"/>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rPr>
              <w:t>Publicly</w:t>
            </w:r>
          </w:p>
        </w:tc>
        <w:tc>
          <w:tcPr>
            <w:tcW w:w="2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40" w:type="dxa"/>
            <w:vAlign w:val="bottom"/>
            <w:gridSpan w:val="2"/>
            <w:shd w:val="clear" w:color="auto" w:fill="FDFDFC"/>
          </w:tcPr>
          <w:p>
            <w:pPr>
              <w:jc w:val="center"/>
              <w:ind w:right="200"/>
              <w:spacing w:after="0"/>
              <w:rPr>
                <w:sz w:val="20"/>
                <w:szCs w:val="20"/>
                <w:color w:val="auto"/>
              </w:rPr>
            </w:pPr>
            <w:r>
              <w:rPr>
                <w:rFonts w:ascii="Arial" w:cs="Arial" w:eastAsia="Arial" w:hAnsi="Arial"/>
                <w:sz w:val="15"/>
                <w:szCs w:val="15"/>
                <w:b w:val="1"/>
                <w:bCs w:val="1"/>
                <w:color w:val="231F20"/>
                <w:w w:val="99"/>
              </w:rPr>
              <w:t>Purchased</w:t>
            </w:r>
          </w:p>
        </w:tc>
        <w:tc>
          <w:tcPr>
            <w:tcW w:w="0" w:type="dxa"/>
            <w:vAlign w:val="bottom"/>
          </w:tcPr>
          <w:p>
            <w:pPr>
              <w:spacing w:after="0"/>
              <w:rPr>
                <w:sz w:val="1"/>
                <w:szCs w:val="1"/>
                <w:color w:val="auto"/>
              </w:rPr>
            </w:pPr>
          </w:p>
        </w:tc>
      </w:tr>
      <w:tr>
        <w:trPr>
          <w:trHeight w:val="174"/>
        </w:trPr>
        <w:tc>
          <w:tcPr>
            <w:tcW w:w="5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0" w:type="dxa"/>
            <w:vAlign w:val="bottom"/>
            <w:gridSpan w:val="2"/>
            <w:shd w:val="clear" w:color="auto" w:fill="FDFDFC"/>
          </w:tcPr>
          <w:p>
            <w:pPr>
              <w:jc w:val="center"/>
              <w:ind w:right="120"/>
              <w:spacing w:after="0"/>
              <w:rPr>
                <w:sz w:val="20"/>
                <w:szCs w:val="20"/>
                <w:color w:val="auto"/>
              </w:rPr>
            </w:pPr>
            <w:r>
              <w:rPr>
                <w:rFonts w:ascii="Arial" w:cs="Arial" w:eastAsia="Arial" w:hAnsi="Arial"/>
                <w:sz w:val="15"/>
                <w:szCs w:val="15"/>
                <w:b w:val="1"/>
                <w:bCs w:val="1"/>
                <w:color w:val="231F20"/>
              </w:rPr>
              <w:t>of</w:t>
            </w:r>
          </w:p>
        </w:tc>
        <w:tc>
          <w:tcPr>
            <w:tcW w:w="100" w:type="dxa"/>
            <w:vAlign w:val="bottom"/>
            <w:shd w:val="clear" w:color="auto" w:fill="FDFDFC"/>
          </w:tcPr>
          <w:p>
            <w:pPr>
              <w:spacing w:after="0"/>
              <w:rPr>
                <w:sz w:val="15"/>
                <w:szCs w:val="15"/>
                <w:color w:val="auto"/>
              </w:rPr>
            </w:pPr>
          </w:p>
        </w:tc>
        <w:tc>
          <w:tcPr>
            <w:tcW w:w="1020" w:type="dxa"/>
            <w:vAlign w:val="bottom"/>
            <w:gridSpan w:val="2"/>
            <w:vMerge w:val="continue"/>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w w:val="99"/>
              </w:rPr>
              <w:t>Announced</w:t>
            </w:r>
          </w:p>
        </w:tc>
        <w:tc>
          <w:tcPr>
            <w:tcW w:w="2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40" w:type="dxa"/>
            <w:vAlign w:val="bottom"/>
            <w:gridSpan w:val="2"/>
            <w:shd w:val="clear" w:color="auto" w:fill="FDFDFC"/>
          </w:tcPr>
          <w:p>
            <w:pPr>
              <w:jc w:val="center"/>
              <w:ind w:right="200"/>
              <w:spacing w:after="0"/>
              <w:rPr>
                <w:sz w:val="20"/>
                <w:szCs w:val="20"/>
                <w:color w:val="auto"/>
              </w:rPr>
            </w:pPr>
            <w:r>
              <w:rPr>
                <w:rFonts w:ascii="Arial" w:cs="Arial" w:eastAsia="Arial" w:hAnsi="Arial"/>
                <w:sz w:val="15"/>
                <w:szCs w:val="15"/>
                <w:b w:val="1"/>
                <w:bCs w:val="1"/>
                <w:color w:val="231F20"/>
              </w:rPr>
              <w:t>Under</w:t>
            </w:r>
          </w:p>
        </w:tc>
        <w:tc>
          <w:tcPr>
            <w:tcW w:w="0" w:type="dxa"/>
            <w:vAlign w:val="bottom"/>
          </w:tcPr>
          <w:p>
            <w:pPr>
              <w:spacing w:after="0"/>
              <w:rPr>
                <w:sz w:val="1"/>
                <w:szCs w:val="1"/>
                <w:color w:val="auto"/>
              </w:rPr>
            </w:pPr>
          </w:p>
        </w:tc>
      </w:tr>
      <w:tr>
        <w:trPr>
          <w:trHeight w:val="174"/>
        </w:trPr>
        <w:tc>
          <w:tcPr>
            <w:tcW w:w="5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0" w:type="dxa"/>
            <w:vAlign w:val="bottom"/>
            <w:gridSpan w:val="2"/>
            <w:shd w:val="clear" w:color="auto" w:fill="FDFDFC"/>
          </w:tcPr>
          <w:p>
            <w:pPr>
              <w:jc w:val="center"/>
              <w:ind w:right="120"/>
              <w:spacing w:after="0"/>
              <w:rPr>
                <w:sz w:val="20"/>
                <w:szCs w:val="20"/>
                <w:color w:val="auto"/>
              </w:rPr>
            </w:pPr>
            <w:r>
              <w:rPr>
                <w:rFonts w:ascii="Arial" w:cs="Arial" w:eastAsia="Arial" w:hAnsi="Arial"/>
                <w:sz w:val="15"/>
                <w:szCs w:val="15"/>
                <w:b w:val="1"/>
                <w:bCs w:val="1"/>
                <w:color w:val="231F20"/>
              </w:rPr>
              <w:t>Shares</w:t>
            </w:r>
          </w:p>
        </w:tc>
        <w:tc>
          <w:tcPr>
            <w:tcW w:w="1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780" w:type="dxa"/>
            <w:vAlign w:val="bottom"/>
            <w:shd w:val="clear" w:color="auto" w:fill="FDFDFC"/>
          </w:tcPr>
          <w:p>
            <w:pPr>
              <w:jc w:val="right"/>
              <w:ind w:right="250"/>
              <w:spacing w:after="0"/>
              <w:rPr>
                <w:sz w:val="20"/>
                <w:szCs w:val="20"/>
                <w:color w:val="auto"/>
              </w:rPr>
            </w:pPr>
            <w:r>
              <w:rPr>
                <w:rFonts w:ascii="Arial" w:cs="Arial" w:eastAsia="Arial" w:hAnsi="Arial"/>
                <w:sz w:val="15"/>
                <w:szCs w:val="15"/>
                <w:b w:val="1"/>
                <w:bCs w:val="1"/>
                <w:color w:val="231F20"/>
              </w:rPr>
              <w:t>Paid</w:t>
            </w:r>
          </w:p>
        </w:tc>
        <w:tc>
          <w:tcPr>
            <w:tcW w:w="220" w:type="dxa"/>
            <w:vAlign w:val="bottom"/>
            <w:shd w:val="clear" w:color="auto" w:fill="FDFDFC"/>
          </w:tcPr>
          <w:p>
            <w:pPr>
              <w:spacing w:after="0"/>
              <w:rPr>
                <w:sz w:val="15"/>
                <w:szCs w:val="15"/>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rPr>
              <w:t>Plans or</w:t>
            </w:r>
          </w:p>
        </w:tc>
        <w:tc>
          <w:tcPr>
            <w:tcW w:w="220" w:type="dxa"/>
            <w:vAlign w:val="bottom"/>
            <w:shd w:val="clear" w:color="auto" w:fill="FDFDFC"/>
          </w:tcPr>
          <w:p>
            <w:pPr>
              <w:spacing w:after="0"/>
              <w:rPr>
                <w:sz w:val="15"/>
                <w:szCs w:val="15"/>
                <w:color w:val="auto"/>
              </w:rPr>
            </w:pPr>
          </w:p>
        </w:tc>
        <w:tc>
          <w:tcPr>
            <w:tcW w:w="1140" w:type="dxa"/>
            <w:vAlign w:val="bottom"/>
            <w:gridSpan w:val="3"/>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rPr>
              <w:t>the Plans or</w:t>
            </w:r>
          </w:p>
        </w:tc>
        <w:tc>
          <w:tcPr>
            <w:tcW w:w="0" w:type="dxa"/>
            <w:vAlign w:val="bottom"/>
          </w:tcPr>
          <w:p>
            <w:pPr>
              <w:spacing w:after="0"/>
              <w:rPr>
                <w:sz w:val="1"/>
                <w:szCs w:val="1"/>
                <w:color w:val="auto"/>
              </w:rPr>
            </w:pPr>
          </w:p>
        </w:tc>
      </w:tr>
      <w:tr>
        <w:trPr>
          <w:trHeight w:val="191"/>
        </w:trPr>
        <w:tc>
          <w:tcPr>
            <w:tcW w:w="5120" w:type="dxa"/>
            <w:vAlign w:val="bottom"/>
            <w:shd w:val="clear" w:color="auto" w:fill="FDFDFC"/>
          </w:tcPr>
          <w:p>
            <w:pPr>
              <w:spacing w:after="0"/>
              <w:rPr>
                <w:sz w:val="20"/>
                <w:szCs w:val="20"/>
                <w:color w:val="auto"/>
              </w:rPr>
            </w:pPr>
            <w:r>
              <w:rPr>
                <w:rFonts w:ascii="Arial" w:cs="Arial" w:eastAsia="Arial" w:hAnsi="Arial"/>
                <w:sz w:val="15"/>
                <w:szCs w:val="15"/>
                <w:b w:val="1"/>
                <w:bCs w:val="1"/>
                <w:color w:val="231F20"/>
              </w:rPr>
              <w:t>Period</w:t>
            </w:r>
          </w:p>
        </w:tc>
        <w:tc>
          <w:tcPr>
            <w:tcW w:w="100" w:type="dxa"/>
            <w:vAlign w:val="bottom"/>
            <w:shd w:val="clear" w:color="auto" w:fill="FDFDFC"/>
          </w:tcPr>
          <w:p>
            <w:pPr>
              <w:spacing w:after="0"/>
              <w:rPr>
                <w:sz w:val="16"/>
                <w:szCs w:val="16"/>
                <w:color w:val="auto"/>
              </w:rPr>
            </w:pPr>
          </w:p>
        </w:tc>
        <w:tc>
          <w:tcPr>
            <w:tcW w:w="1200" w:type="dxa"/>
            <w:vAlign w:val="bottom"/>
            <w:gridSpan w:val="2"/>
            <w:shd w:val="clear" w:color="auto" w:fill="FDFDFC"/>
          </w:tcPr>
          <w:p>
            <w:pPr>
              <w:jc w:val="center"/>
              <w:ind w:right="120"/>
              <w:spacing w:after="0"/>
              <w:rPr>
                <w:sz w:val="20"/>
                <w:szCs w:val="20"/>
                <w:color w:val="auto"/>
              </w:rPr>
            </w:pPr>
            <w:r>
              <w:rPr>
                <w:rFonts w:ascii="Arial" w:cs="Arial" w:eastAsia="Arial" w:hAnsi="Arial"/>
                <w:sz w:val="15"/>
                <w:szCs w:val="15"/>
                <w:b w:val="1"/>
                <w:bCs w:val="1"/>
                <w:color w:val="231F20"/>
              </w:rPr>
              <w:t xml:space="preserve">Purchased </w:t>
            </w:r>
            <w:r>
              <w:rPr>
                <w:rFonts w:ascii="Arial" w:cs="Arial" w:eastAsia="Arial" w:hAnsi="Arial"/>
                <w:sz w:val="9"/>
                <w:szCs w:val="9"/>
                <w:b w:val="1"/>
                <w:bCs w:val="1"/>
                <w:color w:val="231F20"/>
              </w:rPr>
              <w:t>(1)</w:t>
            </w:r>
          </w:p>
        </w:tc>
        <w:tc>
          <w:tcPr>
            <w:tcW w:w="100" w:type="dxa"/>
            <w:vAlign w:val="bottom"/>
            <w:shd w:val="clear" w:color="auto" w:fill="FDFDFC"/>
          </w:tcPr>
          <w:p>
            <w:pPr>
              <w:spacing w:after="0"/>
              <w:rPr>
                <w:sz w:val="16"/>
                <w:szCs w:val="16"/>
                <w:color w:val="auto"/>
              </w:rPr>
            </w:pPr>
          </w:p>
        </w:tc>
        <w:tc>
          <w:tcPr>
            <w:tcW w:w="1020" w:type="dxa"/>
            <w:vAlign w:val="bottom"/>
            <w:gridSpan w:val="2"/>
            <w:shd w:val="clear" w:color="auto" w:fill="FDFDFC"/>
          </w:tcPr>
          <w:p>
            <w:pPr>
              <w:jc w:val="right"/>
              <w:spacing w:after="0"/>
              <w:rPr>
                <w:sz w:val="20"/>
                <w:szCs w:val="20"/>
                <w:color w:val="auto"/>
              </w:rPr>
            </w:pPr>
            <w:r>
              <w:rPr>
                <w:rFonts w:ascii="Arial" w:cs="Arial" w:eastAsia="Arial" w:hAnsi="Arial"/>
                <w:sz w:val="15"/>
                <w:szCs w:val="15"/>
                <w:b w:val="1"/>
                <w:bCs w:val="1"/>
                <w:color w:val="231F20"/>
              </w:rPr>
              <w:t xml:space="preserve">per Share </w:t>
            </w:r>
            <w:r>
              <w:rPr>
                <w:rFonts w:ascii="Arial" w:cs="Arial" w:eastAsia="Arial" w:hAnsi="Arial"/>
                <w:sz w:val="9"/>
                <w:szCs w:val="9"/>
                <w:b w:val="1"/>
                <w:bCs w:val="1"/>
                <w:color w:val="231F20"/>
              </w:rPr>
              <w:t>(2)</w:t>
            </w:r>
          </w:p>
        </w:tc>
        <w:tc>
          <w:tcPr>
            <w:tcW w:w="220" w:type="dxa"/>
            <w:vAlign w:val="bottom"/>
            <w:shd w:val="clear" w:color="auto" w:fill="FDFDFC"/>
          </w:tcPr>
          <w:p>
            <w:pPr>
              <w:spacing w:after="0"/>
              <w:rPr>
                <w:sz w:val="16"/>
                <w:szCs w:val="16"/>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w w:val="99"/>
              </w:rPr>
              <w:t>Programs</w:t>
            </w:r>
          </w:p>
        </w:tc>
        <w:tc>
          <w:tcPr>
            <w:tcW w:w="2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040" w:type="dxa"/>
            <w:vAlign w:val="bottom"/>
            <w:gridSpan w:val="2"/>
            <w:shd w:val="clear" w:color="auto" w:fill="FDFDFC"/>
          </w:tcPr>
          <w:p>
            <w:pPr>
              <w:jc w:val="center"/>
              <w:ind w:right="200"/>
              <w:spacing w:after="0"/>
              <w:rPr>
                <w:sz w:val="20"/>
                <w:szCs w:val="20"/>
                <w:color w:val="auto"/>
              </w:rPr>
            </w:pPr>
            <w:r>
              <w:rPr>
                <w:rFonts w:ascii="Arial" w:cs="Arial" w:eastAsia="Arial" w:hAnsi="Arial"/>
                <w:sz w:val="15"/>
                <w:szCs w:val="15"/>
                <w:b w:val="1"/>
                <w:bCs w:val="1"/>
                <w:color w:val="231F20"/>
              </w:rPr>
              <w:t>Programs</w:t>
            </w:r>
          </w:p>
        </w:tc>
        <w:tc>
          <w:tcPr>
            <w:tcW w:w="0" w:type="dxa"/>
            <w:vAlign w:val="bottom"/>
          </w:tcPr>
          <w:p>
            <w:pPr>
              <w:spacing w:after="0"/>
              <w:rPr>
                <w:sz w:val="1"/>
                <w:szCs w:val="1"/>
                <w:color w:val="auto"/>
              </w:rPr>
            </w:pPr>
          </w:p>
        </w:tc>
      </w:tr>
      <w:tr>
        <w:trPr>
          <w:trHeight w:val="207"/>
        </w:trPr>
        <w:tc>
          <w:tcPr>
            <w:tcW w:w="5120" w:type="dxa"/>
            <w:vAlign w:val="bottom"/>
            <w:tcBorders>
              <w:top w:val="single" w:sz="8" w:color="231F20"/>
            </w:tcBorders>
            <w:shd w:val="clear" w:color="auto" w:fill="D0EBF2"/>
          </w:tcPr>
          <w:p>
            <w:pPr>
              <w:spacing w:after="0" w:line="207" w:lineRule="exact"/>
              <w:rPr>
                <w:sz w:val="20"/>
                <w:szCs w:val="20"/>
                <w:color w:val="auto"/>
              </w:rPr>
            </w:pPr>
            <w:r>
              <w:rPr>
                <w:rFonts w:ascii="Arial" w:cs="Arial" w:eastAsia="Arial" w:hAnsi="Arial"/>
                <w:sz w:val="19"/>
                <w:szCs w:val="19"/>
                <w:color w:val="231F20"/>
              </w:rPr>
              <w:t>October 1, 2024 - October 31, 2024</w:t>
            </w:r>
          </w:p>
        </w:tc>
        <w:tc>
          <w:tcPr>
            <w:tcW w:w="100" w:type="dxa"/>
            <w:vAlign w:val="bottom"/>
            <w:tcBorders>
              <w:top w:val="single" w:sz="8" w:color="D0EBF2"/>
            </w:tcBorders>
            <w:shd w:val="clear" w:color="auto" w:fill="D0EBF2"/>
          </w:tcPr>
          <w:p>
            <w:pPr>
              <w:spacing w:after="0"/>
              <w:rPr>
                <w:sz w:val="17"/>
                <w:szCs w:val="17"/>
                <w:color w:val="auto"/>
              </w:rPr>
            </w:pPr>
          </w:p>
        </w:tc>
        <w:tc>
          <w:tcPr>
            <w:tcW w:w="108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69,798</w:t>
            </w:r>
          </w:p>
        </w:tc>
        <w:tc>
          <w:tcPr>
            <w:tcW w:w="12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D0EBF2"/>
            </w:tcBorders>
            <w:shd w:val="clear" w:color="auto" w:fill="D0EBF2"/>
          </w:tcPr>
          <w:p>
            <w:pPr>
              <w:spacing w:after="0"/>
              <w:rPr>
                <w:sz w:val="17"/>
                <w:szCs w:val="17"/>
                <w:color w:val="auto"/>
              </w:rPr>
            </w:pPr>
          </w:p>
        </w:tc>
        <w:tc>
          <w:tcPr>
            <w:tcW w:w="240" w:type="dxa"/>
            <w:vAlign w:val="bottom"/>
            <w:tcBorders>
              <w:top w:val="single" w:sz="8" w:color="231F20"/>
            </w:tcBorders>
            <w:shd w:val="clear" w:color="auto" w:fill="D0EBF2"/>
          </w:tcPr>
          <w:p>
            <w:pPr>
              <w:spacing w:after="0" w:line="207" w:lineRule="exact"/>
              <w:rPr>
                <w:sz w:val="20"/>
                <w:szCs w:val="20"/>
                <w:color w:val="auto"/>
              </w:rPr>
            </w:pPr>
            <w:r>
              <w:rPr>
                <w:rFonts w:ascii="Arial" w:cs="Arial" w:eastAsia="Arial" w:hAnsi="Arial"/>
                <w:sz w:val="19"/>
                <w:szCs w:val="19"/>
                <w:color w:val="231F20"/>
              </w:rPr>
              <w:t>$</w:t>
            </w:r>
          </w:p>
        </w:tc>
        <w:tc>
          <w:tcPr>
            <w:tcW w:w="78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15.83</w:t>
            </w:r>
          </w:p>
        </w:tc>
        <w:tc>
          <w:tcPr>
            <w:tcW w:w="220" w:type="dxa"/>
            <w:vAlign w:val="bottom"/>
            <w:tcBorders>
              <w:top w:val="single" w:sz="8" w:color="D0EBF2"/>
            </w:tcBorders>
            <w:shd w:val="clear" w:color="auto" w:fill="D0EBF2"/>
          </w:tcPr>
          <w:p>
            <w:pPr>
              <w:spacing w:after="0"/>
              <w:rPr>
                <w:sz w:val="17"/>
                <w:szCs w:val="17"/>
                <w:color w:val="auto"/>
              </w:rPr>
            </w:pPr>
          </w:p>
        </w:tc>
        <w:tc>
          <w:tcPr>
            <w:tcW w:w="108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69,798</w:t>
            </w:r>
          </w:p>
        </w:tc>
        <w:tc>
          <w:tcPr>
            <w:tcW w:w="22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w w:val="75"/>
                <w:shd w:val="clear" w:color="auto" w:fill="D0EBF2"/>
              </w:rPr>
              <w:t>$</w:t>
            </w:r>
          </w:p>
        </w:tc>
        <w:tc>
          <w:tcPr>
            <w:tcW w:w="94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shd w:val="clear" w:color="auto" w:fill="D0EBF2"/>
              </w:rPr>
              <w:t>126,012</w:t>
            </w:r>
          </w:p>
        </w:tc>
        <w:tc>
          <w:tcPr>
            <w:tcW w:w="100" w:type="dxa"/>
            <w:vAlign w:val="bottom"/>
            <w:tcBorders>
              <w:top w:val="single" w:sz="8" w:color="D0EBF2"/>
            </w:tcBorders>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2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November 1, 2024 - November 30, 2024</w:t>
            </w:r>
          </w:p>
        </w:tc>
        <w:tc>
          <w:tcPr>
            <w:tcW w:w="100" w:type="dxa"/>
            <w:vAlign w:val="bottom"/>
            <w:shd w:val="clear" w:color="auto" w:fill="FDFDFC"/>
          </w:tcPr>
          <w:p>
            <w:pPr>
              <w:spacing w:after="0"/>
              <w:rPr>
                <w:sz w:val="18"/>
                <w:szCs w:val="18"/>
                <w:color w:val="auto"/>
              </w:rPr>
            </w:pPr>
          </w:p>
        </w:tc>
        <w:tc>
          <w:tcPr>
            <w:tcW w:w="10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160,912</w:t>
            </w:r>
          </w:p>
        </w:tc>
        <w:tc>
          <w:tcPr>
            <w:tcW w:w="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w:t>
            </w:r>
          </w:p>
        </w:tc>
        <w:tc>
          <w:tcPr>
            <w:tcW w:w="7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21.77</w:t>
            </w:r>
          </w:p>
        </w:tc>
        <w:tc>
          <w:tcPr>
            <w:tcW w:w="220" w:type="dxa"/>
            <w:vAlign w:val="bottom"/>
            <w:shd w:val="clear" w:color="auto" w:fill="FDFDFC"/>
          </w:tcPr>
          <w:p>
            <w:pPr>
              <w:spacing w:after="0"/>
              <w:rPr>
                <w:sz w:val="18"/>
                <w:szCs w:val="18"/>
                <w:color w:val="auto"/>
              </w:rPr>
            </w:pPr>
          </w:p>
        </w:tc>
        <w:tc>
          <w:tcPr>
            <w:tcW w:w="10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160,912</w:t>
            </w:r>
          </w:p>
        </w:tc>
        <w:tc>
          <w:tcPr>
            <w:tcW w:w="220" w:type="dxa"/>
            <w:vAlign w:val="bottom"/>
            <w:shd w:val="clear" w:color="auto" w:fill="FDFDFC"/>
          </w:tcPr>
          <w:p>
            <w:pPr>
              <w:spacing w:after="0"/>
              <w:rPr>
                <w:sz w:val="18"/>
                <w:szCs w:val="18"/>
                <w:color w:val="auto"/>
              </w:rPr>
            </w:pPr>
          </w:p>
        </w:tc>
        <w:tc>
          <w:tcPr>
            <w:tcW w:w="10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w w:val="75"/>
              </w:rPr>
              <w:t>$</w:t>
            </w:r>
          </w:p>
        </w:tc>
        <w:tc>
          <w:tcPr>
            <w:tcW w:w="94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122,509</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2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December 1, 2024 - December 31, 2024</w:t>
            </w:r>
          </w:p>
        </w:tc>
        <w:tc>
          <w:tcPr>
            <w:tcW w:w="1300" w:type="dxa"/>
            <w:vAlign w:val="bottom"/>
            <w:gridSpan w:val="3"/>
            <w:shd w:val="clear" w:color="auto" w:fill="D0EBF2"/>
          </w:tcPr>
          <w:p>
            <w:pPr>
              <w:jc w:val="right"/>
              <w:ind w:right="120"/>
              <w:spacing w:after="0" w:line="217" w:lineRule="exact"/>
              <w:rPr>
                <w:sz w:val="20"/>
                <w:szCs w:val="20"/>
                <w:color w:val="auto"/>
              </w:rPr>
            </w:pPr>
            <w:r>
              <w:rPr>
                <w:rFonts w:ascii="Arial" w:cs="Arial" w:eastAsia="Arial" w:hAnsi="Arial"/>
                <w:sz w:val="19"/>
                <w:szCs w:val="19"/>
                <w:color w:val="231F20"/>
              </w:rPr>
              <w:t>864,894</w:t>
            </w:r>
          </w:p>
        </w:tc>
        <w:tc>
          <w:tcPr>
            <w:tcW w:w="340" w:type="dxa"/>
            <w:vAlign w:val="bottom"/>
            <w:gridSpan w:val="2"/>
            <w:shd w:val="clear" w:color="auto" w:fill="D0EBF2"/>
          </w:tcPr>
          <w:p>
            <w:pPr>
              <w:ind w:left="100"/>
              <w:spacing w:after="0" w:line="217" w:lineRule="exact"/>
              <w:rPr>
                <w:sz w:val="20"/>
                <w:szCs w:val="20"/>
                <w:color w:val="auto"/>
              </w:rPr>
            </w:pPr>
            <w:r>
              <w:rPr>
                <w:rFonts w:ascii="Arial" w:cs="Arial" w:eastAsia="Arial" w:hAnsi="Arial"/>
                <w:sz w:val="19"/>
                <w:szCs w:val="19"/>
                <w:color w:val="231F20"/>
              </w:rPr>
              <w:t>$</w:t>
            </w:r>
          </w:p>
        </w:tc>
        <w:tc>
          <w:tcPr>
            <w:tcW w:w="78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20.38</w:t>
            </w:r>
          </w:p>
        </w:tc>
        <w:tc>
          <w:tcPr>
            <w:tcW w:w="1300" w:type="dxa"/>
            <w:vAlign w:val="bottom"/>
            <w:gridSpan w:val="2"/>
            <w:shd w:val="clear" w:color="auto" w:fill="D0EBF2"/>
          </w:tcPr>
          <w:p>
            <w:pPr>
              <w:jc w:val="right"/>
              <w:spacing w:after="0" w:line="217" w:lineRule="exact"/>
              <w:rPr>
                <w:sz w:val="20"/>
                <w:szCs w:val="20"/>
                <w:color w:val="auto"/>
              </w:rPr>
            </w:pPr>
            <w:r>
              <w:rPr>
                <w:rFonts w:ascii="Arial" w:cs="Arial" w:eastAsia="Arial" w:hAnsi="Arial"/>
                <w:sz w:val="19"/>
                <w:szCs w:val="19"/>
                <w:color w:val="231F20"/>
              </w:rPr>
              <w:t>864,894</w:t>
            </w:r>
          </w:p>
        </w:tc>
        <w:tc>
          <w:tcPr>
            <w:tcW w:w="320" w:type="dxa"/>
            <w:vAlign w:val="bottom"/>
            <w:gridSpan w:val="2"/>
            <w:shd w:val="clear" w:color="auto" w:fill="D0EBF2"/>
          </w:tcPr>
          <w:p>
            <w:pPr>
              <w:jc w:val="right"/>
              <w:spacing w:after="0" w:line="217" w:lineRule="exact"/>
              <w:rPr>
                <w:sz w:val="20"/>
                <w:szCs w:val="20"/>
                <w:color w:val="auto"/>
              </w:rPr>
            </w:pPr>
            <w:r>
              <w:rPr>
                <w:rFonts w:ascii="Arial" w:cs="Arial" w:eastAsia="Arial" w:hAnsi="Arial"/>
                <w:sz w:val="19"/>
                <w:szCs w:val="19"/>
                <w:color w:val="231F20"/>
              </w:rPr>
              <w:t>$</w:t>
            </w:r>
          </w:p>
        </w:tc>
        <w:tc>
          <w:tcPr>
            <w:tcW w:w="94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104,887</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20" w:type="dxa"/>
            <w:vAlign w:val="bottom"/>
            <w:tcBorders>
              <w:top w:val="single" w:sz="8" w:color="FDFDFC"/>
            </w:tcBorders>
            <w:shd w:val="clear" w:color="auto" w:fill="FDFDFC"/>
          </w:tcPr>
          <w:p>
            <w:pPr>
              <w:ind w:left="140"/>
              <w:spacing w:after="0" w:line="206" w:lineRule="exact"/>
              <w:rPr>
                <w:sz w:val="20"/>
                <w:szCs w:val="20"/>
                <w:color w:val="auto"/>
              </w:rPr>
            </w:pPr>
            <w:r>
              <w:rPr>
                <w:rFonts w:ascii="Arial" w:cs="Arial" w:eastAsia="Arial" w:hAnsi="Arial"/>
                <w:sz w:val="19"/>
                <w:szCs w:val="19"/>
                <w:color w:val="231F20"/>
              </w:rPr>
              <w:t>Total</w:t>
            </w:r>
          </w:p>
        </w:tc>
        <w:tc>
          <w:tcPr>
            <w:tcW w:w="100" w:type="dxa"/>
            <w:vAlign w:val="bottom"/>
            <w:tcBorders>
              <w:top w:val="single" w:sz="8" w:color="FDFDFC"/>
            </w:tcBorders>
            <w:shd w:val="clear" w:color="auto" w:fill="FDFDFC"/>
          </w:tcPr>
          <w:p>
            <w:pPr>
              <w:spacing w:after="0"/>
              <w:rPr>
                <w:sz w:val="17"/>
                <w:szCs w:val="17"/>
                <w:color w:val="auto"/>
              </w:rPr>
            </w:pPr>
          </w:p>
        </w:tc>
        <w:tc>
          <w:tcPr>
            <w:tcW w:w="108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rPr>
              <w:t>1,095,604</w:t>
            </w:r>
          </w:p>
        </w:tc>
        <w:tc>
          <w:tcPr>
            <w:tcW w:w="120" w:type="dxa"/>
            <w:vAlign w:val="bottom"/>
            <w:tcBorders>
              <w:top w:val="single" w:sz="8" w:color="FDFDFC"/>
            </w:tcBorders>
            <w:shd w:val="clear" w:color="auto" w:fill="FDFDFC"/>
          </w:tcPr>
          <w:p>
            <w:pPr>
              <w:spacing w:after="0"/>
              <w:rPr>
                <w:sz w:val="17"/>
                <w:szCs w:val="17"/>
                <w:color w:val="auto"/>
              </w:rPr>
            </w:pPr>
          </w:p>
        </w:tc>
        <w:tc>
          <w:tcPr>
            <w:tcW w:w="100" w:type="dxa"/>
            <w:vAlign w:val="bottom"/>
            <w:tcBorders>
              <w:top w:val="single" w:sz="8" w:color="FDFDFC"/>
            </w:tcBorders>
            <w:shd w:val="clear" w:color="auto" w:fill="FDFDFC"/>
          </w:tcPr>
          <w:p>
            <w:pPr>
              <w:spacing w:after="0"/>
              <w:rPr>
                <w:sz w:val="17"/>
                <w:szCs w:val="17"/>
                <w:color w:val="auto"/>
              </w:rPr>
            </w:pPr>
          </w:p>
        </w:tc>
        <w:tc>
          <w:tcPr>
            <w:tcW w:w="240" w:type="dxa"/>
            <w:vAlign w:val="bottom"/>
            <w:tcBorders>
              <w:top w:val="single" w:sz="8" w:color="FDFDFC"/>
            </w:tcBorders>
            <w:shd w:val="clear" w:color="auto" w:fill="FDFDFC"/>
          </w:tcPr>
          <w:p>
            <w:pPr>
              <w:spacing w:after="0"/>
              <w:rPr>
                <w:sz w:val="17"/>
                <w:szCs w:val="17"/>
                <w:color w:val="auto"/>
              </w:rPr>
            </w:pPr>
          </w:p>
        </w:tc>
        <w:tc>
          <w:tcPr>
            <w:tcW w:w="780" w:type="dxa"/>
            <w:vAlign w:val="bottom"/>
            <w:tcBorders>
              <w:top w:val="single" w:sz="8" w:color="FDFDFC"/>
            </w:tcBorders>
            <w:shd w:val="clear" w:color="auto" w:fill="FDFDFC"/>
          </w:tcPr>
          <w:p>
            <w:pPr>
              <w:spacing w:after="0"/>
              <w:rPr>
                <w:sz w:val="17"/>
                <w:szCs w:val="17"/>
                <w:color w:val="auto"/>
              </w:rPr>
            </w:pPr>
          </w:p>
        </w:tc>
        <w:tc>
          <w:tcPr>
            <w:tcW w:w="220" w:type="dxa"/>
            <w:vAlign w:val="bottom"/>
            <w:tcBorders>
              <w:top w:val="single" w:sz="8" w:color="FDFDFC"/>
            </w:tcBorders>
            <w:shd w:val="clear" w:color="auto" w:fill="FDFDFC"/>
          </w:tcPr>
          <w:p>
            <w:pPr>
              <w:spacing w:after="0"/>
              <w:rPr>
                <w:sz w:val="17"/>
                <w:szCs w:val="17"/>
                <w:color w:val="auto"/>
              </w:rPr>
            </w:pPr>
          </w:p>
        </w:tc>
        <w:tc>
          <w:tcPr>
            <w:tcW w:w="108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rPr>
              <w:t>1,095,604</w:t>
            </w:r>
          </w:p>
        </w:tc>
        <w:tc>
          <w:tcPr>
            <w:tcW w:w="220" w:type="dxa"/>
            <w:vAlign w:val="bottom"/>
            <w:tcBorders>
              <w:top w:val="single" w:sz="8" w:color="FDFDFC"/>
            </w:tcBorders>
            <w:shd w:val="clear" w:color="auto" w:fill="FDFDFC"/>
          </w:tcPr>
          <w:p>
            <w:pPr>
              <w:spacing w:after="0"/>
              <w:rPr>
                <w:sz w:val="17"/>
                <w:szCs w:val="17"/>
                <w:color w:val="auto"/>
              </w:rPr>
            </w:pPr>
          </w:p>
        </w:tc>
        <w:tc>
          <w:tcPr>
            <w:tcW w:w="100" w:type="dxa"/>
            <w:vAlign w:val="bottom"/>
            <w:tcBorders>
              <w:top w:val="single" w:sz="8" w:color="FDFDFC"/>
            </w:tcBorders>
            <w:shd w:val="clear" w:color="auto" w:fill="FDFDFC"/>
          </w:tcPr>
          <w:p>
            <w:pPr>
              <w:spacing w:after="0"/>
              <w:rPr>
                <w:sz w:val="17"/>
                <w:szCs w:val="17"/>
                <w:color w:val="auto"/>
              </w:rPr>
            </w:pPr>
          </w:p>
        </w:tc>
        <w:tc>
          <w:tcPr>
            <w:tcW w:w="940" w:type="dxa"/>
            <w:vAlign w:val="bottom"/>
            <w:tcBorders>
              <w:top w:val="single" w:sz="8" w:color="FDFDFC"/>
            </w:tcBorders>
            <w:shd w:val="clear" w:color="auto" w:fill="FDFDFC"/>
          </w:tcPr>
          <w:p>
            <w:pPr>
              <w:spacing w:after="0"/>
              <w:rPr>
                <w:sz w:val="17"/>
                <w:szCs w:val="17"/>
                <w:color w:val="auto"/>
              </w:rPr>
            </w:pPr>
          </w:p>
        </w:tc>
        <w:tc>
          <w:tcPr>
            <w:tcW w:w="100" w:type="dxa"/>
            <w:vAlign w:val="bottom"/>
            <w:tcBorders>
              <w:top w:val="single" w:sz="8" w:color="FDFDFC"/>
            </w:tcBorders>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right="60"/>
        <w:spacing w:after="0" w:line="249" w:lineRule="auto"/>
        <w:tabs>
          <w:tab w:leader="none" w:pos="227" w:val="left"/>
        </w:tabs>
        <w:numPr>
          <w:ilvl w:val="0"/>
          <w:numId w:val="45"/>
        </w:numPr>
        <w:rPr>
          <w:rFonts w:ascii="Arial" w:cs="Arial" w:eastAsia="Arial" w:hAnsi="Arial"/>
          <w:sz w:val="15"/>
          <w:szCs w:val="15"/>
          <w:color w:val="231F20"/>
        </w:rPr>
      </w:pPr>
      <w:r>
        <w:rPr>
          <w:rFonts w:ascii="Arial" w:cs="Arial" w:eastAsia="Arial" w:hAnsi="Arial"/>
          <w:sz w:val="15"/>
          <w:szCs w:val="15"/>
          <w:color w:val="231F20"/>
        </w:rPr>
        <w:t xml:space="preserve">All shares were repurchased in open market transactions pursuant to a share repurchase program to repurchase up to $150 million of our outstanding voting and non-voting common stock for an indefinite period (the Repurchase Program). The Repurchase Program was authorized by our board of directors and publicly announced on August 6, 2024. Repurchases under the Repurchase Program may be made from time to time through open market purchases, in privately negotiated transactions or by other means, including through the use of trading plans intended to qualify under Rule 10b5-1 under the Exchange Act, in accordance with applicable securities laws and other restrictions, including Rule 10b-18. For additional information on our Repurchase Program, see </w:t>
      </w:r>
      <w:r>
        <w:rPr>
          <w:rFonts w:ascii="Arial" w:cs="Arial" w:eastAsia="Arial" w:hAnsi="Arial"/>
          <w:sz w:val="15"/>
          <w:szCs w:val="15"/>
          <w:i w:val="1"/>
          <w:iCs w:val="1"/>
          <w:color w:val="231F20"/>
        </w:rPr>
        <w:t>Note 12 - Stockholders’ Equity</w:t>
      </w:r>
      <w:r>
        <w:rPr>
          <w:rFonts w:ascii="Arial" w:cs="Arial" w:eastAsia="Arial" w:hAnsi="Arial"/>
          <w:sz w:val="15"/>
          <w:szCs w:val="15"/>
          <w:color w:val="231F20"/>
        </w:rPr>
        <w:t xml:space="preserve"> in our consolidated financial statements included elsewhere in this Annual Report on Form 10-K.</w:t>
      </w:r>
    </w:p>
    <w:p>
      <w:pPr>
        <w:spacing w:after="0" w:line="152" w:lineRule="exact"/>
        <w:rPr>
          <w:rFonts w:ascii="Arial" w:cs="Arial" w:eastAsia="Arial" w:hAnsi="Arial"/>
          <w:sz w:val="15"/>
          <w:szCs w:val="15"/>
          <w:color w:val="231F20"/>
        </w:rPr>
      </w:pPr>
    </w:p>
    <w:p>
      <w:pPr>
        <w:ind w:right="360"/>
        <w:spacing w:after="0" w:line="286" w:lineRule="auto"/>
        <w:tabs>
          <w:tab w:leader="none" w:pos="227" w:val="left"/>
        </w:tabs>
        <w:numPr>
          <w:ilvl w:val="0"/>
          <w:numId w:val="45"/>
        </w:numPr>
        <w:rPr>
          <w:rFonts w:ascii="Arial" w:cs="Arial" w:eastAsia="Arial" w:hAnsi="Arial"/>
          <w:sz w:val="15"/>
          <w:szCs w:val="15"/>
          <w:color w:val="231F20"/>
        </w:rPr>
      </w:pPr>
      <w:r>
        <w:rPr>
          <w:rFonts w:ascii="Arial" w:cs="Arial" w:eastAsia="Arial" w:hAnsi="Arial"/>
          <w:sz w:val="15"/>
          <w:szCs w:val="15"/>
          <w:color w:val="231F20"/>
        </w:rPr>
        <w:t>Average price paid per share includes related commissions, but excludes the 1% excise tax accrued on our share repurchases as a result of the Inflation Reduction Act of 2022.</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6. [Reserved]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78</w:t>
      </w:r>
    </w:p>
    <w:p>
      <w:pPr>
        <w:sectPr>
          <w:pgSz w:w="12240" w:h="15840" w:orient="portrait"/>
          <w:cols w:equalWidth="0" w:num="1">
            <w:col w:w="10200"/>
          </w:cols>
          <w:pgMar w:left="1020" w:top="1440" w:right="1020" w:bottom="572" w:gutter="0" w:footer="0" w:header="0"/>
        </w:sectPr>
      </w:pPr>
    </w:p>
    <w:bookmarkStart w:id="79" w:name="page80"/>
    <w:bookmarkEnd w:id="79"/>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7. Management’s Discussion and Analysis of Financial Condition and Results of Operations</w:t>
      </w:r>
    </w:p>
    <w:p>
      <w:pPr>
        <w:spacing w:after="0" w:line="200" w:lineRule="exact"/>
        <w:rPr>
          <w:sz w:val="20"/>
          <w:szCs w:val="20"/>
          <w:color w:val="auto"/>
        </w:rPr>
      </w:pPr>
    </w:p>
    <w:p>
      <w:pPr>
        <w:ind w:firstLine="463"/>
        <w:spacing w:after="0" w:line="259" w:lineRule="auto"/>
        <w:rPr>
          <w:sz w:val="20"/>
          <w:szCs w:val="20"/>
          <w:color w:val="auto"/>
        </w:rPr>
      </w:pPr>
      <w:r>
        <w:rPr>
          <w:rFonts w:ascii="Arial" w:cs="Arial" w:eastAsia="Arial" w:hAnsi="Arial"/>
          <w:sz w:val="18"/>
          <w:szCs w:val="18"/>
          <w:i w:val="1"/>
          <w:iCs w:val="1"/>
          <w:color w:val="231F20"/>
        </w:rPr>
        <w:t>You should read the following discussion and analysis of our financial condition and results of operations together with our consolidated financial statements and the related notes appearing elsewhere in this Annual Report on Form 10-K. Some of the information contained in this Annual Report on Form 10-K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Overview</w:t>
      </w:r>
    </w:p>
    <w:p>
      <w:pPr>
        <w:spacing w:after="0" w:line="192" w:lineRule="exact"/>
        <w:rPr>
          <w:sz w:val="20"/>
          <w:szCs w:val="20"/>
          <w:color w:val="auto"/>
        </w:rPr>
      </w:pPr>
    </w:p>
    <w:p>
      <w:pPr>
        <w:ind w:right="220" w:firstLine="463"/>
        <w:spacing w:after="0" w:line="245" w:lineRule="auto"/>
        <w:rPr>
          <w:sz w:val="20"/>
          <w:szCs w:val="20"/>
          <w:color w:val="auto"/>
        </w:rPr>
      </w:pPr>
      <w:r>
        <w:rPr>
          <w:rFonts w:ascii="Arial" w:cs="Arial" w:eastAsia="Arial" w:hAnsi="Arial"/>
          <w:sz w:val="19"/>
          <w:szCs w:val="19"/>
          <w:color w:val="231F20"/>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48" w:lineRule="exact"/>
        <w:rPr>
          <w:sz w:val="20"/>
          <w:szCs w:val="20"/>
          <w:color w:val="auto"/>
        </w:rPr>
      </w:pPr>
    </w:p>
    <w:p>
      <w:pPr>
        <w:ind w:right="120" w:firstLine="463"/>
        <w:spacing w:after="0" w:line="245" w:lineRule="auto"/>
        <w:rPr>
          <w:sz w:val="20"/>
          <w:szCs w:val="20"/>
          <w:color w:val="auto"/>
        </w:rPr>
      </w:pPr>
      <w:r>
        <w:rPr>
          <w:rFonts w:ascii="Arial" w:cs="Arial" w:eastAsia="Arial" w:hAnsi="Arial"/>
          <w:sz w:val="19"/>
          <w:szCs w:val="19"/>
          <w:color w:val="231F20"/>
        </w:rPr>
        <w:t xml:space="preserve">Our </w:t>
      </w:r>
      <w:r>
        <w:rPr>
          <w:rFonts w:ascii="Arial" w:cs="Arial" w:eastAsia="Arial" w:hAnsi="Arial"/>
          <w:sz w:val="19"/>
          <w:szCs w:val="19"/>
          <w:i w:val="1"/>
          <w:iCs w:val="1"/>
          <w:color w:val="231F20"/>
        </w:rPr>
        <w:t>Flywire Advantage</w:t>
      </w:r>
      <w:r>
        <w:rPr>
          <w:rFonts w:ascii="Arial" w:cs="Arial" w:eastAsia="Arial" w:hAnsi="Arial"/>
          <w:sz w:val="19"/>
          <w:szCs w:val="19"/>
          <w:color w:val="231F20"/>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9"/>
          <w:szCs w:val="19"/>
          <w:i w:val="1"/>
          <w:iCs w:val="1"/>
          <w:color w:val="231F20"/>
        </w:rPr>
        <w:t>Flywire</w:t>
      </w:r>
      <w:r>
        <w:rPr>
          <w:rFonts w:ascii="Arial" w:cs="Arial" w:eastAsia="Arial" w:hAnsi="Arial"/>
          <w:sz w:val="19"/>
          <w:szCs w:val="19"/>
          <w:color w:val="231F20"/>
        </w:rPr>
        <w:t xml:space="preserve"> </w:t>
      </w:r>
      <w:r>
        <w:rPr>
          <w:rFonts w:ascii="Arial" w:cs="Arial" w:eastAsia="Arial" w:hAnsi="Arial"/>
          <w:sz w:val="19"/>
          <w:szCs w:val="19"/>
          <w:i w:val="1"/>
          <w:iCs w:val="1"/>
          <w:color w:val="231F20"/>
        </w:rPr>
        <w:t>Advantage</w:t>
      </w:r>
      <w:r>
        <w:rPr>
          <w:rFonts w:ascii="Arial" w:cs="Arial" w:eastAsia="Arial" w:hAnsi="Arial"/>
          <w:sz w:val="19"/>
          <w:szCs w:val="19"/>
          <w:color w:val="231F20"/>
        </w:rPr>
        <w:t>, we aim to power the transformation of our clients’ accounts receivable functions by automating paper and</w:t>
      </w:r>
      <w:r>
        <w:rPr>
          <w:rFonts w:ascii="Arial" w:cs="Arial" w:eastAsia="Arial" w:hAnsi="Arial"/>
          <w:sz w:val="19"/>
          <w:szCs w:val="19"/>
          <w:i w:val="1"/>
          <w:iCs w:val="1"/>
          <w:color w:val="231F20"/>
        </w:rPr>
        <w:t xml:space="preserve"> </w:t>
      </w:r>
      <w:r>
        <w:rPr>
          <w:rFonts w:ascii="Arial" w:cs="Arial" w:eastAsia="Arial" w:hAnsi="Arial"/>
          <w:sz w:val="19"/>
          <w:szCs w:val="19"/>
          <w:color w:val="231F20"/>
        </w:rPr>
        <w:t>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48" w:lineRule="exact"/>
        <w:rPr>
          <w:sz w:val="20"/>
          <w:szCs w:val="20"/>
          <w:color w:val="auto"/>
        </w:rPr>
      </w:pPr>
    </w:p>
    <w:p>
      <w:pPr>
        <w:ind w:right="120" w:firstLine="463"/>
        <w:spacing w:after="0" w:line="246" w:lineRule="auto"/>
        <w:rPr>
          <w:sz w:val="20"/>
          <w:szCs w:val="20"/>
          <w:color w:val="auto"/>
        </w:rPr>
      </w:pPr>
      <w:r>
        <w:rPr>
          <w:rFonts w:ascii="Arial" w:cs="Arial" w:eastAsia="Arial" w:hAnsi="Arial"/>
          <w:sz w:val="19"/>
          <w:szCs w:val="19"/>
          <w:color w:val="231F20"/>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79</w:t>
      </w:r>
    </w:p>
    <w:p>
      <w:pPr>
        <w:sectPr>
          <w:pgSz w:w="12240" w:h="15840" w:orient="portrait"/>
          <w:cols w:equalWidth="0" w:num="1">
            <w:col w:w="10200"/>
          </w:cols>
          <w:pgMar w:left="1020" w:top="1440" w:right="1020" w:bottom="595" w:gutter="0" w:footer="0" w:header="0"/>
          <w:type w:val="continuous"/>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1083945</wp:posOffset>
            </wp:positionH>
            <wp:positionV relativeFrom="page">
              <wp:posOffset>986790</wp:posOffset>
            </wp:positionV>
            <wp:extent cx="5898515" cy="3883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898515"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780" w:firstLine="463"/>
        <w:spacing w:after="0" w:line="278" w:lineRule="auto"/>
        <w:rPr>
          <w:sz w:val="20"/>
          <w:szCs w:val="20"/>
          <w:color w:val="auto"/>
        </w:rPr>
      </w:pPr>
      <w:r>
        <w:rPr>
          <w:rFonts w:ascii="Arial" w:cs="Arial" w:eastAsia="Arial" w:hAnsi="Arial"/>
          <w:sz w:val="19"/>
          <w:szCs w:val="19"/>
          <w:color w:val="231F20"/>
        </w:rPr>
        <w:t>The combination of our differentiated solution and efficient go-to-market strategy has resulted in strong and consistent client growth.</w:t>
      </w:r>
    </w:p>
    <w:p>
      <w:pPr>
        <w:spacing w:after="0" w:line="54" w:lineRule="exact"/>
        <w:rPr>
          <w:sz w:val="20"/>
          <w:szCs w:val="20"/>
          <w:color w:val="auto"/>
        </w:rPr>
      </w:pPr>
    </w:p>
    <w:p>
      <w:pPr>
        <w:ind w:left="920" w:hanging="458"/>
        <w:spacing w:after="0" w:line="248" w:lineRule="auto"/>
        <w:tabs>
          <w:tab w:leader="none" w:pos="920" w:val="left"/>
        </w:tabs>
        <w:numPr>
          <w:ilvl w:val="0"/>
          <w:numId w:val="46"/>
        </w:numPr>
        <w:rPr>
          <w:rFonts w:ascii="Arial" w:cs="Arial" w:eastAsia="Arial" w:hAnsi="Arial"/>
          <w:sz w:val="19"/>
          <w:szCs w:val="19"/>
          <w:color w:val="231F20"/>
        </w:rPr>
      </w:pPr>
      <w:r>
        <w:rPr>
          <w:rFonts w:ascii="Arial" w:cs="Arial" w:eastAsia="Arial" w:hAnsi="Arial"/>
          <w:sz w:val="19"/>
          <w:szCs w:val="19"/>
          <w:b w:val="1"/>
          <w:bCs w:val="1"/>
          <w:i w:val="1"/>
          <w:iCs w:val="1"/>
          <w:color w:val="231F20"/>
        </w:rPr>
        <w:t>Rapid domestic and international payments volume growth</w:t>
      </w:r>
      <w:r>
        <w:rPr>
          <w:rFonts w:ascii="Arial" w:cs="Arial" w:eastAsia="Arial" w:hAnsi="Arial"/>
          <w:sz w:val="19"/>
          <w:szCs w:val="19"/>
          <w:i w:val="1"/>
          <w:iCs w:val="1"/>
          <w:color w:val="231F20"/>
        </w:rPr>
        <w:t>.</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We have grown our total payment volume by</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approximately 24% period-over-period from $24.0 billion during the year ended December 31, 2023 to $29.7 billion during the year ended December 31, 2024. We have grown our total payment volume by approximately 33% period-over-period from $18.1 billion during the year ended December 31, 2022 to $24.0 billion during the year ended December 31, 2023.</w:t>
      </w:r>
    </w:p>
    <w:p>
      <w:pPr>
        <w:spacing w:after="0" w:line="83" w:lineRule="exact"/>
        <w:rPr>
          <w:rFonts w:ascii="Arial" w:cs="Arial" w:eastAsia="Arial" w:hAnsi="Arial"/>
          <w:sz w:val="19"/>
          <w:szCs w:val="19"/>
          <w:color w:val="231F20"/>
        </w:rPr>
      </w:pPr>
    </w:p>
    <w:p>
      <w:pPr>
        <w:ind w:left="920" w:right="40" w:hanging="458"/>
        <w:spacing w:after="0" w:line="258" w:lineRule="auto"/>
        <w:tabs>
          <w:tab w:leader="none" w:pos="920" w:val="left"/>
        </w:tabs>
        <w:numPr>
          <w:ilvl w:val="0"/>
          <w:numId w:val="46"/>
        </w:numPr>
        <w:rPr>
          <w:rFonts w:ascii="Arial" w:cs="Arial" w:eastAsia="Arial" w:hAnsi="Arial"/>
          <w:sz w:val="19"/>
          <w:szCs w:val="19"/>
          <w:color w:val="231F20"/>
        </w:rPr>
      </w:pPr>
      <w:r>
        <w:rPr>
          <w:rFonts w:ascii="Arial" w:cs="Arial" w:eastAsia="Arial" w:hAnsi="Arial"/>
          <w:sz w:val="19"/>
          <w:szCs w:val="19"/>
          <w:b w:val="1"/>
          <w:bCs w:val="1"/>
          <w:i w:val="1"/>
          <w:iCs w:val="1"/>
          <w:color w:val="231F20"/>
        </w:rPr>
        <w:t>Expanded global payments network</w:t>
      </w:r>
      <w:r>
        <w:rPr>
          <w:rFonts w:ascii="Arial" w:cs="Arial" w:eastAsia="Arial" w:hAnsi="Arial"/>
          <w:sz w:val="19"/>
          <w:szCs w:val="19"/>
          <w:i w:val="1"/>
          <w:iCs w:val="1"/>
          <w:color w:val="231F20"/>
        </w:rPr>
        <w:t>.</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We have continued to add to the capabilities of our payment network</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by means of new local bank accounts and payment partners, and have expanded our global reach to over 240 countries and territories and more than 140 currencies.</w:t>
      </w:r>
    </w:p>
    <w:p>
      <w:pPr>
        <w:spacing w:after="0" w:line="73" w:lineRule="exact"/>
        <w:rPr>
          <w:rFonts w:ascii="Arial" w:cs="Arial" w:eastAsia="Arial" w:hAnsi="Arial"/>
          <w:sz w:val="19"/>
          <w:szCs w:val="19"/>
          <w:color w:val="231F20"/>
        </w:rPr>
      </w:pPr>
    </w:p>
    <w:p>
      <w:pPr>
        <w:ind w:left="920" w:right="140" w:hanging="458"/>
        <w:spacing w:after="0" w:line="258" w:lineRule="auto"/>
        <w:tabs>
          <w:tab w:leader="none" w:pos="920" w:val="left"/>
        </w:tabs>
        <w:numPr>
          <w:ilvl w:val="0"/>
          <w:numId w:val="46"/>
        </w:numPr>
        <w:rPr>
          <w:rFonts w:ascii="Arial" w:cs="Arial" w:eastAsia="Arial" w:hAnsi="Arial"/>
          <w:sz w:val="18"/>
          <w:szCs w:val="18"/>
          <w:color w:val="231F20"/>
        </w:rPr>
      </w:pPr>
      <w:r>
        <w:rPr>
          <w:rFonts w:ascii="Arial" w:cs="Arial" w:eastAsia="Arial" w:hAnsi="Arial"/>
          <w:sz w:val="18"/>
          <w:szCs w:val="18"/>
          <w:b w:val="1"/>
          <w:bCs w:val="1"/>
          <w:i w:val="1"/>
          <w:iCs w:val="1"/>
          <w:color w:val="231F20"/>
        </w:rPr>
        <w:t>Strong dollar-based net retention</w:t>
      </w:r>
      <w:r>
        <w:rPr>
          <w:rFonts w:ascii="Arial" w:cs="Arial" w:eastAsia="Arial" w:hAnsi="Arial"/>
          <w:sz w:val="18"/>
          <w:szCs w:val="18"/>
          <w:i w:val="1"/>
          <w:iCs w:val="1"/>
          <w:color w:val="231F20"/>
        </w:rPr>
        <w: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For the year ended December 31, 2024, our annual net dollar-based</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retention rate was approximately 114%. For the year ended December 31, 2023, our annual net dollar-based retention rate was approximately 125%. For the year ended December 31, 2022, our annual net dollar-based retention rate was approximately 124%.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41" w:lineRule="exact"/>
        <w:rPr>
          <w:sz w:val="20"/>
          <w:szCs w:val="20"/>
          <w:color w:val="auto"/>
        </w:rPr>
      </w:pPr>
    </w:p>
    <w:p>
      <w:pPr>
        <w:ind w:right="200" w:firstLine="463"/>
        <w:spacing w:after="0" w:line="248" w:lineRule="auto"/>
        <w:rPr>
          <w:sz w:val="20"/>
          <w:szCs w:val="20"/>
          <w:color w:val="auto"/>
        </w:rPr>
      </w:pPr>
      <w:r>
        <w:rPr>
          <w:rFonts w:ascii="Arial" w:cs="Arial" w:eastAsia="Arial" w:hAnsi="Arial"/>
          <w:sz w:val="19"/>
          <w:szCs w:val="19"/>
          <w:color w:val="231F20"/>
        </w:rPr>
        <w:t>As of December 31, 2024, we serve approximately 4,500 clients around the world, excluding clients acquired from the Invoiced acquisition. In education, we serve more than 3,100 institutions. In healthcare, we power more than 100 healthcare systems, including four of the top 10 healthcare systems in the United States ranked by hospital size as of December 31, 2024. In our travel and B2B verticals, we have a growing portfolio of approximately 1,300 clients as of December 31, 2024.</w:t>
      </w:r>
    </w:p>
    <w:p>
      <w:pPr>
        <w:sectPr>
          <w:pgSz w:w="12240" w:h="15840" w:orient="portrait"/>
          <w:cols w:equalWidth="0" w:num="1">
            <w:col w:w="10160"/>
          </w:cols>
          <w:pgMar w:left="1020" w:top="1440" w:right="1060" w:bottom="595"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231F20"/>
        </w:rPr>
        <w:t>80</w:t>
      </w:r>
    </w:p>
    <w:p>
      <w:pPr>
        <w:sectPr>
          <w:pgSz w:w="12240" w:h="15840" w:orient="portrait"/>
          <w:cols w:equalWidth="0" w:num="1">
            <w:col w:w="10160"/>
          </w:cols>
          <w:pgMar w:left="1020" w:top="1440" w:right="1060" w:bottom="595" w:gutter="0" w:footer="0" w:header="0"/>
          <w:type w:val="continuous"/>
        </w:sectPr>
      </w:pPr>
    </w:p>
    <w:bookmarkStart w:id="81" w:name="page82"/>
    <w:bookmarkEnd w:id="81"/>
    <w:p>
      <w:pPr>
        <w:spacing w:after="0" w:line="97" w:lineRule="exact"/>
        <w:rPr>
          <w:sz w:val="20"/>
          <w:szCs w:val="20"/>
          <w:color w:val="auto"/>
        </w:rPr>
      </w:pPr>
    </w:p>
    <w:p>
      <w:pPr>
        <w:ind w:right="80" w:firstLine="463"/>
        <w:spacing w:after="0" w:line="246" w:lineRule="auto"/>
        <w:rPr>
          <w:sz w:val="20"/>
          <w:szCs w:val="20"/>
          <w:color w:val="auto"/>
        </w:rPr>
      </w:pPr>
      <w:r>
        <w:rPr>
          <w:rFonts w:ascii="Arial" w:cs="Arial" w:eastAsia="Arial" w:hAnsi="Arial"/>
          <w:sz w:val="19"/>
          <w:szCs w:val="19"/>
          <w:color w:val="231F20"/>
        </w:rPr>
        <w:t>Our success in building our client base around the world and expanding utilization by our clients’ customers has allowed us to achieve significant scale. We enabled over $29.7 billion and over $24.0 billion in total payment volume during the years ended December 31, 2024 and 2023, respectively. We generated revenue of $492.1 million, $403.1 million and $289.4 million for the years ended December 31, 2024, 2023 and 2022, respectively, and incurred net income of $2.9 million for the year ended December 31, 2024 and net losses of $8.6 million and $39.3 million for the years ended December 31, 2023 and 2022.</w:t>
      </w:r>
    </w:p>
    <w:p>
      <w:pPr>
        <w:spacing w:after="0" w:line="148" w:lineRule="exact"/>
        <w:rPr>
          <w:sz w:val="20"/>
          <w:szCs w:val="20"/>
          <w:color w:val="auto"/>
        </w:rPr>
      </w:pPr>
    </w:p>
    <w:p>
      <w:pPr>
        <w:ind w:right="40" w:firstLine="463"/>
        <w:spacing w:after="0" w:line="246" w:lineRule="auto"/>
        <w:rPr>
          <w:sz w:val="20"/>
          <w:szCs w:val="20"/>
          <w:color w:val="auto"/>
        </w:rPr>
      </w:pPr>
      <w:r>
        <w:rPr>
          <w:rFonts w:ascii="Arial" w:cs="Arial" w:eastAsia="Arial" w:hAnsi="Arial"/>
          <w:sz w:val="19"/>
          <w:szCs w:val="19"/>
          <w:color w:val="231F20"/>
        </w:rPr>
        <w:t>We believe that the growth of our business and our operating results will be dependent upon many factors, including our ability to add new clients, expand the usage of our solutions by our existing clients and their customers, integrate the businesses and technology platforms that we acquire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48" w:lineRule="exact"/>
        <w:rPr>
          <w:sz w:val="20"/>
          <w:szCs w:val="20"/>
          <w:color w:val="auto"/>
        </w:rPr>
      </w:pPr>
    </w:p>
    <w:p>
      <w:pPr>
        <w:ind w:right="20" w:firstLine="463"/>
        <w:spacing w:after="0" w:line="242" w:lineRule="auto"/>
        <w:rPr>
          <w:sz w:val="20"/>
          <w:szCs w:val="20"/>
          <w:color w:val="auto"/>
        </w:rPr>
      </w:pPr>
      <w:r>
        <w:rPr>
          <w:rFonts w:ascii="Arial" w:cs="Arial" w:eastAsia="Arial" w:hAnsi="Arial"/>
          <w:sz w:val="19"/>
          <w:szCs w:val="19"/>
          <w:color w:val="231F20"/>
        </w:rPr>
        <w:t>While we have experienced significant growth and increased demand for our solutions over recent periods, we may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IT and financial infrastructure, our operating and administrative systems and controls, and our ability to manage headcount, capital, and processes in an efficient manner. Additionally, we face intense competition in our markets,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p>
    <w:p>
      <w:pPr>
        <w:spacing w:after="0" w:line="152" w:lineRule="exact"/>
        <w:rPr>
          <w:sz w:val="20"/>
          <w:szCs w:val="20"/>
          <w:color w:val="auto"/>
        </w:rPr>
      </w:pPr>
    </w:p>
    <w:p>
      <w:pPr>
        <w:ind w:firstLine="463"/>
        <w:spacing w:after="0" w:line="278" w:lineRule="auto"/>
        <w:rPr>
          <w:sz w:val="20"/>
          <w:szCs w:val="20"/>
          <w:color w:val="auto"/>
        </w:rPr>
      </w:pPr>
      <w:r>
        <w:rPr>
          <w:rFonts w:ascii="Arial" w:cs="Arial" w:eastAsia="Arial" w:hAnsi="Arial"/>
          <w:sz w:val="19"/>
          <w:szCs w:val="19"/>
          <w:color w:val="231F20"/>
        </w:rPr>
        <w:t>We had approximately 1,250 full-time FlyMates as of December 31, 2024, compared to approximately 1,200 full-time FlyMates as of December 31, 2023.</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2023 Follow-On Public Offering</w:t>
      </w:r>
    </w:p>
    <w:p>
      <w:pPr>
        <w:spacing w:after="0" w:line="192" w:lineRule="exact"/>
        <w:rPr>
          <w:sz w:val="20"/>
          <w:szCs w:val="20"/>
          <w:color w:val="auto"/>
        </w:rPr>
      </w:pPr>
    </w:p>
    <w:p>
      <w:pPr>
        <w:ind w:right="60" w:firstLine="463"/>
        <w:spacing w:after="0" w:line="248" w:lineRule="auto"/>
        <w:rPr>
          <w:sz w:val="20"/>
          <w:szCs w:val="20"/>
          <w:color w:val="auto"/>
        </w:rPr>
      </w:pPr>
      <w:r>
        <w:rPr>
          <w:rFonts w:ascii="Arial" w:cs="Arial" w:eastAsia="Arial" w:hAnsi="Arial"/>
          <w:sz w:val="19"/>
          <w:szCs w:val="19"/>
          <w:color w:val="231F20"/>
        </w:rPr>
        <w:t>On August 9, 2023, we entered into an underwriting agreement (Underwriting Agreement) with Goldman Sachs &amp; Co. LLC, as representative of the several underwriters (Underwriters), in connection with the offer and sale of 8,000,000 shares of voting common stock, at a price to the public of $32.00 per share (the Primary Offering). In addition, pursuant to the terms of the Underwriting Agreement, we granted the Underwriters an option to purchase up to 1,200,000 additional shares of common stock (the Option).</w:t>
      </w:r>
    </w:p>
    <w:p>
      <w:pPr>
        <w:spacing w:after="0" w:line="146" w:lineRule="exact"/>
        <w:rPr>
          <w:sz w:val="20"/>
          <w:szCs w:val="20"/>
          <w:color w:val="auto"/>
        </w:rPr>
      </w:pPr>
    </w:p>
    <w:p>
      <w:pPr>
        <w:ind w:right="20" w:firstLine="463"/>
        <w:spacing w:after="0" w:line="251" w:lineRule="auto"/>
        <w:rPr>
          <w:sz w:val="20"/>
          <w:szCs w:val="20"/>
          <w:color w:val="auto"/>
        </w:rPr>
      </w:pPr>
      <w:r>
        <w:rPr>
          <w:rFonts w:ascii="Arial" w:cs="Arial" w:eastAsia="Arial" w:hAnsi="Arial"/>
          <w:sz w:val="19"/>
          <w:szCs w:val="19"/>
          <w:color w:val="231F20"/>
        </w:rPr>
        <w:t>The Primary Offering closed on August 14, 2023 and on September 12, 2023, the Underwriters exercised the Option in part and purchased an additional 500,000 shares of voting common stock at a price to the public of $32.00 per share (the Public Offering). We received $260.1 million in net proceeds from the Public Offering, after deducting underwriting discounts and commissions of $10.9 million and other offering costs of $1.1 million.</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Recent Acquisition</w:t>
      </w:r>
    </w:p>
    <w:p>
      <w:pPr>
        <w:spacing w:after="0" w:line="192" w:lineRule="exact"/>
        <w:rPr>
          <w:sz w:val="20"/>
          <w:szCs w:val="20"/>
          <w:color w:val="auto"/>
        </w:rPr>
      </w:pPr>
    </w:p>
    <w:p>
      <w:pPr>
        <w:ind w:right="60" w:firstLine="463"/>
        <w:spacing w:after="0" w:line="258" w:lineRule="auto"/>
        <w:rPr>
          <w:sz w:val="20"/>
          <w:szCs w:val="20"/>
          <w:color w:val="auto"/>
        </w:rPr>
      </w:pPr>
      <w:r>
        <w:rPr>
          <w:rFonts w:ascii="Arial" w:cs="Arial" w:eastAsia="Arial" w:hAnsi="Arial"/>
          <w:sz w:val="18"/>
          <w:szCs w:val="18"/>
          <w:color w:val="231F20"/>
        </w:rPr>
        <w:t>In August 2024, we acquired all of the issued and outstanding shares of Invoiced for an estimated total aggregate purchase price of approximately $51.7 million, consisting of approximately $47.2 million in cash consideration, net of cash acquired and up to $7.5 million of contingent consideration, with an estimated fair value of $4.5 million on the date of acquisition. The contingent consideration represents additional payments that we may be required to make in the future dependent on the successful achievement of revenue, cross-selling, product and security and IT milestones. During the year ended December 31, 2024, we made a payment of contingent consideration of $1.1 million based on Invoiced's successful and timely achievement of the contracted milestones. Invoiced is a U.S.-based SaaS B2B company that provides accounts receivable software that automates all aspects of billing, collections, payments, reporting and forecasting within a single online platform. The acquisition of Invoiced was intended to accelerate our global expansion in our B2B vertical. Invoiced contributed $2.4 million in platform revenue during the year ended December 31, 2024.</w:t>
      </w:r>
    </w:p>
    <w:p>
      <w:pPr>
        <w:spacing w:after="0" w:line="136" w:lineRule="exact"/>
        <w:rPr>
          <w:sz w:val="20"/>
          <w:szCs w:val="20"/>
          <w:color w:val="auto"/>
        </w:rPr>
      </w:pPr>
    </w:p>
    <w:p>
      <w:pPr>
        <w:ind w:right="140" w:firstLine="463"/>
        <w:spacing w:after="0" w:line="270" w:lineRule="auto"/>
        <w:rPr>
          <w:sz w:val="20"/>
          <w:szCs w:val="20"/>
          <w:color w:val="auto"/>
        </w:rPr>
      </w:pPr>
      <w:r>
        <w:rPr>
          <w:rFonts w:ascii="Arial" w:cs="Arial" w:eastAsia="Arial" w:hAnsi="Arial"/>
          <w:sz w:val="18"/>
          <w:szCs w:val="18"/>
          <w:color w:val="231F20"/>
        </w:rPr>
        <w:t>In November 2023, we acquired all of the issued and outstanding shares of StudyLink for an estimated total aggregate purchase price of approximately $35.5 million, consisting of approximately $32.8 million in cash consideration, net of cash acquired and up to $3.9 million of contingent consideration, with an estimated fair value of $2.7 million on the date of acquisition. The contingent consideration represents additional payments that we may be required to make in the</w:t>
      </w:r>
    </w:p>
    <w:p>
      <w:pPr>
        <w:sectPr>
          <w:pgSz w:w="12240" w:h="15840" w:orient="portrait"/>
          <w:cols w:equalWidth="0" w:num="1">
            <w:col w:w="10200"/>
          </w:cols>
          <w:pgMar w:left="1020" w:top="1440" w:right="1020" w:bottom="595"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81</w:t>
      </w:r>
    </w:p>
    <w:p>
      <w:pPr>
        <w:sectPr>
          <w:pgSz w:w="12240" w:h="15840" w:orient="portrait"/>
          <w:cols w:equalWidth="0" w:num="1">
            <w:col w:w="10200"/>
          </w:cols>
          <w:pgMar w:left="1020" w:top="1440" w:right="1020" w:bottom="595" w:gutter="0" w:footer="0" w:header="0"/>
          <w:type w:val="continuous"/>
        </w:sectPr>
      </w:pPr>
    </w:p>
    <w:bookmarkStart w:id="82" w:name="page83"/>
    <w:bookmarkEnd w:id="82"/>
    <w:p>
      <w:pPr>
        <w:spacing w:after="0" w:line="97" w:lineRule="exact"/>
        <w:rPr>
          <w:sz w:val="20"/>
          <w:szCs w:val="20"/>
          <w:color w:val="auto"/>
        </w:rPr>
      </w:pPr>
    </w:p>
    <w:p>
      <w:pPr>
        <w:ind w:right="80"/>
        <w:spacing w:after="0" w:line="241" w:lineRule="auto"/>
        <w:rPr>
          <w:sz w:val="20"/>
          <w:szCs w:val="20"/>
          <w:color w:val="auto"/>
        </w:rPr>
      </w:pPr>
      <w:r>
        <w:rPr>
          <w:rFonts w:ascii="Arial" w:cs="Arial" w:eastAsia="Arial" w:hAnsi="Arial"/>
          <w:sz w:val="19"/>
          <w:szCs w:val="19"/>
          <w:color w:val="231F20"/>
        </w:rPr>
        <w:t>future dependent on the successful achievement of revenue, volume, cross-selling and engineering implementation milestones, a portion of which can be paid in the form of cash or shares of common stock, at our option, and is subject to exchange rate fluctuation adjustment between the U.S. Dollar and Australian Dollar. Additional payments in the form of shares of common stock will be made based on the continuing employment of a key employee; accordingly, the fair value of $2.4 million, approximately 84,000 shares of common stock, have been excluded from the purchase consideration. During the years ended December 31, 2024 and 2023, we expensed $1.2 million and $0.2 million, respectively, in stock based compensation associated with retention of the key employee. StudyLink is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our growth in the Australian higher education market and enhance our value proposition to payers, universities and agents in the higher education ecosystem. StudyLink contributed $7.6 million and $1.4 million in platform revenue during the years ended December 31, 2024 and 2023, respectively.</w:t>
      </w:r>
    </w:p>
    <w:p>
      <w:pPr>
        <w:spacing w:after="0" w:line="160" w:lineRule="exact"/>
        <w:rPr>
          <w:sz w:val="20"/>
          <w:szCs w:val="20"/>
          <w:color w:val="auto"/>
        </w:rPr>
      </w:pPr>
    </w:p>
    <w:p>
      <w:pPr>
        <w:ind w:firstLine="463"/>
        <w:spacing w:after="0" w:line="255" w:lineRule="auto"/>
        <w:rPr>
          <w:sz w:val="20"/>
          <w:szCs w:val="20"/>
          <w:color w:val="auto"/>
        </w:rPr>
      </w:pPr>
      <w:r>
        <w:rPr>
          <w:rFonts w:ascii="Arial" w:cs="Arial" w:eastAsia="Arial" w:hAnsi="Arial"/>
          <w:sz w:val="18"/>
          <w:szCs w:val="18"/>
          <w:color w:val="231F20"/>
        </w:rPr>
        <w:t>In July 2022, we acquired all of the issued and outstanding shares of Cohort Go for an estimated aggregate purchase price of $23.1 million, which consisted of $17.1 million in cash consideration, net of cash acquired, $4.3 million in shares of common stock and up to $2.2 million of contingent consideration, with an estimated fair value of $1.7 million on the acquisition date. Subsequent to the acquisition date, at each reporting date, the contingent consideration was remeasured and changes in the fair value resulting from a change in the underlying inputs were recognized in general and administrative expense in the consolidated statements of operations and comprehensive loss. Contingent consideration represented additional payments that Flywire was required to make which was dependent upon Cohort Go's achievement of specific post-acquisition milestones and was subject to exchange rate fluctuation adjustment between the U.S. Dollar and Australian Dollar. During the year ended December 31, 2023 and 2022, we paid $1.7 million and $0.5 million, respectively, in contingent consideration based on Cohort Go's successful and timely achievement of contracted milestones. No additional contingent consideration is due or payable with respect to the Cohort Go acquisition. Cohort Go is an Australian-based education payments provider that simplifies the student recruitment process by bringing together students, agents and essential student services such as health insurance into one platform. The acquisition of Cohort Go accelerated the growth of Flywire's agent related revenue and contributed to our global expansion. Cohort Go contributed $14.5 million in transaction revenue and $9.3 million in platform revenue during the year ended December 31, 2024, $16.6 million in transaction revenue and $10.4 million in platform revenue during the year ended December 31, 2023 and $6.4 million in transaction revenue and $3.3 million in platform revenue during the year ended December 31, 2022.</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Revenue Model</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We generate revenue from transactions and from platform and other fees as described below.</w:t>
      </w:r>
    </w:p>
    <w:p>
      <w:pPr>
        <w:spacing w:after="0" w:line="188" w:lineRule="exact"/>
        <w:rPr>
          <w:sz w:val="20"/>
          <w:szCs w:val="20"/>
          <w:color w:val="auto"/>
        </w:rPr>
      </w:pPr>
    </w:p>
    <w:p>
      <w:pPr>
        <w:ind w:firstLine="463"/>
        <w:spacing w:after="0" w:line="244" w:lineRule="auto"/>
        <w:rPr>
          <w:sz w:val="20"/>
          <w:szCs w:val="20"/>
          <w:color w:val="auto"/>
        </w:rPr>
      </w:pPr>
      <w:r>
        <w:rPr>
          <w:rFonts w:ascii="Arial" w:cs="Arial" w:eastAsia="Arial" w:hAnsi="Arial"/>
          <w:sz w:val="19"/>
          <w:szCs w:val="19"/>
          <w:i w:val="1"/>
          <w:iCs w:val="1"/>
          <w:color w:val="231F20"/>
        </w:rPr>
        <w:t xml:space="preserve">Transaction revenue </w:t>
      </w:r>
      <w:r>
        <w:rPr>
          <w:rFonts w:ascii="Arial" w:cs="Arial" w:eastAsia="Arial" w:hAnsi="Arial"/>
          <w:sz w:val="19"/>
          <w:szCs w:val="19"/>
          <w:color w:val="231F20"/>
        </w:rPr>
        <w:t>includes fees earned from payment processing services provided to our clients, which is</w:t>
      </w:r>
      <w:r>
        <w:rPr>
          <w:rFonts w:ascii="Arial" w:cs="Arial" w:eastAsia="Arial" w:hAnsi="Arial"/>
          <w:sz w:val="19"/>
          <w:szCs w:val="19"/>
          <w:i w:val="1"/>
          <w:iCs w:val="1"/>
          <w:color w:val="231F20"/>
        </w:rPr>
        <w:t xml:space="preserve"> </w:t>
      </w:r>
      <w:r>
        <w:rPr>
          <w:rFonts w:ascii="Arial" w:cs="Arial" w:eastAsia="Arial" w:hAnsi="Arial"/>
          <w:sz w:val="19"/>
          <w:szCs w:val="19"/>
          <w:color w:val="231F20"/>
        </w:rPr>
        <w:t>comprised of processing domestic and cross-border transactions. The fee is generally earned on each transaction through a rate applied to the total payment value of the transaction, which can vary based on the payment method, currency pairs being converted and the geographic region in which our clients and their customers reside. Payment processing services also include fixed fees per transaction, which generally relate to domestic payments processed. It also includes marketing fees from credit card service providers for marketing arrangements in which we perform certain marketing activities to increase the awareness of the credit card provider and promote certain methods of payments, which we consider to be ancillary to the payment processing solutions we provide to our clients.</w:t>
      </w:r>
    </w:p>
    <w:p>
      <w:pPr>
        <w:spacing w:after="0" w:line="150" w:lineRule="exact"/>
        <w:rPr>
          <w:sz w:val="20"/>
          <w:szCs w:val="20"/>
          <w:color w:val="auto"/>
        </w:rPr>
      </w:pPr>
    </w:p>
    <w:p>
      <w:pPr>
        <w:ind w:right="40" w:firstLine="463"/>
        <w:spacing w:after="0" w:line="245" w:lineRule="auto"/>
        <w:rPr>
          <w:sz w:val="20"/>
          <w:szCs w:val="20"/>
          <w:color w:val="auto"/>
        </w:rPr>
      </w:pPr>
      <w:r>
        <w:rPr>
          <w:rFonts w:ascii="Arial" w:cs="Arial" w:eastAsia="Arial" w:hAnsi="Arial"/>
          <w:sz w:val="19"/>
          <w:szCs w:val="19"/>
          <w:i w:val="1"/>
          <w:iCs w:val="1"/>
          <w:color w:val="231F20"/>
        </w:rPr>
        <w:t xml:space="preserve">Platform and other revenues </w:t>
      </w:r>
      <w:r>
        <w:rPr>
          <w:rFonts w:ascii="Arial" w:cs="Arial" w:eastAsia="Arial" w:hAnsi="Arial"/>
          <w:sz w:val="19"/>
          <w:szCs w:val="19"/>
          <w:color w:val="231F20"/>
        </w:rPr>
        <w:t>primarily include (i) fees earned for the utilization of our platforms to optimize cash</w:t>
      </w:r>
      <w:r>
        <w:rPr>
          <w:rFonts w:ascii="Arial" w:cs="Arial" w:eastAsia="Arial" w:hAnsi="Arial"/>
          <w:sz w:val="19"/>
          <w:szCs w:val="19"/>
          <w:i w:val="1"/>
          <w:iCs w:val="1"/>
          <w:color w:val="231F20"/>
        </w:rPr>
        <w:t xml:space="preserve"> </w:t>
      </w:r>
      <w:r>
        <w:rPr>
          <w:rFonts w:ascii="Arial" w:cs="Arial" w:eastAsia="Arial" w:hAnsi="Arial"/>
          <w:sz w:val="19"/>
          <w:szCs w:val="19"/>
          <w:color w:val="231F20"/>
        </w:rPr>
        <w:t>collections and student application processing, which include revenue earned from software subscription fees and usage based fees, (ii) fees for the establishment of payment plans on our payment platform, (iii) fees related to printing, mailing, and other services which we consider to be ancillary to the solutions we provide to our clients, (iv) commissions from insurance providers when an end-user purchases an insurance policy, and (v) revenue from interest earned on funds held for customers in interest-bearing accounts. Platform and other revenues has been referred to as platform and usage based fee revenue in prior filings.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Total Payment Volume</w:t>
      </w:r>
    </w:p>
    <w:p>
      <w:pPr>
        <w:spacing w:after="0" w:line="184" w:lineRule="exact"/>
        <w:rPr>
          <w:sz w:val="20"/>
          <w:szCs w:val="20"/>
          <w:color w:val="auto"/>
        </w:rPr>
      </w:pPr>
    </w:p>
    <w:p>
      <w:pPr>
        <w:ind w:right="80" w:firstLine="463"/>
        <w:spacing w:after="0" w:line="270" w:lineRule="auto"/>
        <w:rPr>
          <w:sz w:val="20"/>
          <w:szCs w:val="20"/>
          <w:color w:val="auto"/>
        </w:rPr>
      </w:pPr>
      <w:r>
        <w:rPr>
          <w:rFonts w:ascii="Arial" w:cs="Arial" w:eastAsia="Arial" w:hAnsi="Arial"/>
          <w:sz w:val="18"/>
          <w:szCs w:val="18"/>
          <w:color w:val="231F20"/>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w:t>
      </w:r>
    </w:p>
    <w:p>
      <w:pPr>
        <w:sectPr>
          <w:pgSz w:w="12240" w:h="15840" w:orient="portrait"/>
          <w:cols w:equalWidth="0" w:num="1">
            <w:col w:w="10200"/>
          </w:cols>
          <w:pgMar w:left="1020" w:top="1440" w:right="1020" w:bottom="595"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82</w:t>
      </w:r>
    </w:p>
    <w:p>
      <w:pPr>
        <w:sectPr>
          <w:pgSz w:w="12240" w:h="15840" w:orient="portrait"/>
          <w:cols w:equalWidth="0" w:num="1">
            <w:col w:w="10200"/>
          </w:cols>
          <w:pgMar w:left="1020" w:top="1440" w:right="1020" w:bottom="595" w:gutter="0" w:footer="0" w:header="0"/>
          <w:type w:val="continuous"/>
        </w:sectPr>
      </w:pPr>
    </w:p>
    <w:bookmarkStart w:id="83" w:name="page84"/>
    <w:bookmarkEnd w:id="83"/>
    <w:p>
      <w:pPr>
        <w:spacing w:after="0" w:line="97" w:lineRule="exact"/>
        <w:rPr>
          <w:sz w:val="20"/>
          <w:szCs w:val="20"/>
          <w:color w:val="auto"/>
        </w:rPr>
      </w:pPr>
    </w:p>
    <w:p>
      <w:pPr>
        <w:ind w:right="40"/>
        <w:spacing w:after="0" w:line="278" w:lineRule="auto"/>
        <w:rPr>
          <w:sz w:val="20"/>
          <w:szCs w:val="20"/>
          <w:color w:val="auto"/>
        </w:rPr>
      </w:pPr>
      <w:r>
        <w:rPr>
          <w:rFonts w:ascii="Arial" w:cs="Arial" w:eastAsia="Arial" w:hAnsi="Arial"/>
          <w:sz w:val="19"/>
          <w:szCs w:val="19"/>
          <w:color w:val="231F20"/>
        </w:rPr>
        <w:t>ability to generate revenue from our clients. We define total payment volume as the total amount paid to our clients on our payments platforms in a given period.</w:t>
      </w:r>
    </w:p>
    <w:p>
      <w:pPr>
        <w:spacing w:after="0" w:line="117" w:lineRule="exact"/>
        <w:rPr>
          <w:sz w:val="20"/>
          <w:szCs w:val="20"/>
          <w:color w:val="auto"/>
        </w:rPr>
      </w:pPr>
    </w:p>
    <w:p>
      <w:pPr>
        <w:ind w:right="340" w:firstLine="463"/>
        <w:spacing w:after="0" w:line="258" w:lineRule="auto"/>
        <w:rPr>
          <w:sz w:val="20"/>
          <w:szCs w:val="20"/>
          <w:color w:val="auto"/>
        </w:rPr>
      </w:pPr>
      <w:r>
        <w:rPr>
          <w:rFonts w:ascii="Arial" w:cs="Arial" w:eastAsia="Arial" w:hAnsi="Arial"/>
          <w:sz w:val="19"/>
          <w:szCs w:val="19"/>
          <w:color w:val="231F20"/>
        </w:rPr>
        <w:t>Total payment volume is comprised of transaction payment volume and platform and other revenues payment volume. The following tables set forth the increase in our total payment volume, and the payment volume mix between transaction payment volume and platform and other revenues payment volume.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0" w:type="dxa"/>
            <w:vAlign w:val="bottom"/>
            <w:tcBorders>
              <w:bottom w:val="single" w:sz="8" w:color="FDFDFC"/>
            </w:tcBorders>
            <w:vMerge w:val="restart"/>
            <w:shd w:val="clear" w:color="auto" w:fill="FDFDFC"/>
          </w:tcPr>
          <w:p>
            <w:pPr>
              <w:spacing w:after="0"/>
              <w:rPr>
                <w:sz w:val="20"/>
                <w:szCs w:val="20"/>
                <w:color w:val="auto"/>
              </w:rPr>
            </w:pPr>
            <w:r>
              <w:rPr>
                <w:rFonts w:ascii="Arial" w:cs="Arial" w:eastAsia="Arial" w:hAnsi="Arial"/>
                <w:sz w:val="15"/>
                <w:szCs w:val="15"/>
                <w:b w:val="1"/>
                <w:bCs w:val="1"/>
                <w:color w:val="231F20"/>
              </w:rPr>
              <w:t>(dollars in millions)</w:t>
            </w:r>
          </w:p>
        </w:tc>
        <w:tc>
          <w:tcPr>
            <w:tcW w:w="100" w:type="dxa"/>
            <w:vAlign w:val="bottom"/>
            <w:tcBorders>
              <w:bottom w:val="single" w:sz="8" w:color="FDFDFC"/>
            </w:tcBorders>
            <w:shd w:val="clear" w:color="auto" w:fill="FDFDFC"/>
          </w:tcPr>
          <w:p>
            <w:pPr>
              <w:spacing w:after="0"/>
              <w:rPr>
                <w:sz w:val="16"/>
                <w:szCs w:val="16"/>
                <w:color w:val="auto"/>
              </w:rPr>
            </w:pPr>
          </w:p>
        </w:tc>
        <w:tc>
          <w:tcPr>
            <w:tcW w:w="3000" w:type="dxa"/>
            <w:vAlign w:val="bottom"/>
            <w:tcBorders>
              <w:bottom w:val="single" w:sz="8" w:color="231F20"/>
            </w:tcBorders>
            <w:gridSpan w:val="3"/>
            <w:shd w:val="clear" w:color="auto" w:fill="FDFDFC"/>
          </w:tcPr>
          <w:p>
            <w:pPr>
              <w:ind w:left="560"/>
              <w:spacing w:after="0"/>
              <w:rPr>
                <w:sz w:val="20"/>
                <w:szCs w:val="20"/>
                <w:color w:val="auto"/>
              </w:rPr>
            </w:pPr>
            <w:r>
              <w:rPr>
                <w:rFonts w:ascii="Arial" w:cs="Arial" w:eastAsia="Arial" w:hAnsi="Arial"/>
                <w:sz w:val="15"/>
                <w:szCs w:val="15"/>
                <w:b w:val="1"/>
                <w:bCs w:val="1"/>
                <w:color w:val="231F20"/>
              </w:rPr>
              <w:t>Year Ended December 31,</w:t>
            </w:r>
          </w:p>
        </w:tc>
        <w:tc>
          <w:tcPr>
            <w:tcW w:w="100" w:type="dxa"/>
            <w:vAlign w:val="bottom"/>
            <w:tcBorders>
              <w:bottom w:val="single" w:sz="8" w:color="231F20"/>
            </w:tcBorders>
            <w:shd w:val="clear" w:color="auto" w:fill="FDFDFC"/>
          </w:tcPr>
          <w:p>
            <w:pPr>
              <w:spacing w:after="0"/>
              <w:rPr>
                <w:sz w:val="16"/>
                <w:szCs w:val="16"/>
                <w:color w:val="auto"/>
              </w:rPr>
            </w:pPr>
          </w:p>
        </w:tc>
        <w:tc>
          <w:tcPr>
            <w:tcW w:w="14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1460" w:type="dxa"/>
            <w:vAlign w:val="bottom"/>
            <w:tcBorders>
              <w:bottom w:val="single" w:sz="8" w:color="231F20"/>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00" w:type="dxa"/>
            <w:vAlign w:val="bottom"/>
            <w:tcBorders>
              <w:bottom w:val="single" w:sz="8" w:color="231F20"/>
            </w:tcBorders>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40" w:type="dxa"/>
            <w:vAlign w:val="bottom"/>
            <w:tcBorders>
              <w:bottom w:val="single" w:sz="8" w:color="231F20"/>
            </w:tcBorders>
            <w:shd w:val="clear" w:color="auto" w:fill="FDFDFC"/>
          </w:tcPr>
          <w:p>
            <w:pPr>
              <w:ind w:left="540"/>
              <w:spacing w:after="0"/>
              <w:rPr>
                <w:sz w:val="20"/>
                <w:szCs w:val="20"/>
                <w:color w:val="auto"/>
              </w:rPr>
            </w:pPr>
            <w:r>
              <w:rPr>
                <w:rFonts w:ascii="Arial" w:cs="Arial" w:eastAsia="Arial" w:hAnsi="Arial"/>
                <w:sz w:val="15"/>
                <w:szCs w:val="15"/>
                <w:b w:val="1"/>
                <w:bCs w:val="1"/>
                <w:color w:val="231F20"/>
              </w:rPr>
              <w:t>2024</w:t>
            </w:r>
          </w:p>
        </w:tc>
        <w:tc>
          <w:tcPr>
            <w:tcW w:w="120" w:type="dxa"/>
            <w:vAlign w:val="bottom"/>
            <w:shd w:val="clear" w:color="auto" w:fill="FDFDFC"/>
          </w:tcPr>
          <w:p>
            <w:pPr>
              <w:spacing w:after="0"/>
              <w:rPr>
                <w:sz w:val="15"/>
                <w:szCs w:val="15"/>
                <w:color w:val="auto"/>
              </w:rPr>
            </w:pPr>
          </w:p>
        </w:tc>
        <w:tc>
          <w:tcPr>
            <w:tcW w:w="1440" w:type="dxa"/>
            <w:vAlign w:val="bottom"/>
            <w:tcBorders>
              <w:bottom w:val="single" w:sz="8" w:color="231F20"/>
            </w:tcBorders>
            <w:shd w:val="clear" w:color="auto" w:fill="FDFDFC"/>
          </w:tcPr>
          <w:p>
            <w:pPr>
              <w:jc w:val="right"/>
              <w:ind w:right="484"/>
              <w:spacing w:after="0"/>
              <w:rPr>
                <w:sz w:val="20"/>
                <w:szCs w:val="20"/>
                <w:color w:val="auto"/>
              </w:rPr>
            </w:pPr>
            <w:r>
              <w:rPr>
                <w:rFonts w:ascii="Arial" w:cs="Arial" w:eastAsia="Arial" w:hAnsi="Arial"/>
                <w:sz w:val="15"/>
                <w:szCs w:val="15"/>
                <w:b w:val="1"/>
                <w:bCs w:val="1"/>
                <w:color w:val="231F20"/>
              </w:rPr>
              <w:t>2023</w:t>
            </w:r>
          </w:p>
        </w:tc>
        <w:tc>
          <w:tcPr>
            <w:tcW w:w="100" w:type="dxa"/>
            <w:vAlign w:val="bottom"/>
            <w:shd w:val="clear" w:color="auto" w:fill="FDFDFC"/>
          </w:tcPr>
          <w:p>
            <w:pPr>
              <w:spacing w:after="0"/>
              <w:rPr>
                <w:sz w:val="15"/>
                <w:szCs w:val="15"/>
                <w:color w:val="auto"/>
              </w:rPr>
            </w:pPr>
          </w:p>
        </w:tc>
        <w:tc>
          <w:tcPr>
            <w:tcW w:w="1440" w:type="dxa"/>
            <w:vAlign w:val="bottom"/>
            <w:tcBorders>
              <w:bottom w:val="single" w:sz="8" w:color="231F20"/>
            </w:tcBorders>
            <w:shd w:val="clear" w:color="auto" w:fill="FDFDFC"/>
          </w:tcPr>
          <w:p>
            <w:pPr>
              <w:ind w:left="380"/>
              <w:spacing w:after="0"/>
              <w:rPr>
                <w:sz w:val="20"/>
                <w:szCs w:val="20"/>
                <w:color w:val="auto"/>
              </w:rPr>
            </w:pPr>
            <w:r>
              <w:rPr>
                <w:rFonts w:ascii="Arial" w:cs="Arial" w:eastAsia="Arial" w:hAnsi="Arial"/>
                <w:sz w:val="15"/>
                <w:szCs w:val="15"/>
                <w:b w:val="1"/>
                <w:bCs w:val="1"/>
                <w:color w:val="231F20"/>
              </w:rPr>
              <w:t>$ Change</w:t>
            </w:r>
          </w:p>
        </w:tc>
        <w:tc>
          <w:tcPr>
            <w:tcW w:w="100" w:type="dxa"/>
            <w:vAlign w:val="bottom"/>
            <w:shd w:val="clear" w:color="auto" w:fill="FDFDFC"/>
          </w:tcPr>
          <w:p>
            <w:pPr>
              <w:spacing w:after="0"/>
              <w:rPr>
                <w:sz w:val="15"/>
                <w:szCs w:val="15"/>
                <w:color w:val="auto"/>
              </w:rPr>
            </w:pPr>
          </w:p>
        </w:tc>
        <w:tc>
          <w:tcPr>
            <w:tcW w:w="1460" w:type="dxa"/>
            <w:vAlign w:val="bottom"/>
            <w:tcBorders>
              <w:bottom w:val="single" w:sz="8" w:color="231F20"/>
            </w:tcBorders>
            <w:shd w:val="clear" w:color="auto" w:fill="FDFDFC"/>
          </w:tcPr>
          <w:p>
            <w:pPr>
              <w:ind w:left="360"/>
              <w:spacing w:after="0"/>
              <w:rPr>
                <w:sz w:val="20"/>
                <w:szCs w:val="20"/>
                <w:color w:val="auto"/>
              </w:rPr>
            </w:pPr>
            <w:r>
              <w:rPr>
                <w:rFonts w:ascii="Arial" w:cs="Arial" w:eastAsia="Arial" w:hAnsi="Arial"/>
                <w:sz w:val="15"/>
                <w:szCs w:val="15"/>
                <w:b w:val="1"/>
                <w:bCs w:val="1"/>
                <w:color w:val="231F20"/>
              </w:rPr>
              <w:t>%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2537460</wp:posOffset>
                </wp:positionH>
                <wp:positionV relativeFrom="paragraph">
                  <wp:posOffset>-5715</wp:posOffset>
                </wp:positionV>
                <wp:extent cx="65405" cy="15176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151765"/>
                        </a:xfrm>
                        <a:prstGeom prst="rect">
                          <a:avLst/>
                        </a:prstGeom>
                        <a:solidFill>
                          <a:srgbClr val="D0EBF2"/>
                        </a:solidFill>
                      </wps:spPr>
                      <wps:bodyPr/>
                    </wps:wsp>
                  </a:graphicData>
                </a:graphic>
              </wp:anchor>
            </w:drawing>
          </mc:Choice>
          <mc:Fallback>
            <w:pict>
              <v:rect id="Shape 19" o:spid="_x0000_s1044" style="position:absolute;margin-left:199.8pt;margin-top:-0.4499pt;width:5.1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3522980</wp:posOffset>
                </wp:positionH>
                <wp:positionV relativeFrom="paragraph">
                  <wp:posOffset>-5715</wp:posOffset>
                </wp:positionV>
                <wp:extent cx="64770" cy="15176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151765"/>
                        </a:xfrm>
                        <a:prstGeom prst="rect">
                          <a:avLst/>
                        </a:prstGeom>
                        <a:solidFill>
                          <a:srgbClr val="D0EBF2"/>
                        </a:solidFill>
                      </wps:spPr>
                      <wps:bodyPr/>
                    </wps:wsp>
                  </a:graphicData>
                </a:graphic>
              </wp:anchor>
            </w:drawing>
          </mc:Choice>
          <mc:Fallback>
            <w:pict>
              <v:rect id="Shape 20" o:spid="_x0000_s1045" style="position:absolute;margin-left:277.4pt;margin-top:-0.4499pt;width:5.1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4507865</wp:posOffset>
                </wp:positionH>
                <wp:positionV relativeFrom="paragraph">
                  <wp:posOffset>-5715</wp:posOffset>
                </wp:positionV>
                <wp:extent cx="64770" cy="15176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151765"/>
                        </a:xfrm>
                        <a:prstGeom prst="rect">
                          <a:avLst/>
                        </a:prstGeom>
                        <a:solidFill>
                          <a:srgbClr val="D0EBF2"/>
                        </a:solidFill>
                      </wps:spPr>
                      <wps:bodyPr/>
                    </wps:wsp>
                  </a:graphicData>
                </a:graphic>
              </wp:anchor>
            </w:drawing>
          </mc:Choice>
          <mc:Fallback>
            <w:pict>
              <v:rect id="Shape 21" o:spid="_x0000_s1046" style="position:absolute;margin-left:354.95pt;margin-top:-0.4499pt;width:5.1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5483225</wp:posOffset>
                </wp:positionH>
                <wp:positionV relativeFrom="paragraph">
                  <wp:posOffset>-5715</wp:posOffset>
                </wp:positionV>
                <wp:extent cx="64770" cy="15176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151765"/>
                        </a:xfrm>
                        <a:prstGeom prst="rect">
                          <a:avLst/>
                        </a:prstGeom>
                        <a:solidFill>
                          <a:srgbClr val="D0EBF2"/>
                        </a:solidFill>
                      </wps:spPr>
                      <wps:bodyPr/>
                    </wps:wsp>
                  </a:graphicData>
                </a:graphic>
              </wp:anchor>
            </w:drawing>
          </mc:Choice>
          <mc:Fallback>
            <w:pict>
              <v:rect id="Shape 22" o:spid="_x0000_s1047" style="position:absolute;margin-left:431.75pt;margin-top:-0.4499pt;width:5.1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w:r>
    </w:p>
    <w:tbl>
      <w:tblPr>
        <w:tblLayout w:type="fixed"/>
        <w:tblInd w:w="0" w:type="dxa"/>
        <w:tblCellMar>
          <w:top w:w="0" w:type="dxa"/>
          <w:left w:w="0" w:type="dxa"/>
          <w:bottom w:w="0" w:type="dxa"/>
          <w:right w:w="0" w:type="dxa"/>
        </w:tblCellMar>
      </w:tblPr>
      <w:tr>
        <w:trPr>
          <w:trHeight w:val="218"/>
        </w:trPr>
        <w:tc>
          <w:tcPr>
            <w:tcW w:w="400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Transaction payment volume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shd w:val="clear" w:color="auto" w:fill="D0EBF2"/>
          </w:tcPr>
          <w:p>
            <w:pPr>
              <w:jc w:val="right"/>
              <w:spacing w:after="0"/>
              <w:rPr>
                <w:sz w:val="20"/>
                <w:szCs w:val="20"/>
                <w:color w:val="auto"/>
              </w:rPr>
            </w:pPr>
            <w:r>
              <w:rPr>
                <w:rFonts w:ascii="Arial" w:cs="Arial" w:eastAsia="Arial" w:hAnsi="Arial"/>
                <w:sz w:val="19"/>
                <w:szCs w:val="19"/>
                <w:color w:val="231F20"/>
              </w:rPr>
              <w:t>$23,207.6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shd w:val="clear" w:color="auto" w:fill="D0EBF2"/>
          </w:tcPr>
          <w:p>
            <w:pPr>
              <w:jc w:val="right"/>
              <w:spacing w:after="0"/>
              <w:rPr>
                <w:sz w:val="20"/>
                <w:szCs w:val="20"/>
                <w:color w:val="auto"/>
              </w:rPr>
            </w:pPr>
            <w:r>
              <w:rPr>
                <w:rFonts w:ascii="Arial" w:cs="Arial" w:eastAsia="Arial" w:hAnsi="Arial"/>
                <w:sz w:val="19"/>
                <w:szCs w:val="19"/>
                <w:color w:val="231F20"/>
              </w:rPr>
              <w:t>$17,670.3</w:t>
            </w:r>
          </w:p>
        </w:tc>
        <w:tc>
          <w:tcPr>
            <w:tcW w:w="20" w:type="dxa"/>
            <w:vAlign w:val="bottom"/>
            <w:shd w:val="clear" w:color="auto" w:fill="D0EBF2"/>
          </w:tcPr>
          <w:p>
            <w:pPr>
              <w:spacing w:after="0"/>
              <w:rPr>
                <w:sz w:val="18"/>
                <w:szCs w:val="18"/>
                <w:color w:val="auto"/>
              </w:rPr>
            </w:pPr>
          </w:p>
        </w:tc>
        <w:tc>
          <w:tcPr>
            <w:tcW w:w="100" w:type="dxa"/>
            <w:vAlign w:val="bottom"/>
            <w:tcBorders>
              <w:left w:val="single" w:sz="8" w:color="D0EBF2"/>
            </w:tcBorders>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$5,537.3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31%</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D0EBF2"/>
            </w:tcBorders>
            <w:gridSpan w:val="2"/>
            <w:shd w:val="clear" w:color="auto" w:fill="FDFDFC"/>
          </w:tcPr>
          <w:p>
            <w:pPr>
              <w:spacing w:after="0"/>
              <w:rPr>
                <w:sz w:val="20"/>
                <w:szCs w:val="20"/>
                <w:color w:val="auto"/>
              </w:rPr>
            </w:pPr>
            <w:r>
              <w:rPr>
                <w:rFonts w:ascii="Arial" w:cs="Arial" w:eastAsia="Arial" w:hAnsi="Arial"/>
                <w:sz w:val="19"/>
                <w:szCs w:val="19"/>
                <w:color w:val="231F20"/>
              </w:rPr>
              <w:t>Platform and other revenues payment volume</w:t>
            </w:r>
          </w:p>
        </w:tc>
        <w:tc>
          <w:tcPr>
            <w:tcW w:w="20" w:type="dxa"/>
            <w:vAlign w:val="bottom"/>
            <w:tcBorders>
              <w:bottom w:val="single" w:sz="8" w:color="D0EBF2"/>
            </w:tcBorders>
            <w:shd w:val="clear" w:color="auto" w:fill="FDFDFC"/>
          </w:tcPr>
          <w:p>
            <w:pPr>
              <w:spacing w:after="0"/>
              <w:rPr>
                <w:sz w:val="20"/>
                <w:szCs w:val="20"/>
                <w:color w:val="auto"/>
              </w:rPr>
            </w:pPr>
          </w:p>
        </w:tc>
        <w:tc>
          <w:tcPr>
            <w:tcW w:w="80" w:type="dxa"/>
            <w:vAlign w:val="bottom"/>
            <w:tcBorders>
              <w:bottom w:val="single" w:sz="8" w:color="D0EBF2"/>
            </w:tcBorders>
            <w:shd w:val="clear" w:color="auto" w:fill="FDFDFC"/>
          </w:tcPr>
          <w:p>
            <w:pPr>
              <w:spacing w:after="0"/>
              <w:rPr>
                <w:sz w:val="20"/>
                <w:szCs w:val="20"/>
                <w:color w:val="auto"/>
              </w:rPr>
            </w:pPr>
          </w:p>
        </w:tc>
        <w:tc>
          <w:tcPr>
            <w:tcW w:w="1440" w:type="dxa"/>
            <w:vAlign w:val="bottom"/>
            <w:tcBorders>
              <w:bottom w:val="single" w:sz="8" w:color="231F20"/>
            </w:tcBorders>
            <w:gridSpan w:val="2"/>
            <w:shd w:val="clear" w:color="auto" w:fill="FDFDFC"/>
          </w:tcPr>
          <w:p>
            <w:pPr>
              <w:jc w:val="right"/>
              <w:spacing w:after="0"/>
              <w:rPr>
                <w:sz w:val="20"/>
                <w:szCs w:val="20"/>
                <w:color w:val="auto"/>
              </w:rPr>
            </w:pPr>
            <w:r>
              <w:rPr>
                <w:rFonts w:ascii="Arial" w:cs="Arial" w:eastAsia="Arial" w:hAnsi="Arial"/>
                <w:sz w:val="19"/>
                <w:szCs w:val="19"/>
                <w:color w:val="231F20"/>
              </w:rPr>
              <w:t>6,507.7</w:t>
            </w:r>
          </w:p>
        </w:tc>
        <w:tc>
          <w:tcPr>
            <w:tcW w:w="20" w:type="dxa"/>
            <w:vAlign w:val="bottom"/>
            <w:tcBorders>
              <w:bottom w:val="single" w:sz="8" w:color="D0EBF2"/>
            </w:tcBorders>
            <w:shd w:val="clear" w:color="auto" w:fill="FDFDFC"/>
          </w:tcPr>
          <w:p>
            <w:pPr>
              <w:spacing w:after="0"/>
              <w:rPr>
                <w:sz w:val="20"/>
                <w:szCs w:val="20"/>
                <w:color w:val="auto"/>
              </w:rPr>
            </w:pPr>
          </w:p>
        </w:tc>
        <w:tc>
          <w:tcPr>
            <w:tcW w:w="100" w:type="dxa"/>
            <w:vAlign w:val="bottom"/>
            <w:tcBorders>
              <w:bottom w:val="single" w:sz="8" w:color="D0EBF2"/>
            </w:tcBorders>
            <w:shd w:val="clear" w:color="auto" w:fill="FDFDFC"/>
          </w:tcPr>
          <w:p>
            <w:pPr>
              <w:spacing w:after="0"/>
              <w:rPr>
                <w:sz w:val="20"/>
                <w:szCs w:val="20"/>
                <w:color w:val="auto"/>
              </w:rPr>
            </w:pPr>
          </w:p>
        </w:tc>
        <w:tc>
          <w:tcPr>
            <w:tcW w:w="1420" w:type="dxa"/>
            <w:vAlign w:val="bottom"/>
            <w:tcBorders>
              <w:bottom w:val="single" w:sz="8" w:color="231F20"/>
            </w:tcBorders>
            <w:gridSpan w:val="2"/>
            <w:shd w:val="clear" w:color="auto" w:fill="FDFDFC"/>
          </w:tcPr>
          <w:p>
            <w:pPr>
              <w:jc w:val="right"/>
              <w:spacing w:after="0"/>
              <w:rPr>
                <w:sz w:val="20"/>
                <w:szCs w:val="20"/>
                <w:color w:val="auto"/>
              </w:rPr>
            </w:pPr>
            <w:r>
              <w:rPr>
                <w:rFonts w:ascii="Arial" w:cs="Arial" w:eastAsia="Arial" w:hAnsi="Arial"/>
                <w:sz w:val="19"/>
                <w:szCs w:val="19"/>
                <w:color w:val="231F20"/>
              </w:rPr>
              <w:t>6,362.5</w:t>
            </w:r>
          </w:p>
        </w:tc>
        <w:tc>
          <w:tcPr>
            <w:tcW w:w="20" w:type="dxa"/>
            <w:vAlign w:val="bottom"/>
            <w:tcBorders>
              <w:bottom w:val="single" w:sz="8" w:color="231F20"/>
            </w:tcBorders>
            <w:shd w:val="clear" w:color="auto" w:fill="FDFDFC"/>
          </w:tcPr>
          <w:p>
            <w:pPr>
              <w:spacing w:after="0"/>
              <w:rPr>
                <w:sz w:val="20"/>
                <w:szCs w:val="20"/>
                <w:color w:val="auto"/>
              </w:rPr>
            </w:pPr>
          </w:p>
        </w:tc>
        <w:tc>
          <w:tcPr>
            <w:tcW w:w="100" w:type="dxa"/>
            <w:vAlign w:val="bottom"/>
            <w:tcBorders>
              <w:left w:val="single" w:sz="8" w:color="FDFDFC"/>
              <w:bottom w:val="single" w:sz="8" w:color="D0EBF2"/>
            </w:tcBorders>
            <w:shd w:val="clear" w:color="auto" w:fill="FDFDFC"/>
          </w:tcPr>
          <w:p>
            <w:pPr>
              <w:spacing w:after="0"/>
              <w:rPr>
                <w:sz w:val="20"/>
                <w:szCs w:val="20"/>
                <w:color w:val="auto"/>
              </w:rPr>
            </w:pPr>
          </w:p>
        </w:tc>
        <w:tc>
          <w:tcPr>
            <w:tcW w:w="20" w:type="dxa"/>
            <w:vAlign w:val="bottom"/>
            <w:tcBorders>
              <w:bottom w:val="single" w:sz="8" w:color="D0EBF2"/>
            </w:tcBorders>
            <w:shd w:val="clear" w:color="auto" w:fill="FDFDFC"/>
          </w:tcPr>
          <w:p>
            <w:pPr>
              <w:spacing w:after="0"/>
              <w:rPr>
                <w:sz w:val="20"/>
                <w:szCs w:val="20"/>
                <w:color w:val="auto"/>
              </w:rPr>
            </w:pPr>
          </w:p>
        </w:tc>
        <w:tc>
          <w:tcPr>
            <w:tcW w:w="1420" w:type="dxa"/>
            <w:vAlign w:val="bottom"/>
            <w:tcBorders>
              <w:bottom w:val="single" w:sz="8" w:color="231F20"/>
            </w:tcBorders>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145.2</w:t>
            </w:r>
          </w:p>
        </w:tc>
        <w:tc>
          <w:tcPr>
            <w:tcW w:w="8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D0EBF2"/>
            </w:tcBorders>
            <w:shd w:val="clear" w:color="auto" w:fill="FDFDFC"/>
          </w:tcPr>
          <w:p>
            <w:pPr>
              <w:spacing w:after="0"/>
              <w:rPr>
                <w:sz w:val="20"/>
                <w:szCs w:val="20"/>
                <w:color w:val="auto"/>
              </w:rPr>
            </w:pPr>
          </w:p>
        </w:tc>
        <w:tc>
          <w:tcPr>
            <w:tcW w:w="1460" w:type="dxa"/>
            <w:vAlign w:val="bottom"/>
            <w:tcBorders>
              <w:bottom w:val="single" w:sz="8" w:color="231F20"/>
            </w:tcBorders>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2%</w:t>
            </w:r>
          </w:p>
        </w:tc>
        <w:tc>
          <w:tcPr>
            <w:tcW w:w="0" w:type="dxa"/>
            <w:vAlign w:val="bottom"/>
          </w:tcPr>
          <w:p>
            <w:pPr>
              <w:spacing w:after="0"/>
              <w:rPr>
                <w:sz w:val="1"/>
                <w:szCs w:val="1"/>
                <w:color w:val="auto"/>
              </w:rPr>
            </w:pPr>
          </w:p>
        </w:tc>
      </w:tr>
      <w:tr>
        <w:trPr>
          <w:trHeight w:val="220"/>
        </w:trPr>
        <w:tc>
          <w:tcPr>
            <w:tcW w:w="60" w:type="dxa"/>
            <w:vAlign w:val="bottom"/>
            <w:shd w:val="clear" w:color="auto" w:fill="D0EBF2"/>
          </w:tcPr>
          <w:p>
            <w:pPr>
              <w:spacing w:after="0"/>
              <w:rPr>
                <w:sz w:val="19"/>
                <w:szCs w:val="19"/>
                <w:color w:val="auto"/>
              </w:rPr>
            </w:pPr>
          </w:p>
        </w:tc>
        <w:tc>
          <w:tcPr>
            <w:tcW w:w="3940" w:type="dxa"/>
            <w:vAlign w:val="bottom"/>
            <w:shd w:val="clear" w:color="auto" w:fill="D0EBF2"/>
          </w:tcPr>
          <w:p>
            <w:pPr>
              <w:ind w:left="80"/>
              <w:spacing w:after="0"/>
              <w:rPr>
                <w:sz w:val="20"/>
                <w:szCs w:val="20"/>
                <w:color w:val="auto"/>
              </w:rPr>
            </w:pPr>
            <w:r>
              <w:rPr>
                <w:rFonts w:ascii="Arial" w:cs="Arial" w:eastAsia="Arial" w:hAnsi="Arial"/>
                <w:sz w:val="19"/>
                <w:szCs w:val="19"/>
                <w:color w:val="231F20"/>
              </w:rPr>
              <w:t>Total payment volume</w:t>
            </w:r>
          </w:p>
        </w:tc>
        <w:tc>
          <w:tcPr>
            <w:tcW w:w="20" w:type="dxa"/>
            <w:vAlign w:val="bottom"/>
            <w:shd w:val="clear" w:color="auto" w:fill="D0EBF2"/>
          </w:tcPr>
          <w:p>
            <w:pPr>
              <w:spacing w:after="0"/>
              <w:rPr>
                <w:sz w:val="19"/>
                <w:szCs w:val="19"/>
                <w:color w:val="auto"/>
              </w:rPr>
            </w:pPr>
          </w:p>
        </w:tc>
        <w:tc>
          <w:tcPr>
            <w:tcW w:w="80" w:type="dxa"/>
            <w:vAlign w:val="bottom"/>
            <w:shd w:val="clear" w:color="auto" w:fill="D0EBF2"/>
          </w:tcPr>
          <w:p>
            <w:pPr>
              <w:spacing w:after="0"/>
              <w:rPr>
                <w:sz w:val="19"/>
                <w:szCs w:val="19"/>
                <w:color w:val="auto"/>
              </w:rPr>
            </w:pPr>
          </w:p>
        </w:tc>
        <w:tc>
          <w:tcPr>
            <w:tcW w:w="1440" w:type="dxa"/>
            <w:vAlign w:val="bottom"/>
            <w:tcBorders>
              <w:bottom w:val="single" w:sz="8" w:color="231F20"/>
            </w:tcBorders>
            <w:gridSpan w:val="2"/>
            <w:shd w:val="clear" w:color="auto" w:fill="D0EBF2"/>
          </w:tcPr>
          <w:p>
            <w:pPr>
              <w:jc w:val="right"/>
              <w:spacing w:after="0"/>
              <w:rPr>
                <w:sz w:val="20"/>
                <w:szCs w:val="20"/>
                <w:color w:val="auto"/>
              </w:rPr>
            </w:pPr>
            <w:r>
              <w:rPr>
                <w:rFonts w:ascii="Arial" w:cs="Arial" w:eastAsia="Arial" w:hAnsi="Arial"/>
                <w:sz w:val="19"/>
                <w:szCs w:val="19"/>
                <w:color w:val="231F20"/>
              </w:rPr>
              <w:t>$29,715.3</w:t>
            </w:r>
          </w:p>
        </w:tc>
        <w:tc>
          <w:tcPr>
            <w:tcW w:w="2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420" w:type="dxa"/>
            <w:vAlign w:val="bottom"/>
            <w:tcBorders>
              <w:bottom w:val="single" w:sz="8" w:color="231F20"/>
            </w:tcBorders>
            <w:gridSpan w:val="2"/>
            <w:shd w:val="clear" w:color="auto" w:fill="D0EBF2"/>
          </w:tcPr>
          <w:p>
            <w:pPr>
              <w:jc w:val="right"/>
              <w:spacing w:after="0"/>
              <w:rPr>
                <w:sz w:val="20"/>
                <w:szCs w:val="20"/>
                <w:color w:val="auto"/>
              </w:rPr>
            </w:pPr>
            <w:r>
              <w:rPr>
                <w:rFonts w:ascii="Arial" w:cs="Arial" w:eastAsia="Arial" w:hAnsi="Arial"/>
                <w:sz w:val="19"/>
                <w:szCs w:val="19"/>
                <w:color w:val="231F20"/>
              </w:rPr>
              <w:t>$24,032.8</w:t>
            </w:r>
          </w:p>
        </w:tc>
        <w:tc>
          <w:tcPr>
            <w:tcW w:w="20" w:type="dxa"/>
            <w:vAlign w:val="bottom"/>
            <w:tcBorders>
              <w:bottom w:val="single" w:sz="8" w:color="231F20"/>
            </w:tcBorders>
            <w:shd w:val="clear" w:color="auto" w:fill="D0EBF2"/>
          </w:tcPr>
          <w:p>
            <w:pPr>
              <w:spacing w:after="0"/>
              <w:rPr>
                <w:sz w:val="19"/>
                <w:szCs w:val="19"/>
                <w:color w:val="auto"/>
              </w:rPr>
            </w:pPr>
          </w:p>
        </w:tc>
        <w:tc>
          <w:tcPr>
            <w:tcW w:w="100" w:type="dxa"/>
            <w:vAlign w:val="bottom"/>
            <w:tcBorders>
              <w:left w:val="single" w:sz="8" w:color="D0EBF2"/>
            </w:tcBorders>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420" w:type="dxa"/>
            <w:vAlign w:val="bottom"/>
            <w:tcBorders>
              <w:bottom w:val="single" w:sz="8" w:color="231F20"/>
            </w:tcBorders>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$5,682.5</w:t>
            </w:r>
          </w:p>
        </w:tc>
        <w:tc>
          <w:tcPr>
            <w:tcW w:w="8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460" w:type="dxa"/>
            <w:vAlign w:val="bottom"/>
            <w:tcBorders>
              <w:bottom w:val="single" w:sz="8" w:color="231F20"/>
            </w:tcBorders>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24%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12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940" w:type="dxa"/>
            <w:vAlign w:val="bottom"/>
            <w:tcBorders>
              <w:bottom w:val="single" w:sz="8" w:color="FDFDFC"/>
            </w:tcBorders>
            <w:vMerge w:val="restart"/>
            <w:shd w:val="clear" w:color="auto" w:fill="FDFDFC"/>
          </w:tcPr>
          <w:p>
            <w:pPr>
              <w:spacing w:after="0"/>
              <w:rPr>
                <w:sz w:val="20"/>
                <w:szCs w:val="20"/>
                <w:color w:val="auto"/>
              </w:rPr>
            </w:pPr>
            <w:r>
              <w:rPr>
                <w:rFonts w:ascii="Arial" w:cs="Arial" w:eastAsia="Arial" w:hAnsi="Arial"/>
                <w:sz w:val="15"/>
                <w:szCs w:val="15"/>
                <w:b w:val="1"/>
                <w:bCs w:val="1"/>
                <w:color w:val="231F20"/>
              </w:rPr>
              <w:t>(dollars in millions)</w:t>
            </w:r>
          </w:p>
        </w:tc>
        <w:tc>
          <w:tcPr>
            <w:tcW w:w="20" w:type="dxa"/>
            <w:vAlign w:val="bottom"/>
            <w:tcBorders>
              <w:bottom w:val="single" w:sz="8" w:color="FDFDFC"/>
            </w:tcBorders>
            <w:shd w:val="clear" w:color="auto" w:fill="FDFDFC"/>
          </w:tcPr>
          <w:p>
            <w:pPr>
              <w:spacing w:after="0"/>
              <w:rPr>
                <w:sz w:val="16"/>
                <w:szCs w:val="16"/>
                <w:color w:val="auto"/>
              </w:rPr>
            </w:pPr>
          </w:p>
        </w:tc>
        <w:tc>
          <w:tcPr>
            <w:tcW w:w="80" w:type="dxa"/>
            <w:vAlign w:val="bottom"/>
            <w:tcBorders>
              <w:bottom w:val="single" w:sz="8" w:color="FDFDFC"/>
            </w:tcBorders>
            <w:shd w:val="clear" w:color="auto" w:fill="FDFDFC"/>
          </w:tcPr>
          <w:p>
            <w:pPr>
              <w:spacing w:after="0"/>
              <w:rPr>
                <w:sz w:val="16"/>
                <w:szCs w:val="16"/>
                <w:color w:val="auto"/>
              </w:rPr>
            </w:pPr>
          </w:p>
        </w:tc>
        <w:tc>
          <w:tcPr>
            <w:tcW w:w="40" w:type="dxa"/>
            <w:vAlign w:val="bottom"/>
            <w:tcBorders>
              <w:bottom w:val="single" w:sz="8" w:color="FDFDFC"/>
            </w:tcBorders>
            <w:shd w:val="clear" w:color="auto" w:fill="FDFDFC"/>
          </w:tcPr>
          <w:p>
            <w:pPr>
              <w:spacing w:after="0"/>
              <w:rPr>
                <w:sz w:val="16"/>
                <w:szCs w:val="16"/>
                <w:color w:val="auto"/>
              </w:rPr>
            </w:pPr>
          </w:p>
        </w:tc>
        <w:tc>
          <w:tcPr>
            <w:tcW w:w="2940" w:type="dxa"/>
            <w:vAlign w:val="bottom"/>
            <w:tcBorders>
              <w:bottom w:val="single" w:sz="8" w:color="231F20"/>
            </w:tcBorders>
            <w:gridSpan w:val="5"/>
            <w:shd w:val="clear" w:color="auto" w:fill="FDFDFC"/>
          </w:tcPr>
          <w:p>
            <w:pPr>
              <w:jc w:val="right"/>
              <w:ind w:right="446"/>
              <w:spacing w:after="0"/>
              <w:rPr>
                <w:sz w:val="20"/>
                <w:szCs w:val="20"/>
                <w:color w:val="auto"/>
              </w:rPr>
            </w:pPr>
            <w:r>
              <w:rPr>
                <w:rFonts w:ascii="Arial" w:cs="Arial" w:eastAsia="Arial" w:hAnsi="Arial"/>
                <w:sz w:val="15"/>
                <w:szCs w:val="15"/>
                <w:b w:val="1"/>
                <w:bCs w:val="1"/>
                <w:color w:val="231F20"/>
              </w:rPr>
              <w:t>Year Ended December 31,</w:t>
            </w:r>
          </w:p>
        </w:tc>
        <w:tc>
          <w:tcPr>
            <w:tcW w:w="20" w:type="dxa"/>
            <w:vAlign w:val="bottom"/>
            <w:tcBorders>
              <w:bottom w:val="single" w:sz="8" w:color="231F20"/>
            </w:tcBorders>
            <w:vMerge w:val="continue"/>
          </w:tcPr>
          <w:p>
            <w:pPr>
              <w:spacing w:after="0"/>
              <w:rPr>
                <w:sz w:val="16"/>
                <w:szCs w:val="16"/>
                <w:color w:val="auto"/>
              </w:rPr>
            </w:pPr>
          </w:p>
        </w:tc>
        <w:tc>
          <w:tcPr>
            <w:tcW w:w="100" w:type="dxa"/>
            <w:vAlign w:val="bottom"/>
            <w:tcBorders>
              <w:left w:val="single" w:sz="8" w:color="FDFDFC"/>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140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1400" w:type="dxa"/>
            <w:vAlign w:val="bottom"/>
            <w:tcBorders>
              <w:bottom w:val="single" w:sz="8" w:color="231F20"/>
            </w:tcBorders>
            <w:shd w:val="clear" w:color="auto" w:fill="FDFD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940" w:type="dxa"/>
            <w:vAlign w:val="bottom"/>
            <w:vMerge w:val="continue"/>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1400" w:type="dxa"/>
            <w:vAlign w:val="bottom"/>
            <w:shd w:val="clear" w:color="auto" w:fill="FDFDFC"/>
          </w:tcPr>
          <w:p>
            <w:pPr>
              <w:jc w:val="right"/>
              <w:ind w:right="453"/>
              <w:spacing w:after="0"/>
              <w:rPr>
                <w:sz w:val="20"/>
                <w:szCs w:val="20"/>
                <w:color w:val="auto"/>
              </w:rPr>
            </w:pPr>
            <w:r>
              <w:rPr>
                <w:rFonts w:ascii="Arial" w:cs="Arial" w:eastAsia="Arial" w:hAnsi="Arial"/>
                <w:sz w:val="15"/>
                <w:szCs w:val="15"/>
                <w:b w:val="1"/>
                <w:bCs w:val="1"/>
                <w:color w:val="231F20"/>
              </w:rPr>
              <w:t>2023</w:t>
            </w:r>
          </w:p>
        </w:tc>
        <w:tc>
          <w:tcPr>
            <w:tcW w:w="20" w:type="dxa"/>
            <w:vAlign w:val="bottom"/>
            <w:shd w:val="clear" w:color="auto" w:fill="FDFDFC"/>
          </w:tcPr>
          <w:p>
            <w:pPr>
              <w:spacing w:after="0"/>
              <w:rPr>
                <w:sz w:val="15"/>
                <w:szCs w:val="15"/>
                <w:color w:val="auto"/>
              </w:rPr>
            </w:pPr>
          </w:p>
        </w:tc>
        <w:tc>
          <w:tcPr>
            <w:tcW w:w="1520" w:type="dxa"/>
            <w:vAlign w:val="bottom"/>
            <w:gridSpan w:val="3"/>
            <w:shd w:val="clear" w:color="auto" w:fill="FDFDFC"/>
          </w:tcPr>
          <w:p>
            <w:pPr>
              <w:jc w:val="right"/>
              <w:ind w:right="446"/>
              <w:spacing w:after="0"/>
              <w:rPr>
                <w:sz w:val="20"/>
                <w:szCs w:val="20"/>
                <w:color w:val="auto"/>
              </w:rPr>
            </w:pPr>
            <w:r>
              <w:rPr>
                <w:rFonts w:ascii="Arial" w:cs="Arial" w:eastAsia="Arial" w:hAnsi="Arial"/>
                <w:sz w:val="15"/>
                <w:szCs w:val="15"/>
                <w:b w:val="1"/>
                <w:bCs w:val="1"/>
                <w:color w:val="231F20"/>
              </w:rPr>
              <w:t>2022</w:t>
            </w:r>
          </w:p>
        </w:tc>
        <w:tc>
          <w:tcPr>
            <w:tcW w:w="20" w:type="dxa"/>
            <w:vAlign w:val="bottom"/>
            <w:shd w:val="clear" w:color="auto" w:fill="FDFDFC"/>
          </w:tcPr>
          <w:p>
            <w:pPr>
              <w:spacing w:after="0"/>
              <w:rPr>
                <w:sz w:val="15"/>
                <w:szCs w:val="15"/>
                <w:color w:val="auto"/>
              </w:rPr>
            </w:pPr>
          </w:p>
        </w:tc>
        <w:tc>
          <w:tcPr>
            <w:tcW w:w="100" w:type="dxa"/>
            <w:vAlign w:val="bottom"/>
            <w:tcBorders>
              <w:left w:val="single" w:sz="8" w:color="FDFDFC"/>
            </w:tcBorders>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420" w:type="dxa"/>
            <w:vAlign w:val="bottom"/>
            <w:gridSpan w:val="2"/>
            <w:shd w:val="clear" w:color="auto" w:fill="FDFDFC"/>
          </w:tcPr>
          <w:p>
            <w:pPr>
              <w:jc w:val="right"/>
              <w:ind w:right="400"/>
              <w:spacing w:after="0"/>
              <w:rPr>
                <w:sz w:val="20"/>
                <w:szCs w:val="20"/>
                <w:color w:val="auto"/>
              </w:rPr>
            </w:pPr>
            <w:r>
              <w:rPr>
                <w:rFonts w:ascii="Arial" w:cs="Arial" w:eastAsia="Arial" w:hAnsi="Arial"/>
                <w:sz w:val="15"/>
                <w:szCs w:val="15"/>
                <w:b w:val="1"/>
                <w:bCs w:val="1"/>
                <w:color w:val="231F20"/>
              </w:rPr>
              <w:t>$ Change</w:t>
            </w: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400" w:type="dxa"/>
            <w:vAlign w:val="bottom"/>
            <w:shd w:val="clear" w:color="auto" w:fill="FDFDFC"/>
          </w:tcPr>
          <w:p>
            <w:pPr>
              <w:jc w:val="right"/>
              <w:ind w:right="250"/>
              <w:spacing w:after="0"/>
              <w:rPr>
                <w:sz w:val="20"/>
                <w:szCs w:val="20"/>
                <w:color w:val="auto"/>
              </w:rPr>
            </w:pPr>
            <w:r>
              <w:rPr>
                <w:rFonts w:ascii="Arial" w:cs="Arial" w:eastAsia="Arial" w:hAnsi="Arial"/>
                <w:sz w:val="15"/>
                <w:szCs w:val="15"/>
                <w:b w:val="1"/>
                <w:bCs w:val="1"/>
                <w:color w:val="231F20"/>
              </w:rPr>
              <w:t>% Change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940" w:type="dxa"/>
            <w:vAlign w:val="bottom"/>
            <w:tcBorders>
              <w:top w:val="single" w:sz="8" w:color="231F20"/>
            </w:tcBorders>
            <w:shd w:val="clear" w:color="auto" w:fill="D0EBF2"/>
          </w:tcPr>
          <w:p>
            <w:pPr>
              <w:spacing w:after="0"/>
              <w:rPr>
                <w:sz w:val="20"/>
                <w:szCs w:val="20"/>
                <w:color w:val="auto"/>
              </w:rPr>
            </w:pPr>
            <w:r>
              <w:rPr>
                <w:rFonts w:ascii="Arial" w:cs="Arial" w:eastAsia="Arial" w:hAnsi="Arial"/>
                <w:sz w:val="19"/>
                <w:szCs w:val="19"/>
                <w:color w:val="231F20"/>
              </w:rPr>
              <w:t>Transaction payment volume</w:t>
            </w:r>
          </w:p>
        </w:tc>
        <w:tc>
          <w:tcPr>
            <w:tcW w:w="20" w:type="dxa"/>
            <w:vAlign w:val="bottom"/>
            <w:tcBorders>
              <w:top w:val="single" w:sz="8" w:color="231F20"/>
            </w:tcBorders>
            <w:shd w:val="clear" w:color="auto" w:fill="D0EBF2"/>
          </w:tcPr>
          <w:p>
            <w:pPr>
              <w:spacing w:after="0"/>
              <w:rPr>
                <w:sz w:val="19"/>
                <w:szCs w:val="19"/>
                <w:color w:val="auto"/>
              </w:rPr>
            </w:pPr>
          </w:p>
        </w:tc>
        <w:tc>
          <w:tcPr>
            <w:tcW w:w="120" w:type="dxa"/>
            <w:vAlign w:val="bottom"/>
            <w:tcBorders>
              <w:top w:val="single" w:sz="8" w:color="D0EBF2"/>
            </w:tcBorders>
            <w:gridSpan w:val="2"/>
            <w:shd w:val="clear" w:color="auto" w:fill="D0EBF2"/>
          </w:tcPr>
          <w:p>
            <w:pPr>
              <w:spacing w:after="0"/>
              <w:rPr>
                <w:sz w:val="19"/>
                <w:szCs w:val="19"/>
                <w:color w:val="auto"/>
              </w:rPr>
            </w:pPr>
          </w:p>
        </w:tc>
        <w:tc>
          <w:tcPr>
            <w:tcW w:w="140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$17,670.3</w:t>
            </w:r>
          </w:p>
        </w:tc>
        <w:tc>
          <w:tcPr>
            <w:tcW w:w="20" w:type="dxa"/>
            <w:vAlign w:val="bottom"/>
            <w:tcBorders>
              <w:top w:val="single" w:sz="8" w:color="231F20"/>
            </w:tcBorders>
            <w:shd w:val="clear" w:color="auto" w:fill="D0EBF2"/>
          </w:tcPr>
          <w:p>
            <w:pPr>
              <w:spacing w:after="0"/>
              <w:rPr>
                <w:sz w:val="19"/>
                <w:szCs w:val="19"/>
                <w:color w:val="auto"/>
              </w:rPr>
            </w:pPr>
          </w:p>
        </w:tc>
        <w:tc>
          <w:tcPr>
            <w:tcW w:w="120" w:type="dxa"/>
            <w:vAlign w:val="bottom"/>
            <w:tcBorders>
              <w:top w:val="single" w:sz="8" w:color="D0EBF2"/>
            </w:tcBorders>
            <w:gridSpan w:val="2"/>
            <w:shd w:val="clear" w:color="auto" w:fill="D0EBF2"/>
          </w:tcPr>
          <w:p>
            <w:pPr>
              <w:spacing w:after="0"/>
              <w:rPr>
                <w:sz w:val="19"/>
                <w:szCs w:val="19"/>
                <w:color w:val="auto"/>
              </w:rPr>
            </w:pPr>
          </w:p>
        </w:tc>
        <w:tc>
          <w:tcPr>
            <w:tcW w:w="140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$12,242.6</w:t>
            </w:r>
          </w:p>
        </w:tc>
        <w:tc>
          <w:tcPr>
            <w:tcW w:w="20" w:type="dxa"/>
            <w:vAlign w:val="bottom"/>
            <w:tcBorders>
              <w:top w:val="single" w:sz="8" w:color="FDFDFC"/>
            </w:tcBorders>
            <w:shd w:val="clear" w:color="auto" w:fill="D0EBF2"/>
          </w:tcPr>
          <w:p>
            <w:pPr>
              <w:spacing w:after="0"/>
              <w:rPr>
                <w:sz w:val="19"/>
                <w:szCs w:val="19"/>
                <w:color w:val="auto"/>
              </w:rPr>
            </w:pPr>
          </w:p>
        </w:tc>
        <w:tc>
          <w:tcPr>
            <w:tcW w:w="100" w:type="dxa"/>
            <w:vAlign w:val="bottom"/>
            <w:tcBorders>
              <w:top w:val="single" w:sz="8" w:color="D0EBF2"/>
              <w:left w:val="single" w:sz="8" w:color="D0EBF2"/>
            </w:tcBorders>
            <w:shd w:val="clear" w:color="auto" w:fill="D0EBF2"/>
          </w:tcPr>
          <w:p>
            <w:pPr>
              <w:spacing w:after="0"/>
              <w:rPr>
                <w:sz w:val="19"/>
                <w:szCs w:val="19"/>
                <w:color w:val="auto"/>
              </w:rPr>
            </w:pPr>
          </w:p>
        </w:tc>
        <w:tc>
          <w:tcPr>
            <w:tcW w:w="1420" w:type="dxa"/>
            <w:vAlign w:val="bottom"/>
            <w:tcBorders>
              <w:top w:val="single" w:sz="8" w:color="231F20"/>
            </w:tcBorders>
            <w:gridSpan w:val="2"/>
            <w:shd w:val="clear" w:color="auto" w:fill="D0EBF2"/>
          </w:tcPr>
          <w:p>
            <w:pPr>
              <w:jc w:val="right"/>
              <w:spacing w:after="0"/>
              <w:rPr>
                <w:sz w:val="20"/>
                <w:szCs w:val="20"/>
                <w:color w:val="auto"/>
              </w:rPr>
            </w:pPr>
            <w:r>
              <w:rPr>
                <w:rFonts w:ascii="Arial" w:cs="Arial" w:eastAsia="Arial" w:hAnsi="Arial"/>
                <w:sz w:val="19"/>
                <w:szCs w:val="19"/>
                <w:color w:val="231F20"/>
              </w:rPr>
              <w:t>$5,427.7</w:t>
            </w:r>
          </w:p>
        </w:tc>
        <w:tc>
          <w:tcPr>
            <w:tcW w:w="20" w:type="dxa"/>
            <w:vAlign w:val="bottom"/>
            <w:tcBorders>
              <w:top w:val="single" w:sz="8" w:color="D0EBF2"/>
            </w:tcBorders>
            <w:shd w:val="clear" w:color="auto" w:fill="D0EBF2"/>
          </w:tcPr>
          <w:p>
            <w:pPr>
              <w:spacing w:after="0"/>
              <w:rPr>
                <w:sz w:val="19"/>
                <w:szCs w:val="19"/>
                <w:color w:val="auto"/>
              </w:rPr>
            </w:pPr>
          </w:p>
        </w:tc>
        <w:tc>
          <w:tcPr>
            <w:tcW w:w="80" w:type="dxa"/>
            <w:vAlign w:val="bottom"/>
            <w:tcBorders>
              <w:top w:val="single" w:sz="8" w:color="D0EBF2"/>
            </w:tcBorders>
            <w:shd w:val="clear" w:color="auto" w:fill="D0EBF2"/>
          </w:tcPr>
          <w:p>
            <w:pPr>
              <w:spacing w:after="0"/>
              <w:rPr>
                <w:sz w:val="19"/>
                <w:szCs w:val="19"/>
                <w:color w:val="auto"/>
              </w:rPr>
            </w:pPr>
          </w:p>
        </w:tc>
        <w:tc>
          <w:tcPr>
            <w:tcW w:w="1420" w:type="dxa"/>
            <w:vAlign w:val="bottom"/>
            <w:tcBorders>
              <w:top w:val="single" w:sz="8" w:color="231F20"/>
            </w:tcBorders>
            <w:gridSpan w:val="2"/>
            <w:shd w:val="clear" w:color="auto" w:fill="D0EBF2"/>
          </w:tcPr>
          <w:p>
            <w:pPr>
              <w:jc w:val="right"/>
              <w:spacing w:after="0"/>
              <w:rPr>
                <w:sz w:val="20"/>
                <w:szCs w:val="20"/>
                <w:color w:val="auto"/>
              </w:rPr>
            </w:pPr>
            <w:r>
              <w:rPr>
                <w:rFonts w:ascii="Arial" w:cs="Arial" w:eastAsia="Arial" w:hAnsi="Arial"/>
                <w:sz w:val="19"/>
                <w:szCs w:val="19"/>
                <w:color w:val="231F20"/>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94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9"/>
                <w:szCs w:val="19"/>
                <w:color w:val="231F20"/>
              </w:rPr>
              <w:t>Platform and other revenues payment volume</w:t>
            </w:r>
          </w:p>
        </w:tc>
        <w:tc>
          <w:tcPr>
            <w:tcW w:w="20" w:type="dxa"/>
            <w:vAlign w:val="bottom"/>
            <w:tcBorders>
              <w:bottom w:val="single" w:sz="8" w:color="D0EBF2"/>
            </w:tcBorders>
            <w:shd w:val="clear" w:color="auto" w:fill="FDFDFC"/>
          </w:tcPr>
          <w:p>
            <w:pPr>
              <w:spacing w:after="0"/>
              <w:rPr>
                <w:sz w:val="20"/>
                <w:szCs w:val="20"/>
                <w:color w:val="auto"/>
              </w:rPr>
            </w:pPr>
          </w:p>
        </w:tc>
        <w:tc>
          <w:tcPr>
            <w:tcW w:w="80" w:type="dxa"/>
            <w:vAlign w:val="bottom"/>
            <w:tcBorders>
              <w:bottom w:val="single" w:sz="8" w:color="D0EBF2"/>
            </w:tcBorders>
            <w:shd w:val="clear" w:color="auto" w:fill="FDFDFC"/>
          </w:tcPr>
          <w:p>
            <w:pPr>
              <w:spacing w:after="0"/>
              <w:rPr>
                <w:sz w:val="20"/>
                <w:szCs w:val="20"/>
                <w:color w:val="auto"/>
              </w:rPr>
            </w:pPr>
          </w:p>
        </w:tc>
        <w:tc>
          <w:tcPr>
            <w:tcW w:w="40" w:type="dxa"/>
            <w:vAlign w:val="bottom"/>
            <w:tcBorders>
              <w:bottom w:val="single" w:sz="8" w:color="D0EBF2"/>
            </w:tcBorders>
            <w:shd w:val="clear" w:color="auto" w:fill="FDFDFC"/>
          </w:tcPr>
          <w:p>
            <w:pPr>
              <w:spacing w:after="0"/>
              <w:rPr>
                <w:sz w:val="20"/>
                <w:szCs w:val="20"/>
                <w:color w:val="auto"/>
              </w:rPr>
            </w:pPr>
          </w:p>
        </w:tc>
        <w:tc>
          <w:tcPr>
            <w:tcW w:w="14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6,362.5</w:t>
            </w:r>
          </w:p>
        </w:tc>
        <w:tc>
          <w:tcPr>
            <w:tcW w:w="20" w:type="dxa"/>
            <w:vAlign w:val="bottom"/>
            <w:tcBorders>
              <w:bottom w:val="single" w:sz="8" w:color="231F20"/>
            </w:tcBorders>
            <w:shd w:val="clear" w:color="auto" w:fill="FDFDFC"/>
          </w:tcPr>
          <w:p>
            <w:pPr>
              <w:spacing w:after="0"/>
              <w:rPr>
                <w:sz w:val="20"/>
                <w:szCs w:val="20"/>
                <w:color w:val="auto"/>
              </w:rPr>
            </w:pPr>
          </w:p>
        </w:tc>
        <w:tc>
          <w:tcPr>
            <w:tcW w:w="10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D0EBF2"/>
            </w:tcBorders>
            <w:shd w:val="clear" w:color="auto" w:fill="FDFDFC"/>
          </w:tcPr>
          <w:p>
            <w:pPr>
              <w:spacing w:after="0"/>
              <w:rPr>
                <w:sz w:val="20"/>
                <w:szCs w:val="20"/>
                <w:color w:val="auto"/>
              </w:rPr>
            </w:pPr>
          </w:p>
        </w:tc>
        <w:tc>
          <w:tcPr>
            <w:tcW w:w="14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5,835.9</w:t>
            </w:r>
          </w:p>
        </w:tc>
        <w:tc>
          <w:tcPr>
            <w:tcW w:w="20" w:type="dxa"/>
            <w:vAlign w:val="bottom"/>
            <w:tcBorders>
              <w:bottom w:val="single" w:sz="8" w:color="FDFDFC"/>
            </w:tcBorders>
            <w:shd w:val="clear" w:color="auto" w:fill="FDFDFC"/>
          </w:tcPr>
          <w:p>
            <w:pPr>
              <w:spacing w:after="0"/>
              <w:rPr>
                <w:sz w:val="20"/>
                <w:szCs w:val="20"/>
                <w:color w:val="auto"/>
              </w:rPr>
            </w:pPr>
          </w:p>
        </w:tc>
        <w:tc>
          <w:tcPr>
            <w:tcW w:w="100" w:type="dxa"/>
            <w:vAlign w:val="bottom"/>
            <w:tcBorders>
              <w:left w:val="single" w:sz="8" w:color="FDFDFC"/>
              <w:bottom w:val="single" w:sz="8" w:color="D0EBF2"/>
            </w:tcBorders>
            <w:shd w:val="clear" w:color="auto" w:fill="FDFDFC"/>
          </w:tcPr>
          <w:p>
            <w:pPr>
              <w:spacing w:after="0"/>
              <w:rPr>
                <w:sz w:val="20"/>
                <w:szCs w:val="20"/>
                <w:color w:val="auto"/>
              </w:rPr>
            </w:pPr>
          </w:p>
        </w:tc>
        <w:tc>
          <w:tcPr>
            <w:tcW w:w="1420" w:type="dxa"/>
            <w:vAlign w:val="bottom"/>
            <w:tcBorders>
              <w:bottom w:val="single" w:sz="8" w:color="231F20"/>
            </w:tcBorders>
            <w:gridSpan w:val="2"/>
            <w:shd w:val="clear" w:color="auto" w:fill="FDFDFC"/>
          </w:tcPr>
          <w:p>
            <w:pPr>
              <w:jc w:val="right"/>
              <w:spacing w:after="0"/>
              <w:rPr>
                <w:sz w:val="20"/>
                <w:szCs w:val="20"/>
                <w:color w:val="auto"/>
              </w:rPr>
            </w:pPr>
            <w:r>
              <w:rPr>
                <w:rFonts w:ascii="Arial" w:cs="Arial" w:eastAsia="Arial" w:hAnsi="Arial"/>
                <w:sz w:val="19"/>
                <w:szCs w:val="19"/>
                <w:color w:val="231F20"/>
              </w:rPr>
              <w:t>526.6</w:t>
            </w:r>
          </w:p>
        </w:tc>
        <w:tc>
          <w:tcPr>
            <w:tcW w:w="20" w:type="dxa"/>
            <w:vAlign w:val="bottom"/>
            <w:tcBorders>
              <w:bottom w:val="single" w:sz="8" w:color="D0EBF2"/>
            </w:tcBorders>
            <w:shd w:val="clear" w:color="auto" w:fill="FDFDFC"/>
          </w:tcPr>
          <w:p>
            <w:pPr>
              <w:spacing w:after="0"/>
              <w:rPr>
                <w:sz w:val="20"/>
                <w:szCs w:val="20"/>
                <w:color w:val="auto"/>
              </w:rPr>
            </w:pPr>
          </w:p>
        </w:tc>
        <w:tc>
          <w:tcPr>
            <w:tcW w:w="80" w:type="dxa"/>
            <w:vAlign w:val="bottom"/>
            <w:tcBorders>
              <w:bottom w:val="single" w:sz="8" w:color="D0EBF2"/>
            </w:tcBorders>
            <w:shd w:val="clear" w:color="auto" w:fill="FDFDFC"/>
          </w:tcPr>
          <w:p>
            <w:pPr>
              <w:spacing w:after="0"/>
              <w:rPr>
                <w:sz w:val="20"/>
                <w:szCs w:val="20"/>
                <w:color w:val="auto"/>
              </w:rPr>
            </w:pPr>
          </w:p>
        </w:tc>
        <w:tc>
          <w:tcPr>
            <w:tcW w:w="1420" w:type="dxa"/>
            <w:vAlign w:val="bottom"/>
            <w:tcBorders>
              <w:bottom w:val="single" w:sz="8" w:color="231F20"/>
            </w:tcBorders>
            <w:gridSpan w:val="2"/>
            <w:shd w:val="clear" w:color="auto" w:fill="FDFDFC"/>
          </w:tcPr>
          <w:p>
            <w:pPr>
              <w:jc w:val="right"/>
              <w:spacing w:after="0"/>
              <w:rPr>
                <w:sz w:val="20"/>
                <w:szCs w:val="20"/>
                <w:color w:val="auto"/>
              </w:rPr>
            </w:pPr>
            <w:r>
              <w:rPr>
                <w:rFonts w:ascii="Arial" w:cs="Arial" w:eastAsia="Arial" w:hAnsi="Arial"/>
                <w:sz w:val="19"/>
                <w:szCs w:val="19"/>
                <w:color w:val="231F20"/>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940" w:type="dxa"/>
            <w:vAlign w:val="bottom"/>
            <w:shd w:val="clear" w:color="auto" w:fill="D0EBF2"/>
          </w:tcPr>
          <w:p>
            <w:pPr>
              <w:ind w:left="120"/>
              <w:spacing w:after="0"/>
              <w:rPr>
                <w:sz w:val="20"/>
                <w:szCs w:val="20"/>
                <w:color w:val="auto"/>
              </w:rPr>
            </w:pPr>
            <w:r>
              <w:rPr>
                <w:rFonts w:ascii="Arial" w:cs="Arial" w:eastAsia="Arial" w:hAnsi="Arial"/>
                <w:sz w:val="19"/>
                <w:szCs w:val="19"/>
                <w:color w:val="231F20"/>
              </w:rPr>
              <w:t>Total payment volume</w:t>
            </w:r>
          </w:p>
        </w:tc>
        <w:tc>
          <w:tcPr>
            <w:tcW w:w="20" w:type="dxa"/>
            <w:vAlign w:val="bottom"/>
            <w:shd w:val="clear" w:color="auto" w:fill="D0EBF2"/>
          </w:tcPr>
          <w:p>
            <w:pPr>
              <w:spacing w:after="0"/>
              <w:rPr>
                <w:sz w:val="19"/>
                <w:szCs w:val="19"/>
                <w:color w:val="auto"/>
              </w:rPr>
            </w:pPr>
          </w:p>
        </w:tc>
        <w:tc>
          <w:tcPr>
            <w:tcW w:w="80" w:type="dxa"/>
            <w:vAlign w:val="bottom"/>
            <w:shd w:val="clear" w:color="auto" w:fill="D0EBF2"/>
          </w:tcPr>
          <w:p>
            <w:pPr>
              <w:spacing w:after="0"/>
              <w:rPr>
                <w:sz w:val="19"/>
                <w:szCs w:val="19"/>
                <w:color w:val="auto"/>
              </w:rPr>
            </w:pPr>
          </w:p>
        </w:tc>
        <w:tc>
          <w:tcPr>
            <w:tcW w:w="40" w:type="dxa"/>
            <w:vAlign w:val="bottom"/>
            <w:shd w:val="clear" w:color="auto" w:fill="D0EBF2"/>
          </w:tcPr>
          <w:p>
            <w:pPr>
              <w:spacing w:after="0"/>
              <w:rPr>
                <w:sz w:val="19"/>
                <w:szCs w:val="19"/>
                <w:color w:val="auto"/>
              </w:rPr>
            </w:pPr>
          </w:p>
        </w:tc>
        <w:tc>
          <w:tcPr>
            <w:tcW w:w="140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$24,032.8</w:t>
            </w:r>
          </w:p>
        </w:tc>
        <w:tc>
          <w:tcPr>
            <w:tcW w:w="20" w:type="dxa"/>
            <w:vAlign w:val="bottom"/>
            <w:tcBorders>
              <w:bottom w:val="single" w:sz="8" w:color="231F20"/>
            </w:tcBorders>
            <w:shd w:val="clear" w:color="auto" w:fill="D0EBF2"/>
          </w:tcPr>
          <w:p>
            <w:pPr>
              <w:spacing w:after="0"/>
              <w:rPr>
                <w:sz w:val="19"/>
                <w:szCs w:val="19"/>
                <w:color w:val="auto"/>
              </w:rPr>
            </w:pPr>
          </w:p>
        </w:tc>
        <w:tc>
          <w:tcPr>
            <w:tcW w:w="120" w:type="dxa"/>
            <w:vAlign w:val="bottom"/>
            <w:gridSpan w:val="2"/>
            <w:shd w:val="clear" w:color="auto" w:fill="D0EBF2"/>
          </w:tcPr>
          <w:p>
            <w:pPr>
              <w:spacing w:after="0"/>
              <w:rPr>
                <w:sz w:val="19"/>
                <w:szCs w:val="19"/>
                <w:color w:val="auto"/>
              </w:rPr>
            </w:pPr>
          </w:p>
        </w:tc>
        <w:tc>
          <w:tcPr>
            <w:tcW w:w="140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$18,078.5</w:t>
            </w:r>
          </w:p>
        </w:tc>
        <w:tc>
          <w:tcPr>
            <w:tcW w:w="20" w:type="dxa"/>
            <w:vAlign w:val="bottom"/>
            <w:shd w:val="clear" w:color="auto" w:fill="D0EBF2"/>
          </w:tcPr>
          <w:p>
            <w:pPr>
              <w:spacing w:after="0"/>
              <w:rPr>
                <w:sz w:val="19"/>
                <w:szCs w:val="19"/>
                <w:color w:val="auto"/>
              </w:rPr>
            </w:pPr>
          </w:p>
        </w:tc>
        <w:tc>
          <w:tcPr>
            <w:tcW w:w="100" w:type="dxa"/>
            <w:vAlign w:val="bottom"/>
            <w:tcBorders>
              <w:left w:val="single" w:sz="8" w:color="D0EBF2"/>
            </w:tcBorders>
            <w:shd w:val="clear" w:color="auto" w:fill="D0EBF2"/>
          </w:tcPr>
          <w:p>
            <w:pPr>
              <w:spacing w:after="0"/>
              <w:rPr>
                <w:sz w:val="19"/>
                <w:szCs w:val="19"/>
                <w:color w:val="auto"/>
              </w:rPr>
            </w:pPr>
          </w:p>
        </w:tc>
        <w:tc>
          <w:tcPr>
            <w:tcW w:w="1420" w:type="dxa"/>
            <w:vAlign w:val="bottom"/>
            <w:tcBorders>
              <w:bottom w:val="single" w:sz="8" w:color="231F20"/>
            </w:tcBorders>
            <w:gridSpan w:val="2"/>
            <w:shd w:val="clear" w:color="auto" w:fill="D0EBF2"/>
          </w:tcPr>
          <w:p>
            <w:pPr>
              <w:jc w:val="right"/>
              <w:spacing w:after="0"/>
              <w:rPr>
                <w:sz w:val="20"/>
                <w:szCs w:val="20"/>
                <w:color w:val="auto"/>
              </w:rPr>
            </w:pPr>
            <w:r>
              <w:rPr>
                <w:rFonts w:ascii="Arial" w:cs="Arial" w:eastAsia="Arial" w:hAnsi="Arial"/>
                <w:sz w:val="19"/>
                <w:szCs w:val="19"/>
                <w:color w:val="231F20"/>
              </w:rPr>
              <w:t>$5,954.3</w:t>
            </w:r>
          </w:p>
        </w:tc>
        <w:tc>
          <w:tcPr>
            <w:tcW w:w="20" w:type="dxa"/>
            <w:vAlign w:val="bottom"/>
            <w:shd w:val="clear" w:color="auto" w:fill="D0EBF2"/>
          </w:tcPr>
          <w:p>
            <w:pPr>
              <w:spacing w:after="0"/>
              <w:rPr>
                <w:sz w:val="19"/>
                <w:szCs w:val="19"/>
                <w:color w:val="auto"/>
              </w:rPr>
            </w:pPr>
          </w:p>
        </w:tc>
        <w:tc>
          <w:tcPr>
            <w:tcW w:w="80" w:type="dxa"/>
            <w:vAlign w:val="bottom"/>
            <w:shd w:val="clear" w:color="auto" w:fill="D0EBF2"/>
          </w:tcPr>
          <w:p>
            <w:pPr>
              <w:spacing w:after="0"/>
              <w:rPr>
                <w:sz w:val="19"/>
                <w:szCs w:val="19"/>
                <w:color w:val="auto"/>
              </w:rPr>
            </w:pPr>
          </w:p>
        </w:tc>
        <w:tc>
          <w:tcPr>
            <w:tcW w:w="1420" w:type="dxa"/>
            <w:vAlign w:val="bottom"/>
            <w:tcBorders>
              <w:bottom w:val="single" w:sz="8" w:color="231F20"/>
            </w:tcBorders>
            <w:gridSpan w:val="2"/>
            <w:shd w:val="clear" w:color="auto" w:fill="D0EBF2"/>
          </w:tcPr>
          <w:p>
            <w:pPr>
              <w:jc w:val="right"/>
              <w:spacing w:after="0"/>
              <w:rPr>
                <w:sz w:val="20"/>
                <w:szCs w:val="20"/>
                <w:color w:val="auto"/>
              </w:rPr>
            </w:pPr>
            <w:r>
              <w:rPr>
                <w:rFonts w:ascii="Arial" w:cs="Arial" w:eastAsia="Arial" w:hAnsi="Arial"/>
                <w:sz w:val="19"/>
                <w:szCs w:val="19"/>
                <w:color w:val="231F20"/>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Key Factors Affecting Our Performance</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Increased Utilization by Our Clients and Their Customers</w:t>
      </w:r>
    </w:p>
    <w:p>
      <w:pPr>
        <w:spacing w:after="0" w:line="184" w:lineRule="exact"/>
        <w:rPr>
          <w:sz w:val="20"/>
          <w:szCs w:val="20"/>
          <w:color w:val="auto"/>
        </w:rPr>
      </w:pPr>
    </w:p>
    <w:p>
      <w:pPr>
        <w:ind w:right="60" w:firstLine="463"/>
        <w:spacing w:after="0" w:line="246" w:lineRule="auto"/>
        <w:rPr>
          <w:sz w:val="20"/>
          <w:szCs w:val="20"/>
          <w:color w:val="auto"/>
        </w:rPr>
      </w:pPr>
      <w:r>
        <w:rPr>
          <w:rFonts w:ascii="Arial" w:cs="Arial" w:eastAsia="Arial" w:hAnsi="Arial"/>
          <w:sz w:val="19"/>
          <w:szCs w:val="19"/>
          <w:color w:val="231F20"/>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48" w:lineRule="exact"/>
        <w:rPr>
          <w:sz w:val="20"/>
          <w:szCs w:val="20"/>
          <w:color w:val="auto"/>
        </w:rPr>
      </w:pPr>
    </w:p>
    <w:p>
      <w:pPr>
        <w:jc w:val="both"/>
        <w:ind w:right="20" w:firstLine="463"/>
        <w:spacing w:after="0" w:line="251" w:lineRule="auto"/>
        <w:rPr>
          <w:sz w:val="20"/>
          <w:szCs w:val="20"/>
          <w:color w:val="auto"/>
        </w:rPr>
      </w:pPr>
      <w:r>
        <w:rPr>
          <w:rFonts w:ascii="Arial" w:cs="Arial" w:eastAsia="Arial" w:hAnsi="Arial"/>
          <w:sz w:val="19"/>
          <w:szCs w:val="19"/>
          <w:color w:val="231F20"/>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Mix of Business on Our Platform</w:t>
      </w:r>
    </w:p>
    <w:p>
      <w:pPr>
        <w:spacing w:after="0" w:line="184" w:lineRule="exact"/>
        <w:rPr>
          <w:sz w:val="20"/>
          <w:szCs w:val="20"/>
          <w:color w:val="auto"/>
        </w:rPr>
      </w:pPr>
    </w:p>
    <w:p>
      <w:pPr>
        <w:ind w:right="20" w:firstLine="463"/>
        <w:spacing w:after="0" w:line="245" w:lineRule="auto"/>
        <w:rPr>
          <w:sz w:val="20"/>
          <w:szCs w:val="20"/>
          <w:color w:val="auto"/>
        </w:rPr>
      </w:pPr>
      <w:r>
        <w:rPr>
          <w:rFonts w:ascii="Arial" w:cs="Arial" w:eastAsia="Arial" w:hAnsi="Arial"/>
          <w:sz w:val="19"/>
          <w:szCs w:val="19"/>
          <w:color w:val="231F20"/>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other revenues) depending on the nature of the activity of our clients and our clients’ customers on our platform.</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Investment in Technology and Development and Sales and Marketing</w:t>
      </w:r>
    </w:p>
    <w:p>
      <w:pPr>
        <w:spacing w:after="0" w:line="184" w:lineRule="exact"/>
        <w:rPr>
          <w:sz w:val="20"/>
          <w:szCs w:val="20"/>
          <w:color w:val="auto"/>
        </w:rPr>
      </w:pPr>
    </w:p>
    <w:p>
      <w:pPr>
        <w:ind w:right="120" w:firstLine="463"/>
        <w:spacing w:after="0" w:line="248" w:lineRule="auto"/>
        <w:rPr>
          <w:sz w:val="20"/>
          <w:szCs w:val="20"/>
          <w:color w:val="auto"/>
        </w:rPr>
      </w:pPr>
      <w:r>
        <w:rPr>
          <w:rFonts w:ascii="Arial" w:cs="Arial" w:eastAsia="Arial" w:hAnsi="Arial"/>
          <w:sz w:val="19"/>
          <w:szCs w:val="19"/>
          <w:color w:val="231F20"/>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46" w:lineRule="exact"/>
        <w:rPr>
          <w:sz w:val="20"/>
          <w:szCs w:val="20"/>
          <w:color w:val="auto"/>
        </w:rPr>
      </w:pPr>
    </w:p>
    <w:p>
      <w:pPr>
        <w:ind w:right="480" w:firstLine="463"/>
        <w:spacing w:after="0" w:line="251" w:lineRule="auto"/>
        <w:rPr>
          <w:sz w:val="20"/>
          <w:szCs w:val="20"/>
          <w:color w:val="auto"/>
        </w:rPr>
      </w:pPr>
      <w:r>
        <w:rPr>
          <w:rFonts w:ascii="Arial" w:cs="Arial" w:eastAsia="Arial" w:hAnsi="Arial"/>
          <w:sz w:val="19"/>
          <w:szCs w:val="19"/>
          <w:color w:val="231F20"/>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83</w:t>
      </w:r>
    </w:p>
    <w:p>
      <w:pPr>
        <w:sectPr>
          <w:pgSz w:w="12240" w:h="15840" w:orient="portrait"/>
          <w:cols w:equalWidth="0" w:num="1">
            <w:col w:w="10200"/>
          </w:cols>
          <w:pgMar w:left="1020" w:top="1440" w:right="1020" w:bottom="595" w:gutter="0" w:footer="0" w:header="0"/>
          <w:type w:val="continuous"/>
        </w:sectPr>
      </w:pPr>
    </w:p>
    <w:bookmarkStart w:id="84" w:name="page85"/>
    <w:bookmarkEnd w:id="84"/>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Seasonality</w:t>
      </w:r>
    </w:p>
    <w:p>
      <w:pPr>
        <w:spacing w:after="0" w:line="184" w:lineRule="exact"/>
        <w:rPr>
          <w:sz w:val="20"/>
          <w:szCs w:val="20"/>
          <w:color w:val="auto"/>
        </w:rPr>
      </w:pPr>
    </w:p>
    <w:p>
      <w:pPr>
        <w:ind w:right="20" w:firstLine="463"/>
        <w:spacing w:after="0" w:line="261" w:lineRule="auto"/>
        <w:rPr>
          <w:sz w:val="20"/>
          <w:szCs w:val="20"/>
          <w:color w:val="auto"/>
        </w:rPr>
      </w:pPr>
      <w:r>
        <w:rPr>
          <w:rFonts w:ascii="Arial" w:cs="Arial" w:eastAsia="Arial" w:hAnsi="Arial"/>
          <w:sz w:val="18"/>
          <w:szCs w:val="18"/>
          <w:color w:val="231F20"/>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and vertical. For instance, our revenue has historically been largest in the third quarter driven by our education peak season.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 mix.</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Economic Conditions and Resulting Consumer Spending Trends</w:t>
      </w:r>
    </w:p>
    <w:p>
      <w:pPr>
        <w:spacing w:after="0" w:line="184" w:lineRule="exact"/>
        <w:rPr>
          <w:sz w:val="20"/>
          <w:szCs w:val="20"/>
          <w:color w:val="auto"/>
        </w:rPr>
      </w:pPr>
    </w:p>
    <w:p>
      <w:pPr>
        <w:ind w:right="300" w:firstLine="463"/>
        <w:spacing w:after="0" w:line="258" w:lineRule="auto"/>
        <w:rPr>
          <w:sz w:val="20"/>
          <w:szCs w:val="20"/>
          <w:color w:val="auto"/>
        </w:rPr>
      </w:pPr>
      <w:r>
        <w:rPr>
          <w:rFonts w:ascii="Arial" w:cs="Arial" w:eastAsia="Arial" w:hAnsi="Arial"/>
          <w:sz w:val="19"/>
          <w:szCs w:val="19"/>
          <w:color w:val="231F20"/>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Impacts Resulting From Government Changes to International Student Visa Policies</w:t>
      </w:r>
    </w:p>
    <w:p>
      <w:pPr>
        <w:spacing w:after="0" w:line="184"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Revenue from our education clients, which primarily includes clients in the United States, Canada, U.K., Europe, and Asia Pacific/Australia, is affected by several factors, including policies enacted by government organizations around the world that cap the issuance of international student visas. 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When first instituted by the IRCC, the cap initially excluded students enrolled in master’s and PhD programs, but recent reports indicate that the 2025 and 2026 study permit intake cap will include master’s and doctoral students. Additionally, in November 2024, Canada ended its Student Direct Stream (SDS) program for expedited international student visa processing, and international students applying to study in Canada no longer need to prepay tuition to apply for a study permit. These limitations have resulted in a corresponding reduction in payment flows, which had an adverse effect on our business in the fourth quarter of 2024 and which we anticipate will continue to impact our Canada revenues in 2025.</w:t>
      </w:r>
    </w:p>
    <w:p>
      <w:pPr>
        <w:spacing w:after="0" w:line="156" w:lineRule="exact"/>
        <w:rPr>
          <w:sz w:val="20"/>
          <w:szCs w:val="20"/>
          <w:color w:val="auto"/>
        </w:rPr>
      </w:pPr>
    </w:p>
    <w:p>
      <w:pPr>
        <w:ind w:right="20" w:firstLine="463"/>
        <w:spacing w:after="0" w:line="241" w:lineRule="auto"/>
        <w:rPr>
          <w:sz w:val="20"/>
          <w:szCs w:val="20"/>
          <w:color w:val="auto"/>
        </w:rPr>
      </w:pPr>
      <w:r>
        <w:rPr>
          <w:rFonts w:ascii="Arial" w:cs="Arial" w:eastAsia="Arial" w:hAnsi="Arial"/>
          <w:sz w:val="19"/>
          <w:szCs w:val="19"/>
          <w:color w:val="231F20"/>
        </w:rPr>
        <w:t>Similarly, since late 2023, the Australian government has taken similar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These new Australian government policies, including university quotas, slower visa processing, higher fees, and stricter financial and language requirements, has had an adverse impact on our business in the fourth quarter of 2024 and we anticipate will continue to impact our Australian revenues in 2025.</w:t>
      </w:r>
    </w:p>
    <w:p>
      <w:pPr>
        <w:spacing w:after="0" w:line="158"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Other governments where our client institutions are located, including in the U.S., may introduce measures from time to time to manage the growth of the international student population in their respective countries, which may have adverse effects on our business. Our U.S. market saw slower growth in the fourth quarter of 2024 due to shifting visa trends. In addition, there are reports that the new executive administration in the U.S. is likely to closely scrutinize applications for international student visas, adding to uncertainty around the number of students coming to the U.S. to study in the near future. Delays in issuances of visas or visa denials may discourage prospective international students from choosing U.S. institutions as places for study.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w: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84</w:t>
      </w:r>
    </w:p>
    <w:p>
      <w:pPr>
        <w:sectPr>
          <w:pgSz w:w="12240" w:h="15840" w:orient="portrait"/>
          <w:cols w:equalWidth="0" w:num="1">
            <w:col w:w="10200"/>
          </w:cols>
          <w:pgMar w:left="1020" w:top="1440" w:right="1020" w:bottom="595" w:gutter="0" w:footer="0" w:header="0"/>
          <w:type w:val="continuous"/>
        </w:sectPr>
      </w:pPr>
    </w:p>
    <w:bookmarkStart w:id="85" w:name="page86"/>
    <w:bookmarkEnd w:id="85"/>
    <w:p>
      <w:pPr>
        <w:spacing w:after="0" w:line="97" w:lineRule="exact"/>
        <w:rPr>
          <w:sz w:val="20"/>
          <w:szCs w:val="20"/>
          <w:color w:val="auto"/>
        </w:rPr>
      </w:pPr>
    </w:p>
    <w:p>
      <w:pPr>
        <w:ind w:right="60" w:firstLine="463"/>
        <w:spacing w:after="0" w:line="246" w:lineRule="auto"/>
        <w:rPr>
          <w:sz w:val="20"/>
          <w:szCs w:val="20"/>
          <w:color w:val="auto"/>
        </w:rPr>
      </w:pPr>
      <w:r>
        <w:rPr>
          <w:rFonts w:ascii="Arial" w:cs="Arial" w:eastAsia="Arial" w:hAnsi="Arial"/>
          <w:sz w:val="19"/>
          <w:szCs w:val="19"/>
          <w:color w:val="231F20"/>
        </w:rPr>
        <w:t>There is still a degree of uncertainty in terms of the impact the changes to international student visa policy will have on our U.S., Canadian and Australian education markets. We continue to see growth in new customers in our U.S., Canada and Australia education markets, providing a lever to offset some of the expected decline in new incoming international student growth resulting from these government changes to international student visa policies. Our business continues to remain strong amid these visa-related policy shifts, benefiting from our increasingly global and diversified footprint across verticals, sub-sectors, countries, currencies and clients.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Impact of Inflation</w:t>
      </w:r>
    </w:p>
    <w:p>
      <w:pPr>
        <w:spacing w:after="0" w:line="184" w:lineRule="exact"/>
        <w:rPr>
          <w:sz w:val="20"/>
          <w:szCs w:val="20"/>
          <w:color w:val="auto"/>
        </w:rPr>
      </w:pPr>
    </w:p>
    <w:p>
      <w:pPr>
        <w:ind w:right="100" w:firstLine="463"/>
        <w:spacing w:after="0" w:line="278" w:lineRule="auto"/>
        <w:rPr>
          <w:sz w:val="20"/>
          <w:szCs w:val="20"/>
          <w:color w:val="auto"/>
        </w:rPr>
      </w:pPr>
      <w:r>
        <w:rPr>
          <w:rFonts w:ascii="Arial" w:cs="Arial" w:eastAsia="Arial" w:hAnsi="Arial"/>
          <w:sz w:val="19"/>
          <w:szCs w:val="19"/>
          <w:color w:val="231F20"/>
        </w:rPr>
        <w:t>Inflation did not have a material effect on our cash flows and results of operations during the year ended December 31, 2024.</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Diversified Mix of Clients</w:t>
      </w:r>
    </w:p>
    <w:p>
      <w:pPr>
        <w:spacing w:after="0" w:line="184" w:lineRule="exact"/>
        <w:rPr>
          <w:sz w:val="20"/>
          <w:szCs w:val="20"/>
          <w:color w:val="auto"/>
        </w:rPr>
      </w:pPr>
    </w:p>
    <w:p>
      <w:pPr>
        <w:ind w:right="60" w:firstLine="463"/>
        <w:spacing w:after="0" w:line="258" w:lineRule="auto"/>
        <w:rPr>
          <w:sz w:val="20"/>
          <w:szCs w:val="20"/>
          <w:color w:val="auto"/>
        </w:rPr>
      </w:pPr>
      <w:r>
        <w:rPr>
          <w:rFonts w:ascii="Arial" w:cs="Arial" w:eastAsia="Arial" w:hAnsi="Arial"/>
          <w:sz w:val="19"/>
          <w:szCs w:val="19"/>
          <w:color w:val="231F20"/>
        </w:rPr>
        <w:t>We have a wide range of clients across our education, healthcare, travel and B2B verticals. Volumes and revenue from clients in education, our largest vertical, rely on international enrollments and student school preferences, which can fluctuate over time.</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Dynamic Changes to Client Communication and Product Solutions</w:t>
      </w:r>
    </w:p>
    <w:p>
      <w:pPr>
        <w:spacing w:after="0" w:line="184" w:lineRule="exact"/>
        <w:rPr>
          <w:sz w:val="20"/>
          <w:szCs w:val="20"/>
          <w:color w:val="auto"/>
        </w:rPr>
      </w:pPr>
    </w:p>
    <w:p>
      <w:pPr>
        <w:ind w:right="40" w:firstLine="463"/>
        <w:spacing w:after="0" w:line="244" w:lineRule="auto"/>
        <w:rPr>
          <w:sz w:val="20"/>
          <w:szCs w:val="20"/>
          <w:color w:val="auto"/>
        </w:rPr>
      </w:pPr>
      <w:r>
        <w:rPr>
          <w:rFonts w:ascii="Arial" w:cs="Arial" w:eastAsia="Arial" w:hAnsi="Arial"/>
          <w:sz w:val="19"/>
          <w:szCs w:val="19"/>
          <w:color w:val="231F20"/>
        </w:rPr>
        <w:t>We initiated a series of refinements to our technology and personalization engine to optimize our clients’ ability to offer payment plans and communicate effectively and digitally with their customers.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as the lack of affordability drives the need for more financial flexibility.</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Business Continuity</w:t>
      </w:r>
    </w:p>
    <w:p>
      <w:pPr>
        <w:spacing w:after="0" w:line="184" w:lineRule="exact"/>
        <w:rPr>
          <w:sz w:val="20"/>
          <w:szCs w:val="20"/>
          <w:color w:val="auto"/>
        </w:rPr>
      </w:pPr>
    </w:p>
    <w:p>
      <w:pPr>
        <w:ind w:right="40" w:firstLine="463"/>
        <w:spacing w:after="0" w:line="241" w:lineRule="auto"/>
        <w:rPr>
          <w:sz w:val="20"/>
          <w:szCs w:val="20"/>
          <w:color w:val="auto"/>
        </w:rPr>
      </w:pPr>
      <w:r>
        <w:rPr>
          <w:rFonts w:ascii="Arial" w:cs="Arial" w:eastAsia="Arial" w:hAnsi="Arial"/>
          <w:sz w:val="19"/>
          <w:szCs w:val="19"/>
          <w:color w:val="231F20"/>
        </w:rPr>
        <w:t>We have a history of operating losses and while we have experienced significant revenue growth in recent years and achieved profitability on a GAAP basis in prior quarters,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strategically invest in headcount,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We are addressing operating losses by making continued improvements designed to create operating efficiencies and a focus on cost discipline. We believe these improvements along with strong gross margins and cash flows from operations will help us achieve our goal of generating positive annual GAAP net income in the future.</w:t>
      </w:r>
    </w:p>
    <w:p>
      <w:pPr>
        <w:spacing w:after="0" w:line="154" w:lineRule="exact"/>
        <w:rPr>
          <w:sz w:val="20"/>
          <w:szCs w:val="20"/>
          <w:color w:val="auto"/>
        </w:rPr>
      </w:pPr>
    </w:p>
    <w:p>
      <w:pPr>
        <w:ind w:right="780" w:firstLine="463"/>
        <w:spacing w:after="0" w:line="307" w:lineRule="auto"/>
        <w:rPr>
          <w:sz w:val="20"/>
          <w:szCs w:val="20"/>
          <w:color w:val="auto"/>
        </w:rPr>
      </w:pPr>
      <w:r>
        <w:rPr>
          <w:rFonts w:ascii="Arial" w:cs="Arial" w:eastAsia="Arial" w:hAnsi="Arial"/>
          <w:sz w:val="18"/>
          <w:szCs w:val="18"/>
          <w:color w:val="231F20"/>
        </w:rPr>
        <w:t>With the ongoing conflict involving Israel, we continue to engage in active workforce planning to help Israeli FlyMates support the business without interruption and implement safety measures for FlyMates in Israel.</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Components of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Revenue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231F20"/>
        </w:rPr>
        <w:t>We generate revenue from transactions and from platform and other fees as described under “Our Revenue Model”.</w:t>
      </w:r>
    </w:p>
    <w:p>
      <w:pPr>
        <w:sectPr>
          <w:pgSz w:w="12240" w:h="15840" w:orient="portrait"/>
          <w:cols w:equalWidth="0" w:num="1">
            <w:col w:w="10160"/>
          </w:cols>
          <w:pgMar w:left="1020" w:top="1440" w:right="106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231F20"/>
        </w:rPr>
        <w:t>85</w:t>
      </w:r>
    </w:p>
    <w:p>
      <w:pPr>
        <w:sectPr>
          <w:pgSz w:w="12240" w:h="15840" w:orient="portrait"/>
          <w:cols w:equalWidth="0" w:num="1">
            <w:col w:w="10160"/>
          </w:cols>
          <w:pgMar w:left="1020" w:top="1440" w:right="1060" w:bottom="595" w:gutter="0" w:footer="0" w:header="0"/>
          <w:type w:val="continuous"/>
        </w:sectPr>
      </w:pPr>
    </w:p>
    <w:bookmarkStart w:id="86" w:name="page87"/>
    <w:bookmarkEnd w:id="86"/>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Payment Processing Services Costs</w:t>
      </w:r>
    </w:p>
    <w:p>
      <w:pPr>
        <w:spacing w:after="0" w:line="184" w:lineRule="exact"/>
        <w:rPr>
          <w:sz w:val="20"/>
          <w:szCs w:val="20"/>
          <w:color w:val="auto"/>
        </w:rPr>
      </w:pPr>
    </w:p>
    <w:p>
      <w:pPr>
        <w:ind w:right="20" w:firstLine="463"/>
        <w:spacing w:after="0" w:line="246" w:lineRule="auto"/>
        <w:rPr>
          <w:sz w:val="20"/>
          <w:szCs w:val="20"/>
          <w:color w:val="auto"/>
        </w:rPr>
      </w:pPr>
      <w:r>
        <w:rPr>
          <w:rFonts w:ascii="Arial" w:cs="Arial" w:eastAsia="Arial" w:hAnsi="Arial"/>
          <w:sz w:val="19"/>
          <w:szCs w:val="19"/>
          <w:color w:val="231F20"/>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Technology and Development</w:t>
      </w:r>
    </w:p>
    <w:p>
      <w:pPr>
        <w:spacing w:after="0" w:line="184" w:lineRule="exact"/>
        <w:rPr>
          <w:sz w:val="20"/>
          <w:szCs w:val="20"/>
          <w:color w:val="auto"/>
        </w:rPr>
      </w:pPr>
    </w:p>
    <w:p>
      <w:pPr>
        <w:ind w:right="60" w:firstLine="463"/>
        <w:spacing w:after="0" w:line="245" w:lineRule="auto"/>
        <w:rPr>
          <w:sz w:val="20"/>
          <w:szCs w:val="20"/>
          <w:color w:val="auto"/>
        </w:rPr>
      </w:pPr>
      <w:r>
        <w:rPr>
          <w:rFonts w:ascii="Arial" w:cs="Arial" w:eastAsia="Arial" w:hAnsi="Arial"/>
          <w:sz w:val="19"/>
          <w:szCs w:val="19"/>
          <w:color w:val="231F20"/>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48" w:lineRule="exact"/>
        <w:rPr>
          <w:sz w:val="20"/>
          <w:szCs w:val="20"/>
          <w:color w:val="auto"/>
        </w:rPr>
      </w:pPr>
    </w:p>
    <w:p>
      <w:pPr>
        <w:ind w:right="80" w:firstLine="463"/>
        <w:spacing w:after="0" w:line="248" w:lineRule="auto"/>
        <w:rPr>
          <w:sz w:val="20"/>
          <w:szCs w:val="20"/>
          <w:color w:val="auto"/>
        </w:rPr>
      </w:pPr>
      <w:r>
        <w:rPr>
          <w:rFonts w:ascii="Arial" w:cs="Arial" w:eastAsia="Arial" w:hAnsi="Arial"/>
          <w:sz w:val="19"/>
          <w:szCs w:val="19"/>
          <w:color w:val="231F20"/>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Selling and Marketing</w:t>
      </w:r>
    </w:p>
    <w:p>
      <w:pPr>
        <w:spacing w:after="0" w:line="184" w:lineRule="exact"/>
        <w:rPr>
          <w:sz w:val="20"/>
          <w:szCs w:val="20"/>
          <w:color w:val="auto"/>
        </w:rPr>
      </w:pPr>
    </w:p>
    <w:p>
      <w:pPr>
        <w:ind w:right="80" w:firstLine="463"/>
        <w:spacing w:after="0" w:line="251" w:lineRule="auto"/>
        <w:rPr>
          <w:sz w:val="20"/>
          <w:szCs w:val="20"/>
          <w:color w:val="auto"/>
        </w:rPr>
      </w:pPr>
      <w:r>
        <w:rPr>
          <w:rFonts w:ascii="Arial" w:cs="Arial" w:eastAsia="Arial" w:hAnsi="Arial"/>
          <w:sz w:val="19"/>
          <w:szCs w:val="19"/>
          <w:color w:val="231F20"/>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spacing w:after="0" w:line="144" w:lineRule="exact"/>
        <w:rPr>
          <w:sz w:val="20"/>
          <w:szCs w:val="20"/>
          <w:color w:val="auto"/>
        </w:rPr>
      </w:pPr>
    </w:p>
    <w:p>
      <w:pPr>
        <w:ind w:firstLine="463"/>
        <w:spacing w:after="0" w:line="248" w:lineRule="auto"/>
        <w:rPr>
          <w:sz w:val="20"/>
          <w:szCs w:val="20"/>
          <w:color w:val="auto"/>
        </w:rPr>
      </w:pPr>
      <w:r>
        <w:rPr>
          <w:rFonts w:ascii="Arial" w:cs="Arial" w:eastAsia="Arial" w:hAnsi="Arial"/>
          <w:sz w:val="19"/>
          <w:szCs w:val="19"/>
          <w:color w:val="231F20"/>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General and Administrative</w:t>
      </w:r>
    </w:p>
    <w:p>
      <w:pPr>
        <w:spacing w:after="0" w:line="184" w:lineRule="exact"/>
        <w:rPr>
          <w:sz w:val="20"/>
          <w:szCs w:val="20"/>
          <w:color w:val="auto"/>
        </w:rPr>
      </w:pPr>
    </w:p>
    <w:p>
      <w:pPr>
        <w:ind w:right="80" w:firstLine="463"/>
        <w:spacing w:after="0" w:line="245" w:lineRule="auto"/>
        <w:rPr>
          <w:sz w:val="20"/>
          <w:szCs w:val="20"/>
          <w:color w:val="auto"/>
        </w:rPr>
      </w:pPr>
      <w:r>
        <w:rPr>
          <w:rFonts w:ascii="Arial" w:cs="Arial" w:eastAsia="Arial" w:hAnsi="Arial"/>
          <w:sz w:val="19"/>
          <w:szCs w:val="19"/>
          <w:color w:val="231F20"/>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Interest Expense</w:t>
      </w:r>
    </w:p>
    <w:p>
      <w:pPr>
        <w:spacing w:after="0" w:line="184" w:lineRule="exact"/>
        <w:rPr>
          <w:sz w:val="20"/>
          <w:szCs w:val="20"/>
          <w:color w:val="auto"/>
        </w:rPr>
      </w:pPr>
    </w:p>
    <w:p>
      <w:pPr>
        <w:ind w:right="120" w:firstLine="463"/>
        <w:spacing w:after="0" w:line="258" w:lineRule="auto"/>
        <w:rPr>
          <w:sz w:val="20"/>
          <w:szCs w:val="20"/>
          <w:color w:val="auto"/>
        </w:rPr>
      </w:pPr>
      <w:r>
        <w:rPr>
          <w:rFonts w:ascii="Arial" w:cs="Arial" w:eastAsia="Arial" w:hAnsi="Arial"/>
          <w:sz w:val="19"/>
          <w:szCs w:val="19"/>
          <w:color w:val="231F20"/>
        </w:rPr>
        <w:t>Interest expense consists of interest, amortization of debt issuance costs and unused commitment fees on our five-year senior secured revolving credit syndication loan (2024 Revolving Credit Facility) and three-year senior secured revolving credit syndication loan (2021 Revolving Credit Facility).</w:t>
      </w:r>
    </w:p>
    <w:p>
      <w:pPr>
        <w:spacing w:after="0" w:line="136" w:lineRule="exact"/>
        <w:rPr>
          <w:sz w:val="20"/>
          <w:szCs w:val="20"/>
          <w:color w:val="auto"/>
        </w:rPr>
      </w:pPr>
    </w:p>
    <w:p>
      <w:pPr>
        <w:ind w:right="40" w:firstLine="463"/>
        <w:spacing w:after="0" w:line="251" w:lineRule="auto"/>
        <w:rPr>
          <w:sz w:val="20"/>
          <w:szCs w:val="20"/>
          <w:color w:val="auto"/>
        </w:rPr>
      </w:pPr>
      <w:r>
        <w:rPr>
          <w:rFonts w:ascii="Arial" w:cs="Arial" w:eastAsia="Arial" w:hAnsi="Arial"/>
          <w:sz w:val="19"/>
          <w:szCs w:val="19"/>
          <w:color w:val="231F20"/>
        </w:rPr>
        <w:t>On February 23, 2024, we entered into our 2024 Revolving Credit Facility for a total commitment of $125.0 million. The 2024 Revolving Credit Facility replaced the 2021 Revolving Credit Facility of $50.0 million, which were entered into in July 2021, under which $50.0 million was available to Flywire as of December 31, 2023. As of December 31, 2024 and 2023, there was no outstanding indebtedness under the 2024 Revolving Credit Facility or 2021 Revolving Credit Facility.</w:t>
      </w:r>
    </w:p>
    <w:p>
      <w:pPr>
        <w:sectPr>
          <w:pgSz w:w="12240" w:h="15840" w:orient="portrait"/>
          <w:cols w:equalWidth="0" w:num="1">
            <w:col w:w="10180"/>
          </w:cols>
          <w:pgMar w:left="1020" w:top="1440" w:right="104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86</w:t>
      </w:r>
    </w:p>
    <w:p>
      <w:pPr>
        <w:sectPr>
          <w:pgSz w:w="12240" w:h="15840" w:orient="portrait"/>
          <w:cols w:equalWidth="0" w:num="1">
            <w:col w:w="10180"/>
          </w:cols>
          <w:pgMar w:left="1020" w:top="1440" w:right="1040" w:bottom="595" w:gutter="0" w:footer="0" w:header="0"/>
          <w:type w:val="continuous"/>
        </w:sectPr>
      </w:pPr>
    </w:p>
    <w:bookmarkStart w:id="87" w:name="page88"/>
    <w:bookmarkEnd w:id="87"/>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Interest Income</w:t>
      </w:r>
    </w:p>
    <w:p>
      <w:pPr>
        <w:spacing w:after="0" w:line="184" w:lineRule="exact"/>
        <w:rPr>
          <w:sz w:val="20"/>
          <w:szCs w:val="20"/>
          <w:color w:val="auto"/>
        </w:rPr>
      </w:pPr>
    </w:p>
    <w:p>
      <w:pPr>
        <w:ind w:right="400" w:firstLine="463"/>
        <w:spacing w:after="0" w:line="278" w:lineRule="auto"/>
        <w:rPr>
          <w:sz w:val="20"/>
          <w:szCs w:val="20"/>
          <w:color w:val="auto"/>
        </w:rPr>
      </w:pPr>
      <w:r>
        <w:rPr>
          <w:rFonts w:ascii="Arial" w:cs="Arial" w:eastAsia="Arial" w:hAnsi="Arial"/>
          <w:sz w:val="19"/>
          <w:szCs w:val="19"/>
          <w:color w:val="231F20"/>
        </w:rPr>
        <w:t>Interest income consists of interest on cash held in interest bearing operating accounts, including money market funds, and investments in available-for-sale debt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(Loss) Gain from Remeasurement of Foreign Currency</w:t>
      </w:r>
    </w:p>
    <w:p>
      <w:pPr>
        <w:spacing w:after="0" w:line="184" w:lineRule="exact"/>
        <w:rPr>
          <w:sz w:val="20"/>
          <w:szCs w:val="20"/>
          <w:color w:val="auto"/>
        </w:rPr>
      </w:pPr>
    </w:p>
    <w:p>
      <w:pPr>
        <w:ind w:right="20" w:firstLine="463"/>
        <w:spacing w:after="0" w:line="278" w:lineRule="auto"/>
        <w:rPr>
          <w:sz w:val="20"/>
          <w:szCs w:val="20"/>
          <w:color w:val="auto"/>
        </w:rPr>
      </w:pPr>
      <w:r>
        <w:rPr>
          <w:rFonts w:ascii="Arial" w:cs="Arial" w:eastAsia="Arial" w:hAnsi="Arial"/>
          <w:sz w:val="19"/>
          <w:szCs w:val="19"/>
          <w:color w:val="231F20"/>
        </w:rPr>
        <w:t>(Loss) gain from remeasurement of foreign currency consists of gains and losses from the remeasurement of foreign currency transactions into its functional currency.</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(Benefit from) Provision for Income Tax</w:t>
      </w:r>
    </w:p>
    <w:p>
      <w:pPr>
        <w:spacing w:after="0" w:line="184" w:lineRule="exact"/>
        <w:rPr>
          <w:sz w:val="20"/>
          <w:szCs w:val="20"/>
          <w:color w:val="auto"/>
        </w:rPr>
      </w:pPr>
    </w:p>
    <w:p>
      <w:pPr>
        <w:ind w:right="60" w:firstLine="463"/>
        <w:spacing w:after="0" w:line="251" w:lineRule="auto"/>
        <w:rPr>
          <w:sz w:val="20"/>
          <w:szCs w:val="20"/>
          <w:color w:val="auto"/>
        </w:rPr>
      </w:pPr>
      <w:r>
        <w:rPr>
          <w:rFonts w:ascii="Arial" w:cs="Arial" w:eastAsia="Arial" w:hAnsi="Arial"/>
          <w:sz w:val="19"/>
          <w:szCs w:val="19"/>
          <w:color w:val="231F20"/>
        </w:rPr>
        <w:t>(Benefit from) provision for income taxes in 2023 and 2024 is primarily driven by foreign and state income taxes and the release of U.S. and foreign valuation allowances, respectively. We have historically generated NOL carryforwards for U.S. Federal and state tax purposes as we expand the scale of our business activities. Changes in the U.S. and foreign tax law may impact our overall (benefit from) provision for income taxes in the future.</w:t>
      </w:r>
    </w:p>
    <w:p>
      <w:pPr>
        <w:spacing w:after="0" w:line="144" w:lineRule="exact"/>
        <w:rPr>
          <w:sz w:val="20"/>
          <w:szCs w:val="20"/>
          <w:color w:val="auto"/>
        </w:rPr>
      </w:pPr>
    </w:p>
    <w:p>
      <w:pPr>
        <w:ind w:right="60" w:firstLine="463"/>
        <w:spacing w:after="0" w:line="251" w:lineRule="auto"/>
        <w:rPr>
          <w:sz w:val="20"/>
          <w:szCs w:val="20"/>
          <w:color w:val="auto"/>
        </w:rPr>
      </w:pPr>
      <w:r>
        <w:rPr>
          <w:rFonts w:ascii="Arial" w:cs="Arial" w:eastAsia="Arial" w:hAnsi="Arial"/>
          <w:sz w:val="19"/>
          <w:szCs w:val="19"/>
          <w:color w:val="231F20"/>
        </w:rPr>
        <w:t>We have a valuation allowance on our net U.S. deferred tax assets, including federal and state NOLs. We expect to maintain these valuation allowances until it becomes more likely than not that the benefit of our deferred tax assets are realized through future taxable income generated in these jurisdictions. The Company released its valuation allowance on its net deferred tax assets in the U.K. as of December 31, 2024.</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Comparison of results for the years ended December 31, 2024 and 2023</w:t>
      </w:r>
    </w:p>
    <w:p>
      <w:pPr>
        <w:spacing w:after="0" w:line="184" w:lineRule="exact"/>
        <w:rPr>
          <w:sz w:val="20"/>
          <w:szCs w:val="20"/>
          <w:color w:val="auto"/>
        </w:rPr>
      </w:pPr>
    </w:p>
    <w:p>
      <w:pPr>
        <w:ind w:right="300" w:firstLine="463"/>
        <w:spacing w:after="0" w:line="278" w:lineRule="auto"/>
        <w:rPr>
          <w:sz w:val="20"/>
          <w:szCs w:val="20"/>
          <w:color w:val="auto"/>
        </w:rPr>
      </w:pPr>
      <w:r>
        <w:rPr>
          <w:rFonts w:ascii="Arial" w:cs="Arial" w:eastAsia="Arial" w:hAnsi="Arial"/>
          <w:sz w:val="19"/>
          <w:szCs w:val="19"/>
          <w:color w:val="231F20"/>
        </w:rPr>
        <w:t>All dollar amounts in the tables below are rounded and as a result, certain amounts may not recalculate using the rounded amounts provided.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The following table sets forth our consolidated results of operations for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vMerge w:val="restart"/>
            <w:shd w:val="clear" w:color="auto" w:fill="FDFDFC"/>
          </w:tcPr>
          <w:p>
            <w:pPr>
              <w:spacing w:after="0"/>
              <w:rPr>
                <w:sz w:val="20"/>
                <w:szCs w:val="20"/>
                <w:color w:val="auto"/>
              </w:rPr>
            </w:pPr>
            <w:r>
              <w:rPr>
                <w:rFonts w:ascii="Arial" w:cs="Arial" w:eastAsia="Arial" w:hAnsi="Arial"/>
                <w:sz w:val="15"/>
                <w:szCs w:val="15"/>
                <w:b w:val="1"/>
                <w:bCs w:val="1"/>
                <w:color w:val="231F20"/>
              </w:rPr>
              <w:t>(dollars in millions)</w:t>
            </w:r>
          </w:p>
        </w:tc>
        <w:tc>
          <w:tcPr>
            <w:tcW w:w="12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2300" w:type="dxa"/>
            <w:vAlign w:val="bottom"/>
            <w:gridSpan w:val="6"/>
            <w:shd w:val="clear" w:color="auto" w:fill="FDFDFC"/>
          </w:tcPr>
          <w:p>
            <w:pPr>
              <w:jc w:val="right"/>
              <w:ind w:right="380"/>
              <w:spacing w:after="0"/>
              <w:rPr>
                <w:sz w:val="20"/>
                <w:szCs w:val="20"/>
                <w:color w:val="auto"/>
              </w:rPr>
            </w:pPr>
            <w:r>
              <w:rPr>
                <w:rFonts w:ascii="Arial" w:cs="Arial" w:eastAsia="Arial" w:hAnsi="Arial"/>
                <w:sz w:val="15"/>
                <w:szCs w:val="15"/>
                <w:b w:val="1"/>
                <w:bCs w:val="1"/>
                <w:color w:val="231F20"/>
              </w:rPr>
              <w:t>Year Ended December 31,</w:t>
            </w:r>
          </w:p>
        </w:tc>
        <w:tc>
          <w:tcPr>
            <w:tcW w:w="8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900" w:type="dxa"/>
            <w:vAlign w:val="bottom"/>
            <w:vMerge w:val="restart"/>
            <w:shd w:val="clear" w:color="auto" w:fill="FDFDFC"/>
          </w:tcPr>
          <w:p>
            <w:pPr>
              <w:jc w:val="right"/>
              <w:ind w:right="87"/>
              <w:spacing w:after="0"/>
              <w:rPr>
                <w:sz w:val="20"/>
                <w:szCs w:val="20"/>
                <w:color w:val="auto"/>
              </w:rPr>
            </w:pPr>
            <w:r>
              <w:rPr>
                <w:rFonts w:ascii="Arial" w:cs="Arial" w:eastAsia="Arial" w:hAnsi="Arial"/>
                <w:sz w:val="15"/>
                <w:szCs w:val="15"/>
                <w:b w:val="1"/>
                <w:bCs w:val="1"/>
                <w:color w:val="231F20"/>
              </w:rPr>
              <w:t>$ Change</w:t>
            </w:r>
          </w:p>
        </w:tc>
        <w:tc>
          <w:tcPr>
            <w:tcW w:w="200" w:type="dxa"/>
            <w:vAlign w:val="bottom"/>
            <w:vMerge w:val="restart"/>
            <w:shd w:val="clear" w:color="auto" w:fill="FDFDFC"/>
          </w:tcPr>
          <w:p>
            <w:pPr>
              <w:spacing w:after="0"/>
              <w:rPr>
                <w:sz w:val="16"/>
                <w:szCs w:val="16"/>
                <w:color w:val="auto"/>
              </w:rPr>
            </w:pPr>
          </w:p>
        </w:tc>
        <w:tc>
          <w:tcPr>
            <w:tcW w:w="920" w:type="dxa"/>
            <w:vAlign w:val="bottom"/>
            <w:vMerge w:val="restart"/>
            <w:shd w:val="clear" w:color="auto" w:fill="FDFDFC"/>
          </w:tcPr>
          <w:p>
            <w:pPr>
              <w:jc w:val="right"/>
              <w:ind w:right="7"/>
              <w:spacing w:after="0"/>
              <w:rPr>
                <w:sz w:val="20"/>
                <w:szCs w:val="20"/>
                <w:color w:val="auto"/>
              </w:rPr>
            </w:pPr>
            <w:r>
              <w:rPr>
                <w:rFonts w:ascii="Arial" w:cs="Arial" w:eastAsia="Arial" w:hAnsi="Arial"/>
                <w:sz w:val="15"/>
                <w:szCs w:val="15"/>
                <w:b w:val="1"/>
                <w:bCs w:val="1"/>
                <w:color w:val="231F20"/>
              </w:rPr>
              <w:t>% Change</w:t>
            </w:r>
          </w:p>
        </w:tc>
        <w:tc>
          <w:tcPr>
            <w:tcW w:w="260" w:type="dxa"/>
            <w:vAlign w:val="bottom"/>
            <w:vMerge w:val="restart"/>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40" w:type="dxa"/>
            <w:vAlign w:val="bottom"/>
            <w:tcBorders>
              <w:top w:val="single" w:sz="8" w:color="FDFDFC"/>
              <w:bottom w:val="single" w:sz="8" w:color="231F20"/>
            </w:tcBorders>
            <w:vMerge w:val="continue"/>
            <w:shd w:val="clear" w:color="auto" w:fill="FDFDFC"/>
          </w:tcPr>
          <w:p>
            <w:pPr>
              <w:spacing w:after="0"/>
              <w:rPr>
                <w:sz w:val="15"/>
                <w:szCs w:val="15"/>
                <w:color w:val="auto"/>
              </w:rPr>
            </w:pPr>
          </w:p>
        </w:tc>
        <w:tc>
          <w:tcPr>
            <w:tcW w:w="120" w:type="dxa"/>
            <w:vAlign w:val="bottom"/>
            <w:tcBorders>
              <w:top w:val="single" w:sz="8" w:color="FDFDFC"/>
              <w:bottom w:val="single" w:sz="8" w:color="D0EBF2"/>
            </w:tcBorders>
            <w:shd w:val="clear" w:color="auto" w:fill="FDFDFC"/>
          </w:tcPr>
          <w:p>
            <w:pPr>
              <w:spacing w:after="0"/>
              <w:rPr>
                <w:sz w:val="15"/>
                <w:szCs w:val="15"/>
                <w:color w:val="auto"/>
              </w:rPr>
            </w:pPr>
          </w:p>
        </w:tc>
        <w:tc>
          <w:tcPr>
            <w:tcW w:w="160" w:type="dxa"/>
            <w:vAlign w:val="bottom"/>
            <w:tcBorders>
              <w:top w:val="single" w:sz="8" w:color="231F20"/>
              <w:bottom w:val="single" w:sz="8" w:color="231F20"/>
            </w:tcBorders>
            <w:shd w:val="clear" w:color="auto" w:fill="FDFDFC"/>
          </w:tcPr>
          <w:p>
            <w:pPr>
              <w:spacing w:after="0"/>
              <w:rPr>
                <w:sz w:val="15"/>
                <w:szCs w:val="15"/>
                <w:color w:val="auto"/>
              </w:rPr>
            </w:pPr>
          </w:p>
        </w:tc>
        <w:tc>
          <w:tcPr>
            <w:tcW w:w="880" w:type="dxa"/>
            <w:vAlign w:val="bottom"/>
            <w:tcBorders>
              <w:top w:val="single" w:sz="8" w:color="231F20"/>
              <w:bottom w:val="single" w:sz="8" w:color="231F20"/>
            </w:tcBorders>
            <w:shd w:val="clear" w:color="auto" w:fill="FDFDFC"/>
          </w:tcPr>
          <w:p>
            <w:pPr>
              <w:jc w:val="right"/>
              <w:ind w:right="268"/>
              <w:spacing w:after="0"/>
              <w:rPr>
                <w:sz w:val="20"/>
                <w:szCs w:val="20"/>
                <w:color w:val="auto"/>
              </w:rPr>
            </w:pPr>
            <w:r>
              <w:rPr>
                <w:rFonts w:ascii="Arial" w:cs="Arial" w:eastAsia="Arial" w:hAnsi="Arial"/>
                <w:sz w:val="15"/>
                <w:szCs w:val="15"/>
                <w:b w:val="1"/>
                <w:bCs w:val="1"/>
                <w:color w:val="231F20"/>
              </w:rPr>
              <w:t>2024</w:t>
            </w:r>
          </w:p>
        </w:tc>
        <w:tc>
          <w:tcPr>
            <w:tcW w:w="100" w:type="dxa"/>
            <w:vAlign w:val="bottom"/>
            <w:tcBorders>
              <w:top w:val="single" w:sz="8" w:color="231F20"/>
              <w:bottom w:val="single" w:sz="8" w:color="D0EBF2"/>
            </w:tcBorders>
            <w:shd w:val="clear" w:color="auto" w:fill="FDFDFC"/>
          </w:tcPr>
          <w:p>
            <w:pPr>
              <w:spacing w:after="0"/>
              <w:rPr>
                <w:sz w:val="15"/>
                <w:szCs w:val="15"/>
                <w:color w:val="auto"/>
              </w:rPr>
            </w:pPr>
          </w:p>
        </w:tc>
        <w:tc>
          <w:tcPr>
            <w:tcW w:w="120" w:type="dxa"/>
            <w:vAlign w:val="bottom"/>
            <w:tcBorders>
              <w:top w:val="single" w:sz="8" w:color="231F20"/>
              <w:bottom w:val="single" w:sz="8" w:color="D0EBF2"/>
            </w:tcBorders>
            <w:shd w:val="clear" w:color="auto" w:fill="FDFDFC"/>
          </w:tcPr>
          <w:p>
            <w:pPr>
              <w:spacing w:after="0"/>
              <w:rPr>
                <w:sz w:val="15"/>
                <w:szCs w:val="15"/>
                <w:color w:val="auto"/>
              </w:rPr>
            </w:pPr>
          </w:p>
        </w:tc>
        <w:tc>
          <w:tcPr>
            <w:tcW w:w="240" w:type="dxa"/>
            <w:vAlign w:val="bottom"/>
            <w:tcBorders>
              <w:top w:val="single" w:sz="8" w:color="231F20"/>
              <w:bottom w:val="single" w:sz="8" w:color="231F20"/>
            </w:tcBorders>
            <w:shd w:val="clear" w:color="auto" w:fill="FDFDFC"/>
          </w:tcPr>
          <w:p>
            <w:pPr>
              <w:spacing w:after="0"/>
              <w:rPr>
                <w:sz w:val="15"/>
                <w:szCs w:val="15"/>
                <w:color w:val="auto"/>
              </w:rPr>
            </w:pPr>
          </w:p>
        </w:tc>
        <w:tc>
          <w:tcPr>
            <w:tcW w:w="800" w:type="dxa"/>
            <w:vAlign w:val="bottom"/>
            <w:tcBorders>
              <w:top w:val="single" w:sz="8" w:color="231F20"/>
              <w:bottom w:val="single" w:sz="8" w:color="231F20"/>
            </w:tcBorders>
            <w:shd w:val="clear" w:color="auto" w:fill="FDFDFC"/>
          </w:tcPr>
          <w:p>
            <w:pPr>
              <w:jc w:val="right"/>
              <w:ind w:right="267"/>
              <w:spacing w:after="0"/>
              <w:rPr>
                <w:sz w:val="20"/>
                <w:szCs w:val="20"/>
                <w:color w:val="auto"/>
              </w:rPr>
            </w:pPr>
            <w:r>
              <w:rPr>
                <w:rFonts w:ascii="Arial" w:cs="Arial" w:eastAsia="Arial" w:hAnsi="Arial"/>
                <w:sz w:val="15"/>
                <w:szCs w:val="15"/>
                <w:b w:val="1"/>
                <w:bCs w:val="1"/>
                <w:color w:val="231F20"/>
              </w:rPr>
              <w:t>2023</w:t>
            </w:r>
          </w:p>
        </w:tc>
        <w:tc>
          <w:tcPr>
            <w:tcW w:w="160" w:type="dxa"/>
            <w:vAlign w:val="bottom"/>
            <w:tcBorders>
              <w:top w:val="single" w:sz="8" w:color="FDFDFC"/>
              <w:bottom w:val="single" w:sz="8" w:color="D0EBF2"/>
            </w:tcBorders>
            <w:shd w:val="clear" w:color="auto" w:fill="FDFDFC"/>
          </w:tcPr>
          <w:p>
            <w:pPr>
              <w:spacing w:after="0"/>
              <w:rPr>
                <w:sz w:val="15"/>
                <w:szCs w:val="15"/>
                <w:color w:val="auto"/>
              </w:rPr>
            </w:pPr>
          </w:p>
        </w:tc>
        <w:tc>
          <w:tcPr>
            <w:tcW w:w="80" w:type="dxa"/>
            <w:vAlign w:val="bottom"/>
            <w:tcBorders>
              <w:top w:val="single" w:sz="8" w:color="FDFDFC"/>
              <w:bottom w:val="single" w:sz="8" w:color="D0EBF2"/>
            </w:tcBorders>
            <w:shd w:val="clear" w:color="auto" w:fill="FDFDFC"/>
          </w:tcPr>
          <w:p>
            <w:pPr>
              <w:spacing w:after="0"/>
              <w:rPr>
                <w:sz w:val="15"/>
                <w:szCs w:val="15"/>
                <w:color w:val="auto"/>
              </w:rPr>
            </w:pPr>
          </w:p>
        </w:tc>
        <w:tc>
          <w:tcPr>
            <w:tcW w:w="120" w:type="dxa"/>
            <w:vAlign w:val="bottom"/>
            <w:tcBorders>
              <w:top w:val="single" w:sz="8" w:color="FDFDFC"/>
              <w:bottom w:val="single" w:sz="8" w:color="231F20"/>
            </w:tcBorders>
            <w:shd w:val="clear" w:color="auto" w:fill="FDFDFC"/>
          </w:tcPr>
          <w:p>
            <w:pPr>
              <w:spacing w:after="0"/>
              <w:rPr>
                <w:sz w:val="15"/>
                <w:szCs w:val="15"/>
                <w:color w:val="auto"/>
              </w:rPr>
            </w:pPr>
          </w:p>
        </w:tc>
        <w:tc>
          <w:tcPr>
            <w:tcW w:w="900" w:type="dxa"/>
            <w:vAlign w:val="bottom"/>
            <w:tcBorders>
              <w:top w:val="single" w:sz="8" w:color="FDFDFC"/>
              <w:bottom w:val="single" w:sz="8" w:color="231F20"/>
            </w:tcBorders>
            <w:vMerge w:val="continue"/>
            <w:shd w:val="clear" w:color="auto" w:fill="FDFDFC"/>
          </w:tcPr>
          <w:p>
            <w:pPr>
              <w:spacing w:after="0"/>
              <w:rPr>
                <w:sz w:val="15"/>
                <w:szCs w:val="15"/>
                <w:color w:val="auto"/>
              </w:rPr>
            </w:pPr>
          </w:p>
        </w:tc>
        <w:tc>
          <w:tcPr>
            <w:tcW w:w="200" w:type="dxa"/>
            <w:vAlign w:val="bottom"/>
            <w:tcBorders>
              <w:top w:val="single" w:sz="8" w:color="FDFDFC"/>
              <w:bottom w:val="single" w:sz="8" w:color="D0EBF2"/>
            </w:tcBorders>
            <w:vMerge w:val="continue"/>
            <w:shd w:val="clear" w:color="auto" w:fill="FDFDFC"/>
          </w:tcPr>
          <w:p>
            <w:pPr>
              <w:spacing w:after="0"/>
              <w:rPr>
                <w:sz w:val="15"/>
                <w:szCs w:val="15"/>
                <w:color w:val="auto"/>
              </w:rPr>
            </w:pPr>
          </w:p>
        </w:tc>
        <w:tc>
          <w:tcPr>
            <w:tcW w:w="920" w:type="dxa"/>
            <w:vAlign w:val="bottom"/>
            <w:tcBorders>
              <w:top w:val="single" w:sz="8" w:color="FDFDFC"/>
              <w:bottom w:val="single" w:sz="8" w:color="231F20"/>
            </w:tcBorders>
            <w:vMerge w:val="continue"/>
            <w:shd w:val="clear" w:color="auto" w:fill="FDFDFC"/>
          </w:tcPr>
          <w:p>
            <w:pPr>
              <w:spacing w:after="0"/>
              <w:rPr>
                <w:sz w:val="15"/>
                <w:szCs w:val="15"/>
                <w:color w:val="auto"/>
              </w:rPr>
            </w:pPr>
          </w:p>
        </w:tc>
        <w:tc>
          <w:tcPr>
            <w:tcW w:w="260" w:type="dxa"/>
            <w:vAlign w:val="bottom"/>
            <w:tcBorders>
              <w:top w:val="single" w:sz="8" w:color="FDFDFC"/>
            </w:tcBorders>
            <w:vMerge w:val="continue"/>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D0EBF2"/>
          </w:tcPr>
          <w:p>
            <w:pPr>
              <w:spacing w:after="0"/>
              <w:rPr>
                <w:sz w:val="20"/>
                <w:szCs w:val="20"/>
                <w:color w:val="auto"/>
              </w:rPr>
            </w:pPr>
            <w:r>
              <w:rPr>
                <w:rFonts w:ascii="Arial" w:cs="Arial" w:eastAsia="Arial" w:hAnsi="Arial"/>
                <w:sz w:val="19"/>
                <w:szCs w:val="19"/>
                <w:color w:val="231F20"/>
              </w:rPr>
              <w:t>Revenue</w:t>
            </w:r>
          </w:p>
        </w:tc>
        <w:tc>
          <w:tcPr>
            <w:tcW w:w="120" w:type="dxa"/>
            <w:vAlign w:val="bottom"/>
            <w:shd w:val="clear" w:color="auto" w:fill="D0EBF2"/>
          </w:tcPr>
          <w:p>
            <w:pPr>
              <w:spacing w:after="0"/>
              <w:rPr>
                <w:sz w:val="19"/>
                <w:szCs w:val="19"/>
                <w:color w:val="auto"/>
              </w:rPr>
            </w:pPr>
          </w:p>
        </w:tc>
        <w:tc>
          <w:tcPr>
            <w:tcW w:w="16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492.1</w:t>
            </w:r>
          </w:p>
        </w:tc>
        <w:tc>
          <w:tcPr>
            <w:tcW w:w="10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240" w:type="dxa"/>
            <w:vAlign w:val="bottom"/>
            <w:shd w:val="clear" w:color="auto" w:fill="D0EBF2"/>
          </w:tcPr>
          <w:p>
            <w:pPr>
              <w:jc w:val="right"/>
              <w:ind w:right="26"/>
              <w:spacing w:after="0"/>
              <w:rPr>
                <w:sz w:val="20"/>
                <w:szCs w:val="20"/>
                <w:color w:val="auto"/>
              </w:rPr>
            </w:pPr>
            <w:r>
              <w:rPr>
                <w:rFonts w:ascii="Arial" w:cs="Arial" w:eastAsia="Arial" w:hAnsi="Arial"/>
                <w:sz w:val="19"/>
                <w:szCs w:val="19"/>
                <w:color w:val="231F20"/>
                <w:w w:val="94"/>
              </w:rPr>
              <w:t>$</w:t>
            </w:r>
          </w:p>
        </w:tc>
        <w:tc>
          <w:tcPr>
            <w:tcW w:w="8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403.1</w:t>
            </w:r>
          </w:p>
        </w:tc>
        <w:tc>
          <w:tcPr>
            <w:tcW w:w="160" w:type="dxa"/>
            <w:vAlign w:val="bottom"/>
            <w:shd w:val="clear" w:color="auto" w:fill="D0EBF2"/>
          </w:tcPr>
          <w:p>
            <w:pPr>
              <w:spacing w:after="0"/>
              <w:rPr>
                <w:sz w:val="19"/>
                <w:szCs w:val="19"/>
                <w:color w:val="auto"/>
              </w:rPr>
            </w:pPr>
          </w:p>
        </w:tc>
        <w:tc>
          <w:tcPr>
            <w:tcW w:w="8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89.0</w:t>
            </w:r>
          </w:p>
        </w:tc>
        <w:tc>
          <w:tcPr>
            <w:tcW w:w="200" w:type="dxa"/>
            <w:vAlign w:val="bottom"/>
            <w:shd w:val="clear" w:color="auto" w:fill="D0EBF2"/>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9"/>
                <w:szCs w:val="19"/>
                <w:color w:val="231F20"/>
              </w:rPr>
              <w:t>22.1%</w:t>
            </w:r>
          </w:p>
        </w:tc>
        <w:tc>
          <w:tcPr>
            <w:tcW w:w="0" w:type="dxa"/>
            <w:vAlign w:val="bottom"/>
          </w:tcPr>
          <w:p>
            <w:pPr>
              <w:spacing w:after="0"/>
              <w:rPr>
                <w:sz w:val="1"/>
                <w:szCs w:val="1"/>
                <w:color w:val="auto"/>
              </w:rPr>
            </w:pPr>
          </w:p>
        </w:tc>
      </w:tr>
      <w:tr>
        <w:trPr>
          <w:trHeight w:val="230"/>
        </w:trPr>
        <w:tc>
          <w:tcPr>
            <w:tcW w:w="5140" w:type="dxa"/>
            <w:vAlign w:val="bottom"/>
            <w:shd w:val="clear" w:color="auto" w:fill="FDFDFC"/>
          </w:tcPr>
          <w:p>
            <w:pPr>
              <w:spacing w:after="0"/>
              <w:rPr>
                <w:sz w:val="20"/>
                <w:szCs w:val="20"/>
                <w:color w:val="auto"/>
              </w:rPr>
            </w:pPr>
            <w:r>
              <w:rPr>
                <w:rFonts w:ascii="Arial" w:cs="Arial" w:eastAsia="Arial" w:hAnsi="Arial"/>
                <w:sz w:val="19"/>
                <w:szCs w:val="19"/>
                <w:color w:val="231F20"/>
              </w:rPr>
              <w:t>Payment processing services costs</w:t>
            </w:r>
          </w:p>
        </w:tc>
        <w:tc>
          <w:tcPr>
            <w:tcW w:w="1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177.5</w:t>
            </w: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8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147.3</w:t>
            </w:r>
          </w:p>
        </w:tc>
        <w:tc>
          <w:tcPr>
            <w:tcW w:w="16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30.2</w:t>
            </w:r>
          </w:p>
        </w:tc>
        <w:tc>
          <w:tcPr>
            <w:tcW w:w="200" w:type="dxa"/>
            <w:vAlign w:val="bottom"/>
            <w:shd w:val="clear" w:color="auto" w:fill="FDFDFC"/>
          </w:tcPr>
          <w:p>
            <w:pPr>
              <w:spacing w:after="0"/>
              <w:rPr>
                <w:sz w:val="20"/>
                <w:szCs w:val="20"/>
                <w:color w:val="auto"/>
              </w:rPr>
            </w:pPr>
          </w:p>
        </w:tc>
        <w:tc>
          <w:tcPr>
            <w:tcW w:w="1180" w:type="dxa"/>
            <w:vAlign w:val="bottom"/>
            <w:gridSpan w:val="2"/>
            <w:shd w:val="clear" w:color="auto" w:fill="FDFDFC"/>
          </w:tcPr>
          <w:p>
            <w:pPr>
              <w:jc w:val="right"/>
              <w:ind w:right="100"/>
              <w:spacing w:after="0"/>
              <w:rPr>
                <w:sz w:val="20"/>
                <w:szCs w:val="20"/>
                <w:color w:val="auto"/>
              </w:rPr>
            </w:pPr>
            <w:r>
              <w:rPr>
                <w:rFonts w:ascii="Arial" w:cs="Arial" w:eastAsia="Arial" w:hAnsi="Arial"/>
                <w:sz w:val="19"/>
                <w:szCs w:val="19"/>
                <w:color w:val="231F20"/>
              </w:rPr>
              <w:t>20.5%</w:t>
            </w:r>
          </w:p>
        </w:tc>
        <w:tc>
          <w:tcPr>
            <w:tcW w:w="0" w:type="dxa"/>
            <w:vAlign w:val="bottom"/>
          </w:tcPr>
          <w:p>
            <w:pPr>
              <w:spacing w:after="0"/>
              <w:rPr>
                <w:sz w:val="1"/>
                <w:szCs w:val="1"/>
                <w:color w:val="auto"/>
              </w:rPr>
            </w:pPr>
          </w:p>
        </w:tc>
      </w:tr>
      <w:tr>
        <w:trPr>
          <w:trHeight w:val="230"/>
        </w:trPr>
        <w:tc>
          <w:tcPr>
            <w:tcW w:w="5140" w:type="dxa"/>
            <w:vAlign w:val="bottom"/>
            <w:shd w:val="clear" w:color="auto" w:fill="D0EBF2"/>
          </w:tcPr>
          <w:p>
            <w:pPr>
              <w:spacing w:after="0"/>
              <w:rPr>
                <w:sz w:val="20"/>
                <w:szCs w:val="20"/>
                <w:color w:val="auto"/>
              </w:rPr>
            </w:pPr>
            <w:r>
              <w:rPr>
                <w:rFonts w:ascii="Arial" w:cs="Arial" w:eastAsia="Arial" w:hAnsi="Arial"/>
                <w:sz w:val="19"/>
                <w:szCs w:val="19"/>
                <w:color w:val="231F20"/>
              </w:rPr>
              <w:t>Technology and development</w:t>
            </w:r>
          </w:p>
        </w:tc>
        <w:tc>
          <w:tcPr>
            <w:tcW w:w="12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66.6</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8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62.0</w:t>
            </w:r>
          </w:p>
        </w:tc>
        <w:tc>
          <w:tcPr>
            <w:tcW w:w="16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4.6</w:t>
            </w:r>
          </w:p>
        </w:tc>
        <w:tc>
          <w:tcPr>
            <w:tcW w:w="200" w:type="dxa"/>
            <w:vAlign w:val="bottom"/>
            <w:shd w:val="clear" w:color="auto" w:fill="D0EBF2"/>
          </w:tcPr>
          <w:p>
            <w:pPr>
              <w:spacing w:after="0"/>
              <w:rPr>
                <w:sz w:val="20"/>
                <w:szCs w:val="20"/>
                <w:color w:val="auto"/>
              </w:rPr>
            </w:pPr>
          </w:p>
        </w:tc>
        <w:tc>
          <w:tcPr>
            <w:tcW w:w="1180" w:type="dxa"/>
            <w:vAlign w:val="bottom"/>
            <w:gridSpan w:val="2"/>
            <w:shd w:val="clear" w:color="auto" w:fill="D0EBF2"/>
          </w:tcPr>
          <w:p>
            <w:pPr>
              <w:jc w:val="right"/>
              <w:ind w:right="100"/>
              <w:spacing w:after="0"/>
              <w:rPr>
                <w:sz w:val="20"/>
                <w:szCs w:val="20"/>
                <w:color w:val="auto"/>
              </w:rPr>
            </w:pPr>
            <w:r>
              <w:rPr>
                <w:rFonts w:ascii="Arial" w:cs="Arial" w:eastAsia="Arial" w:hAnsi="Arial"/>
                <w:sz w:val="19"/>
                <w:szCs w:val="19"/>
                <w:color w:val="231F20"/>
              </w:rPr>
              <w:t>7.4%</w:t>
            </w:r>
          </w:p>
        </w:tc>
        <w:tc>
          <w:tcPr>
            <w:tcW w:w="0" w:type="dxa"/>
            <w:vAlign w:val="bottom"/>
          </w:tcPr>
          <w:p>
            <w:pPr>
              <w:spacing w:after="0"/>
              <w:rPr>
                <w:sz w:val="1"/>
                <w:szCs w:val="1"/>
                <w:color w:val="auto"/>
              </w:rPr>
            </w:pPr>
          </w:p>
        </w:tc>
      </w:tr>
      <w:tr>
        <w:trPr>
          <w:trHeight w:val="230"/>
        </w:trPr>
        <w:tc>
          <w:tcPr>
            <w:tcW w:w="5140" w:type="dxa"/>
            <w:vAlign w:val="bottom"/>
            <w:shd w:val="clear" w:color="auto" w:fill="FDFDFC"/>
          </w:tcPr>
          <w:p>
            <w:pPr>
              <w:spacing w:after="0"/>
              <w:rPr>
                <w:sz w:val="20"/>
                <w:szCs w:val="20"/>
                <w:color w:val="auto"/>
              </w:rPr>
            </w:pPr>
            <w:r>
              <w:rPr>
                <w:rFonts w:ascii="Arial" w:cs="Arial" w:eastAsia="Arial" w:hAnsi="Arial"/>
                <w:sz w:val="19"/>
                <w:szCs w:val="19"/>
                <w:color w:val="231F20"/>
              </w:rPr>
              <w:t>Selling and marketing</w:t>
            </w:r>
          </w:p>
        </w:tc>
        <w:tc>
          <w:tcPr>
            <w:tcW w:w="1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129.4</w:t>
            </w: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8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107.6</w:t>
            </w:r>
          </w:p>
        </w:tc>
        <w:tc>
          <w:tcPr>
            <w:tcW w:w="16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21.8</w:t>
            </w:r>
          </w:p>
        </w:tc>
        <w:tc>
          <w:tcPr>
            <w:tcW w:w="200" w:type="dxa"/>
            <w:vAlign w:val="bottom"/>
            <w:shd w:val="clear" w:color="auto" w:fill="FDFDFC"/>
          </w:tcPr>
          <w:p>
            <w:pPr>
              <w:spacing w:after="0"/>
              <w:rPr>
                <w:sz w:val="20"/>
                <w:szCs w:val="20"/>
                <w:color w:val="auto"/>
              </w:rPr>
            </w:pPr>
          </w:p>
        </w:tc>
        <w:tc>
          <w:tcPr>
            <w:tcW w:w="1180" w:type="dxa"/>
            <w:vAlign w:val="bottom"/>
            <w:gridSpan w:val="2"/>
            <w:shd w:val="clear" w:color="auto" w:fill="FDFDFC"/>
          </w:tcPr>
          <w:p>
            <w:pPr>
              <w:jc w:val="right"/>
              <w:ind w:right="100"/>
              <w:spacing w:after="0"/>
              <w:rPr>
                <w:sz w:val="20"/>
                <w:szCs w:val="20"/>
                <w:color w:val="auto"/>
              </w:rPr>
            </w:pPr>
            <w:r>
              <w:rPr>
                <w:rFonts w:ascii="Arial" w:cs="Arial" w:eastAsia="Arial" w:hAnsi="Arial"/>
                <w:sz w:val="19"/>
                <w:szCs w:val="19"/>
                <w:color w:val="231F20"/>
              </w:rPr>
              <w:t>20.3%</w:t>
            </w:r>
          </w:p>
        </w:tc>
        <w:tc>
          <w:tcPr>
            <w:tcW w:w="0" w:type="dxa"/>
            <w:vAlign w:val="bottom"/>
          </w:tcPr>
          <w:p>
            <w:pPr>
              <w:spacing w:after="0"/>
              <w:rPr>
                <w:sz w:val="1"/>
                <w:szCs w:val="1"/>
                <w:color w:val="auto"/>
              </w:rPr>
            </w:pPr>
          </w:p>
        </w:tc>
      </w:tr>
      <w:tr>
        <w:trPr>
          <w:trHeight w:val="230"/>
        </w:trPr>
        <w:tc>
          <w:tcPr>
            <w:tcW w:w="5140" w:type="dxa"/>
            <w:vAlign w:val="bottom"/>
            <w:shd w:val="clear" w:color="auto" w:fill="D0EBF2"/>
          </w:tcPr>
          <w:p>
            <w:pPr>
              <w:spacing w:after="0"/>
              <w:rPr>
                <w:sz w:val="20"/>
                <w:szCs w:val="20"/>
                <w:color w:val="auto"/>
              </w:rPr>
            </w:pPr>
            <w:r>
              <w:rPr>
                <w:rFonts w:ascii="Arial" w:cs="Arial" w:eastAsia="Arial" w:hAnsi="Arial"/>
                <w:sz w:val="19"/>
                <w:szCs w:val="19"/>
                <w:color w:val="231F20"/>
              </w:rPr>
              <w:t>General and administrative</w:t>
            </w:r>
          </w:p>
        </w:tc>
        <w:tc>
          <w:tcPr>
            <w:tcW w:w="12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125.8</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8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107.6</w:t>
            </w:r>
          </w:p>
        </w:tc>
        <w:tc>
          <w:tcPr>
            <w:tcW w:w="16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18.2</w:t>
            </w:r>
          </w:p>
        </w:tc>
        <w:tc>
          <w:tcPr>
            <w:tcW w:w="200" w:type="dxa"/>
            <w:vAlign w:val="bottom"/>
            <w:shd w:val="clear" w:color="auto" w:fill="D0EBF2"/>
          </w:tcPr>
          <w:p>
            <w:pPr>
              <w:spacing w:after="0"/>
              <w:rPr>
                <w:sz w:val="20"/>
                <w:szCs w:val="20"/>
                <w:color w:val="auto"/>
              </w:rPr>
            </w:pPr>
          </w:p>
        </w:tc>
        <w:tc>
          <w:tcPr>
            <w:tcW w:w="1180" w:type="dxa"/>
            <w:vAlign w:val="bottom"/>
            <w:gridSpan w:val="2"/>
            <w:shd w:val="clear" w:color="auto" w:fill="D0EBF2"/>
          </w:tcPr>
          <w:p>
            <w:pPr>
              <w:jc w:val="right"/>
              <w:ind w:right="100"/>
              <w:spacing w:after="0"/>
              <w:rPr>
                <w:sz w:val="20"/>
                <w:szCs w:val="20"/>
                <w:color w:val="auto"/>
              </w:rPr>
            </w:pPr>
            <w:r>
              <w:rPr>
                <w:rFonts w:ascii="Arial" w:cs="Arial" w:eastAsia="Arial" w:hAnsi="Arial"/>
                <w:sz w:val="19"/>
                <w:szCs w:val="19"/>
                <w:color w:val="231F20"/>
              </w:rPr>
              <w:t>16.9%</w:t>
            </w:r>
          </w:p>
        </w:tc>
        <w:tc>
          <w:tcPr>
            <w:tcW w:w="0" w:type="dxa"/>
            <w:vAlign w:val="bottom"/>
          </w:tcPr>
          <w:p>
            <w:pPr>
              <w:spacing w:after="0"/>
              <w:rPr>
                <w:sz w:val="1"/>
                <w:szCs w:val="1"/>
                <w:color w:val="auto"/>
              </w:rPr>
            </w:pPr>
          </w:p>
        </w:tc>
      </w:tr>
      <w:tr>
        <w:trPr>
          <w:trHeight w:val="230"/>
        </w:trPr>
        <w:tc>
          <w:tcPr>
            <w:tcW w:w="51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Total costs and operating expense</w:t>
            </w:r>
          </w:p>
        </w:tc>
        <w:tc>
          <w:tcPr>
            <w:tcW w:w="1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499.4</w:t>
            </w: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8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424.6</w:t>
            </w:r>
          </w:p>
        </w:tc>
        <w:tc>
          <w:tcPr>
            <w:tcW w:w="16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74.8</w:t>
            </w:r>
          </w:p>
        </w:tc>
        <w:tc>
          <w:tcPr>
            <w:tcW w:w="200" w:type="dxa"/>
            <w:vAlign w:val="bottom"/>
            <w:shd w:val="clear" w:color="auto" w:fill="FDFDFC"/>
          </w:tcPr>
          <w:p>
            <w:pPr>
              <w:spacing w:after="0"/>
              <w:rPr>
                <w:sz w:val="20"/>
                <w:szCs w:val="20"/>
                <w:color w:val="auto"/>
              </w:rPr>
            </w:pPr>
          </w:p>
        </w:tc>
        <w:tc>
          <w:tcPr>
            <w:tcW w:w="1180" w:type="dxa"/>
            <w:vAlign w:val="bottom"/>
            <w:gridSpan w:val="2"/>
            <w:shd w:val="clear" w:color="auto" w:fill="FDFDFC"/>
          </w:tcPr>
          <w:p>
            <w:pPr>
              <w:jc w:val="right"/>
              <w:ind w:right="100"/>
              <w:spacing w:after="0"/>
              <w:rPr>
                <w:sz w:val="20"/>
                <w:szCs w:val="20"/>
                <w:color w:val="auto"/>
              </w:rPr>
            </w:pPr>
            <w:r>
              <w:rPr>
                <w:rFonts w:ascii="Arial" w:cs="Arial" w:eastAsia="Arial" w:hAnsi="Arial"/>
                <w:sz w:val="19"/>
                <w:szCs w:val="19"/>
                <w:color w:val="231F20"/>
              </w:rPr>
              <w:t>17.6%</w:t>
            </w:r>
          </w:p>
        </w:tc>
        <w:tc>
          <w:tcPr>
            <w:tcW w:w="0" w:type="dxa"/>
            <w:vAlign w:val="bottom"/>
          </w:tcPr>
          <w:p>
            <w:pPr>
              <w:spacing w:after="0"/>
              <w:rPr>
                <w:sz w:val="1"/>
                <w:szCs w:val="1"/>
                <w:color w:val="auto"/>
              </w:rPr>
            </w:pPr>
          </w:p>
        </w:tc>
      </w:tr>
      <w:tr>
        <w:trPr>
          <w:trHeight w:val="230"/>
        </w:trPr>
        <w:tc>
          <w:tcPr>
            <w:tcW w:w="51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Loss from operations</w:t>
            </w:r>
          </w:p>
        </w:tc>
        <w:tc>
          <w:tcPr>
            <w:tcW w:w="12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98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(7.3)</w:t>
            </w:r>
          </w:p>
        </w:tc>
        <w:tc>
          <w:tcPr>
            <w:tcW w:w="12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960" w:type="dxa"/>
            <w:vAlign w:val="bottom"/>
            <w:gridSpan w:val="2"/>
            <w:shd w:val="clear" w:color="auto" w:fill="D0EBF2"/>
          </w:tcPr>
          <w:p>
            <w:pPr>
              <w:jc w:val="right"/>
              <w:ind w:right="100"/>
              <w:spacing w:after="0"/>
              <w:rPr>
                <w:sz w:val="20"/>
                <w:szCs w:val="20"/>
                <w:color w:val="auto"/>
              </w:rPr>
            </w:pPr>
            <w:r>
              <w:rPr>
                <w:rFonts w:ascii="Arial" w:cs="Arial" w:eastAsia="Arial" w:hAnsi="Arial"/>
                <w:sz w:val="19"/>
                <w:szCs w:val="19"/>
                <w:color w:val="231F20"/>
              </w:rPr>
              <w:t>(21.5)</w:t>
            </w:r>
          </w:p>
        </w:tc>
        <w:tc>
          <w:tcPr>
            <w:tcW w:w="8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14.2</w:t>
            </w:r>
          </w:p>
        </w:tc>
        <w:tc>
          <w:tcPr>
            <w:tcW w:w="200" w:type="dxa"/>
            <w:vAlign w:val="bottom"/>
            <w:shd w:val="clear" w:color="auto" w:fill="D0EBF2"/>
          </w:tcPr>
          <w:p>
            <w:pPr>
              <w:spacing w:after="0"/>
              <w:rPr>
                <w:sz w:val="20"/>
                <w:szCs w:val="20"/>
                <w:color w:val="auto"/>
              </w:rPr>
            </w:pPr>
          </w:p>
        </w:tc>
        <w:tc>
          <w:tcPr>
            <w:tcW w:w="118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(66.0)%</w:t>
            </w:r>
          </w:p>
        </w:tc>
        <w:tc>
          <w:tcPr>
            <w:tcW w:w="0" w:type="dxa"/>
            <w:vAlign w:val="bottom"/>
          </w:tcPr>
          <w:p>
            <w:pPr>
              <w:spacing w:after="0"/>
              <w:rPr>
                <w:sz w:val="1"/>
                <w:szCs w:val="1"/>
                <w:color w:val="auto"/>
              </w:rPr>
            </w:pPr>
          </w:p>
        </w:tc>
      </w:tr>
      <w:tr>
        <w:trPr>
          <w:trHeight w:val="230"/>
        </w:trPr>
        <w:tc>
          <w:tcPr>
            <w:tcW w:w="5140" w:type="dxa"/>
            <w:vAlign w:val="bottom"/>
            <w:shd w:val="clear" w:color="auto" w:fill="FDFDFC"/>
          </w:tcPr>
          <w:p>
            <w:pPr>
              <w:spacing w:after="0"/>
              <w:rPr>
                <w:sz w:val="20"/>
                <w:szCs w:val="20"/>
                <w:color w:val="auto"/>
              </w:rPr>
            </w:pPr>
            <w:r>
              <w:rPr>
                <w:rFonts w:ascii="Arial" w:cs="Arial" w:eastAsia="Arial" w:hAnsi="Arial"/>
                <w:sz w:val="19"/>
                <w:szCs w:val="19"/>
                <w:color w:val="231F20"/>
              </w:rPr>
              <w:t>Interest expense</w:t>
            </w:r>
          </w:p>
        </w:tc>
        <w:tc>
          <w:tcPr>
            <w:tcW w:w="1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98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(0.5)</w:t>
            </w:r>
          </w:p>
        </w:tc>
        <w:tc>
          <w:tcPr>
            <w:tcW w:w="12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960" w:type="dxa"/>
            <w:vAlign w:val="bottom"/>
            <w:gridSpan w:val="2"/>
            <w:shd w:val="clear" w:color="auto" w:fill="FDFDFC"/>
          </w:tcPr>
          <w:p>
            <w:pPr>
              <w:jc w:val="right"/>
              <w:ind w:right="100"/>
              <w:spacing w:after="0"/>
              <w:rPr>
                <w:sz w:val="20"/>
                <w:szCs w:val="20"/>
                <w:color w:val="auto"/>
              </w:rPr>
            </w:pPr>
            <w:r>
              <w:rPr>
                <w:rFonts w:ascii="Arial" w:cs="Arial" w:eastAsia="Arial" w:hAnsi="Arial"/>
                <w:sz w:val="19"/>
                <w:szCs w:val="19"/>
                <w:color w:val="231F20"/>
              </w:rPr>
              <w:t>(0.4)</w:t>
            </w:r>
          </w:p>
        </w:tc>
        <w:tc>
          <w:tcPr>
            <w:tcW w:w="8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100" w:type="dxa"/>
            <w:vAlign w:val="bottom"/>
            <w:gridSpan w:val="2"/>
            <w:shd w:val="clear" w:color="auto" w:fill="FDFDFC"/>
          </w:tcPr>
          <w:p>
            <w:pPr>
              <w:jc w:val="right"/>
              <w:ind w:right="140"/>
              <w:spacing w:after="0"/>
              <w:rPr>
                <w:sz w:val="20"/>
                <w:szCs w:val="20"/>
                <w:color w:val="auto"/>
              </w:rPr>
            </w:pPr>
            <w:r>
              <w:rPr>
                <w:rFonts w:ascii="Arial" w:cs="Arial" w:eastAsia="Arial" w:hAnsi="Arial"/>
                <w:sz w:val="19"/>
                <w:szCs w:val="19"/>
                <w:color w:val="231F20"/>
              </w:rPr>
              <w:t>(0.1)</w:t>
            </w:r>
          </w:p>
        </w:tc>
        <w:tc>
          <w:tcPr>
            <w:tcW w:w="1180" w:type="dxa"/>
            <w:vAlign w:val="bottom"/>
            <w:gridSpan w:val="2"/>
            <w:shd w:val="clear" w:color="auto" w:fill="FDFDFC"/>
          </w:tcPr>
          <w:p>
            <w:pPr>
              <w:jc w:val="right"/>
              <w:ind w:right="100"/>
              <w:spacing w:after="0"/>
              <w:rPr>
                <w:sz w:val="20"/>
                <w:szCs w:val="20"/>
                <w:color w:val="auto"/>
              </w:rPr>
            </w:pPr>
            <w:r>
              <w:rPr>
                <w:rFonts w:ascii="Arial" w:cs="Arial" w:eastAsia="Arial" w:hAnsi="Arial"/>
                <w:sz w:val="19"/>
                <w:szCs w:val="19"/>
                <w:color w:val="231F20"/>
              </w:rPr>
              <w:t>25.0%</w:t>
            </w:r>
          </w:p>
        </w:tc>
        <w:tc>
          <w:tcPr>
            <w:tcW w:w="0" w:type="dxa"/>
            <w:vAlign w:val="bottom"/>
          </w:tcPr>
          <w:p>
            <w:pPr>
              <w:spacing w:after="0"/>
              <w:rPr>
                <w:sz w:val="1"/>
                <w:szCs w:val="1"/>
                <w:color w:val="auto"/>
              </w:rPr>
            </w:pPr>
          </w:p>
        </w:tc>
      </w:tr>
      <w:tr>
        <w:trPr>
          <w:trHeight w:val="230"/>
        </w:trPr>
        <w:tc>
          <w:tcPr>
            <w:tcW w:w="5140" w:type="dxa"/>
            <w:vAlign w:val="bottom"/>
            <w:shd w:val="clear" w:color="auto" w:fill="D0EBF2"/>
          </w:tcPr>
          <w:p>
            <w:pPr>
              <w:spacing w:after="0"/>
              <w:rPr>
                <w:sz w:val="20"/>
                <w:szCs w:val="20"/>
                <w:color w:val="auto"/>
              </w:rPr>
            </w:pPr>
            <w:r>
              <w:rPr>
                <w:rFonts w:ascii="Arial" w:cs="Arial" w:eastAsia="Arial" w:hAnsi="Arial"/>
                <w:sz w:val="19"/>
                <w:szCs w:val="19"/>
                <w:color w:val="231F20"/>
              </w:rPr>
              <w:t>Interest income</w:t>
            </w:r>
          </w:p>
        </w:tc>
        <w:tc>
          <w:tcPr>
            <w:tcW w:w="12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21.4</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8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13.3</w:t>
            </w:r>
          </w:p>
        </w:tc>
        <w:tc>
          <w:tcPr>
            <w:tcW w:w="16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8.1</w:t>
            </w:r>
          </w:p>
        </w:tc>
        <w:tc>
          <w:tcPr>
            <w:tcW w:w="200" w:type="dxa"/>
            <w:vAlign w:val="bottom"/>
            <w:shd w:val="clear" w:color="auto" w:fill="D0EBF2"/>
          </w:tcPr>
          <w:p>
            <w:pPr>
              <w:spacing w:after="0"/>
              <w:rPr>
                <w:sz w:val="20"/>
                <w:szCs w:val="20"/>
                <w:color w:val="auto"/>
              </w:rPr>
            </w:pPr>
          </w:p>
        </w:tc>
        <w:tc>
          <w:tcPr>
            <w:tcW w:w="1180" w:type="dxa"/>
            <w:vAlign w:val="bottom"/>
            <w:gridSpan w:val="2"/>
            <w:shd w:val="clear" w:color="auto" w:fill="D0EBF2"/>
          </w:tcPr>
          <w:p>
            <w:pPr>
              <w:jc w:val="right"/>
              <w:ind w:right="100"/>
              <w:spacing w:after="0"/>
              <w:rPr>
                <w:sz w:val="20"/>
                <w:szCs w:val="20"/>
                <w:color w:val="auto"/>
              </w:rPr>
            </w:pPr>
            <w:r>
              <w:rPr>
                <w:rFonts w:ascii="Arial" w:cs="Arial" w:eastAsia="Arial" w:hAnsi="Arial"/>
                <w:sz w:val="19"/>
                <w:szCs w:val="19"/>
                <w:color w:val="231F20"/>
              </w:rPr>
              <w:t>60.9%</w:t>
            </w:r>
          </w:p>
        </w:tc>
        <w:tc>
          <w:tcPr>
            <w:tcW w:w="0" w:type="dxa"/>
            <w:vAlign w:val="bottom"/>
          </w:tcPr>
          <w:p>
            <w:pPr>
              <w:spacing w:after="0"/>
              <w:rPr>
                <w:sz w:val="1"/>
                <w:szCs w:val="1"/>
                <w:color w:val="auto"/>
              </w:rPr>
            </w:pPr>
          </w:p>
        </w:tc>
      </w:tr>
      <w:tr>
        <w:trPr>
          <w:trHeight w:val="230"/>
        </w:trPr>
        <w:tc>
          <w:tcPr>
            <w:tcW w:w="5140" w:type="dxa"/>
            <w:vAlign w:val="bottom"/>
            <w:shd w:val="clear" w:color="auto" w:fill="FDFDFC"/>
          </w:tcPr>
          <w:p>
            <w:pPr>
              <w:spacing w:after="0"/>
              <w:rPr>
                <w:sz w:val="20"/>
                <w:szCs w:val="20"/>
                <w:color w:val="auto"/>
              </w:rPr>
            </w:pPr>
            <w:r>
              <w:rPr>
                <w:rFonts w:ascii="Arial" w:cs="Arial" w:eastAsia="Arial" w:hAnsi="Arial"/>
                <w:sz w:val="19"/>
                <w:szCs w:val="19"/>
                <w:color w:val="231F20"/>
              </w:rPr>
              <w:t>(Loss) gain from remeasurement of foreign currency</w:t>
            </w:r>
          </w:p>
        </w:tc>
        <w:tc>
          <w:tcPr>
            <w:tcW w:w="1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98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(11.8)</w:t>
            </w:r>
          </w:p>
        </w:tc>
        <w:tc>
          <w:tcPr>
            <w:tcW w:w="12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8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4.2</w:t>
            </w:r>
          </w:p>
        </w:tc>
        <w:tc>
          <w:tcPr>
            <w:tcW w:w="16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100" w:type="dxa"/>
            <w:vAlign w:val="bottom"/>
            <w:gridSpan w:val="2"/>
            <w:shd w:val="clear" w:color="auto" w:fill="FDFDFC"/>
          </w:tcPr>
          <w:p>
            <w:pPr>
              <w:jc w:val="right"/>
              <w:ind w:right="140"/>
              <w:spacing w:after="0"/>
              <w:rPr>
                <w:sz w:val="20"/>
                <w:szCs w:val="20"/>
                <w:color w:val="auto"/>
              </w:rPr>
            </w:pPr>
            <w:r>
              <w:rPr>
                <w:rFonts w:ascii="Arial" w:cs="Arial" w:eastAsia="Arial" w:hAnsi="Arial"/>
                <w:sz w:val="19"/>
                <w:szCs w:val="19"/>
                <w:color w:val="231F20"/>
              </w:rPr>
              <w:t>(16.0)</w:t>
            </w:r>
          </w:p>
        </w:tc>
        <w:tc>
          <w:tcPr>
            <w:tcW w:w="118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(381.0)%</w:t>
            </w:r>
          </w:p>
        </w:tc>
        <w:tc>
          <w:tcPr>
            <w:tcW w:w="0" w:type="dxa"/>
            <w:vAlign w:val="bottom"/>
          </w:tcPr>
          <w:p>
            <w:pPr>
              <w:spacing w:after="0"/>
              <w:rPr>
                <w:sz w:val="1"/>
                <w:szCs w:val="1"/>
                <w:color w:val="auto"/>
              </w:rPr>
            </w:pPr>
          </w:p>
        </w:tc>
      </w:tr>
      <w:tr>
        <w:trPr>
          <w:trHeight w:val="230"/>
        </w:trPr>
        <w:tc>
          <w:tcPr>
            <w:tcW w:w="51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Total other income (expense), net</w:t>
            </w:r>
          </w:p>
        </w:tc>
        <w:tc>
          <w:tcPr>
            <w:tcW w:w="12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9.1</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8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17.2</w:t>
            </w:r>
          </w:p>
        </w:tc>
        <w:tc>
          <w:tcPr>
            <w:tcW w:w="16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100" w:type="dxa"/>
            <w:vAlign w:val="bottom"/>
            <w:gridSpan w:val="2"/>
            <w:shd w:val="clear" w:color="auto" w:fill="D0EBF2"/>
          </w:tcPr>
          <w:p>
            <w:pPr>
              <w:jc w:val="right"/>
              <w:ind w:right="140"/>
              <w:spacing w:after="0"/>
              <w:rPr>
                <w:sz w:val="20"/>
                <w:szCs w:val="20"/>
                <w:color w:val="auto"/>
              </w:rPr>
            </w:pPr>
            <w:r>
              <w:rPr>
                <w:rFonts w:ascii="Arial" w:cs="Arial" w:eastAsia="Arial" w:hAnsi="Arial"/>
                <w:sz w:val="19"/>
                <w:szCs w:val="19"/>
                <w:color w:val="231F20"/>
              </w:rPr>
              <w:t>(8.1)</w:t>
            </w:r>
          </w:p>
        </w:tc>
        <w:tc>
          <w:tcPr>
            <w:tcW w:w="118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(47.1)%</w:t>
            </w:r>
          </w:p>
        </w:tc>
        <w:tc>
          <w:tcPr>
            <w:tcW w:w="0" w:type="dxa"/>
            <w:vAlign w:val="bottom"/>
          </w:tcPr>
          <w:p>
            <w:pPr>
              <w:spacing w:after="0"/>
              <w:rPr>
                <w:sz w:val="1"/>
                <w:szCs w:val="1"/>
                <w:color w:val="auto"/>
              </w:rPr>
            </w:pPr>
          </w:p>
        </w:tc>
      </w:tr>
      <w:tr>
        <w:trPr>
          <w:trHeight w:val="213"/>
        </w:trPr>
        <w:tc>
          <w:tcPr>
            <w:tcW w:w="5140" w:type="dxa"/>
            <w:vAlign w:val="bottom"/>
            <w:shd w:val="clear" w:color="auto" w:fill="FDFDFC"/>
          </w:tcPr>
          <w:p>
            <w:pPr>
              <w:ind w:left="260"/>
              <w:spacing w:after="0" w:line="213" w:lineRule="exact"/>
              <w:rPr>
                <w:sz w:val="20"/>
                <w:szCs w:val="20"/>
                <w:color w:val="auto"/>
              </w:rPr>
            </w:pPr>
            <w:r>
              <w:rPr>
                <w:rFonts w:ascii="Arial" w:cs="Arial" w:eastAsia="Arial" w:hAnsi="Arial"/>
                <w:sz w:val="19"/>
                <w:szCs w:val="19"/>
                <w:color w:val="231F20"/>
              </w:rPr>
              <w:t>Income (loss) before (benefit from) provision for</w:t>
            </w:r>
          </w:p>
        </w:tc>
        <w:tc>
          <w:tcPr>
            <w:tcW w:w="12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8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1.9</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960" w:type="dxa"/>
            <w:vAlign w:val="bottom"/>
            <w:gridSpan w:val="2"/>
            <w:vMerge w:val="restart"/>
            <w:shd w:val="clear" w:color="auto" w:fill="FDFDFC"/>
          </w:tcPr>
          <w:p>
            <w:pPr>
              <w:jc w:val="right"/>
              <w:ind w:right="100"/>
              <w:spacing w:after="0"/>
              <w:rPr>
                <w:sz w:val="20"/>
                <w:szCs w:val="20"/>
                <w:color w:val="auto"/>
              </w:rPr>
            </w:pPr>
            <w:r>
              <w:rPr>
                <w:rFonts w:ascii="Arial" w:cs="Arial" w:eastAsia="Arial" w:hAnsi="Arial"/>
                <w:sz w:val="19"/>
                <w:szCs w:val="19"/>
                <w:color w:val="231F20"/>
              </w:rPr>
              <w:t>(4.4)</w:t>
            </w:r>
          </w:p>
        </w:tc>
        <w:tc>
          <w:tcPr>
            <w:tcW w:w="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0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6.3</w:t>
            </w:r>
          </w:p>
        </w:tc>
        <w:tc>
          <w:tcPr>
            <w:tcW w:w="200" w:type="dxa"/>
            <w:vAlign w:val="bottom"/>
            <w:shd w:val="clear" w:color="auto" w:fill="FDFDFC"/>
          </w:tcPr>
          <w:p>
            <w:pPr>
              <w:spacing w:after="0"/>
              <w:rPr>
                <w:sz w:val="18"/>
                <w:szCs w:val="18"/>
                <w:color w:val="auto"/>
              </w:rPr>
            </w:pPr>
          </w:p>
        </w:tc>
        <w:tc>
          <w:tcPr>
            <w:tcW w:w="1180" w:type="dxa"/>
            <w:vAlign w:val="bottom"/>
            <w:gridSpan w:val="2"/>
            <w:vMerge w:val="restart"/>
            <w:shd w:val="clear" w:color="auto" w:fill="FDFDFC"/>
          </w:tcPr>
          <w:p>
            <w:pPr>
              <w:jc w:val="right"/>
              <w:ind w:right="40"/>
              <w:spacing w:after="0"/>
              <w:rPr>
                <w:sz w:val="20"/>
                <w:szCs w:val="20"/>
                <w:color w:val="auto"/>
              </w:rPr>
            </w:pPr>
            <w:r>
              <w:rPr>
                <w:rFonts w:ascii="Arial" w:cs="Arial" w:eastAsia="Arial" w:hAnsi="Arial"/>
                <w:sz w:val="19"/>
                <w:szCs w:val="19"/>
                <w:color w:val="231F20"/>
              </w:rPr>
              <w:t>(143.2)%</w:t>
            </w:r>
          </w:p>
        </w:tc>
        <w:tc>
          <w:tcPr>
            <w:tcW w:w="0" w:type="dxa"/>
            <w:vAlign w:val="bottom"/>
          </w:tcPr>
          <w:p>
            <w:pPr>
              <w:spacing w:after="0"/>
              <w:rPr>
                <w:sz w:val="1"/>
                <w:szCs w:val="1"/>
                <w:color w:val="auto"/>
              </w:rPr>
            </w:pPr>
          </w:p>
        </w:tc>
      </w:tr>
      <w:tr>
        <w:trPr>
          <w:trHeight w:val="235"/>
        </w:trPr>
        <w:tc>
          <w:tcPr>
            <w:tcW w:w="5140" w:type="dxa"/>
            <w:vAlign w:val="bottom"/>
            <w:shd w:val="clear" w:color="auto" w:fill="FDFDFC"/>
          </w:tcPr>
          <w:p>
            <w:pPr>
              <w:ind w:left="360"/>
              <w:spacing w:after="0"/>
              <w:rPr>
                <w:sz w:val="20"/>
                <w:szCs w:val="20"/>
                <w:color w:val="auto"/>
              </w:rPr>
            </w:pPr>
            <w:r>
              <w:rPr>
                <w:rFonts w:ascii="Arial" w:cs="Arial" w:eastAsia="Arial" w:hAnsi="Arial"/>
                <w:sz w:val="19"/>
                <w:szCs w:val="19"/>
                <w:color w:val="231F20"/>
              </w:rPr>
              <w:t>income taxes</w:t>
            </w:r>
          </w:p>
        </w:tc>
        <w:tc>
          <w:tcPr>
            <w:tcW w:w="1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880" w:type="dxa"/>
            <w:vAlign w:val="bottom"/>
            <w:vMerge w:val="continue"/>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960" w:type="dxa"/>
            <w:vAlign w:val="bottom"/>
            <w:gridSpan w:val="2"/>
            <w:vMerge w:val="continue"/>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900" w:type="dxa"/>
            <w:vAlign w:val="bottom"/>
            <w:vMerge w:val="continue"/>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180" w:type="dxa"/>
            <w:vAlign w:val="bottom"/>
            <w:gridSpan w:val="2"/>
            <w:vMerge w:val="continue"/>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D0EBF2"/>
          </w:tcPr>
          <w:p>
            <w:pPr>
              <w:spacing w:after="0"/>
              <w:rPr>
                <w:sz w:val="20"/>
                <w:szCs w:val="20"/>
                <w:color w:val="auto"/>
              </w:rPr>
            </w:pPr>
            <w:r>
              <w:rPr>
                <w:rFonts w:ascii="Arial" w:cs="Arial" w:eastAsia="Arial" w:hAnsi="Arial"/>
                <w:sz w:val="19"/>
                <w:szCs w:val="19"/>
                <w:color w:val="231F20"/>
              </w:rPr>
              <w:t>(Benefit from) provision for income taxes</w:t>
            </w:r>
          </w:p>
        </w:tc>
        <w:tc>
          <w:tcPr>
            <w:tcW w:w="12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98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(1.0)</w:t>
            </w:r>
          </w:p>
        </w:tc>
        <w:tc>
          <w:tcPr>
            <w:tcW w:w="12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8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4.2</w:t>
            </w:r>
          </w:p>
        </w:tc>
        <w:tc>
          <w:tcPr>
            <w:tcW w:w="16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100" w:type="dxa"/>
            <w:vAlign w:val="bottom"/>
            <w:gridSpan w:val="2"/>
            <w:shd w:val="clear" w:color="auto" w:fill="D0EBF2"/>
          </w:tcPr>
          <w:p>
            <w:pPr>
              <w:jc w:val="right"/>
              <w:ind w:right="140"/>
              <w:spacing w:after="0"/>
              <w:rPr>
                <w:sz w:val="20"/>
                <w:szCs w:val="20"/>
                <w:color w:val="auto"/>
              </w:rPr>
            </w:pPr>
            <w:r>
              <w:rPr>
                <w:rFonts w:ascii="Arial" w:cs="Arial" w:eastAsia="Arial" w:hAnsi="Arial"/>
                <w:sz w:val="19"/>
                <w:szCs w:val="19"/>
                <w:color w:val="231F20"/>
              </w:rPr>
              <w:t>(5.2)</w:t>
            </w:r>
          </w:p>
        </w:tc>
        <w:tc>
          <w:tcPr>
            <w:tcW w:w="118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(123.8)%</w:t>
            </w:r>
          </w:p>
        </w:tc>
        <w:tc>
          <w:tcPr>
            <w:tcW w:w="0" w:type="dxa"/>
            <w:vAlign w:val="bottom"/>
          </w:tcPr>
          <w:p>
            <w:pPr>
              <w:spacing w:after="0"/>
              <w:rPr>
                <w:sz w:val="1"/>
                <w:szCs w:val="1"/>
                <w:color w:val="auto"/>
              </w:rPr>
            </w:pPr>
          </w:p>
        </w:tc>
      </w:tr>
      <w:tr>
        <w:trPr>
          <w:trHeight w:val="230"/>
        </w:trPr>
        <w:tc>
          <w:tcPr>
            <w:tcW w:w="51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Net income (loss)</w:t>
            </w:r>
          </w:p>
        </w:tc>
        <w:tc>
          <w:tcPr>
            <w:tcW w:w="1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2.9</w:t>
            </w: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960" w:type="dxa"/>
            <w:vAlign w:val="bottom"/>
            <w:gridSpan w:val="2"/>
            <w:shd w:val="clear" w:color="auto" w:fill="FDFDFC"/>
          </w:tcPr>
          <w:p>
            <w:pPr>
              <w:jc w:val="right"/>
              <w:ind w:right="100"/>
              <w:spacing w:after="0"/>
              <w:rPr>
                <w:sz w:val="20"/>
                <w:szCs w:val="20"/>
                <w:color w:val="auto"/>
              </w:rPr>
            </w:pPr>
            <w:r>
              <w:rPr>
                <w:rFonts w:ascii="Arial" w:cs="Arial" w:eastAsia="Arial" w:hAnsi="Arial"/>
                <w:sz w:val="19"/>
                <w:szCs w:val="19"/>
                <w:color w:val="231F20"/>
              </w:rPr>
              <w:t>(8.6)</w:t>
            </w:r>
          </w:p>
        </w:tc>
        <w:tc>
          <w:tcPr>
            <w:tcW w:w="8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11.5</w:t>
            </w:r>
          </w:p>
        </w:tc>
        <w:tc>
          <w:tcPr>
            <w:tcW w:w="200" w:type="dxa"/>
            <w:vAlign w:val="bottom"/>
            <w:shd w:val="clear" w:color="auto" w:fill="FDFDFC"/>
          </w:tcPr>
          <w:p>
            <w:pPr>
              <w:spacing w:after="0"/>
              <w:rPr>
                <w:sz w:val="20"/>
                <w:szCs w:val="20"/>
                <w:color w:val="auto"/>
              </w:rPr>
            </w:pPr>
          </w:p>
        </w:tc>
        <w:tc>
          <w:tcPr>
            <w:tcW w:w="118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(133.7)%</w:t>
            </w:r>
          </w:p>
        </w:tc>
        <w:tc>
          <w:tcPr>
            <w:tcW w:w="0" w:type="dxa"/>
            <w:vAlign w:val="bottom"/>
          </w:tcPr>
          <w:p>
            <w:pPr>
              <w:spacing w:after="0"/>
              <w:rPr>
                <w:sz w:val="1"/>
                <w:szCs w:val="1"/>
                <w:color w:val="auto"/>
              </w:rPr>
            </w:pPr>
          </w:p>
        </w:tc>
      </w:tr>
      <w:tr>
        <w:trPr>
          <w:trHeight w:val="230"/>
        </w:trPr>
        <w:tc>
          <w:tcPr>
            <w:tcW w:w="5140" w:type="dxa"/>
            <w:vAlign w:val="bottom"/>
            <w:shd w:val="clear" w:color="auto" w:fill="D0EBF2"/>
          </w:tcPr>
          <w:p>
            <w:pPr>
              <w:spacing w:after="0"/>
              <w:rPr>
                <w:sz w:val="20"/>
                <w:szCs w:val="20"/>
                <w:color w:val="auto"/>
              </w:rPr>
            </w:pPr>
            <w:r>
              <w:rPr>
                <w:rFonts w:ascii="Arial" w:cs="Arial" w:eastAsia="Arial" w:hAnsi="Arial"/>
                <w:sz w:val="19"/>
                <w:szCs w:val="19"/>
                <w:color w:val="231F20"/>
              </w:rPr>
              <w:t>Foreign currency translation adjustment</w:t>
            </w:r>
          </w:p>
        </w:tc>
        <w:tc>
          <w:tcPr>
            <w:tcW w:w="12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98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(3.6)</w:t>
            </w:r>
          </w:p>
        </w:tc>
        <w:tc>
          <w:tcPr>
            <w:tcW w:w="12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8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3.2</w:t>
            </w:r>
          </w:p>
        </w:tc>
        <w:tc>
          <w:tcPr>
            <w:tcW w:w="16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100" w:type="dxa"/>
            <w:vAlign w:val="bottom"/>
            <w:gridSpan w:val="2"/>
            <w:shd w:val="clear" w:color="auto" w:fill="D0EBF2"/>
          </w:tcPr>
          <w:p>
            <w:pPr>
              <w:jc w:val="right"/>
              <w:ind w:right="140"/>
              <w:spacing w:after="0"/>
              <w:rPr>
                <w:sz w:val="20"/>
                <w:szCs w:val="20"/>
                <w:color w:val="auto"/>
              </w:rPr>
            </w:pPr>
            <w:r>
              <w:rPr>
                <w:rFonts w:ascii="Arial" w:cs="Arial" w:eastAsia="Arial" w:hAnsi="Arial"/>
                <w:sz w:val="19"/>
                <w:szCs w:val="19"/>
                <w:color w:val="231F20"/>
              </w:rPr>
              <w:t>(6.8)</w:t>
            </w:r>
          </w:p>
        </w:tc>
        <w:tc>
          <w:tcPr>
            <w:tcW w:w="118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(212.5)%</w:t>
            </w:r>
          </w:p>
        </w:tc>
        <w:tc>
          <w:tcPr>
            <w:tcW w:w="0" w:type="dxa"/>
            <w:vAlign w:val="bottom"/>
          </w:tcPr>
          <w:p>
            <w:pPr>
              <w:spacing w:after="0"/>
              <w:rPr>
                <w:sz w:val="1"/>
                <w:szCs w:val="1"/>
                <w:color w:val="auto"/>
              </w:rPr>
            </w:pPr>
          </w:p>
        </w:tc>
      </w:tr>
      <w:tr>
        <w:trPr>
          <w:trHeight w:val="213"/>
        </w:trPr>
        <w:tc>
          <w:tcPr>
            <w:tcW w:w="5140" w:type="dxa"/>
            <w:vAlign w:val="bottom"/>
            <w:shd w:val="clear" w:color="auto" w:fill="FDFDFC"/>
          </w:tcPr>
          <w:p>
            <w:pPr>
              <w:spacing w:after="0" w:line="213" w:lineRule="exact"/>
              <w:rPr>
                <w:sz w:val="20"/>
                <w:szCs w:val="20"/>
                <w:color w:val="auto"/>
              </w:rPr>
            </w:pPr>
            <w:r>
              <w:rPr>
                <w:rFonts w:ascii="Arial" w:cs="Arial" w:eastAsia="Arial" w:hAnsi="Arial"/>
                <w:sz w:val="19"/>
                <w:szCs w:val="19"/>
                <w:color w:val="231F20"/>
              </w:rPr>
              <w:t>Unrealized gains on available-for-sale</w:t>
            </w:r>
          </w:p>
        </w:tc>
        <w:tc>
          <w:tcPr>
            <w:tcW w:w="12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8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0.2</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80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160" w:type="dxa"/>
            <w:vAlign w:val="bottom"/>
            <w:vMerge w:val="restart"/>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0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0.2</w:t>
            </w:r>
          </w:p>
        </w:tc>
        <w:tc>
          <w:tcPr>
            <w:tcW w:w="200" w:type="dxa"/>
            <w:vAlign w:val="bottom"/>
            <w:shd w:val="clear" w:color="auto" w:fill="FDFDFC"/>
          </w:tcPr>
          <w:p>
            <w:pPr>
              <w:spacing w:after="0"/>
              <w:rPr>
                <w:sz w:val="18"/>
                <w:szCs w:val="18"/>
                <w:color w:val="auto"/>
              </w:rPr>
            </w:pPr>
          </w:p>
        </w:tc>
        <w:tc>
          <w:tcPr>
            <w:tcW w:w="92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60" w:type="dxa"/>
            <w:vAlign w:val="bottom"/>
            <w:vMerge w:val="restart"/>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140" w:type="dxa"/>
            <w:vAlign w:val="bottom"/>
            <w:tcBorders>
              <w:bottom w:val="single" w:sz="8" w:color="D0EBF2"/>
            </w:tcBorders>
            <w:shd w:val="clear" w:color="auto" w:fill="FDFDFC"/>
          </w:tcPr>
          <w:p>
            <w:pPr>
              <w:ind w:left="160"/>
              <w:spacing w:after="0"/>
              <w:rPr>
                <w:sz w:val="20"/>
                <w:szCs w:val="20"/>
                <w:color w:val="auto"/>
              </w:rPr>
            </w:pPr>
            <w:r>
              <w:rPr>
                <w:rFonts w:ascii="Arial" w:cs="Arial" w:eastAsia="Arial" w:hAnsi="Arial"/>
                <w:sz w:val="19"/>
                <w:szCs w:val="19"/>
                <w:color w:val="231F20"/>
              </w:rPr>
              <w:t>debt securities, net of taxes</w:t>
            </w:r>
          </w:p>
        </w:tc>
        <w:tc>
          <w:tcPr>
            <w:tcW w:w="120" w:type="dxa"/>
            <w:vAlign w:val="bottom"/>
            <w:tcBorders>
              <w:bottom w:val="single" w:sz="8" w:color="D0EBF2"/>
            </w:tcBorders>
            <w:shd w:val="clear" w:color="auto" w:fill="FDFDFC"/>
          </w:tcPr>
          <w:p>
            <w:pPr>
              <w:spacing w:after="0"/>
              <w:rPr>
                <w:sz w:val="20"/>
                <w:szCs w:val="20"/>
                <w:color w:val="auto"/>
              </w:rPr>
            </w:pPr>
          </w:p>
        </w:tc>
        <w:tc>
          <w:tcPr>
            <w:tcW w:w="160" w:type="dxa"/>
            <w:vAlign w:val="bottom"/>
            <w:tcBorders>
              <w:bottom w:val="single" w:sz="8" w:color="231F20"/>
            </w:tcBorders>
            <w:shd w:val="clear" w:color="auto" w:fill="FDFDFC"/>
          </w:tcPr>
          <w:p>
            <w:pPr>
              <w:spacing w:after="0"/>
              <w:rPr>
                <w:sz w:val="20"/>
                <w:szCs w:val="20"/>
                <w:color w:val="auto"/>
              </w:rPr>
            </w:pPr>
          </w:p>
        </w:tc>
        <w:tc>
          <w:tcPr>
            <w:tcW w:w="880" w:type="dxa"/>
            <w:vAlign w:val="bottom"/>
            <w:tcBorders>
              <w:bottom w:val="single" w:sz="8" w:color="231F20"/>
            </w:tcBorders>
            <w:vMerge w:val="continue"/>
            <w:shd w:val="clear" w:color="auto" w:fill="FDFDFC"/>
          </w:tcPr>
          <w:p>
            <w:pPr>
              <w:spacing w:after="0"/>
              <w:rPr>
                <w:sz w:val="20"/>
                <w:szCs w:val="20"/>
                <w:color w:val="auto"/>
              </w:rPr>
            </w:pPr>
          </w:p>
        </w:tc>
        <w:tc>
          <w:tcPr>
            <w:tcW w:w="10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D0EBF2"/>
            </w:tcBorders>
            <w:shd w:val="clear" w:color="auto" w:fill="FDFDFC"/>
          </w:tcPr>
          <w:p>
            <w:pPr>
              <w:spacing w:after="0"/>
              <w:rPr>
                <w:sz w:val="20"/>
                <w:szCs w:val="20"/>
                <w:color w:val="auto"/>
              </w:rPr>
            </w:pPr>
          </w:p>
        </w:tc>
        <w:tc>
          <w:tcPr>
            <w:tcW w:w="240" w:type="dxa"/>
            <w:vAlign w:val="bottom"/>
            <w:tcBorders>
              <w:bottom w:val="single" w:sz="8" w:color="231F20"/>
            </w:tcBorders>
            <w:shd w:val="clear" w:color="auto" w:fill="FDFDFC"/>
          </w:tcPr>
          <w:p>
            <w:pPr>
              <w:spacing w:after="0"/>
              <w:rPr>
                <w:sz w:val="20"/>
                <w:szCs w:val="20"/>
                <w:color w:val="auto"/>
              </w:rPr>
            </w:pPr>
          </w:p>
        </w:tc>
        <w:tc>
          <w:tcPr>
            <w:tcW w:w="800" w:type="dxa"/>
            <w:vAlign w:val="bottom"/>
            <w:tcBorders>
              <w:bottom w:val="single" w:sz="8" w:color="231F20"/>
            </w:tcBorders>
            <w:vMerge w:val="continue"/>
            <w:shd w:val="clear" w:color="auto" w:fill="FDFDFC"/>
          </w:tcPr>
          <w:p>
            <w:pPr>
              <w:spacing w:after="0"/>
              <w:rPr>
                <w:sz w:val="20"/>
                <w:szCs w:val="20"/>
                <w:color w:val="auto"/>
              </w:rPr>
            </w:pPr>
          </w:p>
        </w:tc>
        <w:tc>
          <w:tcPr>
            <w:tcW w:w="160" w:type="dxa"/>
            <w:vAlign w:val="bottom"/>
            <w:tcBorders>
              <w:bottom w:val="single" w:sz="8" w:color="D0EBF2"/>
            </w:tcBorders>
            <w:vMerge w:val="continue"/>
            <w:shd w:val="clear" w:color="auto" w:fill="FDFDFC"/>
          </w:tcPr>
          <w:p>
            <w:pPr>
              <w:spacing w:after="0"/>
              <w:rPr>
                <w:sz w:val="20"/>
                <w:szCs w:val="20"/>
                <w:color w:val="auto"/>
              </w:rPr>
            </w:pPr>
          </w:p>
        </w:tc>
        <w:tc>
          <w:tcPr>
            <w:tcW w:w="8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spacing w:after="0"/>
              <w:rPr>
                <w:sz w:val="20"/>
                <w:szCs w:val="20"/>
                <w:color w:val="auto"/>
              </w:rPr>
            </w:pPr>
          </w:p>
        </w:tc>
        <w:tc>
          <w:tcPr>
            <w:tcW w:w="900" w:type="dxa"/>
            <w:vAlign w:val="bottom"/>
            <w:tcBorders>
              <w:bottom w:val="single" w:sz="8" w:color="231F20"/>
            </w:tcBorders>
            <w:vMerge w:val="continue"/>
            <w:shd w:val="clear" w:color="auto" w:fill="FDFDFC"/>
          </w:tcPr>
          <w:p>
            <w:pPr>
              <w:spacing w:after="0"/>
              <w:rPr>
                <w:sz w:val="20"/>
                <w:szCs w:val="20"/>
                <w:color w:val="auto"/>
              </w:rPr>
            </w:pPr>
          </w:p>
        </w:tc>
        <w:tc>
          <w:tcPr>
            <w:tcW w:w="200" w:type="dxa"/>
            <w:vAlign w:val="bottom"/>
            <w:tcBorders>
              <w:bottom w:val="single" w:sz="8" w:color="D0EBF2"/>
            </w:tcBorders>
            <w:shd w:val="clear" w:color="auto" w:fill="FDFDFC"/>
          </w:tcPr>
          <w:p>
            <w:pPr>
              <w:spacing w:after="0"/>
              <w:rPr>
                <w:sz w:val="20"/>
                <w:szCs w:val="20"/>
                <w:color w:val="auto"/>
              </w:rPr>
            </w:pPr>
          </w:p>
        </w:tc>
        <w:tc>
          <w:tcPr>
            <w:tcW w:w="920" w:type="dxa"/>
            <w:vAlign w:val="bottom"/>
            <w:tcBorders>
              <w:bottom w:val="single" w:sz="8" w:color="231F20"/>
            </w:tcBorders>
            <w:vMerge w:val="continue"/>
            <w:shd w:val="clear" w:color="auto" w:fill="FDFDFC"/>
          </w:tcPr>
          <w:p>
            <w:pPr>
              <w:spacing w:after="0"/>
              <w:rPr>
                <w:sz w:val="20"/>
                <w:szCs w:val="20"/>
                <w:color w:val="auto"/>
              </w:rPr>
            </w:pPr>
          </w:p>
        </w:tc>
        <w:tc>
          <w:tcPr>
            <w:tcW w:w="260" w:type="dxa"/>
            <w:vAlign w:val="bottom"/>
            <w:vMerge w:val="continue"/>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D0EBF2"/>
          </w:tcPr>
          <w:p>
            <w:pPr>
              <w:spacing w:after="0"/>
              <w:rPr>
                <w:sz w:val="20"/>
                <w:szCs w:val="20"/>
                <w:color w:val="auto"/>
              </w:rPr>
            </w:pPr>
            <w:r>
              <w:rPr>
                <w:rFonts w:ascii="Arial" w:cs="Arial" w:eastAsia="Arial" w:hAnsi="Arial"/>
                <w:sz w:val="19"/>
                <w:szCs w:val="19"/>
                <w:color w:val="231F20"/>
              </w:rPr>
              <w:t>Comprehensive loss</w:t>
            </w:r>
          </w:p>
        </w:tc>
        <w:tc>
          <w:tcPr>
            <w:tcW w:w="120" w:type="dxa"/>
            <w:vAlign w:val="bottom"/>
            <w:shd w:val="clear" w:color="auto" w:fill="D0EBF2"/>
          </w:tcPr>
          <w:p>
            <w:pPr>
              <w:spacing w:after="0"/>
              <w:rPr>
                <w:sz w:val="19"/>
                <w:szCs w:val="19"/>
                <w:color w:val="auto"/>
              </w:rPr>
            </w:pPr>
          </w:p>
        </w:tc>
        <w:tc>
          <w:tcPr>
            <w:tcW w:w="16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(0.5)</w:t>
            </w:r>
          </w:p>
        </w:tc>
        <w:tc>
          <w:tcPr>
            <w:tcW w:w="10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240" w:type="dxa"/>
            <w:vAlign w:val="bottom"/>
            <w:shd w:val="clear" w:color="auto" w:fill="D0EBF2"/>
          </w:tcPr>
          <w:p>
            <w:pPr>
              <w:jc w:val="right"/>
              <w:ind w:right="26"/>
              <w:spacing w:after="0"/>
              <w:rPr>
                <w:sz w:val="20"/>
                <w:szCs w:val="20"/>
                <w:color w:val="auto"/>
              </w:rPr>
            </w:pPr>
            <w:r>
              <w:rPr>
                <w:rFonts w:ascii="Arial" w:cs="Arial" w:eastAsia="Arial" w:hAnsi="Arial"/>
                <w:sz w:val="19"/>
                <w:szCs w:val="19"/>
                <w:color w:val="231F20"/>
                <w:w w:val="94"/>
              </w:rPr>
              <w:t>$</w:t>
            </w:r>
          </w:p>
        </w:tc>
        <w:tc>
          <w:tcPr>
            <w:tcW w:w="8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(5.3)</w:t>
            </w:r>
          </w:p>
        </w:tc>
        <w:tc>
          <w:tcPr>
            <w:tcW w:w="160" w:type="dxa"/>
            <w:vAlign w:val="bottom"/>
            <w:shd w:val="clear" w:color="auto" w:fill="D0EBF2"/>
          </w:tcPr>
          <w:p>
            <w:pPr>
              <w:spacing w:after="0"/>
              <w:rPr>
                <w:sz w:val="19"/>
                <w:szCs w:val="19"/>
                <w:color w:val="auto"/>
              </w:rPr>
            </w:pPr>
          </w:p>
        </w:tc>
        <w:tc>
          <w:tcPr>
            <w:tcW w:w="8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4.8</w:t>
            </w:r>
          </w:p>
        </w:tc>
        <w:tc>
          <w:tcPr>
            <w:tcW w:w="200" w:type="dxa"/>
            <w:vAlign w:val="bottom"/>
            <w:shd w:val="clear" w:color="auto" w:fill="D0EBF2"/>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9"/>
                <w:szCs w:val="19"/>
                <w:color w:val="231F20"/>
              </w:rPr>
              <w:t>(90.6)%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5725160</wp:posOffset>
                </wp:positionH>
                <wp:positionV relativeFrom="paragraph">
                  <wp:posOffset>-2795905</wp:posOffset>
                </wp:positionV>
                <wp:extent cx="582930" cy="14605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930" cy="146050"/>
                        </a:xfrm>
                        <a:prstGeom prst="rect">
                          <a:avLst/>
                        </a:prstGeom>
                        <a:solidFill>
                          <a:srgbClr val="D0EBF2"/>
                        </a:solidFill>
                      </wps:spPr>
                      <wps:bodyPr/>
                    </wps:wsp>
                  </a:graphicData>
                </a:graphic>
              </wp:anchor>
            </w:drawing>
          </mc:Choice>
          <mc:Fallback>
            <w:pict>
              <v:rect id="Shape 23" o:spid="_x0000_s1048" style="position:absolute;margin-left:450.8pt;margin-top:-220.1499pt;width:45.9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6308090</wp:posOffset>
                </wp:positionH>
                <wp:positionV relativeFrom="paragraph">
                  <wp:posOffset>-2802255</wp:posOffset>
                </wp:positionV>
                <wp:extent cx="168910" cy="15240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910" cy="152400"/>
                        </a:xfrm>
                        <a:prstGeom prst="rect">
                          <a:avLst/>
                        </a:prstGeom>
                        <a:solidFill>
                          <a:srgbClr val="D0EBF2"/>
                        </a:solidFill>
                      </wps:spPr>
                      <wps:bodyPr/>
                    </wps:wsp>
                  </a:graphicData>
                </a:graphic>
              </wp:anchor>
            </w:drawing>
          </mc:Choice>
          <mc:Fallback>
            <w:pict>
              <v:rect id="Shape 24" o:spid="_x0000_s1049" style="position:absolute;margin-left:496.7pt;margin-top:-220.6499pt;width:13.3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5725160</wp:posOffset>
                </wp:positionH>
                <wp:positionV relativeFrom="paragraph">
                  <wp:posOffset>-172720</wp:posOffset>
                </wp:positionV>
                <wp:extent cx="582930" cy="14605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930" cy="146050"/>
                        </a:xfrm>
                        <a:prstGeom prst="rect">
                          <a:avLst/>
                        </a:prstGeom>
                        <a:solidFill>
                          <a:srgbClr val="D0EBF2"/>
                        </a:solidFill>
                      </wps:spPr>
                      <wps:bodyPr/>
                    </wps:wsp>
                  </a:graphicData>
                </a:graphic>
              </wp:anchor>
            </w:drawing>
          </mc:Choice>
          <mc:Fallback>
            <w:pict>
              <v:rect id="Shape 25" o:spid="_x0000_s1050" style="position:absolute;margin-left:450.8pt;margin-top:-13.5999pt;width:45.9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87</w:t>
      </w:r>
    </w:p>
    <w:p>
      <w:pPr>
        <w:sectPr>
          <w:pgSz w:w="12240" w:h="15840" w:orient="portrait"/>
          <w:cols w:equalWidth="0" w:num="1">
            <w:col w:w="10200"/>
          </w:cols>
          <w:pgMar w:left="1020" w:top="1440" w:right="1020" w:bottom="595" w:gutter="0" w:footer="0" w:header="0"/>
          <w:type w:val="continuous"/>
        </w:sectPr>
      </w:pPr>
    </w:p>
    <w:bookmarkStart w:id="88" w:name="page89"/>
    <w:bookmarkEnd w:id="88"/>
    <w:p>
      <w:pPr>
        <w:spacing w:after="0" w:line="105"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Revenue</w:t>
      </w:r>
    </w:p>
    <w:p>
      <w:pPr>
        <w:spacing w:after="0" w:line="180" w:lineRule="exact"/>
        <w:rPr>
          <w:sz w:val="20"/>
          <w:szCs w:val="20"/>
          <w:color w:val="auto"/>
        </w:rPr>
      </w:pPr>
    </w:p>
    <w:p>
      <w:pPr>
        <w:ind w:right="120" w:firstLine="463"/>
        <w:spacing w:after="0" w:line="258" w:lineRule="auto"/>
        <w:rPr>
          <w:sz w:val="20"/>
          <w:szCs w:val="20"/>
          <w:color w:val="auto"/>
        </w:rPr>
      </w:pPr>
      <w:r>
        <w:rPr>
          <w:rFonts w:ascii="Arial" w:cs="Arial" w:eastAsia="Arial" w:hAnsi="Arial"/>
          <w:sz w:val="19"/>
          <w:szCs w:val="19"/>
          <w:color w:val="231F20"/>
        </w:rPr>
        <w:t>Revenue was $492.1 million for the year ended December 31, 2024, compared to $403.1 million for the year ended December 31, 2023, an increase of $89.0 million or 22.1%. Revenue is comprised of transaction revenue and platform and other revenues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40" w:type="dxa"/>
            <w:vAlign w:val="bottom"/>
            <w:tcBorders>
              <w:bottom w:val="single" w:sz="8" w:color="FDFDFC"/>
            </w:tcBorders>
            <w:vMerge w:val="restart"/>
            <w:shd w:val="clear" w:color="auto" w:fill="FDFDFC"/>
          </w:tcPr>
          <w:p>
            <w:pPr>
              <w:spacing w:after="0"/>
              <w:rPr>
                <w:sz w:val="20"/>
                <w:szCs w:val="20"/>
                <w:color w:val="auto"/>
              </w:rPr>
            </w:pPr>
            <w:r>
              <w:rPr>
                <w:rFonts w:ascii="Arial" w:cs="Arial" w:eastAsia="Arial" w:hAnsi="Arial"/>
                <w:sz w:val="15"/>
                <w:szCs w:val="15"/>
                <w:b w:val="1"/>
                <w:bCs w:val="1"/>
                <w:color w:val="231F20"/>
              </w:rPr>
              <w:t>(dollars in millions)</w:t>
            </w:r>
          </w:p>
        </w:tc>
        <w:tc>
          <w:tcPr>
            <w:tcW w:w="120" w:type="dxa"/>
            <w:vAlign w:val="bottom"/>
            <w:tcBorders>
              <w:bottom w:val="single" w:sz="8" w:color="FDFDFC"/>
            </w:tcBorders>
            <w:shd w:val="clear" w:color="auto" w:fill="FDFDFC"/>
          </w:tcPr>
          <w:p>
            <w:pPr>
              <w:spacing w:after="0"/>
              <w:rPr>
                <w:sz w:val="15"/>
                <w:szCs w:val="15"/>
                <w:color w:val="auto"/>
              </w:rPr>
            </w:pPr>
          </w:p>
        </w:tc>
        <w:tc>
          <w:tcPr>
            <w:tcW w:w="160" w:type="dxa"/>
            <w:vAlign w:val="bottom"/>
            <w:tcBorders>
              <w:bottom w:val="single" w:sz="8" w:color="231F20"/>
            </w:tcBorders>
            <w:shd w:val="clear" w:color="auto" w:fill="FDFDFC"/>
          </w:tcPr>
          <w:p>
            <w:pPr>
              <w:spacing w:after="0"/>
              <w:rPr>
                <w:sz w:val="15"/>
                <w:szCs w:val="15"/>
                <w:color w:val="auto"/>
              </w:rPr>
            </w:pPr>
          </w:p>
        </w:tc>
        <w:tc>
          <w:tcPr>
            <w:tcW w:w="2140" w:type="dxa"/>
            <w:vAlign w:val="bottom"/>
            <w:tcBorders>
              <w:bottom w:val="single" w:sz="8" w:color="231F20"/>
            </w:tcBorders>
            <w:gridSpan w:val="5"/>
            <w:shd w:val="clear" w:color="auto" w:fill="FDFDFC"/>
          </w:tcPr>
          <w:p>
            <w:pPr>
              <w:jc w:val="right"/>
              <w:ind w:right="130"/>
              <w:spacing w:after="0"/>
              <w:rPr>
                <w:sz w:val="20"/>
                <w:szCs w:val="20"/>
                <w:color w:val="auto"/>
              </w:rPr>
            </w:pPr>
            <w:r>
              <w:rPr>
                <w:rFonts w:ascii="Arial" w:cs="Arial" w:eastAsia="Arial" w:hAnsi="Arial"/>
                <w:sz w:val="15"/>
                <w:szCs w:val="15"/>
                <w:b w:val="1"/>
                <w:bCs w:val="1"/>
                <w:color w:val="231F20"/>
              </w:rPr>
              <w:t>Year Ended December 31,</w:t>
            </w:r>
          </w:p>
        </w:tc>
        <w:tc>
          <w:tcPr>
            <w:tcW w:w="240" w:type="dxa"/>
            <w:vAlign w:val="bottom"/>
            <w:tcBorders>
              <w:bottom w:val="single" w:sz="8" w:color="FDFDFC"/>
            </w:tcBorders>
            <w:shd w:val="clear" w:color="auto" w:fill="FDFDFC"/>
          </w:tcPr>
          <w:p>
            <w:pPr>
              <w:spacing w:after="0"/>
              <w:rPr>
                <w:sz w:val="15"/>
                <w:szCs w:val="15"/>
                <w:color w:val="auto"/>
              </w:rPr>
            </w:pPr>
          </w:p>
        </w:tc>
        <w:tc>
          <w:tcPr>
            <w:tcW w:w="140" w:type="dxa"/>
            <w:vAlign w:val="bottom"/>
            <w:tcBorders>
              <w:bottom w:val="single" w:sz="8" w:color="FDFDFC"/>
            </w:tcBorders>
            <w:shd w:val="clear" w:color="auto" w:fill="FDFDFC"/>
          </w:tcPr>
          <w:p>
            <w:pPr>
              <w:spacing w:after="0"/>
              <w:rPr>
                <w:sz w:val="15"/>
                <w:szCs w:val="15"/>
                <w:color w:val="auto"/>
              </w:rPr>
            </w:pPr>
          </w:p>
        </w:tc>
        <w:tc>
          <w:tcPr>
            <w:tcW w:w="880" w:type="dxa"/>
            <w:vAlign w:val="bottom"/>
            <w:tcBorders>
              <w:bottom w:val="single" w:sz="8" w:color="FDFDFC"/>
            </w:tcBorders>
            <w:vMerge w:val="restart"/>
            <w:shd w:val="clear" w:color="auto" w:fill="FDFDFC"/>
          </w:tcPr>
          <w:p>
            <w:pPr>
              <w:jc w:val="right"/>
              <w:ind w:right="90"/>
              <w:spacing w:after="0"/>
              <w:rPr>
                <w:sz w:val="20"/>
                <w:szCs w:val="20"/>
                <w:color w:val="auto"/>
              </w:rPr>
            </w:pPr>
            <w:r>
              <w:rPr>
                <w:rFonts w:ascii="Arial" w:cs="Arial" w:eastAsia="Arial" w:hAnsi="Arial"/>
                <w:sz w:val="15"/>
                <w:szCs w:val="15"/>
                <w:b w:val="1"/>
                <w:bCs w:val="1"/>
                <w:color w:val="231F20"/>
              </w:rPr>
              <w:t>$ Change</w:t>
            </w:r>
          </w:p>
        </w:tc>
        <w:tc>
          <w:tcPr>
            <w:tcW w:w="200" w:type="dxa"/>
            <w:vAlign w:val="bottom"/>
            <w:tcBorders>
              <w:bottom w:val="single" w:sz="8" w:color="FDFDFC"/>
            </w:tcBorders>
            <w:shd w:val="clear" w:color="auto" w:fill="FDFDFC"/>
          </w:tcPr>
          <w:p>
            <w:pPr>
              <w:spacing w:after="0"/>
              <w:rPr>
                <w:sz w:val="15"/>
                <w:szCs w:val="15"/>
                <w:color w:val="auto"/>
              </w:rPr>
            </w:pPr>
          </w:p>
        </w:tc>
        <w:tc>
          <w:tcPr>
            <w:tcW w:w="980" w:type="dxa"/>
            <w:vAlign w:val="bottom"/>
            <w:tcBorders>
              <w:bottom w:val="single" w:sz="8" w:color="FDFDFC"/>
            </w:tcBorders>
            <w:vMerge w:val="restart"/>
            <w:shd w:val="clear" w:color="auto" w:fill="FDFDFC"/>
          </w:tcPr>
          <w:p>
            <w:pPr>
              <w:ind w:left="120"/>
              <w:spacing w:after="0"/>
              <w:rPr>
                <w:sz w:val="20"/>
                <w:szCs w:val="20"/>
                <w:color w:val="auto"/>
              </w:rPr>
            </w:pPr>
            <w:r>
              <w:rPr>
                <w:rFonts w:ascii="Arial" w:cs="Arial" w:eastAsia="Arial" w:hAnsi="Arial"/>
                <w:sz w:val="15"/>
                <w:szCs w:val="15"/>
                <w:b w:val="1"/>
                <w:bCs w:val="1"/>
                <w:color w:val="231F20"/>
              </w:rPr>
              <w:t>% Change</w:t>
            </w:r>
          </w:p>
        </w:tc>
        <w:tc>
          <w:tcPr>
            <w:tcW w:w="200" w:type="dxa"/>
            <w:vAlign w:val="bottom"/>
            <w:tcBorders>
              <w:bottom w:val="single" w:sz="8" w:color="FDFDFC"/>
            </w:tcBorders>
            <w:vMerge w:val="restart"/>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140" w:type="dxa"/>
            <w:vAlign w:val="bottom"/>
            <w:tcBorders>
              <w:bottom w:val="single" w:sz="8" w:color="231F20"/>
            </w:tcBorders>
            <w:vMerge w:val="continue"/>
            <w:shd w:val="clear" w:color="auto" w:fill="FDFDFC"/>
          </w:tcPr>
          <w:p>
            <w:pPr>
              <w:spacing w:after="0"/>
              <w:rPr>
                <w:sz w:val="14"/>
                <w:szCs w:val="14"/>
                <w:color w:val="auto"/>
              </w:rPr>
            </w:pPr>
          </w:p>
        </w:tc>
        <w:tc>
          <w:tcPr>
            <w:tcW w:w="120" w:type="dxa"/>
            <w:vAlign w:val="bottom"/>
            <w:tcBorders>
              <w:bottom w:val="single" w:sz="8" w:color="D0EBF2"/>
            </w:tcBorders>
            <w:shd w:val="clear" w:color="auto" w:fill="FDFDFC"/>
          </w:tcPr>
          <w:p>
            <w:pPr>
              <w:spacing w:after="0"/>
              <w:rPr>
                <w:sz w:val="14"/>
                <w:szCs w:val="14"/>
                <w:color w:val="auto"/>
              </w:rPr>
            </w:pPr>
          </w:p>
        </w:tc>
        <w:tc>
          <w:tcPr>
            <w:tcW w:w="160" w:type="dxa"/>
            <w:vAlign w:val="bottom"/>
            <w:tcBorders>
              <w:bottom w:val="single" w:sz="8" w:color="231F20"/>
            </w:tcBorders>
            <w:shd w:val="clear" w:color="auto" w:fill="FDFDFC"/>
          </w:tcPr>
          <w:p>
            <w:pPr>
              <w:spacing w:after="0"/>
              <w:rPr>
                <w:sz w:val="14"/>
                <w:szCs w:val="14"/>
                <w:color w:val="auto"/>
              </w:rPr>
            </w:pPr>
          </w:p>
        </w:tc>
        <w:tc>
          <w:tcPr>
            <w:tcW w:w="880" w:type="dxa"/>
            <w:vAlign w:val="bottom"/>
            <w:tcBorders>
              <w:bottom w:val="single" w:sz="8" w:color="231F20"/>
            </w:tcBorders>
            <w:shd w:val="clear" w:color="auto" w:fill="FDFDFC"/>
          </w:tcPr>
          <w:p>
            <w:pPr>
              <w:jc w:val="right"/>
              <w:ind w:right="253"/>
              <w:spacing w:after="0" w:line="164" w:lineRule="exact"/>
              <w:rPr>
                <w:sz w:val="20"/>
                <w:szCs w:val="20"/>
                <w:color w:val="auto"/>
              </w:rPr>
            </w:pPr>
            <w:r>
              <w:rPr>
                <w:rFonts w:ascii="Arial" w:cs="Arial" w:eastAsia="Arial" w:hAnsi="Arial"/>
                <w:sz w:val="15"/>
                <w:szCs w:val="15"/>
                <w:b w:val="1"/>
                <w:bCs w:val="1"/>
                <w:color w:val="231F20"/>
              </w:rPr>
              <w:t>2024</w:t>
            </w:r>
          </w:p>
        </w:tc>
        <w:tc>
          <w:tcPr>
            <w:tcW w:w="10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D0EBF2"/>
            </w:tcBorders>
            <w:shd w:val="clear" w:color="auto" w:fill="FDFDFC"/>
          </w:tcPr>
          <w:p>
            <w:pPr>
              <w:spacing w:after="0"/>
              <w:rPr>
                <w:sz w:val="14"/>
                <w:szCs w:val="14"/>
                <w:color w:val="auto"/>
              </w:rPr>
            </w:pPr>
          </w:p>
        </w:tc>
        <w:tc>
          <w:tcPr>
            <w:tcW w:w="240" w:type="dxa"/>
            <w:vAlign w:val="bottom"/>
            <w:tcBorders>
              <w:bottom w:val="single" w:sz="8" w:color="231F20"/>
            </w:tcBorders>
            <w:shd w:val="clear" w:color="auto" w:fill="FDFDFC"/>
          </w:tcPr>
          <w:p>
            <w:pPr>
              <w:spacing w:after="0"/>
              <w:rPr>
                <w:sz w:val="14"/>
                <w:szCs w:val="14"/>
                <w:color w:val="auto"/>
              </w:rPr>
            </w:pPr>
          </w:p>
        </w:tc>
        <w:tc>
          <w:tcPr>
            <w:tcW w:w="800" w:type="dxa"/>
            <w:vAlign w:val="bottom"/>
            <w:tcBorders>
              <w:bottom w:val="single" w:sz="8" w:color="231F20"/>
            </w:tcBorders>
            <w:shd w:val="clear" w:color="auto" w:fill="FDFDFC"/>
          </w:tcPr>
          <w:p>
            <w:pPr>
              <w:jc w:val="right"/>
              <w:ind w:right="250"/>
              <w:spacing w:after="0" w:line="164" w:lineRule="exact"/>
              <w:rPr>
                <w:sz w:val="20"/>
                <w:szCs w:val="20"/>
                <w:color w:val="auto"/>
              </w:rPr>
            </w:pPr>
            <w:r>
              <w:rPr>
                <w:rFonts w:ascii="Arial" w:cs="Arial" w:eastAsia="Arial" w:hAnsi="Arial"/>
                <w:sz w:val="15"/>
                <w:szCs w:val="15"/>
                <w:b w:val="1"/>
                <w:bCs w:val="1"/>
                <w:color w:val="231F20"/>
              </w:rPr>
              <w:t>2023</w:t>
            </w:r>
          </w:p>
        </w:tc>
        <w:tc>
          <w:tcPr>
            <w:tcW w:w="240" w:type="dxa"/>
            <w:vAlign w:val="bottom"/>
            <w:tcBorders>
              <w:bottom w:val="single" w:sz="8" w:color="D0EBF2"/>
            </w:tcBorders>
            <w:shd w:val="clear" w:color="auto" w:fill="FDFDFC"/>
          </w:tcPr>
          <w:p>
            <w:pPr>
              <w:spacing w:after="0"/>
              <w:rPr>
                <w:sz w:val="14"/>
                <w:szCs w:val="14"/>
                <w:color w:val="auto"/>
              </w:rPr>
            </w:pPr>
          </w:p>
        </w:tc>
        <w:tc>
          <w:tcPr>
            <w:tcW w:w="140" w:type="dxa"/>
            <w:vAlign w:val="bottom"/>
            <w:tcBorders>
              <w:bottom w:val="single" w:sz="8" w:color="231F20"/>
            </w:tcBorders>
            <w:shd w:val="clear" w:color="auto" w:fill="FDFDFC"/>
          </w:tcPr>
          <w:p>
            <w:pPr>
              <w:spacing w:after="0"/>
              <w:rPr>
                <w:sz w:val="14"/>
                <w:szCs w:val="14"/>
                <w:color w:val="auto"/>
              </w:rPr>
            </w:pPr>
          </w:p>
        </w:tc>
        <w:tc>
          <w:tcPr>
            <w:tcW w:w="880" w:type="dxa"/>
            <w:vAlign w:val="bottom"/>
            <w:tcBorders>
              <w:bottom w:val="single" w:sz="8" w:color="231F20"/>
            </w:tcBorders>
            <w:vMerge w:val="continue"/>
            <w:shd w:val="clear" w:color="auto" w:fill="FDFDFC"/>
          </w:tcPr>
          <w:p>
            <w:pPr>
              <w:spacing w:after="0"/>
              <w:rPr>
                <w:sz w:val="14"/>
                <w:szCs w:val="14"/>
                <w:color w:val="auto"/>
              </w:rPr>
            </w:pPr>
          </w:p>
        </w:tc>
        <w:tc>
          <w:tcPr>
            <w:tcW w:w="200" w:type="dxa"/>
            <w:vAlign w:val="bottom"/>
            <w:tcBorders>
              <w:bottom w:val="single" w:sz="8" w:color="D0EBF2"/>
            </w:tcBorders>
            <w:shd w:val="clear" w:color="auto" w:fill="FDFDFC"/>
          </w:tcPr>
          <w:p>
            <w:pPr>
              <w:spacing w:after="0"/>
              <w:rPr>
                <w:sz w:val="14"/>
                <w:szCs w:val="14"/>
                <w:color w:val="auto"/>
              </w:rPr>
            </w:pPr>
          </w:p>
        </w:tc>
        <w:tc>
          <w:tcPr>
            <w:tcW w:w="980" w:type="dxa"/>
            <w:vAlign w:val="bottom"/>
            <w:tcBorders>
              <w:bottom w:val="single" w:sz="8" w:color="231F20"/>
            </w:tcBorders>
            <w:vMerge w:val="continue"/>
            <w:shd w:val="clear" w:color="auto" w:fill="FDFDFC"/>
          </w:tcPr>
          <w:p>
            <w:pPr>
              <w:spacing w:after="0"/>
              <w:rPr>
                <w:sz w:val="14"/>
                <w:szCs w:val="14"/>
                <w:color w:val="auto"/>
              </w:rPr>
            </w:pPr>
          </w:p>
        </w:tc>
        <w:tc>
          <w:tcPr>
            <w:tcW w:w="200" w:type="dxa"/>
            <w:vAlign w:val="bottom"/>
            <w:tcBorders>
              <w:bottom w:val="single" w:sz="8" w:color="FDFDFC"/>
            </w:tcBorders>
            <w:vMerge w:val="continue"/>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140" w:type="dxa"/>
            <w:vAlign w:val="bottom"/>
            <w:shd w:val="clear" w:color="auto" w:fill="D0EBF2"/>
          </w:tcPr>
          <w:p>
            <w:pPr>
              <w:spacing w:after="0" w:line="206" w:lineRule="exact"/>
              <w:rPr>
                <w:sz w:val="20"/>
                <w:szCs w:val="20"/>
                <w:color w:val="auto"/>
              </w:rPr>
            </w:pPr>
            <w:r>
              <w:rPr>
                <w:rFonts w:ascii="Arial" w:cs="Arial" w:eastAsia="Arial" w:hAnsi="Arial"/>
                <w:sz w:val="19"/>
                <w:szCs w:val="19"/>
                <w:color w:val="231F20"/>
              </w:rPr>
              <w:t>Transaction revenue</w:t>
            </w:r>
          </w:p>
        </w:tc>
        <w:tc>
          <w:tcPr>
            <w:tcW w:w="120" w:type="dxa"/>
            <w:vAlign w:val="bottom"/>
            <w:shd w:val="clear" w:color="auto" w:fill="D0EBF2"/>
          </w:tcPr>
          <w:p>
            <w:pPr>
              <w:spacing w:after="0"/>
              <w:rPr>
                <w:sz w:val="17"/>
                <w:szCs w:val="17"/>
                <w:color w:val="auto"/>
              </w:rPr>
            </w:pPr>
          </w:p>
        </w:tc>
        <w:tc>
          <w:tcPr>
            <w:tcW w:w="16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w w:val="75"/>
              </w:rPr>
              <w:t>$</w:t>
            </w:r>
          </w:p>
        </w:tc>
        <w:tc>
          <w:tcPr>
            <w:tcW w:w="88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410.2</w:t>
            </w: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240" w:type="dxa"/>
            <w:vAlign w:val="bottom"/>
            <w:shd w:val="clear" w:color="auto" w:fill="D0EBF2"/>
          </w:tcPr>
          <w:p>
            <w:pPr>
              <w:jc w:val="right"/>
              <w:ind w:right="26"/>
              <w:spacing w:after="0" w:line="206" w:lineRule="exact"/>
              <w:rPr>
                <w:sz w:val="20"/>
                <w:szCs w:val="20"/>
                <w:color w:val="auto"/>
              </w:rPr>
            </w:pPr>
            <w:r>
              <w:rPr>
                <w:rFonts w:ascii="Arial" w:cs="Arial" w:eastAsia="Arial" w:hAnsi="Arial"/>
                <w:sz w:val="19"/>
                <w:szCs w:val="19"/>
                <w:color w:val="231F20"/>
                <w:w w:val="94"/>
              </w:rPr>
              <w:t>$</w:t>
            </w:r>
          </w:p>
        </w:tc>
        <w:tc>
          <w:tcPr>
            <w:tcW w:w="80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329.7</w:t>
            </w:r>
          </w:p>
        </w:tc>
        <w:tc>
          <w:tcPr>
            <w:tcW w:w="240" w:type="dxa"/>
            <w:vAlign w:val="bottom"/>
            <w:shd w:val="clear" w:color="auto" w:fill="D0EBF2"/>
          </w:tcPr>
          <w:p>
            <w:pPr>
              <w:spacing w:after="0"/>
              <w:rPr>
                <w:sz w:val="17"/>
                <w:szCs w:val="17"/>
                <w:color w:val="auto"/>
              </w:rPr>
            </w:pPr>
          </w:p>
        </w:tc>
        <w:tc>
          <w:tcPr>
            <w:tcW w:w="14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w w:val="75"/>
              </w:rPr>
              <w:t>$</w:t>
            </w:r>
          </w:p>
        </w:tc>
        <w:tc>
          <w:tcPr>
            <w:tcW w:w="88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80.5</w:t>
            </w:r>
          </w:p>
        </w:tc>
        <w:tc>
          <w:tcPr>
            <w:tcW w:w="200" w:type="dxa"/>
            <w:vAlign w:val="bottom"/>
            <w:shd w:val="clear" w:color="auto" w:fill="D0EBF2"/>
          </w:tcPr>
          <w:p>
            <w:pPr>
              <w:spacing w:after="0"/>
              <w:rPr>
                <w:sz w:val="17"/>
                <w:szCs w:val="17"/>
                <w:color w:val="auto"/>
              </w:rPr>
            </w:pPr>
          </w:p>
        </w:tc>
        <w:tc>
          <w:tcPr>
            <w:tcW w:w="1180" w:type="dxa"/>
            <w:vAlign w:val="bottom"/>
            <w:gridSpan w:val="2"/>
          </w:tcPr>
          <w:p>
            <w:pPr>
              <w:jc w:val="right"/>
              <w:ind w:right="20"/>
              <w:spacing w:after="0" w:line="206" w:lineRule="exact"/>
              <w:rPr>
                <w:sz w:val="20"/>
                <w:szCs w:val="20"/>
                <w:color w:val="auto"/>
              </w:rPr>
            </w:pPr>
            <w:r>
              <w:rPr>
                <w:rFonts w:ascii="Arial" w:cs="Arial" w:eastAsia="Arial" w:hAnsi="Arial"/>
                <w:sz w:val="19"/>
                <w:szCs w:val="19"/>
                <w:color w:val="231F20"/>
              </w:rPr>
              <w:t>24.4%</w:t>
            </w:r>
          </w:p>
        </w:tc>
        <w:tc>
          <w:tcPr>
            <w:tcW w:w="0" w:type="dxa"/>
            <w:vAlign w:val="bottom"/>
          </w:tcPr>
          <w:p>
            <w:pPr>
              <w:spacing w:after="0"/>
              <w:rPr>
                <w:sz w:val="1"/>
                <w:szCs w:val="1"/>
                <w:color w:val="auto"/>
              </w:rPr>
            </w:pPr>
          </w:p>
        </w:tc>
      </w:tr>
      <w:tr>
        <w:trPr>
          <w:trHeight w:val="217"/>
        </w:trPr>
        <w:tc>
          <w:tcPr>
            <w:tcW w:w="51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Platform and other revenues</w:t>
            </w:r>
          </w:p>
        </w:tc>
        <w:tc>
          <w:tcPr>
            <w:tcW w:w="12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81.9</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80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73.4</w:t>
            </w:r>
          </w:p>
        </w:tc>
        <w:tc>
          <w:tcPr>
            <w:tcW w:w="24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8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8.5</w:t>
            </w:r>
          </w:p>
        </w:tc>
        <w:tc>
          <w:tcPr>
            <w:tcW w:w="200" w:type="dxa"/>
            <w:vAlign w:val="bottom"/>
            <w:shd w:val="clear" w:color="auto" w:fill="FDFDFC"/>
          </w:tcPr>
          <w:p>
            <w:pPr>
              <w:spacing w:after="0"/>
              <w:rPr>
                <w:sz w:val="18"/>
                <w:szCs w:val="18"/>
                <w:color w:val="auto"/>
              </w:rPr>
            </w:pPr>
          </w:p>
        </w:tc>
        <w:tc>
          <w:tcPr>
            <w:tcW w:w="1180" w:type="dxa"/>
            <w:vAlign w:val="bottom"/>
            <w:gridSpan w:val="2"/>
            <w:shd w:val="clear" w:color="auto" w:fill="FDFDFC"/>
          </w:tcPr>
          <w:p>
            <w:pPr>
              <w:jc w:val="right"/>
              <w:ind w:right="20"/>
              <w:spacing w:after="0" w:line="217" w:lineRule="exact"/>
              <w:rPr>
                <w:sz w:val="20"/>
                <w:szCs w:val="20"/>
                <w:color w:val="auto"/>
              </w:rPr>
            </w:pPr>
            <w:r>
              <w:rPr>
                <w:rFonts w:ascii="Arial" w:cs="Arial" w:eastAsia="Arial" w:hAnsi="Arial"/>
                <w:sz w:val="19"/>
                <w:szCs w:val="19"/>
                <w:color w:val="231F20"/>
              </w:rPr>
              <w:t>11.6%</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D0EBF2"/>
          </w:tcPr>
          <w:p>
            <w:pPr>
              <w:ind w:left="260"/>
              <w:spacing w:after="0"/>
              <w:rPr>
                <w:sz w:val="20"/>
                <w:szCs w:val="20"/>
                <w:color w:val="auto"/>
              </w:rPr>
            </w:pPr>
            <w:r>
              <w:rPr>
                <w:rFonts w:ascii="Arial" w:cs="Arial" w:eastAsia="Arial" w:hAnsi="Arial"/>
                <w:sz w:val="19"/>
                <w:szCs w:val="19"/>
                <w:color w:val="231F20"/>
              </w:rPr>
              <w:t>Revenue</w:t>
            </w:r>
          </w:p>
        </w:tc>
        <w:tc>
          <w:tcPr>
            <w:tcW w:w="120" w:type="dxa"/>
            <w:vAlign w:val="bottom"/>
            <w:shd w:val="clear" w:color="auto" w:fill="D0EBF2"/>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20" w:type="dxa"/>
            <w:vAlign w:val="bottom"/>
            <w:gridSpan w:val="2"/>
            <w:shd w:val="clear" w:color="auto" w:fill="D0EBF2"/>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40" w:type="dxa"/>
            <w:vAlign w:val="bottom"/>
            <w:shd w:val="clear" w:color="auto" w:fill="D0EBF2"/>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0" w:type="dxa"/>
            <w:vAlign w:val="bottom"/>
            <w:shd w:val="clear" w:color="auto" w:fill="D0EBF2"/>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40" w:type="dxa"/>
            <w:vAlign w:val="bottom"/>
            <w:vMerge w:val="continue"/>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16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w w:val="75"/>
              </w:rPr>
              <w:t>$</w:t>
            </w:r>
          </w:p>
        </w:tc>
        <w:tc>
          <w:tcPr>
            <w:tcW w:w="88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492.1</w:t>
            </w: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240" w:type="dxa"/>
            <w:vAlign w:val="bottom"/>
            <w:shd w:val="clear" w:color="auto" w:fill="D0EBF2"/>
          </w:tcPr>
          <w:p>
            <w:pPr>
              <w:jc w:val="right"/>
              <w:ind w:right="26"/>
              <w:spacing w:after="0" w:line="206" w:lineRule="exact"/>
              <w:rPr>
                <w:sz w:val="20"/>
                <w:szCs w:val="20"/>
                <w:color w:val="auto"/>
              </w:rPr>
            </w:pPr>
            <w:r>
              <w:rPr>
                <w:rFonts w:ascii="Arial" w:cs="Arial" w:eastAsia="Arial" w:hAnsi="Arial"/>
                <w:sz w:val="19"/>
                <w:szCs w:val="19"/>
                <w:color w:val="231F20"/>
                <w:w w:val="94"/>
              </w:rPr>
              <w:t>$</w:t>
            </w:r>
          </w:p>
        </w:tc>
        <w:tc>
          <w:tcPr>
            <w:tcW w:w="80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403.1</w:t>
            </w:r>
          </w:p>
        </w:tc>
        <w:tc>
          <w:tcPr>
            <w:tcW w:w="240" w:type="dxa"/>
            <w:vAlign w:val="bottom"/>
            <w:shd w:val="clear" w:color="auto" w:fill="D0EBF2"/>
          </w:tcPr>
          <w:p>
            <w:pPr>
              <w:spacing w:after="0"/>
              <w:rPr>
                <w:sz w:val="17"/>
                <w:szCs w:val="17"/>
                <w:color w:val="auto"/>
              </w:rPr>
            </w:pPr>
          </w:p>
        </w:tc>
        <w:tc>
          <w:tcPr>
            <w:tcW w:w="14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w w:val="75"/>
              </w:rPr>
              <w:t>$</w:t>
            </w:r>
          </w:p>
        </w:tc>
        <w:tc>
          <w:tcPr>
            <w:tcW w:w="88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89.0</w:t>
            </w:r>
          </w:p>
        </w:tc>
        <w:tc>
          <w:tcPr>
            <w:tcW w:w="200" w:type="dxa"/>
            <w:vAlign w:val="bottom"/>
            <w:shd w:val="clear" w:color="auto" w:fill="D0EBF2"/>
          </w:tcPr>
          <w:p>
            <w:pPr>
              <w:spacing w:after="0"/>
              <w:rPr>
                <w:sz w:val="17"/>
                <w:szCs w:val="17"/>
                <w:color w:val="auto"/>
              </w:rPr>
            </w:pPr>
          </w:p>
        </w:tc>
        <w:tc>
          <w:tcPr>
            <w:tcW w:w="1180" w:type="dxa"/>
            <w:vAlign w:val="bottom"/>
            <w:gridSpan w:val="2"/>
          </w:tcPr>
          <w:p>
            <w:pPr>
              <w:jc w:val="right"/>
              <w:ind w:right="20"/>
              <w:spacing w:after="0" w:line="206" w:lineRule="exact"/>
              <w:rPr>
                <w:sz w:val="20"/>
                <w:szCs w:val="20"/>
                <w:color w:val="auto"/>
              </w:rPr>
            </w:pPr>
            <w:r>
              <w:rPr>
                <w:rFonts w:ascii="Arial" w:cs="Arial" w:eastAsia="Arial" w:hAnsi="Arial"/>
                <w:sz w:val="19"/>
                <w:szCs w:val="19"/>
                <w:color w:val="231F20"/>
              </w:rPr>
              <w:t>22.1%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5725160</wp:posOffset>
                </wp:positionH>
                <wp:positionV relativeFrom="paragraph">
                  <wp:posOffset>-446405</wp:posOffset>
                </wp:positionV>
                <wp:extent cx="629920" cy="13779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920" cy="137795"/>
                        </a:xfrm>
                        <a:prstGeom prst="rect">
                          <a:avLst/>
                        </a:prstGeom>
                        <a:solidFill>
                          <a:srgbClr val="D0EBF2"/>
                        </a:solidFill>
                      </wps:spPr>
                      <wps:bodyPr/>
                    </wps:wsp>
                  </a:graphicData>
                </a:graphic>
              </wp:anchor>
            </w:drawing>
          </mc:Choice>
          <mc:Fallback>
            <w:pict>
              <v:rect id="Shape 26" o:spid="_x0000_s1051" style="position:absolute;margin-left:450.8pt;margin-top:-35.1499pt;width:49.6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5725160</wp:posOffset>
                </wp:positionH>
                <wp:positionV relativeFrom="paragraph">
                  <wp:posOffset>-164465</wp:posOffset>
                </wp:positionV>
                <wp:extent cx="629920" cy="13779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920" cy="137795"/>
                        </a:xfrm>
                        <a:prstGeom prst="rect">
                          <a:avLst/>
                        </a:prstGeom>
                        <a:solidFill>
                          <a:srgbClr val="D0EBF2"/>
                        </a:solidFill>
                      </wps:spPr>
                      <wps:bodyPr/>
                    </wps:wsp>
                  </a:graphicData>
                </a:graphic>
              </wp:anchor>
            </w:drawing>
          </mc:Choice>
          <mc:Fallback>
            <w:pict>
              <v:rect id="Shape 27" o:spid="_x0000_s1052" style="position:absolute;margin-left:450.8pt;margin-top:-12.9499pt;width:49.6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w:r>
    </w:p>
    <w:p>
      <w:pPr>
        <w:spacing w:after="0" w:line="151" w:lineRule="exact"/>
        <w:rPr>
          <w:sz w:val="20"/>
          <w:szCs w:val="20"/>
          <w:color w:val="auto"/>
        </w:rPr>
      </w:pPr>
    </w:p>
    <w:p>
      <w:pPr>
        <w:ind w:right="60" w:firstLine="463"/>
        <w:spacing w:after="0" w:line="244" w:lineRule="auto"/>
        <w:rPr>
          <w:sz w:val="20"/>
          <w:szCs w:val="20"/>
          <w:color w:val="auto"/>
        </w:rPr>
      </w:pPr>
      <w:r>
        <w:rPr>
          <w:rFonts w:ascii="Arial" w:cs="Arial" w:eastAsia="Arial" w:hAnsi="Arial"/>
          <w:sz w:val="19"/>
          <w:szCs w:val="19"/>
          <w:color w:val="231F20"/>
        </w:rPr>
        <w:t>Transaction revenue was $410.2 million for the year ended December 31, 2024, compared to $329.7 million for the year ended December 31, 2023, an increase of $80.5 million or 24.4%. The increase in transaction revenue was primarily driven by growth in transaction payment volumes for the year ended December 31, 2024 from both our existing clients and new clients added during the year ended December 31, 2024, compared to the year ended December 31, 2023. We experienced strong growth in transaction payment volume across most regions and verticals during the period, excluding Canada, which decreased primarily due to Canada’s international student permit applications cap introduced earlier in calendar year 2024. Transaction payment volume increased approximately 31% during the year ended December 31, 2024 to $23.2 billion compared to $17.7 billion during the year ended December 31, 2023.</w:t>
      </w:r>
    </w:p>
    <w:p>
      <w:pPr>
        <w:spacing w:after="0" w:line="150" w:lineRule="exact"/>
        <w:rPr>
          <w:sz w:val="20"/>
          <w:szCs w:val="20"/>
          <w:color w:val="auto"/>
        </w:rPr>
      </w:pPr>
    </w:p>
    <w:p>
      <w:pPr>
        <w:ind w:right="20" w:firstLine="463"/>
        <w:spacing w:after="0" w:line="246" w:lineRule="auto"/>
        <w:rPr>
          <w:sz w:val="20"/>
          <w:szCs w:val="20"/>
          <w:color w:val="auto"/>
        </w:rPr>
      </w:pPr>
      <w:r>
        <w:rPr>
          <w:rFonts w:ascii="Arial" w:cs="Arial" w:eastAsia="Arial" w:hAnsi="Arial"/>
          <w:sz w:val="19"/>
          <w:szCs w:val="19"/>
          <w:color w:val="231F20"/>
        </w:rPr>
        <w:t>Platform and other revenues was $81.9 million for the year ended December 31, 2024, compared to $73.4 million for the year ended December 31, 2023, an increase of $8.5 million or 11.6%. The increase in platform and other revenues was primarily driven by the Invoiced and StudyLink acquisitions and revenue from interest earned on funds held for customers in interest-bearing accounts, offset by a decrease in revenue for printing and mailing and insurance products. Invoiced and StudyLink contributed $2.4 million and $7.6 million in platform and other revenues during the year ended December 31, 2024,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Payment Processing Services Costs</w:t>
      </w:r>
    </w:p>
    <w:p>
      <w:pPr>
        <w:spacing w:after="0" w:line="180" w:lineRule="exact"/>
        <w:rPr>
          <w:sz w:val="20"/>
          <w:szCs w:val="20"/>
          <w:color w:val="auto"/>
        </w:rPr>
      </w:pPr>
    </w:p>
    <w:p>
      <w:pPr>
        <w:jc w:val="both"/>
        <w:ind w:right="20" w:firstLine="463"/>
        <w:spacing w:after="0" w:line="279" w:lineRule="auto"/>
        <w:rPr>
          <w:sz w:val="20"/>
          <w:szCs w:val="20"/>
          <w:color w:val="auto"/>
        </w:rPr>
      </w:pPr>
      <w:r>
        <w:rPr>
          <w:rFonts w:ascii="Arial" w:cs="Arial" w:eastAsia="Arial" w:hAnsi="Arial"/>
          <w:sz w:val="18"/>
          <w:szCs w:val="18"/>
          <w:color w:val="231F20"/>
        </w:rPr>
        <w:t>Payment processing services costs were $177.5 million for the year ended December 31, 2024, compared to $147.3 million for the year ended December 31, 2023, an increase of $30.2 million or 20.5%. The increase in payment processing services costs is correlated with the increase in total payment volume of approximately 24% over the same period.</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Technology and Development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Technology and development expenses were $66.6 million for the year ended December 31, 2024,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231F20"/>
        </w:rPr>
        <w:t>$62.0 million for the year ended December 31, 2023, an increase of $4.6 million or 7.4%. The increase in technology and</w:t>
      </w:r>
    </w:p>
    <w:p>
      <w:pPr>
        <w:spacing w:after="0" w:line="238" w:lineRule="auto"/>
        <w:rPr>
          <w:sz w:val="20"/>
          <w:szCs w:val="20"/>
          <w:color w:val="auto"/>
        </w:rPr>
      </w:pPr>
      <w:r>
        <w:rPr>
          <w:rFonts w:ascii="Arial" w:cs="Arial" w:eastAsia="Arial" w:hAnsi="Arial"/>
          <w:sz w:val="19"/>
          <w:szCs w:val="19"/>
          <w:color w:val="231F20"/>
        </w:rPr>
        <w:t>development cost was primarily driven by an increase in personnel costs and stock-based compensation expense, offset</w:t>
      </w:r>
    </w:p>
    <w:p>
      <w:pPr>
        <w:spacing w:after="0"/>
        <w:rPr>
          <w:sz w:val="20"/>
          <w:szCs w:val="20"/>
          <w:color w:val="auto"/>
        </w:rPr>
      </w:pPr>
      <w:r>
        <w:rPr>
          <w:rFonts w:ascii="Arial" w:cs="Arial" w:eastAsia="Arial" w:hAnsi="Arial"/>
          <w:sz w:val="19"/>
          <w:szCs w:val="19"/>
          <w:color w:val="231F20"/>
        </w:rPr>
        <w:t>by a decrease in amortization expense. Personnel costs were $42.1 million for the year ended December 31, 2024,</w:t>
      </w:r>
    </w:p>
    <w:p>
      <w:pPr>
        <w:spacing w:after="0" w:line="238" w:lineRule="auto"/>
        <w:rPr>
          <w:sz w:val="20"/>
          <w:szCs w:val="20"/>
          <w:color w:val="auto"/>
        </w:rPr>
      </w:pPr>
      <w:r>
        <w:rPr>
          <w:rFonts w:ascii="Arial" w:cs="Arial" w:eastAsia="Arial" w:hAnsi="Arial"/>
          <w:sz w:val="19"/>
          <w:szCs w:val="19"/>
          <w:color w:val="231F20"/>
        </w:rPr>
        <w:t>compared to $38.5 million for the year ended December 31, 2023, an increase of $3.6 million or 9.4%. The increase in</w:t>
      </w:r>
    </w:p>
    <w:p>
      <w:pPr>
        <w:spacing w:after="0"/>
        <w:rPr>
          <w:sz w:val="20"/>
          <w:szCs w:val="20"/>
          <w:color w:val="auto"/>
        </w:rPr>
      </w:pPr>
      <w:r>
        <w:rPr>
          <w:rFonts w:ascii="Arial" w:cs="Arial" w:eastAsia="Arial" w:hAnsi="Arial"/>
          <w:sz w:val="19"/>
          <w:szCs w:val="19"/>
          <w:color w:val="231F20"/>
        </w:rPr>
        <w:t>personnel costs was primarily driven by an increase in headcount within our technology and development teams. Stock-</w:t>
      </w:r>
    </w:p>
    <w:p>
      <w:pPr>
        <w:spacing w:after="0" w:line="238" w:lineRule="auto"/>
        <w:rPr>
          <w:sz w:val="20"/>
          <w:szCs w:val="20"/>
          <w:color w:val="auto"/>
        </w:rPr>
      </w:pPr>
      <w:r>
        <w:rPr>
          <w:rFonts w:ascii="Arial" w:cs="Arial" w:eastAsia="Arial" w:hAnsi="Arial"/>
          <w:sz w:val="19"/>
          <w:szCs w:val="19"/>
          <w:color w:val="231F20"/>
        </w:rPr>
        <w:t>based compensation expense was $11.7 million for the year ended December 31, 2024, compared to $9.3 million for the</w:t>
      </w:r>
    </w:p>
    <w:p>
      <w:pPr>
        <w:spacing w:after="0"/>
        <w:rPr>
          <w:sz w:val="20"/>
          <w:szCs w:val="20"/>
          <w:color w:val="auto"/>
        </w:rPr>
      </w:pPr>
      <w:r>
        <w:rPr>
          <w:rFonts w:ascii="Arial" w:cs="Arial" w:eastAsia="Arial" w:hAnsi="Arial"/>
          <w:sz w:val="19"/>
          <w:szCs w:val="19"/>
          <w:color w:val="231F20"/>
        </w:rPr>
        <w:t>year ended December 31, 2023, an increase of $2.4 million or 25.8%. The increase in stock-based compensation is</w:t>
      </w:r>
    </w:p>
    <w:p>
      <w:pPr>
        <w:spacing w:after="0" w:line="238" w:lineRule="auto"/>
        <w:rPr>
          <w:sz w:val="20"/>
          <w:szCs w:val="20"/>
          <w:color w:val="auto"/>
        </w:rPr>
      </w:pPr>
      <w:r>
        <w:rPr>
          <w:rFonts w:ascii="Arial" w:cs="Arial" w:eastAsia="Arial" w:hAnsi="Arial"/>
          <w:sz w:val="19"/>
          <w:szCs w:val="19"/>
          <w:color w:val="231F20"/>
        </w:rPr>
        <w:t>attributable to an increase in equity grants awarded to existing and new FlyMates. Amortization of intangible assets were</w:t>
      </w:r>
    </w:p>
    <w:p>
      <w:pPr>
        <w:spacing w:after="0"/>
        <w:rPr>
          <w:sz w:val="20"/>
          <w:szCs w:val="20"/>
          <w:color w:val="auto"/>
        </w:rPr>
      </w:pPr>
      <w:r>
        <w:rPr>
          <w:rFonts w:ascii="Arial" w:cs="Arial" w:eastAsia="Arial" w:hAnsi="Arial"/>
          <w:sz w:val="19"/>
          <w:szCs w:val="19"/>
          <w:color w:val="231F20"/>
        </w:rPr>
        <w:t>$6.2 million during the year ended December 31, 2024, compared to $7.8 million for the year ended December 31, 2023,</w:t>
      </w:r>
    </w:p>
    <w:p>
      <w:pPr>
        <w:spacing w:after="0" w:line="238" w:lineRule="auto"/>
        <w:rPr>
          <w:sz w:val="20"/>
          <w:szCs w:val="20"/>
          <w:color w:val="auto"/>
        </w:rPr>
      </w:pPr>
      <w:r>
        <w:rPr>
          <w:rFonts w:ascii="Arial" w:cs="Arial" w:eastAsia="Arial" w:hAnsi="Arial"/>
          <w:sz w:val="19"/>
          <w:szCs w:val="19"/>
          <w:color w:val="231F20"/>
        </w:rPr>
        <w:t>a decrease of $1.6 million or 20.5%. The decrease in amortization expense was primarily due to an increase in acquired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231F20"/>
        </w:rPr>
        <w:t>technology's useful lives.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Selling and Marketing</w:t>
      </w:r>
    </w:p>
    <w:p>
      <w:pPr>
        <w:spacing w:after="0" w:line="180" w:lineRule="exact"/>
        <w:rPr>
          <w:sz w:val="20"/>
          <w:szCs w:val="20"/>
          <w:color w:val="auto"/>
        </w:rPr>
      </w:pPr>
    </w:p>
    <w:p>
      <w:pPr>
        <w:ind w:right="140" w:firstLine="463"/>
        <w:spacing w:after="0" w:line="258" w:lineRule="auto"/>
        <w:rPr>
          <w:sz w:val="20"/>
          <w:szCs w:val="20"/>
          <w:color w:val="auto"/>
        </w:rPr>
      </w:pPr>
      <w:r>
        <w:rPr>
          <w:rFonts w:ascii="Arial" w:cs="Arial" w:eastAsia="Arial" w:hAnsi="Arial"/>
          <w:sz w:val="18"/>
          <w:szCs w:val="18"/>
          <w:color w:val="231F20"/>
        </w:rPr>
        <w:t>Selling and marketing expenses were $129.4 million for the year ended December 31, 2024, compared to $107.6 million for the year ended December 31, 2023, an increase of $21.8 million or 20.3%. The increase in selling and marketing expenses was primarily driven by an increase in personnel costs, stock-based compensation, amortization expense, professional fees and marketing costs. Personnel costs were $66.3 million for the year ended December 31, 2024, compared to $57.0 million for the year ended December 31, 2023, an increase of $9.3 million or 16.3%. The increase in personnel costs was primarily driven by an increase in headcount within our selling and marketing teams and commissions earned on sales during the period. Stock-based compensation was $18.0 million for the year ended December 31, 2024, compared to $12.0 million for the year ended December 31, 2023, an increase of $6.0 million or 50.0%. The increase in stock-based compensation is attributable to an increase in equity grants awarded to existing and</w:t>
      </w:r>
    </w:p>
    <w:p>
      <w:pPr>
        <w:sectPr>
          <w:pgSz w:w="12240" w:h="15840" w:orient="portrait"/>
          <w:cols w:equalWidth="0" w:num="1">
            <w:col w:w="10200"/>
          </w:cols>
          <w:pgMar w:left="1020" w:top="1440" w:right="1020" w:bottom="595"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88</w:t>
      </w:r>
    </w:p>
    <w:p>
      <w:pPr>
        <w:sectPr>
          <w:pgSz w:w="12240" w:h="15840" w:orient="portrait"/>
          <w:cols w:equalWidth="0" w:num="1">
            <w:col w:w="10200"/>
          </w:cols>
          <w:pgMar w:left="1020" w:top="1440" w:right="1020" w:bottom="595" w:gutter="0" w:footer="0" w:header="0"/>
          <w:type w:val="continuous"/>
        </w:sectPr>
      </w:pPr>
    </w:p>
    <w:bookmarkStart w:id="89" w:name="page90"/>
    <w:bookmarkEnd w:id="89"/>
    <w:p>
      <w:pPr>
        <w:spacing w:after="0" w:line="97" w:lineRule="exact"/>
        <w:rPr>
          <w:sz w:val="20"/>
          <w:szCs w:val="20"/>
          <w:color w:val="auto"/>
        </w:rPr>
      </w:pPr>
    </w:p>
    <w:p>
      <w:pPr>
        <w:spacing w:after="0" w:line="243" w:lineRule="auto"/>
        <w:rPr>
          <w:sz w:val="20"/>
          <w:szCs w:val="20"/>
          <w:color w:val="auto"/>
        </w:rPr>
      </w:pPr>
      <w:r>
        <w:rPr>
          <w:rFonts w:ascii="Arial" w:cs="Arial" w:eastAsia="Arial" w:hAnsi="Arial"/>
          <w:sz w:val="19"/>
          <w:szCs w:val="19"/>
          <w:color w:val="231F20"/>
        </w:rPr>
        <w:t>new FlyMates. Amortization of intangible assets were $8.1 million during the year ended December 31, 2024, compared to $5.1 million for the year ended December 31, 2023, an increase of $3.0 million or 58.8%. The increase in amortization expense was due to a full year of amortization expense related to the acquired intangible assets of StudyLink and amortization expense related to the acquired intangible assets of Invoiced. Professional fees were $21.2 million for the year ended December 31, 2024, compared to $18.5 million for the year ended December 31, 2023, an increase of $2.7 million or 14.6%. The increase in professional fees was primarily due to increases in third party commissions. Marketing costs were $8.2 million for the year ended December 31, 2024, compared to $7.1 million for the year ended December 31, 2023, an increase of $1.1 million or 15.5%. The increase in marketing costs was due to increased marketing initiatives and hosted events.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General and Administrative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General and administrative expenses were $125.8 million for the year ended December 31, 2024,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231F20"/>
        </w:rPr>
        <w:t>$107.6 million for the year ended December 31, 2023, an increase of $18.2 million or 16.9%. The increase in general and</w:t>
      </w:r>
    </w:p>
    <w:p>
      <w:pPr>
        <w:spacing w:after="0" w:line="238" w:lineRule="auto"/>
        <w:rPr>
          <w:sz w:val="20"/>
          <w:szCs w:val="20"/>
          <w:color w:val="auto"/>
        </w:rPr>
      </w:pPr>
      <w:r>
        <w:rPr>
          <w:rFonts w:ascii="Arial" w:cs="Arial" w:eastAsia="Arial" w:hAnsi="Arial"/>
          <w:sz w:val="19"/>
          <w:szCs w:val="19"/>
          <w:color w:val="231F20"/>
        </w:rPr>
        <w:t>administrative expenses was primarily driven by an increase in stock-based compensation, personnel costs and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31F20"/>
        </w:rPr>
        <w:t>costs. Stock-based compensation was $35.3 million for the year ended December 31, 2024, compared to $22.5 million for</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231F20"/>
        </w:rPr>
        <w:t>the year ended December 31, 2023, an increase of $12.8 million or 56.9%. The increase in stock-based compensation is</w:t>
      </w:r>
    </w:p>
    <w:p>
      <w:pPr>
        <w:spacing w:after="0" w:line="238" w:lineRule="auto"/>
        <w:rPr>
          <w:sz w:val="20"/>
          <w:szCs w:val="20"/>
          <w:color w:val="auto"/>
        </w:rPr>
      </w:pPr>
      <w:r>
        <w:rPr>
          <w:rFonts w:ascii="Arial" w:cs="Arial" w:eastAsia="Arial" w:hAnsi="Arial"/>
          <w:sz w:val="19"/>
          <w:szCs w:val="19"/>
          <w:color w:val="231F20"/>
        </w:rPr>
        <w:t>attributable to an increase in equity grants awarded to existing and new FlyMates. Personnel costs were $47.9 million for</w:t>
      </w:r>
    </w:p>
    <w:p>
      <w:pPr>
        <w:spacing w:after="0"/>
        <w:rPr>
          <w:sz w:val="20"/>
          <w:szCs w:val="20"/>
          <w:color w:val="auto"/>
        </w:rPr>
      </w:pPr>
      <w:r>
        <w:rPr>
          <w:rFonts w:ascii="Arial" w:cs="Arial" w:eastAsia="Arial" w:hAnsi="Arial"/>
          <w:sz w:val="19"/>
          <w:szCs w:val="19"/>
          <w:color w:val="231F20"/>
        </w:rPr>
        <w:t>the year ended December 31, 2024, compared to $42.4 million for the year ended December 31, 2023, an increase of</w:t>
      </w:r>
    </w:p>
    <w:p>
      <w:pPr>
        <w:spacing w:after="0" w:line="238" w:lineRule="auto"/>
        <w:rPr>
          <w:sz w:val="20"/>
          <w:szCs w:val="20"/>
          <w:color w:val="auto"/>
        </w:rPr>
      </w:pPr>
      <w:r>
        <w:rPr>
          <w:rFonts w:ascii="Arial" w:cs="Arial" w:eastAsia="Arial" w:hAnsi="Arial"/>
          <w:sz w:val="19"/>
          <w:szCs w:val="19"/>
          <w:color w:val="231F20"/>
        </w:rPr>
        <w:t>$5.5 million or 13.0%. The increase in personnel costs was primarily driven by an increase in headcount. Other costs</w:t>
      </w:r>
    </w:p>
    <w:p>
      <w:pPr>
        <w:spacing w:after="0"/>
        <w:rPr>
          <w:sz w:val="20"/>
          <w:szCs w:val="20"/>
          <w:color w:val="auto"/>
        </w:rPr>
      </w:pPr>
      <w:r>
        <w:rPr>
          <w:rFonts w:ascii="Arial" w:cs="Arial" w:eastAsia="Arial" w:hAnsi="Arial"/>
          <w:sz w:val="19"/>
          <w:szCs w:val="19"/>
          <w:color w:val="231F20"/>
        </w:rPr>
        <w:t>were $7.0 million for the year ended December 31, 2024, compared to $5.1 million for the year ended December 31,</w:t>
      </w:r>
    </w:p>
    <w:p>
      <w:pPr>
        <w:spacing w:after="0" w:line="238" w:lineRule="auto"/>
        <w:rPr>
          <w:sz w:val="20"/>
          <w:szCs w:val="20"/>
          <w:color w:val="auto"/>
        </w:rPr>
      </w:pPr>
      <w:r>
        <w:rPr>
          <w:rFonts w:ascii="Arial" w:cs="Arial" w:eastAsia="Arial" w:hAnsi="Arial"/>
          <w:sz w:val="19"/>
          <w:szCs w:val="19"/>
          <w:color w:val="231F20"/>
        </w:rPr>
        <w:t>2023, an increase of $1.9 million or 37.3%. The increase in other costs is primarily due to indirect taxes recorded during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231F20"/>
        </w:rPr>
        <w:t>the period.</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Interest Expense</w:t>
      </w:r>
    </w:p>
    <w:p>
      <w:pPr>
        <w:spacing w:after="0" w:line="180" w:lineRule="exact"/>
        <w:rPr>
          <w:sz w:val="20"/>
          <w:szCs w:val="20"/>
          <w:color w:val="auto"/>
        </w:rPr>
      </w:pPr>
    </w:p>
    <w:p>
      <w:pPr>
        <w:ind w:right="380" w:firstLine="463"/>
        <w:spacing w:after="0" w:line="248" w:lineRule="auto"/>
        <w:rPr>
          <w:sz w:val="20"/>
          <w:szCs w:val="20"/>
          <w:color w:val="auto"/>
        </w:rPr>
      </w:pPr>
      <w:r>
        <w:rPr>
          <w:rFonts w:ascii="Arial" w:cs="Arial" w:eastAsia="Arial" w:hAnsi="Arial"/>
          <w:sz w:val="19"/>
          <w:szCs w:val="19"/>
          <w:color w:val="231F20"/>
        </w:rPr>
        <w:t>Interest expense was $0.5 million for the year ended December 31, 2024, compared to $0.4 million for the year ended December 31, 2023, an increase of 0.1 million or 25.0%. As of December 31, 2024 and 2023, there was no outstanding indebtedness under the 2024 Revolving Credit Facility or 2021 Revolving Credit Facility. Interest expense consists primarily of amortization of debt issuance costs and unused commitment fees related to our 2024 Revolving Credit Facility and 2021 Revolving Credit Facility</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Interest Income</w:t>
      </w:r>
    </w:p>
    <w:p>
      <w:pPr>
        <w:spacing w:after="0" w:line="180" w:lineRule="exact"/>
        <w:rPr>
          <w:sz w:val="20"/>
          <w:szCs w:val="20"/>
          <w:color w:val="auto"/>
        </w:rPr>
      </w:pPr>
    </w:p>
    <w:p>
      <w:pPr>
        <w:ind w:right="140" w:firstLine="463"/>
        <w:spacing w:after="0" w:line="279" w:lineRule="auto"/>
        <w:rPr>
          <w:sz w:val="20"/>
          <w:szCs w:val="20"/>
          <w:color w:val="auto"/>
        </w:rPr>
      </w:pPr>
      <w:r>
        <w:rPr>
          <w:rFonts w:ascii="Arial" w:cs="Arial" w:eastAsia="Arial" w:hAnsi="Arial"/>
          <w:sz w:val="18"/>
          <w:szCs w:val="18"/>
          <w:color w:val="231F20"/>
        </w:rPr>
        <w:t>Interest income was $21.4 million for the year ended December 31, 2024, compared to $13.3 million for the year ended December 31, 2023, an increase of $8.1 million or 60.9%. The increase in interest income is attributable to the increase in our cash balance primarily associated with our Public Offering we completed in August and September 2023.</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(Loss) Gain from Remeasurement of Foreign Currency</w:t>
      </w:r>
    </w:p>
    <w:p>
      <w:pPr>
        <w:spacing w:after="0" w:line="180" w:lineRule="exact"/>
        <w:rPr>
          <w:sz w:val="20"/>
          <w:szCs w:val="20"/>
          <w:color w:val="auto"/>
        </w:rPr>
      </w:pPr>
    </w:p>
    <w:p>
      <w:pPr>
        <w:ind w:right="60" w:firstLine="463"/>
        <w:spacing w:after="0" w:line="251" w:lineRule="auto"/>
        <w:rPr>
          <w:sz w:val="20"/>
          <w:szCs w:val="20"/>
          <w:color w:val="auto"/>
        </w:rPr>
      </w:pPr>
      <w:r>
        <w:rPr>
          <w:rFonts w:ascii="Arial" w:cs="Arial" w:eastAsia="Arial" w:hAnsi="Arial"/>
          <w:sz w:val="19"/>
          <w:szCs w:val="19"/>
          <w:color w:val="231F20"/>
        </w:rPr>
        <w:t>Loss from remeasurement of foreign currency was $11.8 million for the year ended December 31, 2024, compared to a gain of $4.2 million for the year ended December 31, 2023, an increase of $16.0 million or 381.0%. The increase was primarily the result of the remeasurement of foreign currency intercompany loans and impact of fluctuations in exchange rates during respective remeasurement periods.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(Benefit from) Provision for Income Taxes</w:t>
      </w:r>
    </w:p>
    <w:p>
      <w:pPr>
        <w:spacing w:after="0" w:line="180"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Benefit from income taxes was $1.0 million during the year ended December 31, 2024, compared to a provision for income taxes of $4.2 million during the year ended December 31, 2023, a decrease of $5.2 million or 123.8%. The income tax benefit for the year ended December 31, 2024 was primarily attributable to a non-recurring benefit of $4.9 million relating to the release of a portion of our valuation allowance in the U.S. This release was due to taxable temporary differences recorded as part of the Invoiced acquisition which were a source of income to realize certain pre-existing federal and state deferred tax assets. The benefit is offset by income tax expense attributable to our foreign operations and U.S. state taxes. The income tax expense for the year ended December 31, 2023 was primarily attributable to income taxes related to our profitable foreign subsidiaries and U.S. state taxes. Our effective tax rate was (55.9)% for the year ended December 31, 2024, compared to (96.8)% for the year ended December 31, 2023.</w: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89</w:t>
      </w:r>
    </w:p>
    <w:p>
      <w:pPr>
        <w:sectPr>
          <w:pgSz w:w="12240" w:h="15840" w:orient="portrait"/>
          <w:cols w:equalWidth="0" w:num="1">
            <w:col w:w="10200"/>
          </w:cols>
          <w:pgMar w:left="1020" w:top="1440" w:right="1020" w:bottom="595" w:gutter="0" w:footer="0" w:header="0"/>
          <w:type w:val="continuous"/>
        </w:sectPr>
      </w:pPr>
    </w:p>
    <w:bookmarkStart w:id="90" w:name="page91"/>
    <w:bookmarkEnd w:id="90"/>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Comparison of results for the years ended December 31, 2023 and 2022</w:t>
      </w:r>
    </w:p>
    <w:p>
      <w:pPr>
        <w:spacing w:after="0" w:line="184" w:lineRule="exact"/>
        <w:rPr>
          <w:sz w:val="20"/>
          <w:szCs w:val="20"/>
          <w:color w:val="auto"/>
        </w:rPr>
      </w:pPr>
    </w:p>
    <w:p>
      <w:pPr>
        <w:ind w:right="300" w:firstLine="463"/>
        <w:spacing w:after="0" w:line="278" w:lineRule="auto"/>
        <w:rPr>
          <w:sz w:val="20"/>
          <w:szCs w:val="20"/>
          <w:color w:val="auto"/>
        </w:rPr>
      </w:pPr>
      <w:r>
        <w:rPr>
          <w:rFonts w:ascii="Arial" w:cs="Arial" w:eastAsia="Arial" w:hAnsi="Arial"/>
          <w:sz w:val="19"/>
          <w:szCs w:val="19"/>
          <w:color w:val="231F20"/>
        </w:rPr>
        <w:t>All dollar amounts in the tables below are rounded and as a result, certain amounts may not recalculate using the rounded amounts provided.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The following table sets forth our consolidated results of operations for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20" w:type="dxa"/>
            <w:vAlign w:val="bottom"/>
            <w:vMerge w:val="restart"/>
            <w:shd w:val="clear" w:color="auto" w:fill="FDFDFC"/>
          </w:tcPr>
          <w:p>
            <w:pPr>
              <w:spacing w:after="0"/>
              <w:rPr>
                <w:sz w:val="20"/>
                <w:szCs w:val="20"/>
                <w:color w:val="auto"/>
              </w:rPr>
            </w:pPr>
            <w:r>
              <w:rPr>
                <w:rFonts w:ascii="Arial" w:cs="Arial" w:eastAsia="Arial" w:hAnsi="Arial"/>
                <w:sz w:val="15"/>
                <w:szCs w:val="15"/>
                <w:b w:val="1"/>
                <w:bCs w:val="1"/>
                <w:color w:val="231F20"/>
              </w:rPr>
              <w:t>(dollars in millions)</w:t>
            </w:r>
          </w:p>
        </w:tc>
        <w:tc>
          <w:tcPr>
            <w:tcW w:w="10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2340" w:type="dxa"/>
            <w:vAlign w:val="bottom"/>
            <w:tcBorders>
              <w:right w:val="single" w:sz="8" w:color="FDFDFC"/>
            </w:tcBorders>
            <w:gridSpan w:val="6"/>
            <w:shd w:val="clear" w:color="auto" w:fill="FDFDFC"/>
          </w:tcPr>
          <w:p>
            <w:pPr>
              <w:jc w:val="right"/>
              <w:ind w:right="420"/>
              <w:spacing w:after="0"/>
              <w:rPr>
                <w:sz w:val="20"/>
                <w:szCs w:val="20"/>
                <w:color w:val="auto"/>
              </w:rPr>
            </w:pPr>
            <w:r>
              <w:rPr>
                <w:rFonts w:ascii="Arial" w:cs="Arial" w:eastAsia="Arial" w:hAnsi="Arial"/>
                <w:sz w:val="15"/>
                <w:szCs w:val="15"/>
                <w:b w:val="1"/>
                <w:bCs w:val="1"/>
                <w:color w:val="231F20"/>
              </w:rPr>
              <w:t>Year Ended December 31,</w:t>
            </w:r>
          </w:p>
        </w:tc>
        <w:tc>
          <w:tcPr>
            <w:tcW w:w="140" w:type="dxa"/>
            <w:vAlign w:val="bottom"/>
            <w:shd w:val="clear" w:color="auto" w:fill="FDFDFC"/>
          </w:tcPr>
          <w:p>
            <w:pPr>
              <w:spacing w:after="0"/>
              <w:rPr>
                <w:sz w:val="15"/>
                <w:szCs w:val="15"/>
                <w:color w:val="auto"/>
              </w:rPr>
            </w:pPr>
          </w:p>
        </w:tc>
        <w:tc>
          <w:tcPr>
            <w:tcW w:w="880" w:type="dxa"/>
            <w:vAlign w:val="bottom"/>
            <w:vMerge w:val="restart"/>
            <w:shd w:val="clear" w:color="auto" w:fill="FDFDFC"/>
          </w:tcPr>
          <w:p>
            <w:pPr>
              <w:jc w:val="right"/>
              <w:ind w:right="87"/>
              <w:spacing w:after="0"/>
              <w:rPr>
                <w:sz w:val="20"/>
                <w:szCs w:val="20"/>
                <w:color w:val="auto"/>
              </w:rPr>
            </w:pPr>
            <w:r>
              <w:rPr>
                <w:rFonts w:ascii="Arial" w:cs="Arial" w:eastAsia="Arial" w:hAnsi="Arial"/>
                <w:sz w:val="15"/>
                <w:szCs w:val="15"/>
                <w:b w:val="1"/>
                <w:bCs w:val="1"/>
                <w:color w:val="231F20"/>
              </w:rPr>
              <w:t>$ Change</w:t>
            </w:r>
          </w:p>
        </w:tc>
        <w:tc>
          <w:tcPr>
            <w:tcW w:w="200" w:type="dxa"/>
            <w:vAlign w:val="bottom"/>
            <w:shd w:val="clear" w:color="auto" w:fill="FDFDFC"/>
          </w:tcPr>
          <w:p>
            <w:pPr>
              <w:spacing w:after="0"/>
              <w:rPr>
                <w:sz w:val="15"/>
                <w:szCs w:val="15"/>
                <w:color w:val="auto"/>
              </w:rPr>
            </w:pPr>
          </w:p>
        </w:tc>
        <w:tc>
          <w:tcPr>
            <w:tcW w:w="1020" w:type="dxa"/>
            <w:vAlign w:val="bottom"/>
            <w:vMerge w:val="restart"/>
            <w:shd w:val="clear" w:color="auto" w:fill="FDFDFC"/>
          </w:tcPr>
          <w:p>
            <w:pPr>
              <w:ind w:left="140"/>
              <w:spacing w:after="0"/>
              <w:rPr>
                <w:sz w:val="20"/>
                <w:szCs w:val="20"/>
                <w:color w:val="auto"/>
              </w:rPr>
            </w:pPr>
            <w:r>
              <w:rPr>
                <w:rFonts w:ascii="Arial" w:cs="Arial" w:eastAsia="Arial" w:hAnsi="Arial"/>
                <w:sz w:val="15"/>
                <w:szCs w:val="15"/>
                <w:b w:val="1"/>
                <w:bCs w:val="1"/>
                <w:color w:val="231F20"/>
              </w:rPr>
              <w:t>% Change</w:t>
            </w:r>
          </w:p>
        </w:tc>
        <w:tc>
          <w:tcPr>
            <w:tcW w:w="240" w:type="dxa"/>
            <w:vAlign w:val="bottom"/>
            <w:vMerge w:val="restart"/>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120" w:type="dxa"/>
            <w:vAlign w:val="bottom"/>
            <w:tcBorders>
              <w:top w:val="single" w:sz="8" w:color="FDFDFC"/>
              <w:bottom w:val="single" w:sz="8" w:color="231F20"/>
            </w:tcBorders>
            <w:vMerge w:val="continue"/>
            <w:shd w:val="clear" w:color="auto" w:fill="FDFDFC"/>
          </w:tcPr>
          <w:p>
            <w:pPr>
              <w:spacing w:after="0"/>
              <w:rPr>
                <w:sz w:val="14"/>
                <w:szCs w:val="14"/>
                <w:color w:val="auto"/>
              </w:rPr>
            </w:pPr>
          </w:p>
        </w:tc>
        <w:tc>
          <w:tcPr>
            <w:tcW w:w="100" w:type="dxa"/>
            <w:vAlign w:val="bottom"/>
            <w:tcBorders>
              <w:top w:val="single" w:sz="8" w:color="FDFDFC"/>
              <w:bottom w:val="single" w:sz="8" w:color="D0EBF2"/>
            </w:tcBorders>
            <w:shd w:val="clear" w:color="auto" w:fill="FDFDFC"/>
          </w:tcPr>
          <w:p>
            <w:pPr>
              <w:spacing w:after="0"/>
              <w:rPr>
                <w:sz w:val="14"/>
                <w:szCs w:val="14"/>
                <w:color w:val="auto"/>
              </w:rPr>
            </w:pPr>
          </w:p>
        </w:tc>
        <w:tc>
          <w:tcPr>
            <w:tcW w:w="160" w:type="dxa"/>
            <w:vAlign w:val="bottom"/>
            <w:tcBorders>
              <w:top w:val="single" w:sz="8" w:color="231F20"/>
              <w:bottom w:val="single" w:sz="8" w:color="231F20"/>
            </w:tcBorders>
            <w:shd w:val="clear" w:color="auto" w:fill="FDFDFC"/>
          </w:tcPr>
          <w:p>
            <w:pPr>
              <w:spacing w:after="0"/>
              <w:rPr>
                <w:sz w:val="14"/>
                <w:szCs w:val="14"/>
                <w:color w:val="auto"/>
              </w:rPr>
            </w:pPr>
          </w:p>
        </w:tc>
        <w:tc>
          <w:tcPr>
            <w:tcW w:w="900" w:type="dxa"/>
            <w:vAlign w:val="bottom"/>
            <w:tcBorders>
              <w:top w:val="single" w:sz="8" w:color="231F20"/>
              <w:bottom w:val="single" w:sz="8" w:color="231F20"/>
            </w:tcBorders>
            <w:shd w:val="clear" w:color="auto" w:fill="FDFDFC"/>
          </w:tcPr>
          <w:p>
            <w:pPr>
              <w:jc w:val="right"/>
              <w:ind w:right="268"/>
              <w:spacing w:after="0" w:line="164" w:lineRule="exact"/>
              <w:rPr>
                <w:sz w:val="20"/>
                <w:szCs w:val="20"/>
                <w:color w:val="auto"/>
              </w:rPr>
            </w:pPr>
            <w:r>
              <w:rPr>
                <w:rFonts w:ascii="Arial" w:cs="Arial" w:eastAsia="Arial" w:hAnsi="Arial"/>
                <w:sz w:val="15"/>
                <w:szCs w:val="15"/>
                <w:b w:val="1"/>
                <w:bCs w:val="1"/>
                <w:color w:val="231F20"/>
              </w:rPr>
              <w:t>2023</w:t>
            </w:r>
          </w:p>
        </w:tc>
        <w:tc>
          <w:tcPr>
            <w:tcW w:w="100" w:type="dxa"/>
            <w:vAlign w:val="bottom"/>
            <w:tcBorders>
              <w:top w:val="single" w:sz="8" w:color="231F20"/>
              <w:bottom w:val="single" w:sz="8" w:color="D0EBF2"/>
            </w:tcBorders>
            <w:shd w:val="clear" w:color="auto" w:fill="FDFDFC"/>
          </w:tcPr>
          <w:p>
            <w:pPr>
              <w:spacing w:after="0"/>
              <w:rPr>
                <w:sz w:val="14"/>
                <w:szCs w:val="14"/>
                <w:color w:val="auto"/>
              </w:rPr>
            </w:pPr>
          </w:p>
        </w:tc>
        <w:tc>
          <w:tcPr>
            <w:tcW w:w="80" w:type="dxa"/>
            <w:vAlign w:val="bottom"/>
            <w:tcBorders>
              <w:top w:val="single" w:sz="8" w:color="231F20"/>
              <w:bottom w:val="single" w:sz="8" w:color="D0EBF2"/>
            </w:tcBorders>
            <w:shd w:val="clear" w:color="auto" w:fill="FDFDFC"/>
          </w:tcPr>
          <w:p>
            <w:pPr>
              <w:spacing w:after="0"/>
              <w:rPr>
                <w:sz w:val="14"/>
                <w:szCs w:val="14"/>
                <w:color w:val="auto"/>
              </w:rPr>
            </w:pPr>
          </w:p>
        </w:tc>
        <w:tc>
          <w:tcPr>
            <w:tcW w:w="240" w:type="dxa"/>
            <w:vAlign w:val="bottom"/>
            <w:tcBorders>
              <w:top w:val="single" w:sz="8" w:color="231F20"/>
              <w:bottom w:val="single" w:sz="8" w:color="231F20"/>
            </w:tcBorders>
            <w:shd w:val="clear" w:color="auto" w:fill="FDFDFC"/>
          </w:tcPr>
          <w:p>
            <w:pPr>
              <w:spacing w:after="0"/>
              <w:rPr>
                <w:sz w:val="14"/>
                <w:szCs w:val="14"/>
                <w:color w:val="auto"/>
              </w:rPr>
            </w:pPr>
          </w:p>
        </w:tc>
        <w:tc>
          <w:tcPr>
            <w:tcW w:w="820" w:type="dxa"/>
            <w:vAlign w:val="bottom"/>
            <w:tcBorders>
              <w:top w:val="single" w:sz="8" w:color="231F20"/>
              <w:bottom w:val="single" w:sz="8" w:color="231F20"/>
            </w:tcBorders>
            <w:shd w:val="clear" w:color="auto" w:fill="FDFDFC"/>
          </w:tcPr>
          <w:p>
            <w:pPr>
              <w:jc w:val="right"/>
              <w:ind w:right="267"/>
              <w:spacing w:after="0" w:line="164" w:lineRule="exact"/>
              <w:rPr>
                <w:sz w:val="20"/>
                <w:szCs w:val="20"/>
                <w:color w:val="auto"/>
              </w:rPr>
            </w:pPr>
            <w:r>
              <w:rPr>
                <w:rFonts w:ascii="Arial" w:cs="Arial" w:eastAsia="Arial" w:hAnsi="Arial"/>
                <w:sz w:val="15"/>
                <w:szCs w:val="15"/>
                <w:b w:val="1"/>
                <w:bCs w:val="1"/>
                <w:color w:val="231F20"/>
              </w:rPr>
              <w:t>2022</w:t>
            </w:r>
          </w:p>
        </w:tc>
        <w:tc>
          <w:tcPr>
            <w:tcW w:w="200" w:type="dxa"/>
            <w:vAlign w:val="bottom"/>
            <w:tcBorders>
              <w:top w:val="single" w:sz="8" w:color="FDFDFC"/>
              <w:bottom w:val="single" w:sz="8" w:color="D0EBF2"/>
              <w:right w:val="single" w:sz="8" w:color="FDFDFC"/>
            </w:tcBorders>
            <w:shd w:val="clear" w:color="auto" w:fill="FDFDFC"/>
          </w:tcPr>
          <w:p>
            <w:pPr>
              <w:spacing w:after="0"/>
              <w:rPr>
                <w:sz w:val="14"/>
                <w:szCs w:val="14"/>
                <w:color w:val="auto"/>
              </w:rPr>
            </w:pPr>
          </w:p>
        </w:tc>
        <w:tc>
          <w:tcPr>
            <w:tcW w:w="140" w:type="dxa"/>
            <w:vAlign w:val="bottom"/>
            <w:tcBorders>
              <w:top w:val="single" w:sz="8" w:color="FDFDFC"/>
              <w:bottom w:val="single" w:sz="8" w:color="231F20"/>
            </w:tcBorders>
            <w:shd w:val="clear" w:color="auto" w:fill="FDFDFC"/>
          </w:tcPr>
          <w:p>
            <w:pPr>
              <w:spacing w:after="0"/>
              <w:rPr>
                <w:sz w:val="14"/>
                <w:szCs w:val="14"/>
                <w:color w:val="auto"/>
              </w:rPr>
            </w:pPr>
          </w:p>
        </w:tc>
        <w:tc>
          <w:tcPr>
            <w:tcW w:w="880" w:type="dxa"/>
            <w:vAlign w:val="bottom"/>
            <w:tcBorders>
              <w:top w:val="single" w:sz="8" w:color="FDFDFC"/>
              <w:bottom w:val="single" w:sz="8" w:color="231F20"/>
            </w:tcBorders>
            <w:vMerge w:val="continue"/>
            <w:shd w:val="clear" w:color="auto" w:fill="FDFDFC"/>
          </w:tcPr>
          <w:p>
            <w:pPr>
              <w:spacing w:after="0"/>
              <w:rPr>
                <w:sz w:val="14"/>
                <w:szCs w:val="14"/>
                <w:color w:val="auto"/>
              </w:rPr>
            </w:pPr>
          </w:p>
        </w:tc>
        <w:tc>
          <w:tcPr>
            <w:tcW w:w="200" w:type="dxa"/>
            <w:vAlign w:val="bottom"/>
            <w:tcBorders>
              <w:top w:val="single" w:sz="8" w:color="FDFDFC"/>
              <w:bottom w:val="single" w:sz="8" w:color="D0EBF2"/>
            </w:tcBorders>
            <w:shd w:val="clear" w:color="auto" w:fill="FDFDFC"/>
          </w:tcPr>
          <w:p>
            <w:pPr>
              <w:spacing w:after="0"/>
              <w:rPr>
                <w:sz w:val="14"/>
                <w:szCs w:val="14"/>
                <w:color w:val="auto"/>
              </w:rPr>
            </w:pPr>
          </w:p>
        </w:tc>
        <w:tc>
          <w:tcPr>
            <w:tcW w:w="1020" w:type="dxa"/>
            <w:vAlign w:val="bottom"/>
            <w:tcBorders>
              <w:top w:val="single" w:sz="8" w:color="FDFDFC"/>
              <w:bottom w:val="single" w:sz="8" w:color="231F20"/>
            </w:tcBorders>
            <w:vMerge w:val="continue"/>
            <w:shd w:val="clear" w:color="auto" w:fill="FDFDFC"/>
          </w:tcPr>
          <w:p>
            <w:pPr>
              <w:spacing w:after="0"/>
              <w:rPr>
                <w:sz w:val="14"/>
                <w:szCs w:val="14"/>
                <w:color w:val="auto"/>
              </w:rPr>
            </w:pPr>
          </w:p>
        </w:tc>
        <w:tc>
          <w:tcPr>
            <w:tcW w:w="240" w:type="dxa"/>
            <w:vAlign w:val="bottom"/>
            <w:tcBorders>
              <w:top w:val="single" w:sz="8" w:color="FDFDFC"/>
              <w:bottom w:val="single" w:sz="8" w:color="FDFDFC"/>
            </w:tcBorders>
            <w:vMerge w:val="continue"/>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120" w:type="dxa"/>
            <w:vAlign w:val="bottom"/>
            <w:shd w:val="clear" w:color="auto" w:fill="D0EBF2"/>
          </w:tcPr>
          <w:p>
            <w:pPr>
              <w:spacing w:after="0" w:line="207" w:lineRule="exact"/>
              <w:rPr>
                <w:sz w:val="20"/>
                <w:szCs w:val="20"/>
                <w:color w:val="auto"/>
              </w:rPr>
            </w:pPr>
            <w:r>
              <w:rPr>
                <w:rFonts w:ascii="Arial" w:cs="Arial" w:eastAsia="Arial" w:hAnsi="Arial"/>
                <w:sz w:val="19"/>
                <w:szCs w:val="19"/>
                <w:color w:val="231F20"/>
              </w:rPr>
              <w:t>Revenue</w:t>
            </w:r>
          </w:p>
        </w:tc>
        <w:tc>
          <w:tcPr>
            <w:tcW w:w="100" w:type="dxa"/>
            <w:vAlign w:val="bottom"/>
            <w:shd w:val="clear" w:color="auto" w:fill="D0EBF2"/>
          </w:tcPr>
          <w:p>
            <w:pPr>
              <w:spacing w:after="0"/>
              <w:rPr>
                <w:sz w:val="17"/>
                <w:szCs w:val="17"/>
                <w:color w:val="auto"/>
              </w:rPr>
            </w:pPr>
          </w:p>
        </w:tc>
        <w:tc>
          <w:tcPr>
            <w:tcW w:w="160" w:type="dxa"/>
            <w:vAlign w:val="bottom"/>
            <w:shd w:val="clear" w:color="auto" w:fill="D0EBF2"/>
          </w:tcPr>
          <w:p>
            <w:pPr>
              <w:jc w:val="right"/>
              <w:spacing w:after="0" w:line="207" w:lineRule="exact"/>
              <w:rPr>
                <w:sz w:val="20"/>
                <w:szCs w:val="20"/>
                <w:color w:val="auto"/>
              </w:rPr>
            </w:pPr>
            <w:r>
              <w:rPr>
                <w:rFonts w:ascii="Arial" w:cs="Arial" w:eastAsia="Arial" w:hAnsi="Arial"/>
                <w:sz w:val="19"/>
                <w:szCs w:val="19"/>
                <w:color w:val="231F20"/>
                <w:w w:val="75"/>
              </w:rPr>
              <w:t>$</w:t>
            </w:r>
          </w:p>
        </w:tc>
        <w:tc>
          <w:tcPr>
            <w:tcW w:w="900" w:type="dxa"/>
            <w:vAlign w:val="bottom"/>
            <w:shd w:val="clear" w:color="auto" w:fill="D0EBF2"/>
          </w:tcPr>
          <w:p>
            <w:pPr>
              <w:jc w:val="right"/>
              <w:spacing w:after="0" w:line="207" w:lineRule="exact"/>
              <w:rPr>
                <w:sz w:val="20"/>
                <w:szCs w:val="20"/>
                <w:color w:val="auto"/>
              </w:rPr>
            </w:pPr>
            <w:r>
              <w:rPr>
                <w:rFonts w:ascii="Arial" w:cs="Arial" w:eastAsia="Arial" w:hAnsi="Arial"/>
                <w:sz w:val="19"/>
                <w:szCs w:val="19"/>
                <w:color w:val="231F20"/>
              </w:rPr>
              <w:t>403.1</w:t>
            </w:r>
          </w:p>
        </w:tc>
        <w:tc>
          <w:tcPr>
            <w:tcW w:w="100" w:type="dxa"/>
            <w:vAlign w:val="bottom"/>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c>
          <w:tcPr>
            <w:tcW w:w="240" w:type="dxa"/>
            <w:vAlign w:val="bottom"/>
            <w:shd w:val="clear" w:color="auto" w:fill="D0EBF2"/>
          </w:tcPr>
          <w:p>
            <w:pPr>
              <w:jc w:val="right"/>
              <w:ind w:right="26"/>
              <w:spacing w:after="0" w:line="207" w:lineRule="exact"/>
              <w:rPr>
                <w:sz w:val="20"/>
                <w:szCs w:val="20"/>
                <w:color w:val="auto"/>
              </w:rPr>
            </w:pPr>
            <w:r>
              <w:rPr>
                <w:rFonts w:ascii="Arial" w:cs="Arial" w:eastAsia="Arial" w:hAnsi="Arial"/>
                <w:sz w:val="19"/>
                <w:szCs w:val="19"/>
                <w:color w:val="231F20"/>
                <w:w w:val="94"/>
              </w:rPr>
              <w:t>$</w:t>
            </w:r>
          </w:p>
        </w:tc>
        <w:tc>
          <w:tcPr>
            <w:tcW w:w="820" w:type="dxa"/>
            <w:vAlign w:val="bottom"/>
            <w:shd w:val="clear" w:color="auto" w:fill="D0EBF2"/>
          </w:tcPr>
          <w:p>
            <w:pPr>
              <w:jc w:val="right"/>
              <w:spacing w:after="0" w:line="207" w:lineRule="exact"/>
              <w:rPr>
                <w:sz w:val="20"/>
                <w:szCs w:val="20"/>
                <w:color w:val="auto"/>
              </w:rPr>
            </w:pPr>
            <w:r>
              <w:rPr>
                <w:rFonts w:ascii="Arial" w:cs="Arial" w:eastAsia="Arial" w:hAnsi="Arial"/>
                <w:sz w:val="19"/>
                <w:szCs w:val="19"/>
                <w:color w:val="231F20"/>
              </w:rPr>
              <w:t>289.4</w:t>
            </w:r>
          </w:p>
        </w:tc>
        <w:tc>
          <w:tcPr>
            <w:tcW w:w="200" w:type="dxa"/>
            <w:vAlign w:val="bottom"/>
            <w:tcBorders>
              <w:right w:val="single" w:sz="8" w:color="D0EBF2"/>
            </w:tcBorders>
            <w:shd w:val="clear" w:color="auto" w:fill="D0EBF2"/>
          </w:tcPr>
          <w:p>
            <w:pPr>
              <w:spacing w:after="0"/>
              <w:rPr>
                <w:sz w:val="17"/>
                <w:szCs w:val="17"/>
                <w:color w:val="auto"/>
              </w:rPr>
            </w:pPr>
          </w:p>
        </w:tc>
        <w:tc>
          <w:tcPr>
            <w:tcW w:w="140" w:type="dxa"/>
            <w:vAlign w:val="bottom"/>
            <w:shd w:val="clear" w:color="auto" w:fill="D0EBF2"/>
          </w:tcPr>
          <w:p>
            <w:pPr>
              <w:jc w:val="right"/>
              <w:spacing w:after="0" w:line="207" w:lineRule="exact"/>
              <w:rPr>
                <w:sz w:val="20"/>
                <w:szCs w:val="20"/>
                <w:color w:val="auto"/>
              </w:rPr>
            </w:pPr>
            <w:r>
              <w:rPr>
                <w:rFonts w:ascii="Arial" w:cs="Arial" w:eastAsia="Arial" w:hAnsi="Arial"/>
                <w:sz w:val="19"/>
                <w:szCs w:val="19"/>
                <w:color w:val="231F20"/>
                <w:w w:val="75"/>
              </w:rPr>
              <w:t>$</w:t>
            </w:r>
          </w:p>
        </w:tc>
        <w:tc>
          <w:tcPr>
            <w:tcW w:w="880" w:type="dxa"/>
            <w:vAlign w:val="bottom"/>
            <w:shd w:val="clear" w:color="auto" w:fill="D0EBF2"/>
          </w:tcPr>
          <w:p>
            <w:pPr>
              <w:jc w:val="right"/>
              <w:spacing w:after="0" w:line="207" w:lineRule="exact"/>
              <w:rPr>
                <w:sz w:val="20"/>
                <w:szCs w:val="20"/>
                <w:color w:val="auto"/>
              </w:rPr>
            </w:pPr>
            <w:r>
              <w:rPr>
                <w:rFonts w:ascii="Arial" w:cs="Arial" w:eastAsia="Arial" w:hAnsi="Arial"/>
                <w:sz w:val="19"/>
                <w:szCs w:val="19"/>
                <w:color w:val="231F20"/>
              </w:rPr>
              <w:t>113.7</w:t>
            </w:r>
          </w:p>
        </w:tc>
        <w:tc>
          <w:tcPr>
            <w:tcW w:w="200" w:type="dxa"/>
            <w:vAlign w:val="bottom"/>
            <w:shd w:val="clear" w:color="auto" w:fill="D0EBF2"/>
          </w:tcPr>
          <w:p>
            <w:pPr>
              <w:spacing w:after="0"/>
              <w:rPr>
                <w:sz w:val="17"/>
                <w:szCs w:val="17"/>
                <w:color w:val="auto"/>
              </w:rPr>
            </w:pPr>
          </w:p>
        </w:tc>
        <w:tc>
          <w:tcPr>
            <w:tcW w:w="1260" w:type="dxa"/>
            <w:vAlign w:val="bottom"/>
            <w:gridSpan w:val="2"/>
          </w:tcPr>
          <w:p>
            <w:pPr>
              <w:jc w:val="right"/>
              <w:ind w:right="60"/>
              <w:spacing w:after="0" w:line="207" w:lineRule="exact"/>
              <w:rPr>
                <w:sz w:val="20"/>
                <w:szCs w:val="20"/>
                <w:color w:val="auto"/>
              </w:rPr>
            </w:pPr>
            <w:r>
              <w:rPr>
                <w:rFonts w:ascii="Arial" w:cs="Arial" w:eastAsia="Arial" w:hAnsi="Arial"/>
                <w:sz w:val="19"/>
                <w:szCs w:val="19"/>
                <w:color w:val="231F20"/>
              </w:rPr>
              <w:t>39.3%</w:t>
            </w:r>
          </w:p>
        </w:tc>
        <w:tc>
          <w:tcPr>
            <w:tcW w:w="0" w:type="dxa"/>
            <w:vAlign w:val="bottom"/>
          </w:tcPr>
          <w:p>
            <w:pPr>
              <w:spacing w:after="0"/>
              <w:rPr>
                <w:sz w:val="1"/>
                <w:szCs w:val="1"/>
                <w:color w:val="auto"/>
              </w:rPr>
            </w:pPr>
          </w:p>
        </w:tc>
      </w:tr>
      <w:tr>
        <w:trPr>
          <w:trHeight w:val="217"/>
        </w:trPr>
        <w:tc>
          <w:tcPr>
            <w:tcW w:w="512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Payment processing services costs</w:t>
            </w:r>
          </w:p>
        </w:tc>
        <w:tc>
          <w:tcPr>
            <w:tcW w:w="1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147.3</w:t>
            </w:r>
          </w:p>
        </w:tc>
        <w:tc>
          <w:tcPr>
            <w:tcW w:w="10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82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107.9</w:t>
            </w:r>
          </w:p>
        </w:tc>
        <w:tc>
          <w:tcPr>
            <w:tcW w:w="200" w:type="dxa"/>
            <w:vAlign w:val="bottom"/>
            <w:tcBorders>
              <w:right w:val="single" w:sz="8" w:color="FDFDFC"/>
            </w:tcBorders>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8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39.4</w:t>
            </w:r>
          </w:p>
        </w:tc>
        <w:tc>
          <w:tcPr>
            <w:tcW w:w="200" w:type="dxa"/>
            <w:vAlign w:val="bottom"/>
            <w:shd w:val="clear" w:color="auto" w:fill="FDFDFC"/>
          </w:tcPr>
          <w:p>
            <w:pPr>
              <w:spacing w:after="0"/>
              <w:rPr>
                <w:sz w:val="18"/>
                <w:szCs w:val="18"/>
                <w:color w:val="auto"/>
              </w:rPr>
            </w:pPr>
          </w:p>
        </w:tc>
        <w:tc>
          <w:tcPr>
            <w:tcW w:w="1260" w:type="dxa"/>
            <w:vAlign w:val="bottom"/>
            <w:gridSpan w:val="2"/>
            <w:shd w:val="clear" w:color="auto" w:fill="FDFDFC"/>
          </w:tcPr>
          <w:p>
            <w:pPr>
              <w:jc w:val="right"/>
              <w:ind w:right="60"/>
              <w:spacing w:after="0" w:line="217" w:lineRule="exact"/>
              <w:rPr>
                <w:sz w:val="20"/>
                <w:szCs w:val="20"/>
                <w:color w:val="auto"/>
              </w:rPr>
            </w:pPr>
            <w:r>
              <w:rPr>
                <w:rFonts w:ascii="Arial" w:cs="Arial" w:eastAsia="Arial" w:hAnsi="Arial"/>
                <w:sz w:val="19"/>
                <w:szCs w:val="19"/>
                <w:color w:val="231F20"/>
              </w:rPr>
              <w:t>36.5%</w:t>
            </w:r>
          </w:p>
        </w:tc>
        <w:tc>
          <w:tcPr>
            <w:tcW w:w="0" w:type="dxa"/>
            <w:vAlign w:val="bottom"/>
          </w:tcPr>
          <w:p>
            <w:pPr>
              <w:spacing w:after="0"/>
              <w:rPr>
                <w:sz w:val="1"/>
                <w:szCs w:val="1"/>
                <w:color w:val="auto"/>
              </w:rPr>
            </w:pPr>
          </w:p>
        </w:tc>
      </w:tr>
      <w:tr>
        <w:trPr>
          <w:trHeight w:val="217"/>
        </w:trPr>
        <w:tc>
          <w:tcPr>
            <w:tcW w:w="512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Technology and development</w:t>
            </w:r>
          </w:p>
        </w:tc>
        <w:tc>
          <w:tcPr>
            <w:tcW w:w="1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90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62.0</w:t>
            </w:r>
          </w:p>
        </w:tc>
        <w:tc>
          <w:tcPr>
            <w:tcW w:w="10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82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50.3</w:t>
            </w:r>
          </w:p>
        </w:tc>
        <w:tc>
          <w:tcPr>
            <w:tcW w:w="200" w:type="dxa"/>
            <w:vAlign w:val="bottom"/>
            <w:tcBorders>
              <w:right w:val="single" w:sz="8" w:color="D0EBF2"/>
            </w:tcBorders>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88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11.7</w:t>
            </w:r>
          </w:p>
        </w:tc>
        <w:tc>
          <w:tcPr>
            <w:tcW w:w="1460" w:type="dxa"/>
            <w:vAlign w:val="bottom"/>
            <w:gridSpan w:val="3"/>
            <w:shd w:val="clear" w:color="auto" w:fill="D0EBF2"/>
          </w:tcPr>
          <w:p>
            <w:pPr>
              <w:jc w:val="right"/>
              <w:ind w:right="60"/>
              <w:spacing w:after="0" w:line="217" w:lineRule="exact"/>
              <w:rPr>
                <w:sz w:val="20"/>
                <w:szCs w:val="20"/>
                <w:color w:val="auto"/>
              </w:rPr>
            </w:pPr>
            <w:r>
              <w:rPr>
                <w:rFonts w:ascii="Arial" w:cs="Arial" w:eastAsia="Arial" w:hAnsi="Arial"/>
                <w:sz w:val="19"/>
                <w:szCs w:val="19"/>
                <w:color w:val="231F20"/>
              </w:rPr>
              <w:t>23.3%</w:t>
            </w:r>
          </w:p>
        </w:tc>
        <w:tc>
          <w:tcPr>
            <w:tcW w:w="0" w:type="dxa"/>
            <w:vAlign w:val="bottom"/>
          </w:tcPr>
          <w:p>
            <w:pPr>
              <w:spacing w:after="0"/>
              <w:rPr>
                <w:sz w:val="1"/>
                <w:szCs w:val="1"/>
                <w:color w:val="auto"/>
              </w:rPr>
            </w:pPr>
          </w:p>
        </w:tc>
      </w:tr>
      <w:tr>
        <w:trPr>
          <w:trHeight w:val="217"/>
        </w:trPr>
        <w:tc>
          <w:tcPr>
            <w:tcW w:w="512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Selling and marketing</w:t>
            </w:r>
          </w:p>
        </w:tc>
        <w:tc>
          <w:tcPr>
            <w:tcW w:w="1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107.6</w:t>
            </w:r>
          </w:p>
        </w:tc>
        <w:tc>
          <w:tcPr>
            <w:tcW w:w="10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82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78.5</w:t>
            </w:r>
          </w:p>
        </w:tc>
        <w:tc>
          <w:tcPr>
            <w:tcW w:w="200" w:type="dxa"/>
            <w:vAlign w:val="bottom"/>
            <w:tcBorders>
              <w:right w:val="single" w:sz="8" w:color="FDFDFC"/>
            </w:tcBorders>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8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29.1</w:t>
            </w:r>
          </w:p>
        </w:tc>
        <w:tc>
          <w:tcPr>
            <w:tcW w:w="1460" w:type="dxa"/>
            <w:vAlign w:val="bottom"/>
            <w:gridSpan w:val="3"/>
            <w:shd w:val="clear" w:color="auto" w:fill="FDFDFC"/>
          </w:tcPr>
          <w:p>
            <w:pPr>
              <w:jc w:val="right"/>
              <w:ind w:right="60"/>
              <w:spacing w:after="0" w:line="217" w:lineRule="exact"/>
              <w:rPr>
                <w:sz w:val="20"/>
                <w:szCs w:val="20"/>
                <w:color w:val="auto"/>
              </w:rPr>
            </w:pPr>
            <w:r>
              <w:rPr>
                <w:rFonts w:ascii="Arial" w:cs="Arial" w:eastAsia="Arial" w:hAnsi="Arial"/>
                <w:sz w:val="19"/>
                <w:szCs w:val="19"/>
                <w:color w:val="231F20"/>
              </w:rPr>
              <w:t>37.1%</w:t>
            </w:r>
          </w:p>
        </w:tc>
        <w:tc>
          <w:tcPr>
            <w:tcW w:w="0" w:type="dxa"/>
            <w:vAlign w:val="bottom"/>
          </w:tcPr>
          <w:p>
            <w:pPr>
              <w:spacing w:after="0"/>
              <w:rPr>
                <w:sz w:val="1"/>
                <w:szCs w:val="1"/>
                <w:color w:val="auto"/>
              </w:rPr>
            </w:pPr>
          </w:p>
        </w:tc>
      </w:tr>
      <w:tr>
        <w:trPr>
          <w:trHeight w:val="217"/>
        </w:trPr>
        <w:tc>
          <w:tcPr>
            <w:tcW w:w="512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General and administrative</w:t>
            </w:r>
          </w:p>
        </w:tc>
        <w:tc>
          <w:tcPr>
            <w:tcW w:w="1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90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107.6</w:t>
            </w:r>
          </w:p>
        </w:tc>
        <w:tc>
          <w:tcPr>
            <w:tcW w:w="10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82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82.9</w:t>
            </w:r>
          </w:p>
        </w:tc>
        <w:tc>
          <w:tcPr>
            <w:tcW w:w="200" w:type="dxa"/>
            <w:vAlign w:val="bottom"/>
            <w:tcBorders>
              <w:right w:val="single" w:sz="8" w:color="D0EBF2"/>
            </w:tcBorders>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88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24.7</w:t>
            </w:r>
          </w:p>
        </w:tc>
        <w:tc>
          <w:tcPr>
            <w:tcW w:w="1460" w:type="dxa"/>
            <w:vAlign w:val="bottom"/>
            <w:gridSpan w:val="3"/>
            <w:shd w:val="clear" w:color="auto" w:fill="D0EBF2"/>
          </w:tcPr>
          <w:p>
            <w:pPr>
              <w:jc w:val="right"/>
              <w:ind w:right="60"/>
              <w:spacing w:after="0" w:line="217" w:lineRule="exact"/>
              <w:rPr>
                <w:sz w:val="20"/>
                <w:szCs w:val="20"/>
                <w:color w:val="auto"/>
              </w:rPr>
            </w:pPr>
            <w:r>
              <w:rPr>
                <w:rFonts w:ascii="Arial" w:cs="Arial" w:eastAsia="Arial" w:hAnsi="Arial"/>
                <w:sz w:val="19"/>
                <w:szCs w:val="19"/>
                <w:color w:val="231F20"/>
              </w:rPr>
              <w:t>29.8%</w:t>
            </w:r>
          </w:p>
        </w:tc>
        <w:tc>
          <w:tcPr>
            <w:tcW w:w="0" w:type="dxa"/>
            <w:vAlign w:val="bottom"/>
          </w:tcPr>
          <w:p>
            <w:pPr>
              <w:spacing w:after="0"/>
              <w:rPr>
                <w:sz w:val="1"/>
                <w:szCs w:val="1"/>
                <w:color w:val="auto"/>
              </w:rPr>
            </w:pPr>
          </w:p>
        </w:tc>
      </w:tr>
      <w:tr>
        <w:trPr>
          <w:trHeight w:val="217"/>
        </w:trPr>
        <w:tc>
          <w:tcPr>
            <w:tcW w:w="5120" w:type="dxa"/>
            <w:vAlign w:val="bottom"/>
            <w:shd w:val="clear" w:color="auto" w:fill="FDFDFC"/>
          </w:tcPr>
          <w:p>
            <w:pPr>
              <w:ind w:left="260"/>
              <w:spacing w:after="0" w:line="217" w:lineRule="exact"/>
              <w:rPr>
                <w:sz w:val="20"/>
                <w:szCs w:val="20"/>
                <w:color w:val="auto"/>
              </w:rPr>
            </w:pPr>
            <w:r>
              <w:rPr>
                <w:rFonts w:ascii="Arial" w:cs="Arial" w:eastAsia="Arial" w:hAnsi="Arial"/>
                <w:sz w:val="19"/>
                <w:szCs w:val="19"/>
                <w:color w:val="231F20"/>
              </w:rPr>
              <w:t>Total costs and operating expense</w:t>
            </w:r>
          </w:p>
        </w:tc>
        <w:tc>
          <w:tcPr>
            <w:tcW w:w="1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424.6</w:t>
            </w:r>
          </w:p>
        </w:tc>
        <w:tc>
          <w:tcPr>
            <w:tcW w:w="10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82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319.6</w:t>
            </w:r>
          </w:p>
        </w:tc>
        <w:tc>
          <w:tcPr>
            <w:tcW w:w="200" w:type="dxa"/>
            <w:vAlign w:val="bottom"/>
            <w:tcBorders>
              <w:right w:val="single" w:sz="8" w:color="FDFDFC"/>
            </w:tcBorders>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8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105.0</w:t>
            </w:r>
          </w:p>
        </w:tc>
        <w:tc>
          <w:tcPr>
            <w:tcW w:w="1460" w:type="dxa"/>
            <w:vAlign w:val="bottom"/>
            <w:gridSpan w:val="3"/>
            <w:shd w:val="clear" w:color="auto" w:fill="FDFDFC"/>
          </w:tcPr>
          <w:p>
            <w:pPr>
              <w:jc w:val="right"/>
              <w:ind w:right="60"/>
              <w:spacing w:after="0" w:line="217" w:lineRule="exact"/>
              <w:rPr>
                <w:sz w:val="20"/>
                <w:szCs w:val="20"/>
                <w:color w:val="auto"/>
              </w:rPr>
            </w:pPr>
            <w:r>
              <w:rPr>
                <w:rFonts w:ascii="Arial" w:cs="Arial" w:eastAsia="Arial" w:hAnsi="Arial"/>
                <w:sz w:val="19"/>
                <w:szCs w:val="19"/>
                <w:color w:val="231F20"/>
              </w:rPr>
              <w:t>32.9%</w:t>
            </w:r>
          </w:p>
        </w:tc>
        <w:tc>
          <w:tcPr>
            <w:tcW w:w="0" w:type="dxa"/>
            <w:vAlign w:val="bottom"/>
          </w:tcPr>
          <w:p>
            <w:pPr>
              <w:spacing w:after="0"/>
              <w:rPr>
                <w:sz w:val="1"/>
                <w:szCs w:val="1"/>
                <w:color w:val="auto"/>
              </w:rPr>
            </w:pPr>
          </w:p>
        </w:tc>
      </w:tr>
      <w:tr>
        <w:trPr>
          <w:trHeight w:val="217"/>
        </w:trPr>
        <w:tc>
          <w:tcPr>
            <w:tcW w:w="5120" w:type="dxa"/>
            <w:vAlign w:val="bottom"/>
            <w:shd w:val="clear" w:color="auto" w:fill="D0EBF2"/>
          </w:tcPr>
          <w:p>
            <w:pPr>
              <w:ind w:left="260"/>
              <w:spacing w:after="0" w:line="217" w:lineRule="exact"/>
              <w:rPr>
                <w:sz w:val="20"/>
                <w:szCs w:val="20"/>
                <w:color w:val="auto"/>
              </w:rPr>
            </w:pPr>
            <w:r>
              <w:rPr>
                <w:rFonts w:ascii="Arial" w:cs="Arial" w:eastAsia="Arial" w:hAnsi="Arial"/>
                <w:sz w:val="19"/>
                <w:szCs w:val="19"/>
                <w:color w:val="231F20"/>
              </w:rPr>
              <w:t>Loss from operations</w:t>
            </w:r>
          </w:p>
        </w:tc>
        <w:tc>
          <w:tcPr>
            <w:tcW w:w="1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1000" w:type="dxa"/>
            <w:vAlign w:val="bottom"/>
            <w:gridSpan w:val="2"/>
            <w:shd w:val="clear" w:color="auto" w:fill="D0EBF2"/>
          </w:tcPr>
          <w:p>
            <w:pPr>
              <w:jc w:val="right"/>
              <w:ind w:right="40"/>
              <w:spacing w:after="0" w:line="217" w:lineRule="exact"/>
              <w:rPr>
                <w:sz w:val="20"/>
                <w:szCs w:val="20"/>
                <w:color w:val="auto"/>
              </w:rPr>
            </w:pPr>
            <w:r>
              <w:rPr>
                <w:rFonts w:ascii="Arial" w:cs="Arial" w:eastAsia="Arial" w:hAnsi="Arial"/>
                <w:sz w:val="19"/>
                <w:szCs w:val="19"/>
                <w:color w:val="231F20"/>
              </w:rPr>
              <w:t>(21.5)</w:t>
            </w:r>
          </w:p>
        </w:tc>
        <w:tc>
          <w:tcPr>
            <w:tcW w:w="8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1020" w:type="dxa"/>
            <w:vAlign w:val="bottom"/>
            <w:tcBorders>
              <w:right w:val="single" w:sz="8" w:color="D0EBF2"/>
            </w:tcBorders>
            <w:gridSpan w:val="2"/>
            <w:shd w:val="clear" w:color="auto" w:fill="D0EBF2"/>
          </w:tcPr>
          <w:p>
            <w:pPr>
              <w:jc w:val="right"/>
              <w:ind w:right="120"/>
              <w:spacing w:after="0" w:line="217" w:lineRule="exact"/>
              <w:rPr>
                <w:sz w:val="20"/>
                <w:szCs w:val="20"/>
                <w:color w:val="auto"/>
              </w:rPr>
            </w:pPr>
            <w:r>
              <w:rPr>
                <w:rFonts w:ascii="Arial" w:cs="Arial" w:eastAsia="Arial" w:hAnsi="Arial"/>
                <w:sz w:val="19"/>
                <w:szCs w:val="19"/>
                <w:color w:val="231F20"/>
              </w:rPr>
              <w:t>(30.2)</w:t>
            </w:r>
          </w:p>
        </w:tc>
        <w:tc>
          <w:tcPr>
            <w:tcW w:w="140" w:type="dxa"/>
            <w:vAlign w:val="bottom"/>
            <w:shd w:val="clear" w:color="auto" w:fill="D0EBF2"/>
          </w:tcPr>
          <w:p>
            <w:pPr>
              <w:spacing w:after="0"/>
              <w:rPr>
                <w:sz w:val="18"/>
                <w:szCs w:val="18"/>
                <w:color w:val="auto"/>
              </w:rPr>
            </w:pPr>
          </w:p>
        </w:tc>
        <w:tc>
          <w:tcPr>
            <w:tcW w:w="88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8.7</w:t>
            </w:r>
          </w:p>
        </w:tc>
        <w:tc>
          <w:tcPr>
            <w:tcW w:w="1460" w:type="dxa"/>
            <w:vAlign w:val="bottom"/>
            <w:gridSpan w:val="3"/>
            <w:shd w:val="clear" w:color="auto" w:fill="D0EBF2"/>
          </w:tcPr>
          <w:p>
            <w:pPr>
              <w:jc w:val="right"/>
              <w:spacing w:after="0" w:line="217" w:lineRule="exact"/>
              <w:rPr>
                <w:sz w:val="20"/>
                <w:szCs w:val="20"/>
                <w:color w:val="auto"/>
              </w:rPr>
            </w:pPr>
            <w:r>
              <w:rPr>
                <w:rFonts w:ascii="Arial" w:cs="Arial" w:eastAsia="Arial" w:hAnsi="Arial"/>
                <w:sz w:val="19"/>
                <w:szCs w:val="19"/>
                <w:color w:val="231F20"/>
              </w:rPr>
              <w:t>(28.8)%</w:t>
            </w:r>
          </w:p>
        </w:tc>
        <w:tc>
          <w:tcPr>
            <w:tcW w:w="0" w:type="dxa"/>
            <w:vAlign w:val="bottom"/>
          </w:tcPr>
          <w:p>
            <w:pPr>
              <w:spacing w:after="0"/>
              <w:rPr>
                <w:sz w:val="1"/>
                <w:szCs w:val="1"/>
                <w:color w:val="auto"/>
              </w:rPr>
            </w:pPr>
          </w:p>
        </w:tc>
      </w:tr>
      <w:tr>
        <w:trPr>
          <w:trHeight w:val="217"/>
        </w:trPr>
        <w:tc>
          <w:tcPr>
            <w:tcW w:w="512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Interest expense</w:t>
            </w:r>
          </w:p>
        </w:tc>
        <w:tc>
          <w:tcPr>
            <w:tcW w:w="1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000" w:type="dxa"/>
            <w:vAlign w:val="bottom"/>
            <w:gridSpan w:val="2"/>
            <w:shd w:val="clear" w:color="auto" w:fill="FDFDFC"/>
          </w:tcPr>
          <w:p>
            <w:pPr>
              <w:jc w:val="right"/>
              <w:ind w:right="40"/>
              <w:spacing w:after="0" w:line="217" w:lineRule="exact"/>
              <w:rPr>
                <w:sz w:val="20"/>
                <w:szCs w:val="20"/>
                <w:color w:val="auto"/>
              </w:rPr>
            </w:pPr>
            <w:r>
              <w:rPr>
                <w:rFonts w:ascii="Arial" w:cs="Arial" w:eastAsia="Arial" w:hAnsi="Arial"/>
                <w:sz w:val="19"/>
                <w:szCs w:val="19"/>
                <w:color w:val="231F20"/>
              </w:rPr>
              <w:t>(0.4)</w:t>
            </w:r>
          </w:p>
        </w:tc>
        <w:tc>
          <w:tcPr>
            <w:tcW w:w="8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1020" w:type="dxa"/>
            <w:vAlign w:val="bottom"/>
            <w:tcBorders>
              <w:right w:val="single" w:sz="8" w:color="FDFDFC"/>
            </w:tcBorders>
            <w:gridSpan w:val="2"/>
            <w:shd w:val="clear" w:color="auto" w:fill="FDFDFC"/>
          </w:tcPr>
          <w:p>
            <w:pPr>
              <w:jc w:val="right"/>
              <w:ind w:right="120"/>
              <w:spacing w:after="0" w:line="217" w:lineRule="exact"/>
              <w:rPr>
                <w:sz w:val="20"/>
                <w:szCs w:val="20"/>
                <w:color w:val="auto"/>
              </w:rPr>
            </w:pPr>
            <w:r>
              <w:rPr>
                <w:rFonts w:ascii="Arial" w:cs="Arial" w:eastAsia="Arial" w:hAnsi="Arial"/>
                <w:sz w:val="19"/>
                <w:szCs w:val="19"/>
                <w:color w:val="231F20"/>
              </w:rPr>
              <w:t>(1.2)</w:t>
            </w:r>
          </w:p>
        </w:tc>
        <w:tc>
          <w:tcPr>
            <w:tcW w:w="140" w:type="dxa"/>
            <w:vAlign w:val="bottom"/>
            <w:shd w:val="clear" w:color="auto" w:fill="FDFDFC"/>
          </w:tcPr>
          <w:p>
            <w:pPr>
              <w:spacing w:after="0"/>
              <w:rPr>
                <w:sz w:val="18"/>
                <w:szCs w:val="18"/>
                <w:color w:val="auto"/>
              </w:rPr>
            </w:pPr>
          </w:p>
        </w:tc>
        <w:tc>
          <w:tcPr>
            <w:tcW w:w="8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0.8</w:t>
            </w:r>
          </w:p>
        </w:tc>
        <w:tc>
          <w:tcPr>
            <w:tcW w:w="1460" w:type="dxa"/>
            <w:vAlign w:val="bottom"/>
            <w:gridSpan w:val="3"/>
            <w:shd w:val="clear" w:color="auto" w:fill="FDFDFC"/>
          </w:tcPr>
          <w:p>
            <w:pPr>
              <w:jc w:val="right"/>
              <w:spacing w:after="0" w:line="217" w:lineRule="exact"/>
              <w:rPr>
                <w:sz w:val="20"/>
                <w:szCs w:val="20"/>
                <w:color w:val="auto"/>
              </w:rPr>
            </w:pPr>
            <w:r>
              <w:rPr>
                <w:rFonts w:ascii="Arial" w:cs="Arial" w:eastAsia="Arial" w:hAnsi="Arial"/>
                <w:sz w:val="19"/>
                <w:szCs w:val="19"/>
                <w:color w:val="231F20"/>
              </w:rPr>
              <w:t>(66.7)%</w:t>
            </w:r>
          </w:p>
        </w:tc>
        <w:tc>
          <w:tcPr>
            <w:tcW w:w="0" w:type="dxa"/>
            <w:vAlign w:val="bottom"/>
          </w:tcPr>
          <w:p>
            <w:pPr>
              <w:spacing w:after="0"/>
              <w:rPr>
                <w:sz w:val="1"/>
                <w:szCs w:val="1"/>
                <w:color w:val="auto"/>
              </w:rPr>
            </w:pPr>
          </w:p>
        </w:tc>
      </w:tr>
      <w:tr>
        <w:trPr>
          <w:trHeight w:val="217"/>
        </w:trPr>
        <w:tc>
          <w:tcPr>
            <w:tcW w:w="512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Interest income</w:t>
            </w:r>
          </w:p>
        </w:tc>
        <w:tc>
          <w:tcPr>
            <w:tcW w:w="1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90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13.3</w:t>
            </w:r>
          </w:p>
        </w:tc>
        <w:tc>
          <w:tcPr>
            <w:tcW w:w="10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82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3.2</w:t>
            </w:r>
          </w:p>
        </w:tc>
        <w:tc>
          <w:tcPr>
            <w:tcW w:w="200" w:type="dxa"/>
            <w:vAlign w:val="bottom"/>
            <w:tcBorders>
              <w:right w:val="single" w:sz="8" w:color="D0EBF2"/>
            </w:tcBorders>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88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10.1</w:t>
            </w:r>
          </w:p>
        </w:tc>
        <w:tc>
          <w:tcPr>
            <w:tcW w:w="1460" w:type="dxa"/>
            <w:vAlign w:val="bottom"/>
            <w:gridSpan w:val="3"/>
            <w:shd w:val="clear" w:color="auto" w:fill="D0EBF2"/>
          </w:tcPr>
          <w:p>
            <w:pPr>
              <w:jc w:val="right"/>
              <w:ind w:right="60"/>
              <w:spacing w:after="0" w:line="217" w:lineRule="exact"/>
              <w:rPr>
                <w:sz w:val="20"/>
                <w:szCs w:val="20"/>
                <w:color w:val="auto"/>
              </w:rPr>
            </w:pPr>
            <w:r>
              <w:rPr>
                <w:rFonts w:ascii="Arial" w:cs="Arial" w:eastAsia="Arial" w:hAnsi="Arial"/>
                <w:sz w:val="19"/>
                <w:szCs w:val="19"/>
                <w:color w:val="231F20"/>
              </w:rPr>
              <w:t>315.6%</w:t>
            </w:r>
          </w:p>
        </w:tc>
        <w:tc>
          <w:tcPr>
            <w:tcW w:w="0" w:type="dxa"/>
            <w:vAlign w:val="bottom"/>
          </w:tcPr>
          <w:p>
            <w:pPr>
              <w:spacing w:after="0"/>
              <w:rPr>
                <w:sz w:val="1"/>
                <w:szCs w:val="1"/>
                <w:color w:val="auto"/>
              </w:rPr>
            </w:pPr>
          </w:p>
        </w:tc>
      </w:tr>
      <w:tr>
        <w:trPr>
          <w:trHeight w:val="217"/>
        </w:trPr>
        <w:tc>
          <w:tcPr>
            <w:tcW w:w="512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Gain (loss) gain from remeasurement of foreign currency</w:t>
            </w:r>
          </w:p>
        </w:tc>
        <w:tc>
          <w:tcPr>
            <w:tcW w:w="1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4.2</w:t>
            </w:r>
          </w:p>
        </w:tc>
        <w:tc>
          <w:tcPr>
            <w:tcW w:w="10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1020" w:type="dxa"/>
            <w:vAlign w:val="bottom"/>
            <w:tcBorders>
              <w:right w:val="single" w:sz="8" w:color="FDFDFC"/>
            </w:tcBorders>
            <w:gridSpan w:val="2"/>
            <w:shd w:val="clear" w:color="auto" w:fill="FDFDFC"/>
          </w:tcPr>
          <w:p>
            <w:pPr>
              <w:jc w:val="right"/>
              <w:ind w:right="120"/>
              <w:spacing w:after="0" w:line="217" w:lineRule="exact"/>
              <w:rPr>
                <w:sz w:val="20"/>
                <w:szCs w:val="20"/>
                <w:color w:val="auto"/>
              </w:rPr>
            </w:pPr>
            <w:r>
              <w:rPr>
                <w:rFonts w:ascii="Arial" w:cs="Arial" w:eastAsia="Arial" w:hAnsi="Arial"/>
                <w:sz w:val="19"/>
                <w:szCs w:val="19"/>
                <w:color w:val="231F20"/>
              </w:rPr>
              <w:t>(9.2)</w:t>
            </w:r>
          </w:p>
        </w:tc>
        <w:tc>
          <w:tcPr>
            <w:tcW w:w="140" w:type="dxa"/>
            <w:vAlign w:val="bottom"/>
            <w:shd w:val="clear" w:color="auto" w:fill="FDFDFC"/>
          </w:tcPr>
          <w:p>
            <w:pPr>
              <w:spacing w:after="0"/>
              <w:rPr>
                <w:sz w:val="18"/>
                <w:szCs w:val="18"/>
                <w:color w:val="auto"/>
              </w:rPr>
            </w:pPr>
          </w:p>
        </w:tc>
        <w:tc>
          <w:tcPr>
            <w:tcW w:w="8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13.4</w:t>
            </w:r>
          </w:p>
        </w:tc>
        <w:tc>
          <w:tcPr>
            <w:tcW w:w="1460" w:type="dxa"/>
            <w:vAlign w:val="bottom"/>
            <w:gridSpan w:val="3"/>
            <w:shd w:val="clear" w:color="auto" w:fill="FDFDFC"/>
          </w:tcPr>
          <w:p>
            <w:pPr>
              <w:jc w:val="right"/>
              <w:spacing w:after="0" w:line="217" w:lineRule="exact"/>
              <w:rPr>
                <w:sz w:val="20"/>
                <w:szCs w:val="20"/>
                <w:color w:val="auto"/>
              </w:rPr>
            </w:pPr>
            <w:r>
              <w:rPr>
                <w:rFonts w:ascii="Arial" w:cs="Arial" w:eastAsia="Arial" w:hAnsi="Arial"/>
                <w:sz w:val="19"/>
                <w:szCs w:val="19"/>
                <w:color w:val="231F20"/>
              </w:rPr>
              <w:t>(145.7)%</w:t>
            </w:r>
          </w:p>
        </w:tc>
        <w:tc>
          <w:tcPr>
            <w:tcW w:w="0" w:type="dxa"/>
            <w:vAlign w:val="bottom"/>
          </w:tcPr>
          <w:p>
            <w:pPr>
              <w:spacing w:after="0"/>
              <w:rPr>
                <w:sz w:val="1"/>
                <w:szCs w:val="1"/>
                <w:color w:val="auto"/>
              </w:rPr>
            </w:pPr>
          </w:p>
        </w:tc>
      </w:tr>
      <w:tr>
        <w:trPr>
          <w:trHeight w:val="217"/>
        </w:trPr>
        <w:tc>
          <w:tcPr>
            <w:tcW w:w="5120" w:type="dxa"/>
            <w:vAlign w:val="bottom"/>
            <w:shd w:val="clear" w:color="auto" w:fill="D0EBF2"/>
          </w:tcPr>
          <w:p>
            <w:pPr>
              <w:ind w:left="260"/>
              <w:spacing w:after="0" w:line="217" w:lineRule="exact"/>
              <w:rPr>
                <w:sz w:val="20"/>
                <w:szCs w:val="20"/>
                <w:color w:val="auto"/>
              </w:rPr>
            </w:pPr>
            <w:r>
              <w:rPr>
                <w:rFonts w:ascii="Arial" w:cs="Arial" w:eastAsia="Arial" w:hAnsi="Arial"/>
                <w:sz w:val="19"/>
                <w:szCs w:val="19"/>
                <w:color w:val="231F20"/>
              </w:rPr>
              <w:t>Total other income (expense), net</w:t>
            </w:r>
          </w:p>
        </w:tc>
        <w:tc>
          <w:tcPr>
            <w:tcW w:w="1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90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17.2</w:t>
            </w:r>
          </w:p>
        </w:tc>
        <w:tc>
          <w:tcPr>
            <w:tcW w:w="10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1020" w:type="dxa"/>
            <w:vAlign w:val="bottom"/>
            <w:tcBorders>
              <w:right w:val="single" w:sz="8" w:color="D0EBF2"/>
            </w:tcBorders>
            <w:gridSpan w:val="2"/>
            <w:shd w:val="clear" w:color="auto" w:fill="D0EBF2"/>
          </w:tcPr>
          <w:p>
            <w:pPr>
              <w:jc w:val="right"/>
              <w:ind w:right="120"/>
              <w:spacing w:after="0" w:line="217" w:lineRule="exact"/>
              <w:rPr>
                <w:sz w:val="20"/>
                <w:szCs w:val="20"/>
                <w:color w:val="auto"/>
              </w:rPr>
            </w:pPr>
            <w:r>
              <w:rPr>
                <w:rFonts w:ascii="Arial" w:cs="Arial" w:eastAsia="Arial" w:hAnsi="Arial"/>
                <w:sz w:val="19"/>
                <w:szCs w:val="19"/>
                <w:color w:val="231F20"/>
              </w:rPr>
              <w:t>(7.1)</w:t>
            </w:r>
          </w:p>
        </w:tc>
        <w:tc>
          <w:tcPr>
            <w:tcW w:w="140" w:type="dxa"/>
            <w:vAlign w:val="bottom"/>
            <w:shd w:val="clear" w:color="auto" w:fill="D0EBF2"/>
          </w:tcPr>
          <w:p>
            <w:pPr>
              <w:spacing w:after="0"/>
              <w:rPr>
                <w:sz w:val="18"/>
                <w:szCs w:val="18"/>
                <w:color w:val="auto"/>
              </w:rPr>
            </w:pPr>
          </w:p>
        </w:tc>
        <w:tc>
          <w:tcPr>
            <w:tcW w:w="88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24.3</w:t>
            </w:r>
          </w:p>
        </w:tc>
        <w:tc>
          <w:tcPr>
            <w:tcW w:w="1460" w:type="dxa"/>
            <w:vAlign w:val="bottom"/>
            <w:gridSpan w:val="3"/>
            <w:shd w:val="clear" w:color="auto" w:fill="D0EBF2"/>
          </w:tcPr>
          <w:p>
            <w:pPr>
              <w:jc w:val="right"/>
              <w:spacing w:after="0" w:line="217" w:lineRule="exact"/>
              <w:rPr>
                <w:sz w:val="20"/>
                <w:szCs w:val="20"/>
                <w:color w:val="auto"/>
              </w:rPr>
            </w:pPr>
            <w:r>
              <w:rPr>
                <w:rFonts w:ascii="Arial" w:cs="Arial" w:eastAsia="Arial" w:hAnsi="Arial"/>
                <w:sz w:val="19"/>
                <w:szCs w:val="19"/>
                <w:color w:val="231F20"/>
              </w:rPr>
              <w:t>(342.3)%</w:t>
            </w:r>
          </w:p>
        </w:tc>
        <w:tc>
          <w:tcPr>
            <w:tcW w:w="0" w:type="dxa"/>
            <w:vAlign w:val="bottom"/>
          </w:tcPr>
          <w:p>
            <w:pPr>
              <w:spacing w:after="0"/>
              <w:rPr>
                <w:sz w:val="1"/>
                <w:szCs w:val="1"/>
                <w:color w:val="auto"/>
              </w:rPr>
            </w:pPr>
          </w:p>
        </w:tc>
      </w:tr>
      <w:tr>
        <w:trPr>
          <w:trHeight w:val="217"/>
        </w:trPr>
        <w:tc>
          <w:tcPr>
            <w:tcW w:w="5120" w:type="dxa"/>
            <w:vAlign w:val="bottom"/>
            <w:shd w:val="clear" w:color="auto" w:fill="FDFDFC"/>
          </w:tcPr>
          <w:p>
            <w:pPr>
              <w:ind w:left="260"/>
              <w:spacing w:after="0" w:line="217" w:lineRule="exact"/>
              <w:rPr>
                <w:sz w:val="20"/>
                <w:szCs w:val="20"/>
                <w:color w:val="auto"/>
              </w:rPr>
            </w:pPr>
            <w:r>
              <w:rPr>
                <w:rFonts w:ascii="Arial" w:cs="Arial" w:eastAsia="Arial" w:hAnsi="Arial"/>
                <w:sz w:val="19"/>
                <w:szCs w:val="19"/>
                <w:color w:val="231F20"/>
              </w:rPr>
              <w:t>Loss before provision for income taxes</w:t>
            </w:r>
          </w:p>
        </w:tc>
        <w:tc>
          <w:tcPr>
            <w:tcW w:w="1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000" w:type="dxa"/>
            <w:vAlign w:val="bottom"/>
            <w:gridSpan w:val="2"/>
            <w:shd w:val="clear" w:color="auto" w:fill="FDFDFC"/>
          </w:tcPr>
          <w:p>
            <w:pPr>
              <w:jc w:val="right"/>
              <w:ind w:right="40"/>
              <w:spacing w:after="0" w:line="217" w:lineRule="exact"/>
              <w:rPr>
                <w:sz w:val="20"/>
                <w:szCs w:val="20"/>
                <w:color w:val="auto"/>
              </w:rPr>
            </w:pPr>
            <w:r>
              <w:rPr>
                <w:rFonts w:ascii="Arial" w:cs="Arial" w:eastAsia="Arial" w:hAnsi="Arial"/>
                <w:sz w:val="19"/>
                <w:szCs w:val="19"/>
                <w:color w:val="231F20"/>
              </w:rPr>
              <w:t>(4.4)</w:t>
            </w:r>
          </w:p>
        </w:tc>
        <w:tc>
          <w:tcPr>
            <w:tcW w:w="8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1020" w:type="dxa"/>
            <w:vAlign w:val="bottom"/>
            <w:tcBorders>
              <w:right w:val="single" w:sz="8" w:color="FDFDFC"/>
            </w:tcBorders>
            <w:gridSpan w:val="2"/>
            <w:shd w:val="clear" w:color="auto" w:fill="FDFDFC"/>
          </w:tcPr>
          <w:p>
            <w:pPr>
              <w:jc w:val="right"/>
              <w:ind w:right="120"/>
              <w:spacing w:after="0" w:line="217" w:lineRule="exact"/>
              <w:rPr>
                <w:sz w:val="20"/>
                <w:szCs w:val="20"/>
                <w:color w:val="auto"/>
              </w:rPr>
            </w:pPr>
            <w:r>
              <w:rPr>
                <w:rFonts w:ascii="Arial" w:cs="Arial" w:eastAsia="Arial" w:hAnsi="Arial"/>
                <w:sz w:val="19"/>
                <w:szCs w:val="19"/>
                <w:color w:val="231F20"/>
              </w:rPr>
              <w:t>(37.4)</w:t>
            </w:r>
          </w:p>
        </w:tc>
        <w:tc>
          <w:tcPr>
            <w:tcW w:w="140" w:type="dxa"/>
            <w:vAlign w:val="bottom"/>
            <w:shd w:val="clear" w:color="auto" w:fill="FDFDFC"/>
          </w:tcPr>
          <w:p>
            <w:pPr>
              <w:spacing w:after="0"/>
              <w:rPr>
                <w:sz w:val="18"/>
                <w:szCs w:val="18"/>
                <w:color w:val="auto"/>
              </w:rPr>
            </w:pPr>
          </w:p>
        </w:tc>
        <w:tc>
          <w:tcPr>
            <w:tcW w:w="8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33.0</w:t>
            </w:r>
          </w:p>
        </w:tc>
        <w:tc>
          <w:tcPr>
            <w:tcW w:w="1460" w:type="dxa"/>
            <w:vAlign w:val="bottom"/>
            <w:gridSpan w:val="3"/>
            <w:shd w:val="clear" w:color="auto" w:fill="FDFDFC"/>
          </w:tcPr>
          <w:p>
            <w:pPr>
              <w:jc w:val="right"/>
              <w:spacing w:after="0" w:line="217" w:lineRule="exact"/>
              <w:rPr>
                <w:sz w:val="20"/>
                <w:szCs w:val="20"/>
                <w:color w:val="auto"/>
              </w:rPr>
            </w:pPr>
            <w:r>
              <w:rPr>
                <w:rFonts w:ascii="Arial" w:cs="Arial" w:eastAsia="Arial" w:hAnsi="Arial"/>
                <w:sz w:val="19"/>
                <w:szCs w:val="19"/>
                <w:color w:val="231F20"/>
              </w:rPr>
              <w:t>(88.2)%</w:t>
            </w:r>
          </w:p>
        </w:tc>
        <w:tc>
          <w:tcPr>
            <w:tcW w:w="0" w:type="dxa"/>
            <w:vAlign w:val="bottom"/>
          </w:tcPr>
          <w:p>
            <w:pPr>
              <w:spacing w:after="0"/>
              <w:rPr>
                <w:sz w:val="1"/>
                <w:szCs w:val="1"/>
                <w:color w:val="auto"/>
              </w:rPr>
            </w:pPr>
          </w:p>
        </w:tc>
      </w:tr>
      <w:tr>
        <w:trPr>
          <w:trHeight w:val="217"/>
        </w:trPr>
        <w:tc>
          <w:tcPr>
            <w:tcW w:w="512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Provision for income taxes</w:t>
            </w:r>
          </w:p>
        </w:tc>
        <w:tc>
          <w:tcPr>
            <w:tcW w:w="1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90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4.2</w:t>
            </w:r>
          </w:p>
        </w:tc>
        <w:tc>
          <w:tcPr>
            <w:tcW w:w="10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82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2.0</w:t>
            </w:r>
          </w:p>
        </w:tc>
        <w:tc>
          <w:tcPr>
            <w:tcW w:w="200" w:type="dxa"/>
            <w:vAlign w:val="bottom"/>
            <w:tcBorders>
              <w:right w:val="single" w:sz="8" w:color="D0EBF2"/>
            </w:tcBorders>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88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2.2</w:t>
            </w:r>
          </w:p>
        </w:tc>
        <w:tc>
          <w:tcPr>
            <w:tcW w:w="1460" w:type="dxa"/>
            <w:vAlign w:val="bottom"/>
            <w:gridSpan w:val="3"/>
            <w:shd w:val="clear" w:color="auto" w:fill="D0EBF2"/>
          </w:tcPr>
          <w:p>
            <w:pPr>
              <w:jc w:val="right"/>
              <w:ind w:right="60"/>
              <w:spacing w:after="0" w:line="217" w:lineRule="exact"/>
              <w:rPr>
                <w:sz w:val="20"/>
                <w:szCs w:val="20"/>
                <w:color w:val="auto"/>
              </w:rPr>
            </w:pPr>
            <w:r>
              <w:rPr>
                <w:rFonts w:ascii="Arial" w:cs="Arial" w:eastAsia="Arial" w:hAnsi="Arial"/>
                <w:sz w:val="19"/>
                <w:szCs w:val="19"/>
                <w:color w:val="231F20"/>
              </w:rPr>
              <w:t>110.0%</w:t>
            </w:r>
          </w:p>
        </w:tc>
        <w:tc>
          <w:tcPr>
            <w:tcW w:w="0" w:type="dxa"/>
            <w:vAlign w:val="bottom"/>
          </w:tcPr>
          <w:p>
            <w:pPr>
              <w:spacing w:after="0"/>
              <w:rPr>
                <w:sz w:val="1"/>
                <w:szCs w:val="1"/>
                <w:color w:val="auto"/>
              </w:rPr>
            </w:pPr>
          </w:p>
        </w:tc>
      </w:tr>
      <w:tr>
        <w:trPr>
          <w:trHeight w:val="217"/>
        </w:trPr>
        <w:tc>
          <w:tcPr>
            <w:tcW w:w="5120" w:type="dxa"/>
            <w:vAlign w:val="bottom"/>
            <w:shd w:val="clear" w:color="auto" w:fill="FDFDFC"/>
          </w:tcPr>
          <w:p>
            <w:pPr>
              <w:ind w:left="260"/>
              <w:spacing w:after="0" w:line="217" w:lineRule="exact"/>
              <w:rPr>
                <w:sz w:val="20"/>
                <w:szCs w:val="20"/>
                <w:color w:val="auto"/>
              </w:rPr>
            </w:pPr>
            <w:r>
              <w:rPr>
                <w:rFonts w:ascii="Arial" w:cs="Arial" w:eastAsia="Arial" w:hAnsi="Arial"/>
                <w:sz w:val="19"/>
                <w:szCs w:val="19"/>
                <w:color w:val="231F20"/>
              </w:rPr>
              <w:t>Net loss</w:t>
            </w:r>
          </w:p>
        </w:tc>
        <w:tc>
          <w:tcPr>
            <w:tcW w:w="1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000" w:type="dxa"/>
            <w:vAlign w:val="bottom"/>
            <w:gridSpan w:val="2"/>
            <w:shd w:val="clear" w:color="auto" w:fill="FDFDFC"/>
          </w:tcPr>
          <w:p>
            <w:pPr>
              <w:jc w:val="right"/>
              <w:ind w:right="40"/>
              <w:spacing w:after="0" w:line="217" w:lineRule="exact"/>
              <w:rPr>
                <w:sz w:val="20"/>
                <w:szCs w:val="20"/>
                <w:color w:val="auto"/>
              </w:rPr>
            </w:pPr>
            <w:r>
              <w:rPr>
                <w:rFonts w:ascii="Arial" w:cs="Arial" w:eastAsia="Arial" w:hAnsi="Arial"/>
                <w:sz w:val="19"/>
                <w:szCs w:val="19"/>
                <w:color w:val="231F20"/>
              </w:rPr>
              <w:t>(8.6)</w:t>
            </w:r>
          </w:p>
        </w:tc>
        <w:tc>
          <w:tcPr>
            <w:tcW w:w="8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1020" w:type="dxa"/>
            <w:vAlign w:val="bottom"/>
            <w:tcBorders>
              <w:right w:val="single" w:sz="8" w:color="FDFDFC"/>
            </w:tcBorders>
            <w:gridSpan w:val="2"/>
            <w:shd w:val="clear" w:color="auto" w:fill="FDFDFC"/>
          </w:tcPr>
          <w:p>
            <w:pPr>
              <w:jc w:val="right"/>
              <w:ind w:right="120"/>
              <w:spacing w:after="0" w:line="217" w:lineRule="exact"/>
              <w:rPr>
                <w:sz w:val="20"/>
                <w:szCs w:val="20"/>
                <w:color w:val="auto"/>
              </w:rPr>
            </w:pPr>
            <w:r>
              <w:rPr>
                <w:rFonts w:ascii="Arial" w:cs="Arial" w:eastAsia="Arial" w:hAnsi="Arial"/>
                <w:sz w:val="19"/>
                <w:szCs w:val="19"/>
                <w:color w:val="231F20"/>
              </w:rPr>
              <w:t>(39.3)</w:t>
            </w:r>
          </w:p>
        </w:tc>
        <w:tc>
          <w:tcPr>
            <w:tcW w:w="140" w:type="dxa"/>
            <w:vAlign w:val="bottom"/>
            <w:shd w:val="clear" w:color="auto" w:fill="FDFDFC"/>
          </w:tcPr>
          <w:p>
            <w:pPr>
              <w:spacing w:after="0"/>
              <w:rPr>
                <w:sz w:val="18"/>
                <w:szCs w:val="18"/>
                <w:color w:val="auto"/>
              </w:rPr>
            </w:pPr>
          </w:p>
        </w:tc>
        <w:tc>
          <w:tcPr>
            <w:tcW w:w="8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30.7</w:t>
            </w:r>
          </w:p>
        </w:tc>
        <w:tc>
          <w:tcPr>
            <w:tcW w:w="1460" w:type="dxa"/>
            <w:vAlign w:val="bottom"/>
            <w:gridSpan w:val="3"/>
            <w:shd w:val="clear" w:color="auto" w:fill="FDFDFC"/>
          </w:tcPr>
          <w:p>
            <w:pPr>
              <w:jc w:val="right"/>
              <w:spacing w:after="0" w:line="217" w:lineRule="exact"/>
              <w:rPr>
                <w:sz w:val="20"/>
                <w:szCs w:val="20"/>
                <w:color w:val="auto"/>
              </w:rPr>
            </w:pPr>
            <w:r>
              <w:rPr>
                <w:rFonts w:ascii="Arial" w:cs="Arial" w:eastAsia="Arial" w:hAnsi="Arial"/>
                <w:sz w:val="19"/>
                <w:szCs w:val="19"/>
                <w:color w:val="231F20"/>
              </w:rPr>
              <w:t>(78.1)%</w:t>
            </w:r>
          </w:p>
        </w:tc>
        <w:tc>
          <w:tcPr>
            <w:tcW w:w="0" w:type="dxa"/>
            <w:vAlign w:val="bottom"/>
          </w:tcPr>
          <w:p>
            <w:pPr>
              <w:spacing w:after="0"/>
              <w:rPr>
                <w:sz w:val="1"/>
                <w:szCs w:val="1"/>
                <w:color w:val="auto"/>
              </w:rPr>
            </w:pPr>
          </w:p>
        </w:tc>
      </w:tr>
      <w:tr>
        <w:trPr>
          <w:trHeight w:val="217"/>
        </w:trPr>
        <w:tc>
          <w:tcPr>
            <w:tcW w:w="512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Foreign currency translation adjustment</w:t>
            </w:r>
          </w:p>
        </w:tc>
        <w:tc>
          <w:tcPr>
            <w:tcW w:w="1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90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3.2</w:t>
            </w:r>
          </w:p>
        </w:tc>
        <w:tc>
          <w:tcPr>
            <w:tcW w:w="10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1020" w:type="dxa"/>
            <w:vAlign w:val="bottom"/>
            <w:tcBorders>
              <w:right w:val="single" w:sz="8" w:color="D0EBF2"/>
            </w:tcBorders>
            <w:gridSpan w:val="2"/>
            <w:shd w:val="clear" w:color="auto" w:fill="D0EBF2"/>
          </w:tcPr>
          <w:p>
            <w:pPr>
              <w:jc w:val="right"/>
              <w:ind w:right="120"/>
              <w:spacing w:after="0" w:line="217" w:lineRule="exact"/>
              <w:rPr>
                <w:sz w:val="20"/>
                <w:szCs w:val="20"/>
                <w:color w:val="auto"/>
              </w:rPr>
            </w:pPr>
            <w:r>
              <w:rPr>
                <w:rFonts w:ascii="Arial" w:cs="Arial" w:eastAsia="Arial" w:hAnsi="Arial"/>
                <w:sz w:val="19"/>
                <w:szCs w:val="19"/>
                <w:color w:val="231F20"/>
              </w:rPr>
              <w:t>(1.5)</w:t>
            </w:r>
          </w:p>
        </w:tc>
        <w:tc>
          <w:tcPr>
            <w:tcW w:w="140" w:type="dxa"/>
            <w:vAlign w:val="bottom"/>
            <w:shd w:val="clear" w:color="auto" w:fill="D0EBF2"/>
          </w:tcPr>
          <w:p>
            <w:pPr>
              <w:spacing w:after="0"/>
              <w:rPr>
                <w:sz w:val="18"/>
                <w:szCs w:val="18"/>
                <w:color w:val="auto"/>
              </w:rPr>
            </w:pPr>
          </w:p>
        </w:tc>
        <w:tc>
          <w:tcPr>
            <w:tcW w:w="88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4.7</w:t>
            </w:r>
          </w:p>
        </w:tc>
        <w:tc>
          <w:tcPr>
            <w:tcW w:w="1460" w:type="dxa"/>
            <w:vAlign w:val="bottom"/>
            <w:gridSpan w:val="3"/>
            <w:shd w:val="clear" w:color="auto" w:fill="D0EBF2"/>
          </w:tcPr>
          <w:p>
            <w:pPr>
              <w:jc w:val="right"/>
              <w:spacing w:after="0" w:line="217" w:lineRule="exact"/>
              <w:rPr>
                <w:sz w:val="20"/>
                <w:szCs w:val="20"/>
                <w:color w:val="auto"/>
              </w:rPr>
            </w:pPr>
            <w:r>
              <w:rPr>
                <w:rFonts w:ascii="Arial" w:cs="Arial" w:eastAsia="Arial" w:hAnsi="Arial"/>
                <w:sz w:val="19"/>
                <w:szCs w:val="19"/>
                <w:color w:val="231F20"/>
              </w:rPr>
              <w:t>(313.3)%</w:t>
            </w:r>
          </w:p>
        </w:tc>
        <w:tc>
          <w:tcPr>
            <w:tcW w:w="0" w:type="dxa"/>
            <w:vAlign w:val="bottom"/>
          </w:tcPr>
          <w:p>
            <w:pPr>
              <w:spacing w:after="0"/>
              <w:rPr>
                <w:sz w:val="1"/>
                <w:szCs w:val="1"/>
                <w:color w:val="auto"/>
              </w:rPr>
            </w:pPr>
          </w:p>
        </w:tc>
      </w:tr>
      <w:tr>
        <w:trPr>
          <w:trHeight w:val="20"/>
        </w:trPr>
        <w:tc>
          <w:tcPr>
            <w:tcW w:w="5120" w:type="dxa"/>
            <w:vAlign w:val="bottom"/>
            <w:tcBorders>
              <w:top w:val="single" w:sz="8" w:color="D0EBF2"/>
            </w:tcBorders>
            <w:vMerge w:val="restart"/>
            <w:shd w:val="clear" w:color="auto" w:fill="FDFDFC"/>
          </w:tcPr>
          <w:p>
            <w:pPr>
              <w:spacing w:after="0"/>
              <w:rPr>
                <w:sz w:val="20"/>
                <w:szCs w:val="20"/>
                <w:color w:val="auto"/>
              </w:rPr>
            </w:pPr>
            <w:r>
              <w:rPr>
                <w:rFonts w:ascii="Arial" w:cs="Arial" w:eastAsia="Arial" w:hAnsi="Arial"/>
                <w:sz w:val="19"/>
                <w:szCs w:val="19"/>
                <w:color w:val="231F20"/>
              </w:rPr>
              <w:t>Comprehensive loss</w:t>
            </w:r>
          </w:p>
        </w:tc>
        <w:tc>
          <w:tcPr>
            <w:tcW w:w="100" w:type="dxa"/>
            <w:vAlign w:val="bottom"/>
            <w:tcBorders>
              <w:top w:val="single" w:sz="8" w:color="D0EBF2"/>
            </w:tcBorders>
            <w:shd w:val="clear" w:color="auto" w:fill="FDFDFC"/>
          </w:tcPr>
          <w:p>
            <w:pPr>
              <w:spacing w:after="0" w:line="20" w:lineRule="exact"/>
              <w:rPr>
                <w:sz w:val="1"/>
                <w:szCs w:val="1"/>
                <w:color w:val="auto"/>
              </w:rPr>
            </w:pPr>
          </w:p>
        </w:tc>
        <w:tc>
          <w:tcPr>
            <w:tcW w:w="160" w:type="dxa"/>
            <w:vAlign w:val="bottom"/>
            <w:tcBorders>
              <w:top w:val="single" w:sz="8" w:color="231F20"/>
            </w:tcBorders>
            <w:shd w:val="clear" w:color="auto" w:fill="231F20"/>
          </w:tcPr>
          <w:p>
            <w:pPr>
              <w:spacing w:after="0" w:line="20" w:lineRule="exact"/>
              <w:rPr>
                <w:sz w:val="1"/>
                <w:szCs w:val="1"/>
                <w:color w:val="auto"/>
              </w:rPr>
            </w:pPr>
          </w:p>
        </w:tc>
        <w:tc>
          <w:tcPr>
            <w:tcW w:w="900" w:type="dxa"/>
            <w:vAlign w:val="bottom"/>
            <w:tcBorders>
              <w:top w:val="single" w:sz="8" w:color="231F20"/>
            </w:tcBorders>
            <w:shd w:val="clear" w:color="auto" w:fill="231F20"/>
          </w:tcPr>
          <w:p>
            <w:pPr>
              <w:spacing w:after="0" w:line="20" w:lineRule="exact"/>
              <w:rPr>
                <w:sz w:val="1"/>
                <w:szCs w:val="1"/>
                <w:color w:val="auto"/>
              </w:rPr>
            </w:pPr>
          </w:p>
        </w:tc>
        <w:tc>
          <w:tcPr>
            <w:tcW w:w="100" w:type="dxa"/>
            <w:vAlign w:val="bottom"/>
            <w:tcBorders>
              <w:top w:val="single" w:sz="8" w:color="D0EBF2"/>
            </w:tcBorders>
            <w:shd w:val="clear" w:color="auto" w:fill="FDFDFC"/>
          </w:tcPr>
          <w:p>
            <w:pPr>
              <w:spacing w:after="0" w:line="20" w:lineRule="exact"/>
              <w:rPr>
                <w:sz w:val="1"/>
                <w:szCs w:val="1"/>
                <w:color w:val="auto"/>
              </w:rPr>
            </w:pPr>
          </w:p>
        </w:tc>
        <w:tc>
          <w:tcPr>
            <w:tcW w:w="80" w:type="dxa"/>
            <w:vAlign w:val="bottom"/>
            <w:tcBorders>
              <w:top w:val="single" w:sz="8" w:color="D0EBF2"/>
            </w:tcBorders>
            <w:shd w:val="clear" w:color="auto" w:fill="FDFDFC"/>
          </w:tcPr>
          <w:p>
            <w:pPr>
              <w:spacing w:after="0" w:line="20" w:lineRule="exact"/>
              <w:rPr>
                <w:sz w:val="1"/>
                <w:szCs w:val="1"/>
                <w:color w:val="auto"/>
              </w:rPr>
            </w:pPr>
          </w:p>
        </w:tc>
        <w:tc>
          <w:tcPr>
            <w:tcW w:w="240" w:type="dxa"/>
            <w:vAlign w:val="bottom"/>
            <w:tcBorders>
              <w:top w:val="single" w:sz="8" w:color="231F20"/>
            </w:tcBorders>
            <w:shd w:val="clear" w:color="auto" w:fill="231F20"/>
          </w:tcPr>
          <w:p>
            <w:pPr>
              <w:spacing w:after="0" w:line="20" w:lineRule="exact"/>
              <w:rPr>
                <w:sz w:val="1"/>
                <w:szCs w:val="1"/>
                <w:color w:val="auto"/>
              </w:rPr>
            </w:pPr>
          </w:p>
        </w:tc>
        <w:tc>
          <w:tcPr>
            <w:tcW w:w="82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D0EBF2"/>
              <w:right w:val="single" w:sz="8" w:color="FDFDFC"/>
            </w:tcBorders>
            <w:shd w:val="clear" w:color="auto" w:fill="FDFDFC"/>
          </w:tcPr>
          <w:p>
            <w:pPr>
              <w:spacing w:after="0" w:line="20" w:lineRule="exact"/>
              <w:rPr>
                <w:sz w:val="1"/>
                <w:szCs w:val="1"/>
                <w:color w:val="auto"/>
              </w:rPr>
            </w:pPr>
          </w:p>
        </w:tc>
        <w:tc>
          <w:tcPr>
            <w:tcW w:w="140" w:type="dxa"/>
            <w:vAlign w:val="bottom"/>
            <w:tcBorders>
              <w:top w:val="single" w:sz="8" w:color="231F20"/>
            </w:tcBorders>
            <w:shd w:val="clear" w:color="auto" w:fill="231F20"/>
          </w:tcPr>
          <w:p>
            <w:pPr>
              <w:spacing w:after="0" w:line="20" w:lineRule="exact"/>
              <w:rPr>
                <w:sz w:val="1"/>
                <w:szCs w:val="1"/>
                <w:color w:val="auto"/>
              </w:rPr>
            </w:pPr>
          </w:p>
        </w:tc>
        <w:tc>
          <w:tcPr>
            <w:tcW w:w="88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D0EBF2"/>
            </w:tcBorders>
            <w:shd w:val="clear" w:color="auto" w:fill="FDFDFC"/>
          </w:tcPr>
          <w:p>
            <w:pPr>
              <w:spacing w:after="0" w:line="20" w:lineRule="exact"/>
              <w:rPr>
                <w:sz w:val="1"/>
                <w:szCs w:val="1"/>
                <w:color w:val="auto"/>
              </w:rPr>
            </w:pPr>
          </w:p>
        </w:tc>
        <w:tc>
          <w:tcPr>
            <w:tcW w:w="1020" w:type="dxa"/>
            <w:vAlign w:val="bottom"/>
            <w:tcBorders>
              <w:top w:val="single" w:sz="8" w:color="231F20"/>
            </w:tcBorders>
            <w:shd w:val="clear" w:color="auto" w:fill="231F20"/>
          </w:tcPr>
          <w:p>
            <w:pPr>
              <w:spacing w:after="0" w:line="20" w:lineRule="exact"/>
              <w:rPr>
                <w:sz w:val="1"/>
                <w:szCs w:val="1"/>
                <w:color w:val="auto"/>
              </w:rPr>
            </w:pPr>
          </w:p>
        </w:tc>
        <w:tc>
          <w:tcPr>
            <w:tcW w:w="240" w:type="dxa"/>
            <w:vAlign w:val="bottom"/>
            <w:tcBorders>
              <w:top w:val="single" w:sz="8" w:color="D0EB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shd w:val="clear" w:color="auto" w:fill="FDFDFC"/>
          </w:tcPr>
          <w:p>
            <w:pPr>
              <w:spacing w:after="0"/>
              <w:rPr>
                <w:sz w:val="19"/>
                <w:szCs w:val="19"/>
                <w:color w:val="auto"/>
              </w:rPr>
            </w:pPr>
          </w:p>
        </w:tc>
        <w:tc>
          <w:tcPr>
            <w:tcW w:w="100" w:type="dxa"/>
            <w:vAlign w:val="bottom"/>
            <w:shd w:val="clear" w:color="auto" w:fill="FDFDFC"/>
          </w:tcPr>
          <w:p>
            <w:pPr>
              <w:spacing w:after="0"/>
              <w:rPr>
                <w:sz w:val="19"/>
                <w:szCs w:val="19"/>
                <w:color w:val="auto"/>
              </w:rPr>
            </w:pPr>
          </w:p>
        </w:tc>
        <w:tc>
          <w:tcPr>
            <w:tcW w:w="160" w:type="dxa"/>
            <w:vAlign w:val="bottom"/>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(5.3)</w:t>
            </w:r>
          </w:p>
        </w:tc>
        <w:tc>
          <w:tcPr>
            <w:tcW w:w="100" w:type="dxa"/>
            <w:vAlign w:val="bottom"/>
            <w:shd w:val="clear" w:color="auto" w:fill="FDFDFC"/>
          </w:tcPr>
          <w:p>
            <w:pPr>
              <w:spacing w:after="0"/>
              <w:rPr>
                <w:sz w:val="19"/>
                <w:szCs w:val="19"/>
                <w:color w:val="auto"/>
              </w:rPr>
            </w:pPr>
          </w:p>
        </w:tc>
        <w:tc>
          <w:tcPr>
            <w:tcW w:w="80" w:type="dxa"/>
            <w:vAlign w:val="bottom"/>
            <w:shd w:val="clear" w:color="auto" w:fill="FDFDFC"/>
          </w:tcPr>
          <w:p>
            <w:pPr>
              <w:spacing w:after="0"/>
              <w:rPr>
                <w:sz w:val="19"/>
                <w:szCs w:val="19"/>
                <w:color w:val="auto"/>
              </w:rPr>
            </w:pPr>
          </w:p>
        </w:tc>
        <w:tc>
          <w:tcPr>
            <w:tcW w:w="240" w:type="dxa"/>
            <w:vAlign w:val="bottom"/>
            <w:shd w:val="clear" w:color="auto" w:fill="FDFDFC"/>
          </w:tcPr>
          <w:p>
            <w:pPr>
              <w:jc w:val="right"/>
              <w:ind w:right="26"/>
              <w:spacing w:after="0"/>
              <w:rPr>
                <w:sz w:val="20"/>
                <w:szCs w:val="20"/>
                <w:color w:val="auto"/>
              </w:rPr>
            </w:pPr>
            <w:r>
              <w:rPr>
                <w:rFonts w:ascii="Arial" w:cs="Arial" w:eastAsia="Arial" w:hAnsi="Arial"/>
                <w:sz w:val="19"/>
                <w:szCs w:val="19"/>
                <w:color w:val="231F20"/>
                <w:w w:val="94"/>
              </w:rPr>
              <w:t>$</w:t>
            </w:r>
          </w:p>
        </w:tc>
        <w:tc>
          <w:tcPr>
            <w:tcW w:w="8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(40.9)</w:t>
            </w:r>
          </w:p>
        </w:tc>
        <w:tc>
          <w:tcPr>
            <w:tcW w:w="200" w:type="dxa"/>
            <w:vAlign w:val="bottom"/>
            <w:tcBorders>
              <w:right w:val="single" w:sz="8" w:color="FDFDFC"/>
            </w:tcBorders>
            <w:shd w:val="clear" w:color="auto" w:fill="FDFDFC"/>
          </w:tcPr>
          <w:p>
            <w:pPr>
              <w:spacing w:after="0"/>
              <w:rPr>
                <w:sz w:val="19"/>
                <w:szCs w:val="19"/>
                <w:color w:val="auto"/>
              </w:rPr>
            </w:pPr>
          </w:p>
        </w:tc>
        <w:tc>
          <w:tcPr>
            <w:tcW w:w="140" w:type="dxa"/>
            <w:vAlign w:val="bottom"/>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35.6</w:t>
            </w:r>
          </w:p>
        </w:tc>
        <w:tc>
          <w:tcPr>
            <w:tcW w:w="200" w:type="dxa"/>
            <w:vAlign w:val="bottom"/>
            <w:shd w:val="clear" w:color="auto" w:fill="FDFDFC"/>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9"/>
                <w:szCs w:val="19"/>
                <w:color w:val="231F20"/>
              </w:rPr>
              <w:t>(87.0)%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5671185</wp:posOffset>
                </wp:positionH>
                <wp:positionV relativeFrom="paragraph">
                  <wp:posOffset>-2262505</wp:posOffset>
                </wp:positionV>
                <wp:extent cx="658495" cy="13779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495" cy="137795"/>
                        </a:xfrm>
                        <a:prstGeom prst="rect">
                          <a:avLst/>
                        </a:prstGeom>
                        <a:solidFill>
                          <a:srgbClr val="D0EBF2"/>
                        </a:solidFill>
                      </wps:spPr>
                      <wps:bodyPr/>
                    </wps:wsp>
                  </a:graphicData>
                </a:graphic>
              </wp:anchor>
            </w:drawing>
          </mc:Choice>
          <mc:Fallback>
            <w:pict>
              <v:rect id="Shape 28" o:spid="_x0000_s1053" style="position:absolute;margin-left:446.55pt;margin-top:-178.1499pt;width:51.85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5671820</wp:posOffset>
                </wp:positionH>
                <wp:positionV relativeFrom="paragraph">
                  <wp:posOffset>-187325</wp:posOffset>
                </wp:positionV>
                <wp:extent cx="658495" cy="16065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495" cy="160655"/>
                        </a:xfrm>
                        <a:prstGeom prst="rect">
                          <a:avLst/>
                        </a:prstGeom>
                        <a:solidFill>
                          <a:srgbClr val="FDFDFC"/>
                        </a:solidFill>
                      </wps:spPr>
                      <wps:bodyPr/>
                    </wps:wsp>
                  </a:graphicData>
                </a:graphic>
              </wp:anchor>
            </w:drawing>
          </mc:Choice>
          <mc:Fallback>
            <w:pict>
              <v:rect id="Shape 29" o:spid="_x0000_s1054" style="position:absolute;margin-left:446.6pt;margin-top:-14.7499pt;width:51.85pt;height:12.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Revenue</w:t>
      </w:r>
    </w:p>
    <w:p>
      <w:pPr>
        <w:spacing w:after="0" w:line="180" w:lineRule="exact"/>
        <w:rPr>
          <w:sz w:val="20"/>
          <w:szCs w:val="20"/>
          <w:color w:val="auto"/>
        </w:rPr>
      </w:pPr>
    </w:p>
    <w:p>
      <w:pPr>
        <w:ind w:right="120" w:firstLine="463"/>
        <w:spacing w:after="0" w:line="258" w:lineRule="auto"/>
        <w:rPr>
          <w:sz w:val="20"/>
          <w:szCs w:val="20"/>
          <w:color w:val="auto"/>
        </w:rPr>
      </w:pPr>
      <w:r>
        <w:rPr>
          <w:rFonts w:ascii="Arial" w:cs="Arial" w:eastAsia="Arial" w:hAnsi="Arial"/>
          <w:sz w:val="19"/>
          <w:szCs w:val="19"/>
          <w:color w:val="231F20"/>
        </w:rPr>
        <w:t>Revenue was $403.1 million for the year ended December 31, 2023, compared to $289.4 million for the year ended December 31, 2022, an increase of $113.7 million or 39.3%. Revenue is comprised of transaction revenue and platform and other revenues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20" w:type="dxa"/>
            <w:vAlign w:val="bottom"/>
            <w:tcBorders>
              <w:bottom w:val="single" w:sz="8" w:color="FDFDFC"/>
            </w:tcBorders>
            <w:vMerge w:val="restart"/>
            <w:shd w:val="clear" w:color="auto" w:fill="FDFDFC"/>
          </w:tcPr>
          <w:p>
            <w:pPr>
              <w:spacing w:after="0"/>
              <w:rPr>
                <w:sz w:val="20"/>
                <w:szCs w:val="20"/>
                <w:color w:val="auto"/>
              </w:rPr>
            </w:pPr>
            <w:r>
              <w:rPr>
                <w:rFonts w:ascii="Arial" w:cs="Arial" w:eastAsia="Arial" w:hAnsi="Arial"/>
                <w:sz w:val="15"/>
                <w:szCs w:val="15"/>
                <w:b w:val="1"/>
                <w:bCs w:val="1"/>
                <w:color w:val="231F20"/>
              </w:rPr>
              <w:t>(dollars in millions)</w:t>
            </w:r>
          </w:p>
        </w:tc>
        <w:tc>
          <w:tcPr>
            <w:tcW w:w="100" w:type="dxa"/>
            <w:vAlign w:val="bottom"/>
            <w:tcBorders>
              <w:bottom w:val="single" w:sz="8" w:color="FDFDFC"/>
            </w:tcBorders>
            <w:shd w:val="clear" w:color="auto" w:fill="FDFDFC"/>
          </w:tcPr>
          <w:p>
            <w:pPr>
              <w:spacing w:after="0"/>
              <w:rPr>
                <w:sz w:val="15"/>
                <w:szCs w:val="15"/>
                <w:color w:val="auto"/>
              </w:rPr>
            </w:pPr>
          </w:p>
        </w:tc>
        <w:tc>
          <w:tcPr>
            <w:tcW w:w="160" w:type="dxa"/>
            <w:vAlign w:val="bottom"/>
            <w:tcBorders>
              <w:bottom w:val="single" w:sz="8" w:color="231F20"/>
            </w:tcBorders>
            <w:shd w:val="clear" w:color="auto" w:fill="FDFDFC"/>
          </w:tcPr>
          <w:p>
            <w:pPr>
              <w:spacing w:after="0"/>
              <w:rPr>
                <w:sz w:val="15"/>
                <w:szCs w:val="15"/>
                <w:color w:val="auto"/>
              </w:rPr>
            </w:pPr>
          </w:p>
        </w:tc>
        <w:tc>
          <w:tcPr>
            <w:tcW w:w="2160" w:type="dxa"/>
            <w:vAlign w:val="bottom"/>
            <w:tcBorders>
              <w:bottom w:val="single" w:sz="8" w:color="231F20"/>
            </w:tcBorders>
            <w:gridSpan w:val="4"/>
            <w:shd w:val="clear" w:color="auto" w:fill="FDFDFC"/>
          </w:tcPr>
          <w:p>
            <w:pPr>
              <w:jc w:val="right"/>
              <w:ind w:right="150"/>
              <w:spacing w:after="0"/>
              <w:rPr>
                <w:sz w:val="20"/>
                <w:szCs w:val="20"/>
                <w:color w:val="auto"/>
              </w:rPr>
            </w:pPr>
            <w:r>
              <w:rPr>
                <w:rFonts w:ascii="Arial" w:cs="Arial" w:eastAsia="Arial" w:hAnsi="Arial"/>
                <w:sz w:val="15"/>
                <w:szCs w:val="15"/>
                <w:b w:val="1"/>
                <w:bCs w:val="1"/>
                <w:color w:val="231F20"/>
              </w:rPr>
              <w:t>Year Ended December 31,</w:t>
            </w:r>
          </w:p>
        </w:tc>
        <w:tc>
          <w:tcPr>
            <w:tcW w:w="200" w:type="dxa"/>
            <w:vAlign w:val="bottom"/>
            <w:tcBorders>
              <w:bottom w:val="single" w:sz="8" w:color="FDFDFC"/>
            </w:tcBorders>
            <w:shd w:val="clear" w:color="auto" w:fill="FDFDFC"/>
          </w:tcPr>
          <w:p>
            <w:pPr>
              <w:spacing w:after="0"/>
              <w:rPr>
                <w:sz w:val="15"/>
                <w:szCs w:val="15"/>
                <w:color w:val="auto"/>
              </w:rPr>
            </w:pPr>
          </w:p>
        </w:tc>
        <w:tc>
          <w:tcPr>
            <w:tcW w:w="120" w:type="dxa"/>
            <w:vAlign w:val="bottom"/>
            <w:tcBorders>
              <w:bottom w:val="single" w:sz="8" w:color="FDFDFC"/>
            </w:tcBorders>
            <w:shd w:val="clear" w:color="auto" w:fill="FDFDFC"/>
          </w:tcPr>
          <w:p>
            <w:pPr>
              <w:spacing w:after="0"/>
              <w:rPr>
                <w:sz w:val="15"/>
                <w:szCs w:val="15"/>
                <w:color w:val="auto"/>
              </w:rPr>
            </w:pPr>
          </w:p>
        </w:tc>
        <w:tc>
          <w:tcPr>
            <w:tcW w:w="900" w:type="dxa"/>
            <w:vAlign w:val="bottom"/>
            <w:tcBorders>
              <w:bottom w:val="single" w:sz="8" w:color="FDFDFC"/>
            </w:tcBorders>
            <w:vMerge w:val="restart"/>
            <w:shd w:val="clear" w:color="auto" w:fill="FDFDFC"/>
          </w:tcPr>
          <w:p>
            <w:pPr>
              <w:jc w:val="right"/>
              <w:ind w:right="90"/>
              <w:spacing w:after="0"/>
              <w:rPr>
                <w:sz w:val="20"/>
                <w:szCs w:val="20"/>
                <w:color w:val="auto"/>
              </w:rPr>
            </w:pPr>
            <w:r>
              <w:rPr>
                <w:rFonts w:ascii="Arial" w:cs="Arial" w:eastAsia="Arial" w:hAnsi="Arial"/>
                <w:sz w:val="15"/>
                <w:szCs w:val="15"/>
                <w:b w:val="1"/>
                <w:bCs w:val="1"/>
                <w:color w:val="231F20"/>
              </w:rPr>
              <w:t>$ Change</w:t>
            </w:r>
          </w:p>
        </w:tc>
        <w:tc>
          <w:tcPr>
            <w:tcW w:w="180" w:type="dxa"/>
            <w:vAlign w:val="bottom"/>
            <w:tcBorders>
              <w:bottom w:val="single" w:sz="8" w:color="FDFDFC"/>
            </w:tcBorders>
            <w:shd w:val="clear" w:color="auto" w:fill="FDFDFC"/>
          </w:tcPr>
          <w:p>
            <w:pPr>
              <w:spacing w:after="0"/>
              <w:rPr>
                <w:sz w:val="15"/>
                <w:szCs w:val="15"/>
                <w:color w:val="auto"/>
              </w:rPr>
            </w:pPr>
          </w:p>
        </w:tc>
        <w:tc>
          <w:tcPr>
            <w:tcW w:w="1100" w:type="dxa"/>
            <w:vAlign w:val="bottom"/>
            <w:tcBorders>
              <w:bottom w:val="single" w:sz="8" w:color="FDFDFC"/>
            </w:tcBorders>
            <w:vMerge w:val="restart"/>
            <w:shd w:val="clear" w:color="auto" w:fill="FDFDFC"/>
          </w:tcPr>
          <w:p>
            <w:pPr>
              <w:ind w:left="180"/>
              <w:spacing w:after="0"/>
              <w:rPr>
                <w:sz w:val="20"/>
                <w:szCs w:val="20"/>
                <w:color w:val="auto"/>
              </w:rPr>
            </w:pPr>
            <w:r>
              <w:rPr>
                <w:rFonts w:ascii="Arial" w:cs="Arial" w:eastAsia="Arial" w:hAnsi="Arial"/>
                <w:sz w:val="15"/>
                <w:szCs w:val="15"/>
                <w:b w:val="1"/>
                <w:bCs w:val="1"/>
                <w:color w:val="231F20"/>
              </w:rPr>
              <w:t>% Change</w:t>
            </w:r>
          </w:p>
        </w:tc>
        <w:tc>
          <w:tcPr>
            <w:tcW w:w="160" w:type="dxa"/>
            <w:vAlign w:val="bottom"/>
            <w:tcBorders>
              <w:bottom w:val="single" w:sz="8" w:color="FDFDFC"/>
            </w:tcBorders>
            <w:vMerge w:val="restart"/>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120" w:type="dxa"/>
            <w:vAlign w:val="bottom"/>
            <w:tcBorders>
              <w:bottom w:val="single" w:sz="8" w:color="231F20"/>
            </w:tcBorders>
            <w:vMerge w:val="continue"/>
            <w:shd w:val="clear" w:color="auto" w:fill="FDFDFC"/>
          </w:tcPr>
          <w:p>
            <w:pPr>
              <w:spacing w:after="0"/>
              <w:rPr>
                <w:sz w:val="14"/>
                <w:szCs w:val="14"/>
                <w:color w:val="auto"/>
              </w:rPr>
            </w:pPr>
          </w:p>
        </w:tc>
        <w:tc>
          <w:tcPr>
            <w:tcW w:w="100" w:type="dxa"/>
            <w:vAlign w:val="bottom"/>
            <w:tcBorders>
              <w:bottom w:val="single" w:sz="8" w:color="D0EBF2"/>
            </w:tcBorders>
            <w:shd w:val="clear" w:color="auto" w:fill="FDFDFC"/>
          </w:tcPr>
          <w:p>
            <w:pPr>
              <w:spacing w:after="0"/>
              <w:rPr>
                <w:sz w:val="14"/>
                <w:szCs w:val="14"/>
                <w:color w:val="auto"/>
              </w:rPr>
            </w:pPr>
          </w:p>
        </w:tc>
        <w:tc>
          <w:tcPr>
            <w:tcW w:w="160" w:type="dxa"/>
            <w:vAlign w:val="bottom"/>
            <w:tcBorders>
              <w:bottom w:val="single" w:sz="8" w:color="231F20"/>
            </w:tcBorders>
            <w:shd w:val="clear" w:color="auto" w:fill="FDFDFC"/>
          </w:tcPr>
          <w:p>
            <w:pPr>
              <w:spacing w:after="0"/>
              <w:rPr>
                <w:sz w:val="14"/>
                <w:szCs w:val="14"/>
                <w:color w:val="auto"/>
              </w:rPr>
            </w:pPr>
          </w:p>
        </w:tc>
        <w:tc>
          <w:tcPr>
            <w:tcW w:w="900" w:type="dxa"/>
            <w:vAlign w:val="bottom"/>
            <w:tcBorders>
              <w:bottom w:val="single" w:sz="8" w:color="231F20"/>
            </w:tcBorders>
            <w:shd w:val="clear" w:color="auto" w:fill="FDFDFC"/>
          </w:tcPr>
          <w:p>
            <w:pPr>
              <w:jc w:val="right"/>
              <w:ind w:right="273"/>
              <w:spacing w:after="0" w:line="164" w:lineRule="exact"/>
              <w:rPr>
                <w:sz w:val="20"/>
                <w:szCs w:val="20"/>
                <w:color w:val="auto"/>
              </w:rPr>
            </w:pPr>
            <w:r>
              <w:rPr>
                <w:rFonts w:ascii="Arial" w:cs="Arial" w:eastAsia="Arial" w:hAnsi="Arial"/>
                <w:sz w:val="15"/>
                <w:szCs w:val="15"/>
                <w:b w:val="1"/>
                <w:bCs w:val="1"/>
                <w:color w:val="231F20"/>
              </w:rPr>
              <w:t>2023</w:t>
            </w:r>
          </w:p>
        </w:tc>
        <w:tc>
          <w:tcPr>
            <w:tcW w:w="200" w:type="dxa"/>
            <w:vAlign w:val="bottom"/>
            <w:tcBorders>
              <w:bottom w:val="single" w:sz="8" w:color="D0EBF2"/>
            </w:tcBorders>
            <w:shd w:val="clear" w:color="auto" w:fill="FDFDFC"/>
          </w:tcPr>
          <w:p>
            <w:pPr>
              <w:spacing w:after="0"/>
              <w:rPr>
                <w:sz w:val="14"/>
                <w:szCs w:val="14"/>
                <w:color w:val="auto"/>
              </w:rPr>
            </w:pPr>
          </w:p>
        </w:tc>
        <w:tc>
          <w:tcPr>
            <w:tcW w:w="220" w:type="dxa"/>
            <w:vAlign w:val="bottom"/>
            <w:tcBorders>
              <w:bottom w:val="single" w:sz="8" w:color="231F20"/>
            </w:tcBorders>
            <w:shd w:val="clear" w:color="auto" w:fill="FDFDFC"/>
          </w:tcPr>
          <w:p>
            <w:pPr>
              <w:spacing w:after="0"/>
              <w:rPr>
                <w:sz w:val="14"/>
                <w:szCs w:val="14"/>
                <w:color w:val="auto"/>
              </w:rPr>
            </w:pPr>
          </w:p>
        </w:tc>
        <w:tc>
          <w:tcPr>
            <w:tcW w:w="840" w:type="dxa"/>
            <w:vAlign w:val="bottom"/>
            <w:tcBorders>
              <w:bottom w:val="single" w:sz="8" w:color="231F20"/>
            </w:tcBorders>
            <w:shd w:val="clear" w:color="auto" w:fill="FDFDFC"/>
          </w:tcPr>
          <w:p>
            <w:pPr>
              <w:jc w:val="right"/>
              <w:ind w:right="270"/>
              <w:spacing w:after="0" w:line="164" w:lineRule="exact"/>
              <w:rPr>
                <w:sz w:val="20"/>
                <w:szCs w:val="20"/>
                <w:color w:val="auto"/>
              </w:rPr>
            </w:pPr>
            <w:r>
              <w:rPr>
                <w:rFonts w:ascii="Arial" w:cs="Arial" w:eastAsia="Arial" w:hAnsi="Arial"/>
                <w:sz w:val="15"/>
                <w:szCs w:val="15"/>
                <w:b w:val="1"/>
                <w:bCs w:val="1"/>
                <w:color w:val="231F20"/>
              </w:rPr>
              <w:t>2022</w:t>
            </w:r>
          </w:p>
        </w:tc>
        <w:tc>
          <w:tcPr>
            <w:tcW w:w="20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231F20"/>
            </w:tcBorders>
            <w:shd w:val="clear" w:color="auto" w:fill="FDFDFC"/>
          </w:tcPr>
          <w:p>
            <w:pPr>
              <w:spacing w:after="0"/>
              <w:rPr>
                <w:sz w:val="14"/>
                <w:szCs w:val="14"/>
                <w:color w:val="auto"/>
              </w:rPr>
            </w:pPr>
          </w:p>
        </w:tc>
        <w:tc>
          <w:tcPr>
            <w:tcW w:w="900" w:type="dxa"/>
            <w:vAlign w:val="bottom"/>
            <w:tcBorders>
              <w:bottom w:val="single" w:sz="8" w:color="231F20"/>
            </w:tcBorders>
            <w:vMerge w:val="continue"/>
            <w:shd w:val="clear" w:color="auto" w:fill="FDFDFC"/>
          </w:tcPr>
          <w:p>
            <w:pPr>
              <w:spacing w:after="0"/>
              <w:rPr>
                <w:sz w:val="14"/>
                <w:szCs w:val="14"/>
                <w:color w:val="auto"/>
              </w:rPr>
            </w:pPr>
          </w:p>
        </w:tc>
        <w:tc>
          <w:tcPr>
            <w:tcW w:w="180" w:type="dxa"/>
            <w:vAlign w:val="bottom"/>
            <w:tcBorders>
              <w:bottom w:val="single" w:sz="8" w:color="D0EBF2"/>
            </w:tcBorders>
            <w:shd w:val="clear" w:color="auto" w:fill="FDFDFC"/>
          </w:tcPr>
          <w:p>
            <w:pPr>
              <w:spacing w:after="0"/>
              <w:rPr>
                <w:sz w:val="14"/>
                <w:szCs w:val="14"/>
                <w:color w:val="auto"/>
              </w:rPr>
            </w:pPr>
          </w:p>
        </w:tc>
        <w:tc>
          <w:tcPr>
            <w:tcW w:w="1100" w:type="dxa"/>
            <w:vAlign w:val="bottom"/>
            <w:tcBorders>
              <w:bottom w:val="single" w:sz="8" w:color="231F20"/>
            </w:tcBorders>
            <w:vMerge w:val="continue"/>
            <w:shd w:val="clear" w:color="auto" w:fill="FDFDFC"/>
          </w:tcPr>
          <w:p>
            <w:pPr>
              <w:spacing w:after="0"/>
              <w:rPr>
                <w:sz w:val="14"/>
                <w:szCs w:val="14"/>
                <w:color w:val="auto"/>
              </w:rPr>
            </w:pPr>
          </w:p>
        </w:tc>
        <w:tc>
          <w:tcPr>
            <w:tcW w:w="160" w:type="dxa"/>
            <w:vAlign w:val="bottom"/>
            <w:tcBorders>
              <w:bottom w:val="single" w:sz="8" w:color="FDFDFC"/>
            </w:tcBorders>
            <w:vMerge w:val="continue"/>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120" w:type="dxa"/>
            <w:vAlign w:val="bottom"/>
            <w:shd w:val="clear" w:color="auto" w:fill="D0EBF2"/>
          </w:tcPr>
          <w:p>
            <w:pPr>
              <w:spacing w:after="0" w:line="207" w:lineRule="exact"/>
              <w:rPr>
                <w:sz w:val="20"/>
                <w:szCs w:val="20"/>
                <w:color w:val="auto"/>
              </w:rPr>
            </w:pPr>
            <w:r>
              <w:rPr>
                <w:rFonts w:ascii="Arial" w:cs="Arial" w:eastAsia="Arial" w:hAnsi="Arial"/>
                <w:sz w:val="19"/>
                <w:szCs w:val="19"/>
                <w:color w:val="231F20"/>
              </w:rPr>
              <w:t>Transaction revenue</w:t>
            </w:r>
          </w:p>
        </w:tc>
        <w:tc>
          <w:tcPr>
            <w:tcW w:w="100" w:type="dxa"/>
            <w:vAlign w:val="bottom"/>
            <w:shd w:val="clear" w:color="auto" w:fill="D0EBF2"/>
          </w:tcPr>
          <w:p>
            <w:pPr>
              <w:spacing w:after="0"/>
              <w:rPr>
                <w:sz w:val="17"/>
                <w:szCs w:val="17"/>
                <w:color w:val="auto"/>
              </w:rPr>
            </w:pPr>
          </w:p>
        </w:tc>
        <w:tc>
          <w:tcPr>
            <w:tcW w:w="160" w:type="dxa"/>
            <w:vAlign w:val="bottom"/>
            <w:shd w:val="clear" w:color="auto" w:fill="D0EBF2"/>
          </w:tcPr>
          <w:p>
            <w:pPr>
              <w:jc w:val="right"/>
              <w:spacing w:after="0" w:line="207" w:lineRule="exact"/>
              <w:rPr>
                <w:sz w:val="20"/>
                <w:szCs w:val="20"/>
                <w:color w:val="auto"/>
              </w:rPr>
            </w:pPr>
            <w:r>
              <w:rPr>
                <w:rFonts w:ascii="Arial" w:cs="Arial" w:eastAsia="Arial" w:hAnsi="Arial"/>
                <w:sz w:val="19"/>
                <w:szCs w:val="19"/>
                <w:color w:val="231F20"/>
                <w:w w:val="75"/>
              </w:rPr>
              <w:t>$</w:t>
            </w:r>
          </w:p>
        </w:tc>
        <w:tc>
          <w:tcPr>
            <w:tcW w:w="900" w:type="dxa"/>
            <w:vAlign w:val="bottom"/>
            <w:shd w:val="clear" w:color="auto" w:fill="D0EBF2"/>
          </w:tcPr>
          <w:p>
            <w:pPr>
              <w:jc w:val="right"/>
              <w:spacing w:after="0" w:line="207" w:lineRule="exact"/>
              <w:rPr>
                <w:sz w:val="20"/>
                <w:szCs w:val="20"/>
                <w:color w:val="auto"/>
              </w:rPr>
            </w:pPr>
            <w:r>
              <w:rPr>
                <w:rFonts w:ascii="Arial" w:cs="Arial" w:eastAsia="Arial" w:hAnsi="Arial"/>
                <w:sz w:val="19"/>
                <w:szCs w:val="19"/>
                <w:color w:val="231F20"/>
              </w:rPr>
              <w:t>329.7</w:t>
            </w:r>
          </w:p>
        </w:tc>
        <w:tc>
          <w:tcPr>
            <w:tcW w:w="200" w:type="dxa"/>
            <w:vAlign w:val="bottom"/>
            <w:shd w:val="clear" w:color="auto" w:fill="D0EBF2"/>
          </w:tcPr>
          <w:p>
            <w:pPr>
              <w:spacing w:after="0"/>
              <w:rPr>
                <w:sz w:val="17"/>
                <w:szCs w:val="17"/>
                <w:color w:val="auto"/>
              </w:rPr>
            </w:pPr>
          </w:p>
        </w:tc>
        <w:tc>
          <w:tcPr>
            <w:tcW w:w="220" w:type="dxa"/>
            <w:vAlign w:val="bottom"/>
            <w:shd w:val="clear" w:color="auto" w:fill="D0EBF2"/>
          </w:tcPr>
          <w:p>
            <w:pPr>
              <w:jc w:val="right"/>
              <w:ind w:right="26"/>
              <w:spacing w:after="0" w:line="207" w:lineRule="exact"/>
              <w:rPr>
                <w:sz w:val="20"/>
                <w:szCs w:val="20"/>
                <w:color w:val="auto"/>
              </w:rPr>
            </w:pPr>
            <w:r>
              <w:rPr>
                <w:rFonts w:ascii="Arial" w:cs="Arial" w:eastAsia="Arial" w:hAnsi="Arial"/>
                <w:sz w:val="19"/>
                <w:szCs w:val="19"/>
                <w:color w:val="231F20"/>
                <w:w w:val="75"/>
              </w:rPr>
              <w:t>$</w:t>
            </w:r>
          </w:p>
        </w:tc>
        <w:tc>
          <w:tcPr>
            <w:tcW w:w="840" w:type="dxa"/>
            <w:vAlign w:val="bottom"/>
            <w:shd w:val="clear" w:color="auto" w:fill="D0EBF2"/>
          </w:tcPr>
          <w:p>
            <w:pPr>
              <w:jc w:val="right"/>
              <w:spacing w:after="0" w:line="207" w:lineRule="exact"/>
              <w:rPr>
                <w:sz w:val="20"/>
                <w:szCs w:val="20"/>
                <w:color w:val="auto"/>
              </w:rPr>
            </w:pPr>
            <w:r>
              <w:rPr>
                <w:rFonts w:ascii="Arial" w:cs="Arial" w:eastAsia="Arial" w:hAnsi="Arial"/>
                <w:sz w:val="19"/>
                <w:szCs w:val="19"/>
                <w:color w:val="231F20"/>
              </w:rPr>
              <w:t>224.2</w:t>
            </w:r>
          </w:p>
        </w:tc>
        <w:tc>
          <w:tcPr>
            <w:tcW w:w="200" w:type="dxa"/>
            <w:vAlign w:val="bottom"/>
            <w:shd w:val="clear" w:color="auto" w:fill="D0EBF2"/>
          </w:tcPr>
          <w:p>
            <w:pPr>
              <w:spacing w:after="0"/>
              <w:rPr>
                <w:sz w:val="17"/>
                <w:szCs w:val="17"/>
                <w:color w:val="auto"/>
              </w:rPr>
            </w:pPr>
          </w:p>
        </w:tc>
        <w:tc>
          <w:tcPr>
            <w:tcW w:w="120" w:type="dxa"/>
            <w:vAlign w:val="bottom"/>
            <w:shd w:val="clear" w:color="auto" w:fill="D0EBF2"/>
          </w:tcPr>
          <w:p>
            <w:pPr>
              <w:jc w:val="right"/>
              <w:spacing w:after="0" w:line="207" w:lineRule="exact"/>
              <w:rPr>
                <w:sz w:val="20"/>
                <w:szCs w:val="20"/>
                <w:color w:val="auto"/>
              </w:rPr>
            </w:pPr>
            <w:r>
              <w:rPr>
                <w:rFonts w:ascii="Arial" w:cs="Arial" w:eastAsia="Arial" w:hAnsi="Arial"/>
                <w:sz w:val="19"/>
                <w:szCs w:val="19"/>
                <w:color w:val="231F20"/>
                <w:w w:val="75"/>
              </w:rPr>
              <w:t>$</w:t>
            </w:r>
          </w:p>
        </w:tc>
        <w:tc>
          <w:tcPr>
            <w:tcW w:w="900" w:type="dxa"/>
            <w:vAlign w:val="bottom"/>
            <w:shd w:val="clear" w:color="auto" w:fill="D0EBF2"/>
          </w:tcPr>
          <w:p>
            <w:pPr>
              <w:jc w:val="right"/>
              <w:spacing w:after="0" w:line="207" w:lineRule="exact"/>
              <w:rPr>
                <w:sz w:val="20"/>
                <w:szCs w:val="20"/>
                <w:color w:val="auto"/>
              </w:rPr>
            </w:pPr>
            <w:r>
              <w:rPr>
                <w:rFonts w:ascii="Arial" w:cs="Arial" w:eastAsia="Arial" w:hAnsi="Arial"/>
                <w:sz w:val="19"/>
                <w:szCs w:val="19"/>
                <w:color w:val="231F20"/>
              </w:rPr>
              <w:t>105.5</w:t>
            </w:r>
          </w:p>
        </w:tc>
        <w:tc>
          <w:tcPr>
            <w:tcW w:w="180" w:type="dxa"/>
            <w:vAlign w:val="bottom"/>
            <w:shd w:val="clear" w:color="auto" w:fill="D0EBF2"/>
          </w:tcPr>
          <w:p>
            <w:pPr>
              <w:spacing w:after="0"/>
              <w:rPr>
                <w:sz w:val="17"/>
                <w:szCs w:val="17"/>
                <w:color w:val="auto"/>
              </w:rPr>
            </w:pPr>
          </w:p>
        </w:tc>
        <w:tc>
          <w:tcPr>
            <w:tcW w:w="1260" w:type="dxa"/>
            <w:vAlign w:val="bottom"/>
            <w:gridSpan w:val="2"/>
          </w:tcPr>
          <w:p>
            <w:pPr>
              <w:jc w:val="right"/>
              <w:spacing w:after="0" w:line="207" w:lineRule="exact"/>
              <w:rPr>
                <w:sz w:val="20"/>
                <w:szCs w:val="20"/>
                <w:color w:val="auto"/>
              </w:rPr>
            </w:pPr>
            <w:r>
              <w:rPr>
                <w:rFonts w:ascii="Arial" w:cs="Arial" w:eastAsia="Arial" w:hAnsi="Arial"/>
                <w:sz w:val="19"/>
                <w:szCs w:val="19"/>
                <w:color w:val="231F20"/>
              </w:rPr>
              <w:t>47.1%</w:t>
            </w:r>
          </w:p>
        </w:tc>
        <w:tc>
          <w:tcPr>
            <w:tcW w:w="0" w:type="dxa"/>
            <w:vAlign w:val="bottom"/>
          </w:tcPr>
          <w:p>
            <w:pPr>
              <w:spacing w:after="0"/>
              <w:rPr>
                <w:sz w:val="1"/>
                <w:szCs w:val="1"/>
                <w:color w:val="auto"/>
              </w:rPr>
            </w:pPr>
          </w:p>
        </w:tc>
      </w:tr>
      <w:tr>
        <w:trPr>
          <w:trHeight w:val="217"/>
        </w:trPr>
        <w:tc>
          <w:tcPr>
            <w:tcW w:w="512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Platform and other revenues</w:t>
            </w:r>
          </w:p>
        </w:tc>
        <w:tc>
          <w:tcPr>
            <w:tcW w:w="1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73.4</w:t>
            </w:r>
          </w:p>
        </w:tc>
        <w:tc>
          <w:tcPr>
            <w:tcW w:w="200" w:type="dxa"/>
            <w:vAlign w:val="bottom"/>
            <w:shd w:val="clear" w:color="auto" w:fill="FDFDFC"/>
          </w:tcPr>
          <w:p>
            <w:pPr>
              <w:spacing w:after="0"/>
              <w:rPr>
                <w:sz w:val="18"/>
                <w:szCs w:val="18"/>
                <w:color w:val="auto"/>
              </w:rPr>
            </w:pPr>
          </w:p>
        </w:tc>
        <w:tc>
          <w:tcPr>
            <w:tcW w:w="22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65.2</w:t>
            </w:r>
          </w:p>
        </w:tc>
        <w:tc>
          <w:tcPr>
            <w:tcW w:w="2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8.2</w:t>
            </w:r>
          </w:p>
        </w:tc>
        <w:tc>
          <w:tcPr>
            <w:tcW w:w="180" w:type="dxa"/>
            <w:vAlign w:val="bottom"/>
            <w:shd w:val="clear" w:color="auto" w:fill="FDFDFC"/>
          </w:tcPr>
          <w:p>
            <w:pPr>
              <w:spacing w:after="0"/>
              <w:rPr>
                <w:sz w:val="18"/>
                <w:szCs w:val="18"/>
                <w:color w:val="auto"/>
              </w:rPr>
            </w:pPr>
          </w:p>
        </w:tc>
        <w:tc>
          <w:tcPr>
            <w:tcW w:w="1260" w:type="dxa"/>
            <w:vAlign w:val="bottom"/>
            <w:gridSpan w:val="2"/>
            <w:shd w:val="clear" w:color="auto" w:fill="FDFDFC"/>
          </w:tcPr>
          <w:p>
            <w:pPr>
              <w:jc w:val="right"/>
              <w:spacing w:after="0" w:line="217" w:lineRule="exact"/>
              <w:rPr>
                <w:sz w:val="20"/>
                <w:szCs w:val="20"/>
                <w:color w:val="auto"/>
              </w:rPr>
            </w:pPr>
            <w:r>
              <w:rPr>
                <w:rFonts w:ascii="Arial" w:cs="Arial" w:eastAsia="Arial" w:hAnsi="Arial"/>
                <w:sz w:val="19"/>
                <w:szCs w:val="19"/>
                <w:color w:val="231F20"/>
              </w:rPr>
              <w:t>12.6%</w:t>
            </w:r>
          </w:p>
        </w:tc>
        <w:tc>
          <w:tcPr>
            <w:tcW w:w="0" w:type="dxa"/>
            <w:vAlign w:val="bottom"/>
          </w:tcPr>
          <w:p>
            <w:pPr>
              <w:spacing w:after="0"/>
              <w:rPr>
                <w:sz w:val="1"/>
                <w:szCs w:val="1"/>
                <w:color w:val="auto"/>
              </w:rPr>
            </w:pPr>
          </w:p>
        </w:tc>
      </w:tr>
      <w:tr>
        <w:trPr>
          <w:trHeight w:val="20"/>
        </w:trPr>
        <w:tc>
          <w:tcPr>
            <w:tcW w:w="5120" w:type="dxa"/>
            <w:vAlign w:val="bottom"/>
            <w:vMerge w:val="restart"/>
            <w:shd w:val="clear" w:color="auto" w:fill="D0EBF2"/>
          </w:tcPr>
          <w:p>
            <w:pPr>
              <w:ind w:left="260"/>
              <w:spacing w:after="0"/>
              <w:rPr>
                <w:sz w:val="20"/>
                <w:szCs w:val="20"/>
                <w:color w:val="auto"/>
              </w:rPr>
            </w:pPr>
            <w:r>
              <w:rPr>
                <w:rFonts w:ascii="Arial" w:cs="Arial" w:eastAsia="Arial" w:hAnsi="Arial"/>
                <w:sz w:val="19"/>
                <w:szCs w:val="19"/>
                <w:color w:val="231F20"/>
              </w:rPr>
              <w:t>Revenue</w:t>
            </w:r>
          </w:p>
        </w:tc>
        <w:tc>
          <w:tcPr>
            <w:tcW w:w="100" w:type="dxa"/>
            <w:vAlign w:val="bottom"/>
            <w:shd w:val="clear" w:color="auto" w:fill="D0EBF2"/>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00" w:type="dxa"/>
            <w:vAlign w:val="bottom"/>
            <w:vMerge w:val="restart"/>
            <w:shd w:val="clear" w:color="auto" w:fill="D0EBF2"/>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200" w:type="dxa"/>
            <w:vAlign w:val="bottom"/>
            <w:vMerge w:val="restart"/>
            <w:shd w:val="clear" w:color="auto" w:fill="D0EBF2"/>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180" w:type="dxa"/>
            <w:vAlign w:val="bottom"/>
            <w:vMerge w:val="restart"/>
            <w:shd w:val="clear" w:color="auto" w:fill="D0EBF2"/>
          </w:tcPr>
          <w:p>
            <w:pPr>
              <w:spacing w:after="0" w:line="20" w:lineRule="exact"/>
              <w:rPr>
                <w:sz w:val="1"/>
                <w:szCs w:val="1"/>
                <w:color w:val="auto"/>
              </w:rPr>
            </w:pPr>
          </w:p>
        </w:tc>
        <w:tc>
          <w:tcPr>
            <w:tcW w:w="1100" w:type="dxa"/>
            <w:vAlign w:val="bottom"/>
            <w:shd w:val="clear" w:color="auto" w:fill="231F20"/>
          </w:tcPr>
          <w:p>
            <w:pPr>
              <w:spacing w:after="0" w:line="20" w:lineRule="exact"/>
              <w:rPr>
                <w:sz w:val="1"/>
                <w:szCs w:val="1"/>
                <w:color w:val="auto"/>
              </w:rPr>
            </w:pPr>
          </w:p>
        </w:tc>
        <w:tc>
          <w:tcPr>
            <w:tcW w:w="160" w:type="dxa"/>
            <w:vAlign w:val="bottom"/>
            <w:shd w:val="clear" w:color="auto" w:fill="FDFD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vMerge w:val="continue"/>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6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w w:val="75"/>
              </w:rPr>
              <w:t>$</w:t>
            </w:r>
          </w:p>
        </w:tc>
        <w:tc>
          <w:tcPr>
            <w:tcW w:w="90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403.1</w:t>
            </w:r>
          </w:p>
        </w:tc>
        <w:tc>
          <w:tcPr>
            <w:tcW w:w="200" w:type="dxa"/>
            <w:vAlign w:val="bottom"/>
            <w:vMerge w:val="continue"/>
            <w:shd w:val="clear" w:color="auto" w:fill="D0EBF2"/>
          </w:tcPr>
          <w:p>
            <w:pPr>
              <w:spacing w:after="0"/>
              <w:rPr>
                <w:sz w:val="17"/>
                <w:szCs w:val="17"/>
                <w:color w:val="auto"/>
              </w:rPr>
            </w:pPr>
          </w:p>
        </w:tc>
        <w:tc>
          <w:tcPr>
            <w:tcW w:w="220" w:type="dxa"/>
            <w:vAlign w:val="bottom"/>
            <w:shd w:val="clear" w:color="auto" w:fill="D0EBF2"/>
          </w:tcPr>
          <w:p>
            <w:pPr>
              <w:jc w:val="right"/>
              <w:ind w:right="26"/>
              <w:spacing w:after="0" w:line="206" w:lineRule="exact"/>
              <w:rPr>
                <w:sz w:val="20"/>
                <w:szCs w:val="20"/>
                <w:color w:val="auto"/>
              </w:rPr>
            </w:pPr>
            <w:r>
              <w:rPr>
                <w:rFonts w:ascii="Arial" w:cs="Arial" w:eastAsia="Arial" w:hAnsi="Arial"/>
                <w:sz w:val="19"/>
                <w:szCs w:val="19"/>
                <w:color w:val="231F20"/>
                <w:w w:val="75"/>
              </w:rPr>
              <w:t>$</w:t>
            </w:r>
          </w:p>
        </w:tc>
        <w:tc>
          <w:tcPr>
            <w:tcW w:w="84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289.4</w:t>
            </w:r>
          </w:p>
        </w:tc>
        <w:tc>
          <w:tcPr>
            <w:tcW w:w="200" w:type="dxa"/>
            <w:vAlign w:val="bottom"/>
            <w:vMerge w:val="continue"/>
            <w:shd w:val="clear" w:color="auto" w:fill="D0EBF2"/>
          </w:tcPr>
          <w:p>
            <w:pPr>
              <w:spacing w:after="0"/>
              <w:rPr>
                <w:sz w:val="17"/>
                <w:szCs w:val="17"/>
                <w:color w:val="auto"/>
              </w:rPr>
            </w:pPr>
          </w:p>
        </w:tc>
        <w:tc>
          <w:tcPr>
            <w:tcW w:w="12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w w:val="75"/>
              </w:rPr>
              <w:t>$</w:t>
            </w:r>
          </w:p>
        </w:tc>
        <w:tc>
          <w:tcPr>
            <w:tcW w:w="90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113.7</w:t>
            </w:r>
          </w:p>
        </w:tc>
        <w:tc>
          <w:tcPr>
            <w:tcW w:w="180" w:type="dxa"/>
            <w:vAlign w:val="bottom"/>
            <w:vMerge w:val="continue"/>
            <w:shd w:val="clear" w:color="auto" w:fill="D0EBF2"/>
          </w:tcPr>
          <w:p>
            <w:pPr>
              <w:spacing w:after="0"/>
              <w:rPr>
                <w:sz w:val="17"/>
                <w:szCs w:val="17"/>
                <w:color w:val="auto"/>
              </w:rPr>
            </w:pPr>
          </w:p>
        </w:tc>
        <w:tc>
          <w:tcPr>
            <w:tcW w:w="1260" w:type="dxa"/>
            <w:vAlign w:val="bottom"/>
            <w:gridSpan w:val="2"/>
          </w:tcPr>
          <w:p>
            <w:pPr>
              <w:jc w:val="right"/>
              <w:spacing w:after="0" w:line="206" w:lineRule="exact"/>
              <w:rPr>
                <w:sz w:val="20"/>
                <w:szCs w:val="20"/>
                <w:color w:val="auto"/>
              </w:rPr>
            </w:pPr>
            <w:r>
              <w:rPr>
                <w:rFonts w:ascii="Arial" w:cs="Arial" w:eastAsia="Arial" w:hAnsi="Arial"/>
                <w:sz w:val="19"/>
                <w:szCs w:val="19"/>
                <w:color w:val="231F20"/>
              </w:rPr>
              <w:t>39.3%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5682615</wp:posOffset>
                </wp:positionH>
                <wp:positionV relativeFrom="paragraph">
                  <wp:posOffset>-446405</wp:posOffset>
                </wp:positionV>
                <wp:extent cx="687070" cy="13779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070" cy="137795"/>
                        </a:xfrm>
                        <a:prstGeom prst="rect">
                          <a:avLst/>
                        </a:prstGeom>
                        <a:solidFill>
                          <a:srgbClr val="D0EBF2"/>
                        </a:solidFill>
                      </wps:spPr>
                      <wps:bodyPr/>
                    </wps:wsp>
                  </a:graphicData>
                </a:graphic>
              </wp:anchor>
            </w:drawing>
          </mc:Choice>
          <mc:Fallback>
            <w:pict>
              <v:rect id="Shape 30" o:spid="_x0000_s1055" style="position:absolute;margin-left:447.45pt;margin-top:-35.1499pt;width:54.1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5682615</wp:posOffset>
                </wp:positionH>
                <wp:positionV relativeFrom="paragraph">
                  <wp:posOffset>-164465</wp:posOffset>
                </wp:positionV>
                <wp:extent cx="687070" cy="13779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070" cy="137795"/>
                        </a:xfrm>
                        <a:prstGeom prst="rect">
                          <a:avLst/>
                        </a:prstGeom>
                        <a:solidFill>
                          <a:srgbClr val="D0EBF2"/>
                        </a:solidFill>
                      </wps:spPr>
                      <wps:bodyPr/>
                    </wps:wsp>
                  </a:graphicData>
                </a:graphic>
              </wp:anchor>
            </w:drawing>
          </mc:Choice>
          <mc:Fallback>
            <w:pict>
              <v:rect id="Shape 31" o:spid="_x0000_s1056" style="position:absolute;margin-left:447.45pt;margin-top:-12.9499pt;width:54.1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w:r>
    </w:p>
    <w:p>
      <w:pPr>
        <w:spacing w:after="0" w:line="151" w:lineRule="exact"/>
        <w:rPr>
          <w:sz w:val="20"/>
          <w:szCs w:val="20"/>
          <w:color w:val="auto"/>
        </w:rPr>
      </w:pPr>
    </w:p>
    <w:p>
      <w:pPr>
        <w:ind w:right="160" w:firstLine="463"/>
        <w:spacing w:after="0" w:line="243" w:lineRule="auto"/>
        <w:rPr>
          <w:sz w:val="20"/>
          <w:szCs w:val="20"/>
          <w:color w:val="auto"/>
        </w:rPr>
      </w:pPr>
      <w:r>
        <w:rPr>
          <w:rFonts w:ascii="Arial" w:cs="Arial" w:eastAsia="Arial" w:hAnsi="Arial"/>
          <w:sz w:val="19"/>
          <w:szCs w:val="19"/>
          <w:color w:val="231F20"/>
        </w:rPr>
        <w:t>Transaction revenue was $329.7 million for the year ended December 31, 2023, compared to $224.2 million for the year ended December 31, 2022, an increase of $105.5 million or 47.1%. The increase in transaction revenue was primarily driven by growth in transaction payment volumes for the year ended December 31, 2023 from both our existing clients and new clients added during the year ended December 31, 2023 compared to the year ended December 31, 2022. We experienced strong growth in transaction payment volume across all regions and verticals during the period. Transaction payment volume increased approximately 44% during the year ended December 31, 2023 to $17.7 billion compared to $12.2 billion during the year ended December 31, 2022. Our marketing services revenue increased as a result of our payments partners using more of our marketing services during the year ended December 31, 2023, compared to the year ended December 31, 2022.</w:t>
      </w:r>
    </w:p>
    <w:p>
      <w:pPr>
        <w:spacing w:after="0" w:line="153" w:lineRule="exact"/>
        <w:rPr>
          <w:sz w:val="20"/>
          <w:szCs w:val="20"/>
          <w:color w:val="auto"/>
        </w:rPr>
      </w:pPr>
    </w:p>
    <w:p>
      <w:pPr>
        <w:ind w:right="20" w:firstLine="463"/>
        <w:spacing w:after="0" w:line="251" w:lineRule="auto"/>
        <w:rPr>
          <w:sz w:val="20"/>
          <w:szCs w:val="20"/>
          <w:color w:val="auto"/>
        </w:rPr>
      </w:pPr>
      <w:r>
        <w:rPr>
          <w:rFonts w:ascii="Arial" w:cs="Arial" w:eastAsia="Arial" w:hAnsi="Arial"/>
          <w:sz w:val="19"/>
          <w:szCs w:val="19"/>
          <w:color w:val="231F20"/>
        </w:rPr>
        <w:t>Platform and other revenues was $73.4 million for the year ended December 31, 2023, compared to $65.2 million for the year ended December 31, 2022, an increase of $8.2 million or 12.6%. The increase in platform and other revenues was attributable to increased usage by our clients and new clients signed during the year ended December 31, 2023, compared to the year ended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Payment Processing Services Costs</w:t>
      </w:r>
    </w:p>
    <w:p>
      <w:pPr>
        <w:spacing w:after="0" w:line="180" w:lineRule="exact"/>
        <w:rPr>
          <w:sz w:val="20"/>
          <w:szCs w:val="20"/>
          <w:color w:val="auto"/>
        </w:rPr>
      </w:pPr>
    </w:p>
    <w:p>
      <w:pPr>
        <w:jc w:val="both"/>
        <w:ind w:right="20" w:firstLine="463"/>
        <w:spacing w:after="0" w:line="251" w:lineRule="auto"/>
        <w:rPr>
          <w:sz w:val="20"/>
          <w:szCs w:val="20"/>
          <w:color w:val="auto"/>
        </w:rPr>
      </w:pPr>
      <w:r>
        <w:rPr>
          <w:rFonts w:ascii="Arial" w:cs="Arial" w:eastAsia="Arial" w:hAnsi="Arial"/>
          <w:sz w:val="19"/>
          <w:szCs w:val="19"/>
          <w:color w:val="231F20"/>
        </w:rPr>
        <w:t>Payment processing services costs were $147.3 million for the year ended December 31, 2023, compared to $107.9 million for the year ended December 31, 2022, an increase of $39.4 million or 36.5%. The increase in payment processing services costs is correlated with the increase in total payment volume of approximately 33% over the same period as well as increased use of credit cards, which have higher processing costs.</w:t>
      </w:r>
    </w:p>
    <w:p>
      <w:pPr>
        <w:sectPr>
          <w:pgSz w:w="12240" w:h="15840" w:orient="portrait"/>
          <w:cols w:equalWidth="0" w:num="1">
            <w:col w:w="10200"/>
          </w:cols>
          <w:pgMar w:left="1020" w:top="1440" w:right="1020" w:bottom="595"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90</w:t>
      </w:r>
    </w:p>
    <w:p>
      <w:pPr>
        <w:sectPr>
          <w:pgSz w:w="12240" w:h="15840" w:orient="portrait"/>
          <w:cols w:equalWidth="0" w:num="1">
            <w:col w:w="10200"/>
          </w:cols>
          <w:pgMar w:left="1020" w:top="1440" w:right="1020" w:bottom="595" w:gutter="0" w:footer="0" w:header="0"/>
          <w:type w:val="continuous"/>
        </w:sectPr>
      </w:pPr>
    </w:p>
    <w:bookmarkStart w:id="91" w:name="page92"/>
    <w:bookmarkEnd w:id="91"/>
    <w:p>
      <w:pPr>
        <w:spacing w:after="0" w:line="105"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Technology and Development</w:t>
      </w:r>
    </w:p>
    <w:p>
      <w:pPr>
        <w:spacing w:after="0" w:line="180" w:lineRule="exact"/>
        <w:rPr>
          <w:sz w:val="20"/>
          <w:szCs w:val="20"/>
          <w:color w:val="auto"/>
        </w:rPr>
      </w:pPr>
    </w:p>
    <w:p>
      <w:pPr>
        <w:jc w:val="both"/>
        <w:ind w:right="240" w:firstLine="463"/>
        <w:spacing w:after="0" w:line="261" w:lineRule="auto"/>
        <w:rPr>
          <w:sz w:val="20"/>
          <w:szCs w:val="20"/>
          <w:color w:val="auto"/>
        </w:rPr>
      </w:pPr>
      <w:r>
        <w:rPr>
          <w:rFonts w:ascii="Arial" w:cs="Arial" w:eastAsia="Arial" w:hAnsi="Arial"/>
          <w:sz w:val="18"/>
          <w:szCs w:val="18"/>
          <w:color w:val="231F20"/>
        </w:rPr>
        <w:t>Technology and development expenses were $62.0 million for the year ended December 31, 2023, compared to $50.3 million for the year ended December 31, 2022, an increase of $11.7 million or 23.3%. The increase in technology and development cost was primarily driven by an increase in personnel costs and stock-based compensation expense.</w:t>
      </w:r>
    </w:p>
    <w:p>
      <w:pPr>
        <w:ind w:right="120"/>
        <w:spacing w:after="0" w:line="241" w:lineRule="auto"/>
        <w:rPr>
          <w:sz w:val="20"/>
          <w:szCs w:val="20"/>
          <w:color w:val="auto"/>
        </w:rPr>
      </w:pPr>
      <w:r>
        <w:rPr>
          <w:rFonts w:ascii="Arial" w:cs="Arial" w:eastAsia="Arial" w:hAnsi="Arial"/>
          <w:sz w:val="19"/>
          <w:szCs w:val="19"/>
          <w:color w:val="231F20"/>
        </w:rPr>
        <w:t>Personnel costs were $38.5 million for the year ended December 31, 2023, compared to $32.1 million for the year ended December 31, 2022, an increase of $6.4 million or 19.9%. The increase in personnel costs was primarily driven by an increase in headcount within our technology and development teams. Stock-based compensation expense was $9.3 million for the year ended December 31, 2023, compared to $4.9 million for the year ended December 31, 2022, an increase of $4.4 million or 89.8%. The increase in stock-based compensation is attributable to equity grants awarded to existing and new FlyMates.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Selling and Marketing</w:t>
      </w:r>
    </w:p>
    <w:p>
      <w:pPr>
        <w:spacing w:after="0" w:line="180" w:lineRule="exact"/>
        <w:rPr>
          <w:sz w:val="20"/>
          <w:szCs w:val="20"/>
          <w:color w:val="auto"/>
        </w:rPr>
      </w:pPr>
    </w:p>
    <w:p>
      <w:pPr>
        <w:ind w:right="340" w:firstLine="463"/>
        <w:spacing w:after="0" w:line="257" w:lineRule="auto"/>
        <w:rPr>
          <w:sz w:val="20"/>
          <w:szCs w:val="20"/>
          <w:color w:val="auto"/>
        </w:rPr>
      </w:pPr>
      <w:r>
        <w:rPr>
          <w:rFonts w:ascii="Arial" w:cs="Arial" w:eastAsia="Arial" w:hAnsi="Arial"/>
          <w:sz w:val="18"/>
          <w:szCs w:val="18"/>
          <w:color w:val="231F20"/>
        </w:rPr>
        <w:t>Selling and marketing expenses were $107.6 million for the year ended December 31, 2023, compared to $78.5 million for the year ended December 31, 2022, an increase of $29.1 million or 37.1%. The increase in selling and marketing expenses was primarily driven by an increase in personnel costs, professional fees, stock-based compensation, marketing costs, and amortization expense. Personnel costs were $57.0 million for the year ended December 31, 2023, compared to $44.5 million for the year ended December 31, 2022, an increase of $12.5 million or</w:t>
      </w:r>
    </w:p>
    <w:p>
      <w:pPr>
        <w:spacing w:after="0" w:line="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231F20"/>
        </w:rPr>
        <w:t>28.1%. The increase in personnel costs was primarily driven by an increase in headcount within our selling and marketing teams and commissions earned on sales during the period. Professional fees were $18.5 million for the year ended December 31, 2023, compared to $10.2 million for the year ended December 31, 2022, an increase of $8.3 million 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231F20"/>
        </w:rPr>
        <w:t>81.4%. The increase in professional fees was due to increases in third party commissions. Stock-based compensation was $12.0 million for the year ended December 31, 2023, compared to $7.9 million for the year ended December 31, 2022, an increase of $4.1 million or 51.9%. The increase in stock-based compensation is attributable to equity grants awarded to existing and new FlyMates. Marketing costs were $7.1 million for the year ended December 31, 2023, compared to $5.8 million for the year ended December 31, 2022, an increase of $1.3 million or 22.4%. The increase in marketing costs was due to increased marketing initiatives and hosted events. Amortization of intangible assets were $5.1 million during the year ended December 31, 2023, compared to $3.9 million for the year ended December 31, 2022, an increase of $1.2 million or 30.8%. The increase in amortization expense was due to acquired customer relationships related to the Cohort Go acquisition.</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General and Administrative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General and administrative expenses were $107.6 million for the year ended December 31, 2023,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231F20"/>
        </w:rPr>
        <w:t>$82.9 million for the year ended December 31, 2022, an increase of $24.7 million or 29.8%. The increase in general and</w:t>
      </w:r>
    </w:p>
    <w:p>
      <w:pPr>
        <w:spacing w:after="0" w:line="238" w:lineRule="auto"/>
        <w:rPr>
          <w:sz w:val="20"/>
          <w:szCs w:val="20"/>
          <w:color w:val="auto"/>
        </w:rPr>
      </w:pPr>
      <w:r>
        <w:rPr>
          <w:rFonts w:ascii="Arial" w:cs="Arial" w:eastAsia="Arial" w:hAnsi="Arial"/>
          <w:sz w:val="19"/>
          <w:szCs w:val="19"/>
          <w:color w:val="231F20"/>
        </w:rPr>
        <w:t>administrative expenses was primarily driven by an increase in personnel costs, stock-based compensation, professional</w:t>
      </w:r>
    </w:p>
    <w:p>
      <w:pPr>
        <w:spacing w:after="0"/>
        <w:rPr>
          <w:sz w:val="20"/>
          <w:szCs w:val="20"/>
          <w:color w:val="auto"/>
        </w:rPr>
      </w:pPr>
      <w:r>
        <w:rPr>
          <w:rFonts w:ascii="Arial" w:cs="Arial" w:eastAsia="Arial" w:hAnsi="Arial"/>
          <w:sz w:val="19"/>
          <w:szCs w:val="19"/>
          <w:color w:val="231F20"/>
        </w:rPr>
        <w:t>fees, change in the fair value of contingent consideration, and software and hosting expenses. Personnel costs were</w:t>
      </w:r>
    </w:p>
    <w:p>
      <w:pPr>
        <w:spacing w:after="0" w:line="238" w:lineRule="auto"/>
        <w:rPr>
          <w:sz w:val="20"/>
          <w:szCs w:val="20"/>
          <w:color w:val="auto"/>
        </w:rPr>
      </w:pPr>
      <w:r>
        <w:rPr>
          <w:rFonts w:ascii="Arial" w:cs="Arial" w:eastAsia="Arial" w:hAnsi="Arial"/>
          <w:sz w:val="19"/>
          <w:szCs w:val="19"/>
          <w:color w:val="231F20"/>
        </w:rPr>
        <w:t>$42.4 million for the year ended December 31, 2023, compared to $33.6 million for the year ended December 31, 2022,</w:t>
      </w:r>
    </w:p>
    <w:p>
      <w:pPr>
        <w:spacing w:after="0"/>
        <w:rPr>
          <w:sz w:val="20"/>
          <w:szCs w:val="20"/>
          <w:color w:val="auto"/>
        </w:rPr>
      </w:pPr>
      <w:r>
        <w:rPr>
          <w:rFonts w:ascii="Arial" w:cs="Arial" w:eastAsia="Arial" w:hAnsi="Arial"/>
          <w:sz w:val="19"/>
          <w:szCs w:val="19"/>
          <w:color w:val="231F20"/>
        </w:rPr>
        <w:t>an increase of $8.8 million or 26.2%. The increase in personnel costs was primarily driven by an increase in headcount.</w:t>
      </w:r>
    </w:p>
    <w:p>
      <w:pPr>
        <w:spacing w:after="0" w:line="238" w:lineRule="auto"/>
        <w:rPr>
          <w:sz w:val="20"/>
          <w:szCs w:val="20"/>
          <w:color w:val="auto"/>
        </w:rPr>
      </w:pPr>
      <w:r>
        <w:rPr>
          <w:rFonts w:ascii="Arial" w:cs="Arial" w:eastAsia="Arial" w:hAnsi="Arial"/>
          <w:sz w:val="19"/>
          <w:szCs w:val="19"/>
          <w:color w:val="231F20"/>
        </w:rPr>
        <w:t>Stock-based compensation was $22.5 million for the year ended December 31, 2023, compared to $17.5 million for the</w:t>
      </w:r>
    </w:p>
    <w:p>
      <w:pPr>
        <w:spacing w:after="0"/>
        <w:rPr>
          <w:sz w:val="20"/>
          <w:szCs w:val="20"/>
          <w:color w:val="auto"/>
        </w:rPr>
      </w:pPr>
      <w:r>
        <w:rPr>
          <w:rFonts w:ascii="Arial" w:cs="Arial" w:eastAsia="Arial" w:hAnsi="Arial"/>
          <w:sz w:val="19"/>
          <w:szCs w:val="19"/>
          <w:color w:val="231F20"/>
        </w:rPr>
        <w:t>year ended December 31, 2022, an increase of $5.0 million or 28.6%. The increase in stock-based compensation is</w:t>
      </w:r>
    </w:p>
    <w:p>
      <w:pPr>
        <w:spacing w:after="0" w:line="238" w:lineRule="auto"/>
        <w:rPr>
          <w:sz w:val="20"/>
          <w:szCs w:val="20"/>
          <w:color w:val="auto"/>
        </w:rPr>
      </w:pPr>
      <w:r>
        <w:rPr>
          <w:rFonts w:ascii="Arial" w:cs="Arial" w:eastAsia="Arial" w:hAnsi="Arial"/>
          <w:sz w:val="19"/>
          <w:szCs w:val="19"/>
          <w:color w:val="231F20"/>
        </w:rPr>
        <w:t>attributable to equity grants awarded to existing and new FlyMates. Professional fees were $14.8 million for the year</w:t>
      </w:r>
    </w:p>
    <w:p>
      <w:pPr>
        <w:spacing w:after="0"/>
        <w:rPr>
          <w:sz w:val="20"/>
          <w:szCs w:val="20"/>
          <w:color w:val="auto"/>
        </w:rPr>
      </w:pPr>
      <w:r>
        <w:rPr>
          <w:rFonts w:ascii="Arial" w:cs="Arial" w:eastAsia="Arial" w:hAnsi="Arial"/>
          <w:sz w:val="19"/>
          <w:szCs w:val="19"/>
          <w:color w:val="231F20"/>
        </w:rPr>
        <w:t>ended December 31, 2023, compared to $11.1 million for the year ended December 31, 2022, an increase of $3.7 million</w:t>
      </w:r>
    </w:p>
    <w:p>
      <w:pPr>
        <w:spacing w:after="0" w:line="238" w:lineRule="auto"/>
        <w:rPr>
          <w:sz w:val="20"/>
          <w:szCs w:val="20"/>
          <w:color w:val="auto"/>
        </w:rPr>
      </w:pPr>
      <w:r>
        <w:rPr>
          <w:rFonts w:ascii="Arial" w:cs="Arial" w:eastAsia="Arial" w:hAnsi="Arial"/>
          <w:sz w:val="19"/>
          <w:szCs w:val="19"/>
          <w:color w:val="231F20"/>
        </w:rPr>
        <w:t>or 33.3%. The increase in professional fees was due to increased legal, consulting and audit fees. Change in the fair</w:t>
      </w:r>
    </w:p>
    <w:p>
      <w:pPr>
        <w:spacing w:after="0"/>
        <w:rPr>
          <w:sz w:val="20"/>
          <w:szCs w:val="20"/>
          <w:color w:val="auto"/>
        </w:rPr>
      </w:pPr>
      <w:r>
        <w:rPr>
          <w:rFonts w:ascii="Arial" w:cs="Arial" w:eastAsia="Arial" w:hAnsi="Arial"/>
          <w:sz w:val="19"/>
          <w:szCs w:val="19"/>
          <w:color w:val="231F20"/>
        </w:rPr>
        <w:t>value of contingent consideration related to acquisitions was $0.4 million for the year ended December 31, 2023,</w:t>
      </w:r>
    </w:p>
    <w:p>
      <w:pPr>
        <w:spacing w:after="0" w:line="238" w:lineRule="auto"/>
        <w:rPr>
          <w:sz w:val="20"/>
          <w:szCs w:val="20"/>
          <w:color w:val="auto"/>
        </w:rPr>
      </w:pPr>
      <w:r>
        <w:rPr>
          <w:rFonts w:ascii="Arial" w:cs="Arial" w:eastAsia="Arial" w:hAnsi="Arial"/>
          <w:sz w:val="19"/>
          <w:szCs w:val="19"/>
          <w:color w:val="231F20"/>
        </w:rPr>
        <w:t>compared to $(2.8) million for the year ended December 31, 2022, an increase of $3.2 million or 114.3%. The increase in</w:t>
      </w:r>
    </w:p>
    <w:p>
      <w:pPr>
        <w:spacing w:after="0"/>
        <w:rPr>
          <w:sz w:val="20"/>
          <w:szCs w:val="20"/>
          <w:color w:val="auto"/>
        </w:rPr>
      </w:pPr>
      <w:r>
        <w:rPr>
          <w:rFonts w:ascii="Arial" w:cs="Arial" w:eastAsia="Arial" w:hAnsi="Arial"/>
          <w:sz w:val="19"/>
          <w:szCs w:val="19"/>
          <w:color w:val="231F20"/>
        </w:rPr>
        <w:t>the fair value of contingent consideration was due to an increase in the fair value of contingent consideration related</w:t>
      </w:r>
    </w:p>
    <w:p>
      <w:pPr>
        <w:spacing w:after="0" w:line="238" w:lineRule="auto"/>
        <w:rPr>
          <w:sz w:val="20"/>
          <w:szCs w:val="20"/>
          <w:color w:val="auto"/>
        </w:rPr>
      </w:pPr>
      <w:r>
        <w:rPr>
          <w:rFonts w:ascii="Arial" w:cs="Arial" w:eastAsia="Arial" w:hAnsi="Arial"/>
          <w:sz w:val="19"/>
          <w:szCs w:val="19"/>
          <w:color w:val="231F20"/>
        </w:rPr>
        <w:t>Cohort Go which was paid in the first quarter of 2023. Software and hosting expenses were $8.3 million for the year</w:t>
      </w:r>
    </w:p>
    <w:p>
      <w:pPr>
        <w:spacing w:after="0"/>
        <w:rPr>
          <w:sz w:val="20"/>
          <w:szCs w:val="20"/>
          <w:color w:val="auto"/>
        </w:rPr>
      </w:pPr>
      <w:r>
        <w:rPr>
          <w:rFonts w:ascii="Arial" w:cs="Arial" w:eastAsia="Arial" w:hAnsi="Arial"/>
          <w:sz w:val="19"/>
          <w:szCs w:val="19"/>
          <w:color w:val="231F20"/>
        </w:rPr>
        <w:t>ended December 31, 2023, compared to $5.6 million for the year ended December 31, 2022, an increase of $2.7 million</w:t>
      </w:r>
    </w:p>
    <w:p>
      <w:pPr>
        <w:spacing w:after="0" w:line="238" w:lineRule="auto"/>
        <w:rPr>
          <w:sz w:val="20"/>
          <w:szCs w:val="20"/>
          <w:color w:val="auto"/>
        </w:rPr>
      </w:pPr>
      <w:r>
        <w:rPr>
          <w:rFonts w:ascii="Arial" w:cs="Arial" w:eastAsia="Arial" w:hAnsi="Arial"/>
          <w:sz w:val="19"/>
          <w:szCs w:val="19"/>
          <w:color w:val="231F20"/>
        </w:rPr>
        <w:t>or 48.2%. The increase in software and hosting expenses was primarily related to increased hosting fees based 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231F20"/>
        </w:rPr>
        <w:t>payment volumes growth and additional software needs based on headcount growth.</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Interest Expense</w:t>
      </w:r>
    </w:p>
    <w:p>
      <w:pPr>
        <w:spacing w:after="0" w:line="180" w:lineRule="exact"/>
        <w:rPr>
          <w:sz w:val="20"/>
          <w:szCs w:val="20"/>
          <w:color w:val="auto"/>
        </w:rPr>
      </w:pPr>
    </w:p>
    <w:p>
      <w:pPr>
        <w:ind w:right="120" w:firstLine="463"/>
        <w:spacing w:after="0" w:line="265" w:lineRule="auto"/>
        <w:rPr>
          <w:sz w:val="20"/>
          <w:szCs w:val="20"/>
          <w:color w:val="auto"/>
        </w:rPr>
      </w:pPr>
      <w:r>
        <w:rPr>
          <w:rFonts w:ascii="Arial" w:cs="Arial" w:eastAsia="Arial" w:hAnsi="Arial"/>
          <w:sz w:val="18"/>
          <w:szCs w:val="18"/>
          <w:color w:val="231F20"/>
        </w:rPr>
        <w:t>Interest expense was $0.4 million for the year ended December 31, 2023, compared to $1.2 million for the year ended December 31, 2022, a decrease of 0.8 million or 66.7%. During July 2021, we entered into a Revolving Credit Facility with three banks for a total commitment of $50.0 million. We drew $25.9 million on the Revolving Credit Facility and used the proceeds to early prepay the existing Loan and Security Agreement (LSA) of $25.0 million. During the year ended December 31, 2022, we repaid the $25.9 million outstanding under the Revolving Credit Facility, which resulted in</w:t>
      </w:r>
    </w:p>
    <w:p>
      <w:pPr>
        <w:sectPr>
          <w:pgSz w:w="12240" w:h="15840" w:orient="portrait"/>
          <w:cols w:equalWidth="0" w:num="1">
            <w:col w:w="10180"/>
          </w:cols>
          <w:pgMar w:left="1020" w:top="1440" w:right="1040" w:bottom="595"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91</w:t>
      </w:r>
    </w:p>
    <w:p>
      <w:pPr>
        <w:sectPr>
          <w:pgSz w:w="12240" w:h="15840" w:orient="portrait"/>
          <w:cols w:equalWidth="0" w:num="1">
            <w:col w:w="10180"/>
          </w:cols>
          <w:pgMar w:left="1020" w:top="1440" w:right="1040" w:bottom="595" w:gutter="0" w:footer="0" w:header="0"/>
          <w:type w:val="continuous"/>
        </w:sectPr>
      </w:pPr>
    </w:p>
    <w:bookmarkStart w:id="92" w:name="page93"/>
    <w:bookmarkEnd w:id="92"/>
    <w:p>
      <w:pPr>
        <w:spacing w:after="0" w:line="97" w:lineRule="exact"/>
        <w:rPr>
          <w:sz w:val="20"/>
          <w:szCs w:val="20"/>
          <w:color w:val="auto"/>
        </w:rPr>
      </w:pPr>
    </w:p>
    <w:p>
      <w:pPr>
        <w:ind w:right="240"/>
        <w:spacing w:after="0" w:line="278" w:lineRule="auto"/>
        <w:rPr>
          <w:sz w:val="20"/>
          <w:szCs w:val="20"/>
          <w:color w:val="auto"/>
        </w:rPr>
      </w:pPr>
      <w:r>
        <w:rPr>
          <w:rFonts w:ascii="Arial" w:cs="Arial" w:eastAsia="Arial" w:hAnsi="Arial"/>
          <w:sz w:val="19"/>
          <w:szCs w:val="19"/>
          <w:color w:val="231F20"/>
        </w:rPr>
        <w:t>no interest expense on debt for the year ended December 31, 2023. Interest expense for the year ended December 31, 2023 consists primarily of amortization of debt issuance cost and debt discount from our previous LSA.</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Interest Income</w:t>
      </w:r>
    </w:p>
    <w:p>
      <w:pPr>
        <w:spacing w:after="0" w:line="180" w:lineRule="exact"/>
        <w:rPr>
          <w:sz w:val="20"/>
          <w:szCs w:val="20"/>
          <w:color w:val="auto"/>
        </w:rPr>
      </w:pPr>
    </w:p>
    <w:p>
      <w:pPr>
        <w:ind w:right="300" w:firstLine="463"/>
        <w:spacing w:after="0" w:line="248" w:lineRule="auto"/>
        <w:rPr>
          <w:sz w:val="20"/>
          <w:szCs w:val="20"/>
          <w:color w:val="auto"/>
        </w:rPr>
      </w:pPr>
      <w:r>
        <w:rPr>
          <w:rFonts w:ascii="Arial" w:cs="Arial" w:eastAsia="Arial" w:hAnsi="Arial"/>
          <w:sz w:val="19"/>
          <w:szCs w:val="19"/>
          <w:color w:val="231F20"/>
        </w:rPr>
        <w:t>Interest income was $13.3 million for the year ended December 31, 2023, compared to $3.2 million for the year ended December 31, 2022, an increase of $10.1 million or 315.6%. The increase in interest income was due to our investment in interest bearing accounts during the second quarter of 2022, an increase in yield earned from our investment in money market funds as interest rates increased during the year ended December 31, 2023, compared to the year ended December 31, 2022 and an increase in our cash balance.</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Gain (Loss) from Remeasurement of Foreign Currency</w:t>
      </w:r>
    </w:p>
    <w:p>
      <w:pPr>
        <w:spacing w:after="0" w:line="180" w:lineRule="exact"/>
        <w:rPr>
          <w:sz w:val="20"/>
          <w:szCs w:val="20"/>
          <w:color w:val="auto"/>
        </w:rPr>
      </w:pPr>
    </w:p>
    <w:p>
      <w:pPr>
        <w:ind w:right="200" w:firstLine="463"/>
        <w:spacing w:after="0" w:line="251" w:lineRule="auto"/>
        <w:rPr>
          <w:sz w:val="20"/>
          <w:szCs w:val="20"/>
          <w:color w:val="auto"/>
        </w:rPr>
      </w:pPr>
      <w:r>
        <w:rPr>
          <w:rFonts w:ascii="Arial" w:cs="Arial" w:eastAsia="Arial" w:hAnsi="Arial"/>
          <w:sz w:val="19"/>
          <w:szCs w:val="19"/>
          <w:color w:val="231F20"/>
        </w:rPr>
        <w:t>Gain (loss) from remeasurement of foreign currency was $4.2 million for the year ended December 31, 2023, compared to $(9.2) million for the year ended December 31, 2022, an increase of $13.4 million or 145.7%. The increase was primarily the result of the remeasurement of foreign currency intercompany loans and impact of fluctuations in exchange rates during respective remeasurement periods.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Provision for Income Taxes</w:t>
      </w:r>
    </w:p>
    <w:p>
      <w:pPr>
        <w:spacing w:after="0" w:line="180" w:lineRule="exact"/>
        <w:rPr>
          <w:sz w:val="20"/>
          <w:szCs w:val="20"/>
          <w:color w:val="auto"/>
        </w:rPr>
      </w:pPr>
    </w:p>
    <w:p>
      <w:pPr>
        <w:ind w:right="220" w:firstLine="463"/>
        <w:spacing w:after="0" w:line="265" w:lineRule="auto"/>
        <w:rPr>
          <w:sz w:val="20"/>
          <w:szCs w:val="20"/>
          <w:color w:val="auto"/>
        </w:rPr>
      </w:pPr>
      <w:r>
        <w:rPr>
          <w:rFonts w:ascii="Arial" w:cs="Arial" w:eastAsia="Arial" w:hAnsi="Arial"/>
          <w:sz w:val="18"/>
          <w:szCs w:val="18"/>
          <w:color w:val="231F20"/>
        </w:rPr>
        <w:t>Provision for income taxes was $4.2 million during the year ended December 31, 2023, compared to $2.0 million during the year ended December 31, 2022, an increase of $2.2 million or 110.0%. During the year ended December 31, 2023 and 2022, we recorded an income tax expense of $4.2 million and $2.0 million, respectively, which was primarily attributable to income taxes related to our profitable foreign subsidiaries and U.S. state taxes. Our effective tax rate was(96.8)% for the year ended December 31, 2023, compared to (5.4)% for the year ended December 31, 2022.</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Key Operating Metrics and Non-GAAP Financial Measures</w:t>
      </w:r>
    </w:p>
    <w:p>
      <w:pPr>
        <w:spacing w:after="0" w:line="192" w:lineRule="exact"/>
        <w:rPr>
          <w:sz w:val="20"/>
          <w:szCs w:val="20"/>
          <w:color w:val="auto"/>
        </w:rPr>
      </w:pPr>
    </w:p>
    <w:p>
      <w:pPr>
        <w:ind w:right="40" w:firstLine="463"/>
        <w:spacing w:after="0" w:line="251" w:lineRule="auto"/>
        <w:rPr>
          <w:sz w:val="20"/>
          <w:szCs w:val="20"/>
          <w:color w:val="auto"/>
        </w:rPr>
      </w:pPr>
      <w:r>
        <w:rPr>
          <w:rFonts w:ascii="Arial" w:cs="Arial" w:eastAsia="Arial" w:hAnsi="Arial"/>
          <w:sz w:val="19"/>
          <w:szCs w:val="19"/>
          <w:color w:val="231F20"/>
        </w:rPr>
        <w:t>To supplement our consolidated financial statements, which are prepared in accordance with generally accepted accounting principles in the United States (GAAP), we use certain non-GAAP financial measures. The following table sets forth our key operating metrics and non-GAAP measures for the periods presented. All dollar amounts are rounded and as a result, certain amounts may not recalculate using the rounded amounts provided.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88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1460" w:type="dxa"/>
            <w:vAlign w:val="bottom"/>
            <w:gridSpan w:val="4"/>
            <w:shd w:val="clear" w:color="auto" w:fill="FDFDFC"/>
          </w:tcPr>
          <w:p>
            <w:pPr>
              <w:jc w:val="center"/>
              <w:ind w:right="40"/>
              <w:spacing w:after="0"/>
              <w:rPr>
                <w:sz w:val="20"/>
                <w:szCs w:val="20"/>
                <w:color w:val="auto"/>
              </w:rPr>
            </w:pPr>
            <w:r>
              <w:rPr>
                <w:rFonts w:ascii="Arial" w:cs="Arial" w:eastAsia="Arial" w:hAnsi="Arial"/>
                <w:sz w:val="15"/>
                <w:szCs w:val="15"/>
                <w:b w:val="1"/>
                <w:bCs w:val="1"/>
                <w:color w:val="231F20"/>
              </w:rPr>
              <w:t>For the Year Ended</w:t>
            </w:r>
          </w:p>
        </w:tc>
        <w:tc>
          <w:tcPr>
            <w:tcW w:w="14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860" w:type="dxa"/>
            <w:vAlign w:val="bottom"/>
            <w:tcBorders>
              <w:bottom w:val="single" w:sz="8" w:color="FDFDFC"/>
            </w:tcBorders>
            <w:vMerge w:val="restart"/>
            <w:shd w:val="clear" w:color="auto" w:fill="FDFDFC"/>
          </w:tcPr>
          <w:p>
            <w:pPr>
              <w:spacing w:after="0"/>
              <w:rPr>
                <w:sz w:val="20"/>
                <w:szCs w:val="20"/>
                <w:color w:val="auto"/>
              </w:rPr>
            </w:pPr>
            <w:r>
              <w:rPr>
                <w:rFonts w:ascii="Arial" w:cs="Arial" w:eastAsia="Arial" w:hAnsi="Arial"/>
                <w:sz w:val="15"/>
                <w:szCs w:val="15"/>
                <w:b w:val="1"/>
                <w:bCs w:val="1"/>
                <w:color w:val="231F20"/>
              </w:rPr>
              <w:t>(dollars in millions)</w:t>
            </w:r>
          </w:p>
        </w:tc>
        <w:tc>
          <w:tcPr>
            <w:tcW w:w="160" w:type="dxa"/>
            <w:vAlign w:val="bottom"/>
            <w:tcBorders>
              <w:bottom w:val="single" w:sz="8" w:color="FDFDFC"/>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880" w:type="dxa"/>
            <w:vAlign w:val="bottom"/>
            <w:tcBorders>
              <w:bottom w:val="single" w:sz="8" w:color="231F20"/>
            </w:tcBorders>
            <w:shd w:val="clear" w:color="auto" w:fill="FDFDFC"/>
          </w:tcPr>
          <w:p>
            <w:pPr>
              <w:spacing w:after="0"/>
              <w:rPr>
                <w:sz w:val="16"/>
                <w:szCs w:val="16"/>
                <w:color w:val="auto"/>
              </w:rPr>
            </w:pPr>
          </w:p>
        </w:tc>
        <w:tc>
          <w:tcPr>
            <w:tcW w:w="180" w:type="dxa"/>
            <w:vAlign w:val="bottom"/>
            <w:tcBorders>
              <w:bottom w:val="single" w:sz="8" w:color="231F20"/>
            </w:tcBorders>
            <w:shd w:val="clear" w:color="auto" w:fill="FDFDFC"/>
          </w:tcPr>
          <w:p>
            <w:pPr>
              <w:spacing w:after="0"/>
              <w:rPr>
                <w:sz w:val="16"/>
                <w:szCs w:val="16"/>
                <w:color w:val="auto"/>
              </w:rPr>
            </w:pPr>
          </w:p>
        </w:tc>
        <w:tc>
          <w:tcPr>
            <w:tcW w:w="160" w:type="dxa"/>
            <w:vAlign w:val="bottom"/>
            <w:tcBorders>
              <w:bottom w:val="single" w:sz="8" w:color="231F20"/>
            </w:tcBorders>
            <w:shd w:val="clear" w:color="auto" w:fill="FDFDFC"/>
          </w:tcPr>
          <w:p>
            <w:pPr>
              <w:spacing w:after="0"/>
              <w:rPr>
                <w:sz w:val="16"/>
                <w:szCs w:val="16"/>
                <w:color w:val="auto"/>
              </w:rPr>
            </w:pPr>
          </w:p>
        </w:tc>
        <w:tc>
          <w:tcPr>
            <w:tcW w:w="1300" w:type="dxa"/>
            <w:vAlign w:val="bottom"/>
            <w:tcBorders>
              <w:bottom w:val="single" w:sz="8" w:color="231F20"/>
            </w:tcBorders>
            <w:gridSpan w:val="3"/>
            <w:shd w:val="clear" w:color="auto" w:fill="FDFDFC"/>
          </w:tcPr>
          <w:p>
            <w:pPr>
              <w:jc w:val="center"/>
              <w:ind w:right="200"/>
              <w:spacing w:after="0"/>
              <w:rPr>
                <w:sz w:val="20"/>
                <w:szCs w:val="20"/>
                <w:color w:val="auto"/>
              </w:rPr>
            </w:pPr>
            <w:r>
              <w:rPr>
                <w:rFonts w:ascii="Arial" w:cs="Arial" w:eastAsia="Arial" w:hAnsi="Arial"/>
                <w:sz w:val="15"/>
                <w:szCs w:val="15"/>
                <w:b w:val="1"/>
                <w:bCs w:val="1"/>
                <w:color w:val="231F20"/>
              </w:rPr>
              <w:t>December 31,</w:t>
            </w:r>
          </w:p>
        </w:tc>
        <w:tc>
          <w:tcPr>
            <w:tcW w:w="140" w:type="dxa"/>
            <w:vAlign w:val="bottom"/>
            <w:tcBorders>
              <w:bottom w:val="single" w:sz="8" w:color="231F20"/>
            </w:tcBorders>
            <w:shd w:val="clear" w:color="auto" w:fill="FDFDFC"/>
          </w:tcPr>
          <w:p>
            <w:pPr>
              <w:spacing w:after="0"/>
              <w:rPr>
                <w:sz w:val="16"/>
                <w:szCs w:val="16"/>
                <w:color w:val="auto"/>
              </w:rPr>
            </w:pPr>
          </w:p>
        </w:tc>
        <w:tc>
          <w:tcPr>
            <w:tcW w:w="240" w:type="dxa"/>
            <w:vAlign w:val="bottom"/>
            <w:tcBorders>
              <w:bottom w:val="single" w:sz="8" w:color="231F20"/>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c>
          <w:tcPr>
            <w:tcW w:w="2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231F20"/>
            </w:tcBorders>
            <w:vMerge w:val="continue"/>
            <w:shd w:val="clear" w:color="auto" w:fill="FDFDFC"/>
          </w:tcPr>
          <w:p>
            <w:pPr>
              <w:spacing w:after="0"/>
              <w:rPr>
                <w:sz w:val="15"/>
                <w:szCs w:val="15"/>
                <w:color w:val="auto"/>
              </w:rPr>
            </w:pPr>
          </w:p>
        </w:tc>
        <w:tc>
          <w:tcPr>
            <w:tcW w:w="160" w:type="dxa"/>
            <w:vAlign w:val="bottom"/>
            <w:tcBorders>
              <w:bottom w:val="single" w:sz="8" w:color="D0EBF2"/>
            </w:tcBorders>
            <w:shd w:val="clear" w:color="auto" w:fill="FDFDFC"/>
          </w:tcPr>
          <w:p>
            <w:pPr>
              <w:spacing w:after="0"/>
              <w:rPr>
                <w:sz w:val="15"/>
                <w:szCs w:val="15"/>
                <w:color w:val="auto"/>
              </w:rPr>
            </w:pPr>
          </w:p>
        </w:tc>
        <w:tc>
          <w:tcPr>
            <w:tcW w:w="220" w:type="dxa"/>
            <w:vAlign w:val="bottom"/>
            <w:tcBorders>
              <w:bottom w:val="single" w:sz="8" w:color="231F20"/>
            </w:tcBorders>
            <w:shd w:val="clear" w:color="auto" w:fill="FDFDFC"/>
          </w:tcPr>
          <w:p>
            <w:pPr>
              <w:spacing w:after="0"/>
              <w:rPr>
                <w:sz w:val="15"/>
                <w:szCs w:val="15"/>
                <w:color w:val="auto"/>
              </w:rPr>
            </w:pPr>
          </w:p>
        </w:tc>
        <w:tc>
          <w:tcPr>
            <w:tcW w:w="880" w:type="dxa"/>
            <w:vAlign w:val="bottom"/>
            <w:tcBorders>
              <w:bottom w:val="single" w:sz="8" w:color="231F20"/>
            </w:tcBorders>
            <w:shd w:val="clear" w:color="auto" w:fill="FDFDFC"/>
          </w:tcPr>
          <w:p>
            <w:pPr>
              <w:jc w:val="right"/>
              <w:ind w:right="307"/>
              <w:spacing w:after="0"/>
              <w:rPr>
                <w:sz w:val="20"/>
                <w:szCs w:val="20"/>
                <w:color w:val="auto"/>
              </w:rPr>
            </w:pPr>
            <w:r>
              <w:rPr>
                <w:rFonts w:ascii="Arial" w:cs="Arial" w:eastAsia="Arial" w:hAnsi="Arial"/>
                <w:sz w:val="15"/>
                <w:szCs w:val="15"/>
                <w:b w:val="1"/>
                <w:bCs w:val="1"/>
                <w:color w:val="231F20"/>
              </w:rPr>
              <w:t>2024</w:t>
            </w:r>
          </w:p>
        </w:tc>
        <w:tc>
          <w:tcPr>
            <w:tcW w:w="180" w:type="dxa"/>
            <w:vAlign w:val="bottom"/>
            <w:tcBorders>
              <w:bottom w:val="single" w:sz="8" w:color="D0EBF2"/>
            </w:tcBorders>
            <w:shd w:val="clear" w:color="auto" w:fill="FDFDFC"/>
          </w:tcPr>
          <w:p>
            <w:pPr>
              <w:spacing w:after="0"/>
              <w:rPr>
                <w:sz w:val="15"/>
                <w:szCs w:val="15"/>
                <w:color w:val="auto"/>
              </w:rPr>
            </w:pPr>
          </w:p>
        </w:tc>
        <w:tc>
          <w:tcPr>
            <w:tcW w:w="160" w:type="dxa"/>
            <w:vAlign w:val="bottom"/>
            <w:tcBorders>
              <w:bottom w:val="single" w:sz="8" w:color="D0EBF2"/>
            </w:tcBorders>
            <w:shd w:val="clear" w:color="auto" w:fill="FDFDFC"/>
          </w:tcPr>
          <w:p>
            <w:pPr>
              <w:spacing w:after="0"/>
              <w:rPr>
                <w:sz w:val="15"/>
                <w:szCs w:val="15"/>
                <w:color w:val="auto"/>
              </w:rPr>
            </w:pPr>
          </w:p>
        </w:tc>
        <w:tc>
          <w:tcPr>
            <w:tcW w:w="220" w:type="dxa"/>
            <w:vAlign w:val="bottom"/>
            <w:tcBorders>
              <w:bottom w:val="single" w:sz="8" w:color="231F20"/>
            </w:tcBorders>
            <w:shd w:val="clear" w:color="auto" w:fill="FDFDFC"/>
          </w:tcPr>
          <w:p>
            <w:pPr>
              <w:spacing w:after="0"/>
              <w:rPr>
                <w:sz w:val="15"/>
                <w:szCs w:val="15"/>
                <w:color w:val="auto"/>
              </w:rPr>
            </w:pPr>
          </w:p>
        </w:tc>
        <w:tc>
          <w:tcPr>
            <w:tcW w:w="880" w:type="dxa"/>
            <w:vAlign w:val="bottom"/>
            <w:tcBorders>
              <w:bottom w:val="single" w:sz="8" w:color="231F20"/>
            </w:tcBorders>
            <w:shd w:val="clear" w:color="auto" w:fill="FDFDFC"/>
          </w:tcPr>
          <w:p>
            <w:pPr>
              <w:jc w:val="center"/>
              <w:ind w:right="127"/>
              <w:spacing w:after="0"/>
              <w:rPr>
                <w:sz w:val="20"/>
                <w:szCs w:val="20"/>
                <w:color w:val="auto"/>
              </w:rPr>
            </w:pPr>
            <w:r>
              <w:rPr>
                <w:rFonts w:ascii="Arial" w:cs="Arial" w:eastAsia="Arial" w:hAnsi="Arial"/>
                <w:sz w:val="15"/>
                <w:szCs w:val="15"/>
                <w:b w:val="1"/>
                <w:bCs w:val="1"/>
                <w:color w:val="231F20"/>
              </w:rPr>
              <w:t>2023</w:t>
            </w:r>
          </w:p>
        </w:tc>
        <w:tc>
          <w:tcPr>
            <w:tcW w:w="20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40" w:type="dxa"/>
            <w:vAlign w:val="bottom"/>
            <w:tcBorders>
              <w:bottom w:val="single" w:sz="8" w:color="231F20"/>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jc w:val="right"/>
              <w:ind w:right="287"/>
              <w:spacing w:after="0"/>
              <w:rPr>
                <w:sz w:val="20"/>
                <w:szCs w:val="20"/>
                <w:color w:val="auto"/>
              </w:rPr>
            </w:pPr>
            <w:r>
              <w:rPr>
                <w:rFonts w:ascii="Arial" w:cs="Arial" w:eastAsia="Arial" w:hAnsi="Arial"/>
                <w:sz w:val="15"/>
                <w:szCs w:val="15"/>
                <w:b w:val="1"/>
                <w:bCs w:val="1"/>
                <w:color w:val="231F20"/>
              </w:rPr>
              <w:t>2022</w:t>
            </w:r>
          </w:p>
        </w:tc>
        <w:tc>
          <w:tcPr>
            <w:tcW w:w="2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Total Payment Volume</w:t>
            </w:r>
          </w:p>
        </w:tc>
        <w:tc>
          <w:tcPr>
            <w:tcW w:w="160" w:type="dxa"/>
            <w:vAlign w:val="bottom"/>
            <w:shd w:val="clear" w:color="auto" w:fill="D0EBF2"/>
          </w:tcPr>
          <w:p>
            <w:pPr>
              <w:spacing w:after="0"/>
              <w:rPr>
                <w:sz w:val="19"/>
                <w:szCs w:val="19"/>
                <w:color w:val="auto"/>
              </w:rPr>
            </w:pPr>
          </w:p>
        </w:tc>
        <w:tc>
          <w:tcPr>
            <w:tcW w:w="220" w:type="dxa"/>
            <w:vAlign w:val="bottom"/>
            <w:shd w:val="clear" w:color="auto" w:fill="D0EBF2"/>
          </w:tcPr>
          <w:p>
            <w:pPr>
              <w:jc w:val="right"/>
              <w:ind w:right="26"/>
              <w:spacing w:after="0"/>
              <w:rPr>
                <w:sz w:val="20"/>
                <w:szCs w:val="20"/>
                <w:color w:val="auto"/>
              </w:rPr>
            </w:pPr>
            <w:r>
              <w:rPr>
                <w:rFonts w:ascii="Arial" w:cs="Arial" w:eastAsia="Arial" w:hAnsi="Arial"/>
                <w:sz w:val="19"/>
                <w:szCs w:val="19"/>
                <w:color w:val="231F20"/>
                <w:w w:val="75"/>
                <w:shd w:val="clear" w:color="auto" w:fill="D0EBF2"/>
              </w:rPr>
              <w:t>$</w:t>
            </w: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29,715.3</w:t>
            </w:r>
          </w:p>
        </w:tc>
        <w:tc>
          <w:tcPr>
            <w:tcW w:w="180" w:type="dxa"/>
            <w:vAlign w:val="bottom"/>
            <w:shd w:val="clear" w:color="auto" w:fill="D0EBF2"/>
          </w:tcPr>
          <w:p>
            <w:pPr>
              <w:spacing w:after="0"/>
              <w:rPr>
                <w:sz w:val="19"/>
                <w:szCs w:val="19"/>
                <w:color w:val="auto"/>
              </w:rPr>
            </w:pPr>
          </w:p>
        </w:tc>
        <w:tc>
          <w:tcPr>
            <w:tcW w:w="160" w:type="dxa"/>
            <w:vAlign w:val="bottom"/>
            <w:shd w:val="clear" w:color="auto" w:fill="D0EBF2"/>
          </w:tcPr>
          <w:p>
            <w:pPr>
              <w:spacing w:after="0"/>
              <w:rPr>
                <w:sz w:val="19"/>
                <w:szCs w:val="19"/>
                <w:color w:val="auto"/>
              </w:rPr>
            </w:pPr>
          </w:p>
        </w:tc>
        <w:tc>
          <w:tcPr>
            <w:tcW w:w="220" w:type="dxa"/>
            <w:vAlign w:val="bottom"/>
            <w:shd w:val="clear" w:color="auto" w:fill="D0EBF2"/>
          </w:tcPr>
          <w:p>
            <w:pPr>
              <w:jc w:val="right"/>
              <w:ind w:right="32"/>
              <w:spacing w:after="0"/>
              <w:rPr>
                <w:sz w:val="20"/>
                <w:szCs w:val="20"/>
                <w:color w:val="auto"/>
              </w:rPr>
            </w:pPr>
            <w:r>
              <w:rPr>
                <w:rFonts w:ascii="Arial" w:cs="Arial" w:eastAsia="Arial" w:hAnsi="Arial"/>
                <w:sz w:val="19"/>
                <w:szCs w:val="19"/>
                <w:color w:val="231F20"/>
                <w:w w:val="75"/>
                <w:shd w:val="clear" w:color="auto" w:fill="D0EBF2"/>
              </w:rPr>
              <w:t>$</w:t>
            </w: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24,032.8</w:t>
            </w:r>
          </w:p>
        </w:tc>
        <w:tc>
          <w:tcPr>
            <w:tcW w:w="2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40" w:type="dxa"/>
            <w:vAlign w:val="bottom"/>
            <w:shd w:val="clear" w:color="auto" w:fill="D0EBF2"/>
          </w:tcPr>
          <w:p>
            <w:pPr>
              <w:jc w:val="right"/>
              <w:ind w:right="46"/>
              <w:spacing w:after="0"/>
              <w:rPr>
                <w:sz w:val="20"/>
                <w:szCs w:val="20"/>
                <w:color w:val="auto"/>
              </w:rPr>
            </w:pPr>
            <w:r>
              <w:rPr>
                <w:rFonts w:ascii="Arial" w:cs="Arial" w:eastAsia="Arial" w:hAnsi="Arial"/>
                <w:sz w:val="19"/>
                <w:szCs w:val="19"/>
                <w:color w:val="231F20"/>
                <w:w w:val="75"/>
                <w:shd w:val="clear" w:color="auto" w:fill="D0EBF2"/>
              </w:rPr>
              <w:t>$</w:t>
            </w:r>
          </w:p>
        </w:tc>
        <w:tc>
          <w:tcPr>
            <w:tcW w:w="860" w:type="dxa"/>
            <w:vAlign w:val="bottom"/>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18,078.5</w:t>
            </w:r>
          </w:p>
        </w:tc>
        <w:tc>
          <w:tcPr>
            <w:tcW w:w="2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spacing w:after="0"/>
              <w:rPr>
                <w:sz w:val="20"/>
                <w:szCs w:val="20"/>
                <w:color w:val="auto"/>
              </w:rPr>
            </w:pPr>
            <w:r>
              <w:rPr>
                <w:rFonts w:ascii="Arial" w:cs="Arial" w:eastAsia="Arial" w:hAnsi="Arial"/>
                <w:sz w:val="19"/>
                <w:szCs w:val="19"/>
                <w:color w:val="231F20"/>
              </w:rPr>
              <w:t>Revenue</w:t>
            </w:r>
          </w:p>
        </w:tc>
        <w:tc>
          <w:tcPr>
            <w:tcW w:w="160" w:type="dxa"/>
            <w:vAlign w:val="bottom"/>
            <w:shd w:val="clear" w:color="auto" w:fill="FDFDFC"/>
          </w:tcPr>
          <w:p>
            <w:pPr>
              <w:spacing w:after="0"/>
              <w:rPr>
                <w:sz w:val="20"/>
                <w:szCs w:val="20"/>
                <w:color w:val="auto"/>
              </w:rPr>
            </w:pPr>
          </w:p>
        </w:tc>
        <w:tc>
          <w:tcPr>
            <w:tcW w:w="220" w:type="dxa"/>
            <w:vAlign w:val="bottom"/>
            <w:shd w:val="clear" w:color="auto" w:fill="FDFDFC"/>
          </w:tcPr>
          <w:p>
            <w:pPr>
              <w:jc w:val="right"/>
              <w:ind w:right="26"/>
              <w:spacing w:after="0"/>
              <w:rPr>
                <w:sz w:val="20"/>
                <w:szCs w:val="20"/>
                <w:color w:val="auto"/>
              </w:rPr>
            </w:pPr>
            <w:r>
              <w:rPr>
                <w:rFonts w:ascii="Arial" w:cs="Arial" w:eastAsia="Arial" w:hAnsi="Arial"/>
                <w:sz w:val="19"/>
                <w:szCs w:val="19"/>
                <w:color w:val="231F20"/>
                <w:w w:val="75"/>
              </w:rPr>
              <w:t>$</w:t>
            </w: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492.1</w:t>
            </w:r>
          </w:p>
        </w:tc>
        <w:tc>
          <w:tcPr>
            <w:tcW w:w="18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220" w:type="dxa"/>
            <w:vAlign w:val="bottom"/>
            <w:shd w:val="clear" w:color="auto" w:fill="FDFDFC"/>
          </w:tcPr>
          <w:p>
            <w:pPr>
              <w:jc w:val="right"/>
              <w:ind w:right="32"/>
              <w:spacing w:after="0"/>
              <w:rPr>
                <w:sz w:val="20"/>
                <w:szCs w:val="20"/>
                <w:color w:val="auto"/>
              </w:rPr>
            </w:pPr>
            <w:r>
              <w:rPr>
                <w:rFonts w:ascii="Arial" w:cs="Arial" w:eastAsia="Arial" w:hAnsi="Arial"/>
                <w:sz w:val="19"/>
                <w:szCs w:val="19"/>
                <w:color w:val="231F20"/>
                <w:w w:val="75"/>
              </w:rPr>
              <w:t>$</w:t>
            </w: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403.1</w:t>
            </w:r>
          </w:p>
        </w:tc>
        <w:tc>
          <w:tcPr>
            <w:tcW w:w="2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40" w:type="dxa"/>
            <w:vAlign w:val="bottom"/>
            <w:shd w:val="clear" w:color="auto" w:fill="FDFDFC"/>
          </w:tcPr>
          <w:p>
            <w:pPr>
              <w:jc w:val="right"/>
              <w:ind w:right="46"/>
              <w:spacing w:after="0"/>
              <w:rPr>
                <w:sz w:val="20"/>
                <w:szCs w:val="20"/>
                <w:color w:val="auto"/>
              </w:rPr>
            </w:pPr>
            <w:r>
              <w:rPr>
                <w:rFonts w:ascii="Arial" w:cs="Arial" w:eastAsia="Arial" w:hAnsi="Arial"/>
                <w:sz w:val="19"/>
                <w:szCs w:val="19"/>
                <w:color w:val="231F20"/>
                <w:w w:val="75"/>
              </w:rPr>
              <w:t>$</w:t>
            </w: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289.4</w:t>
            </w:r>
          </w:p>
        </w:tc>
        <w:tc>
          <w:tcPr>
            <w:tcW w:w="2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Revenue Less Ancillary Services</w:t>
            </w:r>
          </w:p>
        </w:tc>
        <w:tc>
          <w:tcPr>
            <w:tcW w:w="380" w:type="dxa"/>
            <w:vAlign w:val="bottom"/>
            <w:gridSpan w:val="2"/>
            <w:shd w:val="clear" w:color="auto" w:fill="D0EBF2"/>
          </w:tcPr>
          <w:p>
            <w:pPr>
              <w:jc w:val="right"/>
              <w:ind w:right="26"/>
              <w:spacing w:after="0"/>
              <w:rPr>
                <w:sz w:val="20"/>
                <w:szCs w:val="20"/>
                <w:color w:val="auto"/>
              </w:rPr>
            </w:pPr>
            <w:r>
              <w:rPr>
                <w:rFonts w:ascii="Arial" w:cs="Arial" w:eastAsia="Arial" w:hAnsi="Arial"/>
                <w:sz w:val="19"/>
                <w:szCs w:val="19"/>
                <w:color w:val="231F20"/>
              </w:rPr>
              <w:t>$</w:t>
            </w: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474.2</w:t>
            </w:r>
          </w:p>
        </w:tc>
        <w:tc>
          <w:tcPr>
            <w:tcW w:w="180" w:type="dxa"/>
            <w:vAlign w:val="bottom"/>
            <w:shd w:val="clear" w:color="auto" w:fill="D0EBF2"/>
          </w:tcPr>
          <w:p>
            <w:pPr>
              <w:spacing w:after="0"/>
              <w:rPr>
                <w:sz w:val="20"/>
                <w:szCs w:val="20"/>
                <w:color w:val="auto"/>
              </w:rPr>
            </w:pPr>
          </w:p>
        </w:tc>
        <w:tc>
          <w:tcPr>
            <w:tcW w:w="380" w:type="dxa"/>
            <w:vAlign w:val="bottom"/>
            <w:gridSpan w:val="2"/>
            <w:shd w:val="clear" w:color="auto" w:fill="D0EBF2"/>
          </w:tcPr>
          <w:p>
            <w:pPr>
              <w:jc w:val="right"/>
              <w:ind w:right="32"/>
              <w:spacing w:after="0"/>
              <w:rPr>
                <w:sz w:val="20"/>
                <w:szCs w:val="20"/>
                <w:color w:val="auto"/>
              </w:rPr>
            </w:pPr>
            <w:r>
              <w:rPr>
                <w:rFonts w:ascii="Arial" w:cs="Arial" w:eastAsia="Arial" w:hAnsi="Arial"/>
                <w:sz w:val="19"/>
                <w:szCs w:val="19"/>
                <w:color w:val="231F20"/>
              </w:rPr>
              <w:t>$</w:t>
            </w: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381.5</w:t>
            </w:r>
          </w:p>
        </w:tc>
        <w:tc>
          <w:tcPr>
            <w:tcW w:w="200" w:type="dxa"/>
            <w:vAlign w:val="bottom"/>
            <w:shd w:val="clear" w:color="auto" w:fill="D0EBF2"/>
          </w:tcPr>
          <w:p>
            <w:pPr>
              <w:spacing w:after="0"/>
              <w:rPr>
                <w:sz w:val="20"/>
                <w:szCs w:val="20"/>
                <w:color w:val="auto"/>
              </w:rPr>
            </w:pPr>
          </w:p>
        </w:tc>
        <w:tc>
          <w:tcPr>
            <w:tcW w:w="380" w:type="dxa"/>
            <w:vAlign w:val="bottom"/>
            <w:gridSpan w:val="2"/>
            <w:shd w:val="clear" w:color="auto" w:fill="D0EBF2"/>
          </w:tcPr>
          <w:p>
            <w:pPr>
              <w:jc w:val="right"/>
              <w:ind w:right="46"/>
              <w:spacing w:after="0"/>
              <w:rPr>
                <w:sz w:val="20"/>
                <w:szCs w:val="20"/>
                <w:color w:val="auto"/>
              </w:rPr>
            </w:pPr>
            <w:r>
              <w:rPr>
                <w:rFonts w:ascii="Arial" w:cs="Arial" w:eastAsia="Arial" w:hAnsi="Arial"/>
                <w:sz w:val="19"/>
                <w:szCs w:val="19"/>
                <w:color w:val="231F20"/>
              </w:rPr>
              <w:t>$</w:t>
            </w:r>
          </w:p>
        </w:tc>
        <w:tc>
          <w:tcPr>
            <w:tcW w:w="8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267.1</w:t>
            </w:r>
          </w:p>
        </w:tc>
        <w:tc>
          <w:tcPr>
            <w:tcW w:w="2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spacing w:after="0"/>
              <w:rPr>
                <w:sz w:val="20"/>
                <w:szCs w:val="20"/>
                <w:color w:val="auto"/>
              </w:rPr>
            </w:pPr>
            <w:r>
              <w:rPr>
                <w:rFonts w:ascii="Arial" w:cs="Arial" w:eastAsia="Arial" w:hAnsi="Arial"/>
                <w:sz w:val="19"/>
                <w:szCs w:val="19"/>
                <w:color w:val="231F20"/>
              </w:rPr>
              <w:t>FX Neutral Revenue Less Ancillary Services</w:t>
            </w:r>
          </w:p>
        </w:tc>
        <w:tc>
          <w:tcPr>
            <w:tcW w:w="380" w:type="dxa"/>
            <w:vAlign w:val="bottom"/>
            <w:gridSpan w:val="2"/>
            <w:shd w:val="clear" w:color="auto" w:fill="FDFDFC"/>
          </w:tcPr>
          <w:p>
            <w:pPr>
              <w:jc w:val="right"/>
              <w:ind w:right="26"/>
              <w:spacing w:after="0"/>
              <w:rPr>
                <w:sz w:val="20"/>
                <w:szCs w:val="20"/>
                <w:color w:val="auto"/>
              </w:rPr>
            </w:pPr>
            <w:r>
              <w:rPr>
                <w:rFonts w:ascii="Arial" w:cs="Arial" w:eastAsia="Arial" w:hAnsi="Arial"/>
                <w:sz w:val="19"/>
                <w:szCs w:val="19"/>
                <w:color w:val="231F20"/>
              </w:rPr>
              <w:t>$</w:t>
            </w: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471.9</w:t>
            </w:r>
          </w:p>
        </w:tc>
        <w:tc>
          <w:tcPr>
            <w:tcW w:w="180" w:type="dxa"/>
            <w:vAlign w:val="bottom"/>
            <w:shd w:val="clear" w:color="auto" w:fill="FDFDFC"/>
          </w:tcPr>
          <w:p>
            <w:pPr>
              <w:spacing w:after="0"/>
              <w:rPr>
                <w:sz w:val="20"/>
                <w:szCs w:val="20"/>
                <w:color w:val="auto"/>
              </w:rPr>
            </w:pPr>
          </w:p>
        </w:tc>
        <w:tc>
          <w:tcPr>
            <w:tcW w:w="380" w:type="dxa"/>
            <w:vAlign w:val="bottom"/>
            <w:gridSpan w:val="2"/>
            <w:shd w:val="clear" w:color="auto" w:fill="FDFDFC"/>
          </w:tcPr>
          <w:p>
            <w:pPr>
              <w:jc w:val="right"/>
              <w:ind w:right="32"/>
              <w:spacing w:after="0"/>
              <w:rPr>
                <w:sz w:val="20"/>
                <w:szCs w:val="20"/>
                <w:color w:val="auto"/>
              </w:rPr>
            </w:pPr>
            <w:r>
              <w:rPr>
                <w:rFonts w:ascii="Arial" w:cs="Arial" w:eastAsia="Arial" w:hAnsi="Arial"/>
                <w:sz w:val="19"/>
                <w:szCs w:val="19"/>
                <w:color w:val="231F20"/>
              </w:rPr>
              <w:t>$</w:t>
            </w: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381.5</w:t>
            </w:r>
          </w:p>
        </w:tc>
        <w:tc>
          <w:tcPr>
            <w:tcW w:w="200" w:type="dxa"/>
            <w:vAlign w:val="bottom"/>
            <w:shd w:val="clear" w:color="auto" w:fill="FDFDFC"/>
          </w:tcPr>
          <w:p>
            <w:pPr>
              <w:spacing w:after="0"/>
              <w:rPr>
                <w:sz w:val="20"/>
                <w:szCs w:val="20"/>
                <w:color w:val="auto"/>
              </w:rPr>
            </w:pPr>
          </w:p>
        </w:tc>
        <w:tc>
          <w:tcPr>
            <w:tcW w:w="380" w:type="dxa"/>
            <w:vAlign w:val="bottom"/>
            <w:gridSpan w:val="2"/>
            <w:shd w:val="clear" w:color="auto" w:fill="FDFDFC"/>
          </w:tcPr>
          <w:p>
            <w:pPr>
              <w:jc w:val="right"/>
              <w:ind w:right="46"/>
              <w:spacing w:after="0"/>
              <w:rPr>
                <w:sz w:val="20"/>
                <w:szCs w:val="20"/>
                <w:color w:val="auto"/>
              </w:rPr>
            </w:pPr>
            <w:r>
              <w:rPr>
                <w:rFonts w:ascii="Arial" w:cs="Arial" w:eastAsia="Arial" w:hAnsi="Arial"/>
                <w:sz w:val="19"/>
                <w:szCs w:val="19"/>
                <w:color w:val="231F20"/>
              </w:rPr>
              <w:t>$</w:t>
            </w: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267.1</w:t>
            </w:r>
          </w:p>
        </w:tc>
        <w:tc>
          <w:tcPr>
            <w:tcW w:w="2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Gross Profit</w:t>
            </w:r>
          </w:p>
        </w:tc>
        <w:tc>
          <w:tcPr>
            <w:tcW w:w="380" w:type="dxa"/>
            <w:vAlign w:val="bottom"/>
            <w:gridSpan w:val="2"/>
            <w:shd w:val="clear" w:color="auto" w:fill="D0EBF2"/>
          </w:tcPr>
          <w:p>
            <w:pPr>
              <w:jc w:val="right"/>
              <w:ind w:right="26"/>
              <w:spacing w:after="0"/>
              <w:rPr>
                <w:sz w:val="20"/>
                <w:szCs w:val="20"/>
                <w:color w:val="auto"/>
              </w:rPr>
            </w:pPr>
            <w:r>
              <w:rPr>
                <w:rFonts w:ascii="Arial" w:cs="Arial" w:eastAsia="Arial" w:hAnsi="Arial"/>
                <w:sz w:val="19"/>
                <w:szCs w:val="19"/>
                <w:color w:val="231F20"/>
              </w:rPr>
              <w:t>$</w:t>
            </w: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306.9</w:t>
            </w:r>
          </w:p>
        </w:tc>
        <w:tc>
          <w:tcPr>
            <w:tcW w:w="180" w:type="dxa"/>
            <w:vAlign w:val="bottom"/>
            <w:shd w:val="clear" w:color="auto" w:fill="D0EBF2"/>
          </w:tcPr>
          <w:p>
            <w:pPr>
              <w:spacing w:after="0"/>
              <w:rPr>
                <w:sz w:val="20"/>
                <w:szCs w:val="20"/>
                <w:color w:val="auto"/>
              </w:rPr>
            </w:pPr>
          </w:p>
        </w:tc>
        <w:tc>
          <w:tcPr>
            <w:tcW w:w="380" w:type="dxa"/>
            <w:vAlign w:val="bottom"/>
            <w:gridSpan w:val="2"/>
            <w:shd w:val="clear" w:color="auto" w:fill="D0EBF2"/>
          </w:tcPr>
          <w:p>
            <w:pPr>
              <w:jc w:val="right"/>
              <w:ind w:right="32"/>
              <w:spacing w:after="0"/>
              <w:rPr>
                <w:sz w:val="20"/>
                <w:szCs w:val="20"/>
                <w:color w:val="auto"/>
              </w:rPr>
            </w:pPr>
            <w:r>
              <w:rPr>
                <w:rFonts w:ascii="Arial" w:cs="Arial" w:eastAsia="Arial" w:hAnsi="Arial"/>
                <w:sz w:val="19"/>
                <w:szCs w:val="19"/>
                <w:color w:val="231F20"/>
              </w:rPr>
              <w:t>$</w:t>
            </w: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247.4</w:t>
            </w:r>
          </w:p>
        </w:tc>
        <w:tc>
          <w:tcPr>
            <w:tcW w:w="200" w:type="dxa"/>
            <w:vAlign w:val="bottom"/>
            <w:shd w:val="clear" w:color="auto" w:fill="D0EBF2"/>
          </w:tcPr>
          <w:p>
            <w:pPr>
              <w:spacing w:after="0"/>
              <w:rPr>
                <w:sz w:val="20"/>
                <w:szCs w:val="20"/>
                <w:color w:val="auto"/>
              </w:rPr>
            </w:pPr>
          </w:p>
        </w:tc>
        <w:tc>
          <w:tcPr>
            <w:tcW w:w="380" w:type="dxa"/>
            <w:vAlign w:val="bottom"/>
            <w:gridSpan w:val="2"/>
            <w:shd w:val="clear" w:color="auto" w:fill="D0EBF2"/>
          </w:tcPr>
          <w:p>
            <w:pPr>
              <w:jc w:val="right"/>
              <w:ind w:right="46"/>
              <w:spacing w:after="0"/>
              <w:rPr>
                <w:sz w:val="20"/>
                <w:szCs w:val="20"/>
                <w:color w:val="auto"/>
              </w:rPr>
            </w:pPr>
            <w:r>
              <w:rPr>
                <w:rFonts w:ascii="Arial" w:cs="Arial" w:eastAsia="Arial" w:hAnsi="Arial"/>
                <w:sz w:val="19"/>
                <w:szCs w:val="19"/>
                <w:color w:val="231F20"/>
              </w:rPr>
              <w:t>$</w:t>
            </w:r>
          </w:p>
        </w:tc>
        <w:tc>
          <w:tcPr>
            <w:tcW w:w="8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174.9</w:t>
            </w:r>
          </w:p>
        </w:tc>
        <w:tc>
          <w:tcPr>
            <w:tcW w:w="2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spacing w:after="0"/>
              <w:rPr>
                <w:sz w:val="20"/>
                <w:szCs w:val="20"/>
                <w:color w:val="auto"/>
              </w:rPr>
            </w:pPr>
            <w:r>
              <w:rPr>
                <w:rFonts w:ascii="Arial" w:cs="Arial" w:eastAsia="Arial" w:hAnsi="Arial"/>
                <w:sz w:val="19"/>
                <w:szCs w:val="19"/>
                <w:color w:val="231F20"/>
              </w:rPr>
              <w:t>Adjusted Gross Profit</w:t>
            </w:r>
          </w:p>
        </w:tc>
        <w:tc>
          <w:tcPr>
            <w:tcW w:w="380" w:type="dxa"/>
            <w:vAlign w:val="bottom"/>
            <w:gridSpan w:val="2"/>
            <w:shd w:val="clear" w:color="auto" w:fill="FDFDFC"/>
          </w:tcPr>
          <w:p>
            <w:pPr>
              <w:jc w:val="right"/>
              <w:ind w:right="26"/>
              <w:spacing w:after="0"/>
              <w:rPr>
                <w:sz w:val="20"/>
                <w:szCs w:val="20"/>
                <w:color w:val="auto"/>
              </w:rPr>
            </w:pPr>
            <w:r>
              <w:rPr>
                <w:rFonts w:ascii="Arial" w:cs="Arial" w:eastAsia="Arial" w:hAnsi="Arial"/>
                <w:sz w:val="19"/>
                <w:szCs w:val="19"/>
                <w:color w:val="231F20"/>
              </w:rPr>
              <w:t>$</w:t>
            </w: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312.8</w:t>
            </w:r>
          </w:p>
        </w:tc>
        <w:tc>
          <w:tcPr>
            <w:tcW w:w="180" w:type="dxa"/>
            <w:vAlign w:val="bottom"/>
            <w:shd w:val="clear" w:color="auto" w:fill="FDFDFC"/>
          </w:tcPr>
          <w:p>
            <w:pPr>
              <w:spacing w:after="0"/>
              <w:rPr>
                <w:sz w:val="20"/>
                <w:szCs w:val="20"/>
                <w:color w:val="auto"/>
              </w:rPr>
            </w:pPr>
          </w:p>
        </w:tc>
        <w:tc>
          <w:tcPr>
            <w:tcW w:w="380" w:type="dxa"/>
            <w:vAlign w:val="bottom"/>
            <w:gridSpan w:val="2"/>
            <w:shd w:val="clear" w:color="auto" w:fill="FDFDFC"/>
          </w:tcPr>
          <w:p>
            <w:pPr>
              <w:jc w:val="right"/>
              <w:ind w:right="32"/>
              <w:spacing w:after="0"/>
              <w:rPr>
                <w:sz w:val="20"/>
                <w:szCs w:val="20"/>
                <w:color w:val="auto"/>
              </w:rPr>
            </w:pPr>
            <w:r>
              <w:rPr>
                <w:rFonts w:ascii="Arial" w:cs="Arial" w:eastAsia="Arial" w:hAnsi="Arial"/>
                <w:sz w:val="19"/>
                <w:szCs w:val="19"/>
                <w:color w:val="231F20"/>
              </w:rPr>
              <w:t>$</w:t>
            </w: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254.1</w:t>
            </w:r>
          </w:p>
        </w:tc>
        <w:tc>
          <w:tcPr>
            <w:tcW w:w="200" w:type="dxa"/>
            <w:vAlign w:val="bottom"/>
            <w:shd w:val="clear" w:color="auto" w:fill="FDFDFC"/>
          </w:tcPr>
          <w:p>
            <w:pPr>
              <w:spacing w:after="0"/>
              <w:rPr>
                <w:sz w:val="20"/>
                <w:szCs w:val="20"/>
                <w:color w:val="auto"/>
              </w:rPr>
            </w:pPr>
          </w:p>
        </w:tc>
        <w:tc>
          <w:tcPr>
            <w:tcW w:w="380" w:type="dxa"/>
            <w:vAlign w:val="bottom"/>
            <w:gridSpan w:val="2"/>
            <w:shd w:val="clear" w:color="auto" w:fill="FDFDFC"/>
          </w:tcPr>
          <w:p>
            <w:pPr>
              <w:jc w:val="right"/>
              <w:ind w:right="46"/>
              <w:spacing w:after="0"/>
              <w:rPr>
                <w:sz w:val="20"/>
                <w:szCs w:val="20"/>
                <w:color w:val="auto"/>
              </w:rPr>
            </w:pPr>
            <w:r>
              <w:rPr>
                <w:rFonts w:ascii="Arial" w:cs="Arial" w:eastAsia="Arial" w:hAnsi="Arial"/>
                <w:sz w:val="19"/>
                <w:szCs w:val="19"/>
                <w:color w:val="231F20"/>
              </w:rPr>
              <w:t>$</w:t>
            </w: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181.9</w:t>
            </w:r>
          </w:p>
        </w:tc>
        <w:tc>
          <w:tcPr>
            <w:tcW w:w="2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Gross Margin</w:t>
            </w:r>
          </w:p>
        </w:tc>
        <w:tc>
          <w:tcPr>
            <w:tcW w:w="160" w:type="dxa"/>
            <w:vAlign w:val="bottom"/>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62.4%</w:t>
            </w:r>
          </w:p>
        </w:tc>
        <w:tc>
          <w:tcPr>
            <w:tcW w:w="160" w:type="dxa"/>
            <w:vAlign w:val="bottom"/>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108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61.4%</w:t>
            </w:r>
          </w:p>
        </w:tc>
        <w:tc>
          <w:tcPr>
            <w:tcW w:w="14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60.4%</w:t>
            </w: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spacing w:after="0"/>
              <w:rPr>
                <w:sz w:val="20"/>
                <w:szCs w:val="20"/>
                <w:color w:val="auto"/>
              </w:rPr>
            </w:pPr>
            <w:r>
              <w:rPr>
                <w:rFonts w:ascii="Arial" w:cs="Arial" w:eastAsia="Arial" w:hAnsi="Arial"/>
                <w:sz w:val="19"/>
                <w:szCs w:val="19"/>
                <w:color w:val="231F20"/>
              </w:rPr>
              <w:t>Adjusted Gross Margin</w:t>
            </w:r>
          </w:p>
        </w:tc>
        <w:tc>
          <w:tcPr>
            <w:tcW w:w="160" w:type="dxa"/>
            <w:vAlign w:val="bottom"/>
            <w:shd w:val="clear" w:color="auto" w:fill="FDFDFC"/>
          </w:tcPr>
          <w:p>
            <w:pPr>
              <w:spacing w:after="0"/>
              <w:rPr>
                <w:sz w:val="20"/>
                <w:szCs w:val="20"/>
                <w:color w:val="auto"/>
              </w:rPr>
            </w:pPr>
          </w:p>
        </w:tc>
        <w:tc>
          <w:tcPr>
            <w:tcW w:w="22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66.0%</w:t>
            </w:r>
          </w:p>
        </w:tc>
        <w:tc>
          <w:tcPr>
            <w:tcW w:w="160" w:type="dxa"/>
            <w:vAlign w:val="bottom"/>
            <w:shd w:val="clear" w:color="auto" w:fill="FDFDFC"/>
          </w:tcPr>
          <w:p>
            <w:pPr>
              <w:spacing w:after="0"/>
              <w:rPr>
                <w:sz w:val="20"/>
                <w:szCs w:val="20"/>
                <w:color w:val="auto"/>
              </w:rPr>
            </w:pPr>
          </w:p>
        </w:tc>
        <w:tc>
          <w:tcPr>
            <w:tcW w:w="220" w:type="dxa"/>
            <w:vAlign w:val="bottom"/>
            <w:shd w:val="clear" w:color="auto" w:fill="FDFDFC"/>
          </w:tcPr>
          <w:p>
            <w:pPr>
              <w:spacing w:after="0"/>
              <w:rPr>
                <w:sz w:val="20"/>
                <w:szCs w:val="20"/>
                <w:color w:val="auto"/>
              </w:rPr>
            </w:pPr>
          </w:p>
        </w:tc>
        <w:tc>
          <w:tcPr>
            <w:tcW w:w="108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66.6%</w:t>
            </w:r>
          </w:p>
        </w:tc>
        <w:tc>
          <w:tcPr>
            <w:tcW w:w="14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68.1%</w:t>
            </w:r>
          </w:p>
        </w:tc>
        <w:tc>
          <w:tcPr>
            <w:tcW w:w="0" w:type="dxa"/>
            <w:vAlign w:val="bottom"/>
          </w:tcPr>
          <w:p>
            <w:pPr>
              <w:spacing w:after="0"/>
              <w:rPr>
                <w:sz w:val="1"/>
                <w:szCs w:val="1"/>
                <w:color w:val="auto"/>
              </w:rPr>
            </w:pPr>
          </w:p>
        </w:tc>
      </w:tr>
      <w:tr>
        <w:trPr>
          <w:trHeight w:val="23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Net Income (Loss)</w:t>
            </w:r>
          </w:p>
        </w:tc>
        <w:tc>
          <w:tcPr>
            <w:tcW w:w="380" w:type="dxa"/>
            <w:vAlign w:val="bottom"/>
            <w:gridSpan w:val="2"/>
            <w:shd w:val="clear" w:color="auto" w:fill="D0EBF2"/>
          </w:tcPr>
          <w:p>
            <w:pPr>
              <w:jc w:val="right"/>
              <w:ind w:right="26"/>
              <w:spacing w:after="0"/>
              <w:rPr>
                <w:sz w:val="20"/>
                <w:szCs w:val="20"/>
                <w:color w:val="auto"/>
              </w:rPr>
            </w:pPr>
            <w:r>
              <w:rPr>
                <w:rFonts w:ascii="Arial" w:cs="Arial" w:eastAsia="Arial" w:hAnsi="Arial"/>
                <w:sz w:val="19"/>
                <w:szCs w:val="19"/>
                <w:color w:val="231F20"/>
              </w:rPr>
              <w:t>$</w:t>
            </w: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2.9</w:t>
            </w:r>
          </w:p>
        </w:tc>
        <w:tc>
          <w:tcPr>
            <w:tcW w:w="180" w:type="dxa"/>
            <w:vAlign w:val="bottom"/>
            <w:shd w:val="clear" w:color="auto" w:fill="D0EBF2"/>
          </w:tcPr>
          <w:p>
            <w:pPr>
              <w:spacing w:after="0"/>
              <w:rPr>
                <w:sz w:val="20"/>
                <w:szCs w:val="20"/>
                <w:color w:val="auto"/>
              </w:rPr>
            </w:pPr>
          </w:p>
        </w:tc>
        <w:tc>
          <w:tcPr>
            <w:tcW w:w="380" w:type="dxa"/>
            <w:vAlign w:val="bottom"/>
            <w:gridSpan w:val="2"/>
            <w:shd w:val="clear" w:color="auto" w:fill="D0EBF2"/>
          </w:tcPr>
          <w:p>
            <w:pPr>
              <w:jc w:val="right"/>
              <w:ind w:right="32"/>
              <w:spacing w:after="0"/>
              <w:rPr>
                <w:sz w:val="20"/>
                <w:szCs w:val="20"/>
                <w:color w:val="auto"/>
              </w:rPr>
            </w:pPr>
            <w:r>
              <w:rPr>
                <w:rFonts w:ascii="Arial" w:cs="Arial" w:eastAsia="Arial" w:hAnsi="Arial"/>
                <w:sz w:val="19"/>
                <w:szCs w:val="19"/>
                <w:color w:val="231F20"/>
              </w:rPr>
              <w:t>$</w:t>
            </w:r>
          </w:p>
        </w:tc>
        <w:tc>
          <w:tcPr>
            <w:tcW w:w="1080" w:type="dxa"/>
            <w:vAlign w:val="bottom"/>
            <w:gridSpan w:val="2"/>
            <w:shd w:val="clear" w:color="auto" w:fill="D0EBF2"/>
          </w:tcPr>
          <w:p>
            <w:pPr>
              <w:jc w:val="right"/>
              <w:ind w:right="140"/>
              <w:spacing w:after="0"/>
              <w:rPr>
                <w:sz w:val="20"/>
                <w:szCs w:val="20"/>
                <w:color w:val="auto"/>
              </w:rPr>
            </w:pPr>
            <w:r>
              <w:rPr>
                <w:rFonts w:ascii="Arial" w:cs="Arial" w:eastAsia="Arial" w:hAnsi="Arial"/>
                <w:sz w:val="19"/>
                <w:szCs w:val="19"/>
                <w:color w:val="231F20"/>
              </w:rPr>
              <w:t>(8.6)</w:t>
            </w:r>
          </w:p>
        </w:tc>
        <w:tc>
          <w:tcPr>
            <w:tcW w:w="380" w:type="dxa"/>
            <w:vAlign w:val="bottom"/>
            <w:gridSpan w:val="2"/>
            <w:shd w:val="clear" w:color="auto" w:fill="D0EBF2"/>
          </w:tcPr>
          <w:p>
            <w:pPr>
              <w:jc w:val="right"/>
              <w:ind w:right="46"/>
              <w:spacing w:after="0"/>
              <w:rPr>
                <w:sz w:val="20"/>
                <w:szCs w:val="20"/>
                <w:color w:val="auto"/>
              </w:rPr>
            </w:pPr>
            <w:r>
              <w:rPr>
                <w:rFonts w:ascii="Arial" w:cs="Arial" w:eastAsia="Arial" w:hAnsi="Arial"/>
                <w:sz w:val="19"/>
                <w:szCs w:val="19"/>
                <w:color w:val="231F20"/>
              </w:rPr>
              <w:t>$</w:t>
            </w:r>
          </w:p>
        </w:tc>
        <w:tc>
          <w:tcPr>
            <w:tcW w:w="1060" w:type="dxa"/>
            <w:vAlign w:val="bottom"/>
            <w:gridSpan w:val="2"/>
            <w:shd w:val="clear" w:color="auto" w:fill="D0EBF2"/>
          </w:tcPr>
          <w:p>
            <w:pPr>
              <w:jc w:val="right"/>
              <w:ind w:right="120"/>
              <w:spacing w:after="0"/>
              <w:rPr>
                <w:sz w:val="20"/>
                <w:szCs w:val="20"/>
                <w:color w:val="auto"/>
              </w:rPr>
            </w:pPr>
            <w:r>
              <w:rPr>
                <w:rFonts w:ascii="Arial" w:cs="Arial" w:eastAsia="Arial" w:hAnsi="Arial"/>
                <w:sz w:val="19"/>
                <w:szCs w:val="19"/>
                <w:color w:val="231F20"/>
              </w:rPr>
              <w:t>(39.3)</w:t>
            </w: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spacing w:after="0"/>
              <w:rPr>
                <w:sz w:val="20"/>
                <w:szCs w:val="20"/>
                <w:color w:val="auto"/>
              </w:rPr>
            </w:pPr>
            <w:r>
              <w:rPr>
                <w:rFonts w:ascii="Arial" w:cs="Arial" w:eastAsia="Arial" w:hAnsi="Arial"/>
                <w:sz w:val="19"/>
                <w:szCs w:val="19"/>
                <w:color w:val="231F20"/>
              </w:rPr>
              <w:t>Adjusted EBITDA</w:t>
            </w:r>
          </w:p>
        </w:tc>
        <w:tc>
          <w:tcPr>
            <w:tcW w:w="380" w:type="dxa"/>
            <w:vAlign w:val="bottom"/>
            <w:gridSpan w:val="2"/>
            <w:shd w:val="clear" w:color="auto" w:fill="FDFDFC"/>
          </w:tcPr>
          <w:p>
            <w:pPr>
              <w:jc w:val="right"/>
              <w:ind w:right="26"/>
              <w:spacing w:after="0"/>
              <w:rPr>
                <w:sz w:val="20"/>
                <w:szCs w:val="20"/>
                <w:color w:val="auto"/>
              </w:rPr>
            </w:pPr>
            <w:r>
              <w:rPr>
                <w:rFonts w:ascii="Arial" w:cs="Arial" w:eastAsia="Arial" w:hAnsi="Arial"/>
                <w:sz w:val="19"/>
                <w:szCs w:val="19"/>
                <w:color w:val="231F20"/>
              </w:rPr>
              <w:t>$</w:t>
            </w: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77.9</w:t>
            </w:r>
          </w:p>
        </w:tc>
        <w:tc>
          <w:tcPr>
            <w:tcW w:w="180" w:type="dxa"/>
            <w:vAlign w:val="bottom"/>
            <w:shd w:val="clear" w:color="auto" w:fill="FDFDFC"/>
          </w:tcPr>
          <w:p>
            <w:pPr>
              <w:spacing w:after="0"/>
              <w:rPr>
                <w:sz w:val="20"/>
                <w:szCs w:val="20"/>
                <w:color w:val="auto"/>
              </w:rPr>
            </w:pPr>
          </w:p>
        </w:tc>
        <w:tc>
          <w:tcPr>
            <w:tcW w:w="380" w:type="dxa"/>
            <w:vAlign w:val="bottom"/>
            <w:gridSpan w:val="2"/>
            <w:shd w:val="clear" w:color="auto" w:fill="FDFDFC"/>
          </w:tcPr>
          <w:p>
            <w:pPr>
              <w:jc w:val="right"/>
              <w:ind w:right="32"/>
              <w:spacing w:after="0"/>
              <w:rPr>
                <w:sz w:val="20"/>
                <w:szCs w:val="20"/>
                <w:color w:val="auto"/>
              </w:rPr>
            </w:pPr>
            <w:r>
              <w:rPr>
                <w:rFonts w:ascii="Arial" w:cs="Arial" w:eastAsia="Arial" w:hAnsi="Arial"/>
                <w:sz w:val="19"/>
                <w:szCs w:val="19"/>
                <w:color w:val="231F20"/>
              </w:rPr>
              <w:t>$</w:t>
            </w: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42.0</w:t>
            </w:r>
          </w:p>
        </w:tc>
        <w:tc>
          <w:tcPr>
            <w:tcW w:w="200" w:type="dxa"/>
            <w:vAlign w:val="bottom"/>
            <w:shd w:val="clear" w:color="auto" w:fill="FDFDFC"/>
          </w:tcPr>
          <w:p>
            <w:pPr>
              <w:spacing w:after="0"/>
              <w:rPr>
                <w:sz w:val="20"/>
                <w:szCs w:val="20"/>
                <w:color w:val="auto"/>
              </w:rPr>
            </w:pPr>
          </w:p>
        </w:tc>
        <w:tc>
          <w:tcPr>
            <w:tcW w:w="380" w:type="dxa"/>
            <w:vAlign w:val="bottom"/>
            <w:gridSpan w:val="2"/>
            <w:shd w:val="clear" w:color="auto" w:fill="FDFDFC"/>
          </w:tcPr>
          <w:p>
            <w:pPr>
              <w:jc w:val="right"/>
              <w:ind w:right="46"/>
              <w:spacing w:after="0"/>
              <w:rPr>
                <w:sz w:val="20"/>
                <w:szCs w:val="20"/>
                <w:color w:val="auto"/>
              </w:rPr>
            </w:pPr>
            <w:r>
              <w:rPr>
                <w:rFonts w:ascii="Arial" w:cs="Arial" w:eastAsia="Arial" w:hAnsi="Arial"/>
                <w:sz w:val="19"/>
                <w:szCs w:val="19"/>
                <w:color w:val="231F20"/>
              </w:rPr>
              <w:t>$</w:t>
            </w: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14.9</w:t>
            </w:r>
          </w:p>
        </w:tc>
        <w:tc>
          <w:tcPr>
            <w:tcW w:w="2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Adjusted EBITDA Margin</w:t>
            </w:r>
          </w:p>
        </w:tc>
        <w:tc>
          <w:tcPr>
            <w:tcW w:w="160" w:type="dxa"/>
            <w:vAlign w:val="bottom"/>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16.4%</w:t>
            </w:r>
          </w:p>
        </w:tc>
        <w:tc>
          <w:tcPr>
            <w:tcW w:w="160" w:type="dxa"/>
            <w:vAlign w:val="bottom"/>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108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11.0%</w:t>
            </w:r>
          </w:p>
        </w:tc>
        <w:tc>
          <w:tcPr>
            <w:tcW w:w="14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5.6%</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40" w:firstLine="463"/>
        <w:spacing w:after="0" w:line="258" w:lineRule="auto"/>
        <w:rPr>
          <w:sz w:val="20"/>
          <w:szCs w:val="20"/>
          <w:color w:val="auto"/>
        </w:rPr>
      </w:pPr>
      <w:r>
        <w:rPr>
          <w:rFonts w:ascii="Arial" w:cs="Arial" w:eastAsia="Arial" w:hAnsi="Arial"/>
          <w:sz w:val="19"/>
          <w:szCs w:val="19"/>
          <w:color w:val="231F20"/>
        </w:rPr>
        <w:t>For the year ended December 31, 2024, transaction revenue and platform and other revenues represented 83.4% and 16.6% of our revenue, respectively. For the year ended December 31, 2024, transaction revenue and platform and other revenues represented 86.1% and 13.9% of our total revenue less ancillary services, respectively.</w:t>
      </w:r>
    </w:p>
    <w:p>
      <w:pPr>
        <w:spacing w:after="0" w:line="136" w:lineRule="exact"/>
        <w:rPr>
          <w:sz w:val="20"/>
          <w:szCs w:val="20"/>
          <w:color w:val="auto"/>
        </w:rPr>
      </w:pPr>
    </w:p>
    <w:p>
      <w:pPr>
        <w:jc w:val="both"/>
        <w:ind w:right="240" w:firstLine="463"/>
        <w:spacing w:after="0" w:line="258" w:lineRule="auto"/>
        <w:rPr>
          <w:sz w:val="20"/>
          <w:szCs w:val="20"/>
          <w:color w:val="auto"/>
        </w:rPr>
      </w:pPr>
      <w:r>
        <w:rPr>
          <w:rFonts w:ascii="Arial" w:cs="Arial" w:eastAsia="Arial" w:hAnsi="Arial"/>
          <w:sz w:val="19"/>
          <w:szCs w:val="19"/>
          <w:color w:val="231F20"/>
        </w:rPr>
        <w:t>For the year ended December 31, 2023, transaction revenue and platform and other revenues represented 81.8% and 18.2% of our revenue, respectively. For the year ended December 31, 2023, transaction revenue and platform and other revenues represented 85.8% and 14.2% of our total revenue less ancillary services, respectively.</w:t>
      </w:r>
    </w:p>
    <w:p>
      <w:pPr>
        <w:spacing w:after="0" w:line="136" w:lineRule="exact"/>
        <w:rPr>
          <w:sz w:val="20"/>
          <w:szCs w:val="20"/>
          <w:color w:val="auto"/>
        </w:rPr>
      </w:pPr>
    </w:p>
    <w:p>
      <w:pPr>
        <w:jc w:val="both"/>
        <w:ind w:right="240" w:firstLine="463"/>
        <w:spacing w:after="0" w:line="258" w:lineRule="auto"/>
        <w:rPr>
          <w:sz w:val="20"/>
          <w:szCs w:val="20"/>
          <w:color w:val="auto"/>
        </w:rPr>
      </w:pPr>
      <w:r>
        <w:rPr>
          <w:rFonts w:ascii="Arial" w:cs="Arial" w:eastAsia="Arial" w:hAnsi="Arial"/>
          <w:sz w:val="19"/>
          <w:szCs w:val="19"/>
          <w:color w:val="231F20"/>
        </w:rPr>
        <w:t>For the year ended December 31, 2022, transaction revenue and platform and other revenues represented 77.5% and 22.5% of our revenue, respectively. For the year ended December 31, 2022, transaction revenue and platform and other revenues represented 83.2% and 16.8% of our total revenue less ancillary services, respectively.</w:t>
      </w:r>
    </w:p>
    <w:p>
      <w:pPr>
        <w:sectPr>
          <w:pgSz w:w="12240" w:h="15840" w:orient="portrait"/>
          <w:cols w:equalWidth="0" w:num="1">
            <w:col w:w="10200"/>
          </w:cols>
          <w:pgMar w:left="1020" w:top="1440" w:right="1020" w:bottom="595"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92</w:t>
      </w:r>
    </w:p>
    <w:p>
      <w:pPr>
        <w:sectPr>
          <w:pgSz w:w="12240" w:h="15840" w:orient="portrait"/>
          <w:cols w:equalWidth="0" w:num="1">
            <w:col w:w="10200"/>
          </w:cols>
          <w:pgMar w:left="1020" w:top="1440" w:right="1020" w:bottom="595" w:gutter="0" w:footer="0" w:header="0"/>
          <w:type w:val="continuous"/>
        </w:sectPr>
      </w:pPr>
    </w:p>
    <w:bookmarkStart w:id="93" w:name="page94"/>
    <w:bookmarkEnd w:id="93"/>
    <w:p>
      <w:pPr>
        <w:spacing w:after="0" w:line="97" w:lineRule="exact"/>
        <w:rPr>
          <w:sz w:val="20"/>
          <w:szCs w:val="20"/>
          <w:color w:val="auto"/>
        </w:rPr>
      </w:pPr>
    </w:p>
    <w:p>
      <w:pPr>
        <w:jc w:val="both"/>
        <w:ind w:right="100" w:firstLine="463"/>
        <w:spacing w:after="0" w:line="258" w:lineRule="auto"/>
        <w:rPr>
          <w:sz w:val="20"/>
          <w:szCs w:val="20"/>
          <w:color w:val="auto"/>
        </w:rPr>
      </w:pPr>
      <w:r>
        <w:rPr>
          <w:rFonts w:ascii="Arial" w:cs="Arial" w:eastAsia="Arial" w:hAnsi="Arial"/>
          <w:sz w:val="19"/>
          <w:szCs w:val="19"/>
          <w:color w:val="231F20"/>
        </w:rPr>
        <w:t>For the year ended December 31, 2024, our total payment volume was over $29.7 billion, consisting of $23.2 billion of total payment volume from transactions included in transaction revenue and $6.5 billion of total payment volume from transactions included in platform and other revenues.</w:t>
      </w:r>
    </w:p>
    <w:p>
      <w:pPr>
        <w:spacing w:after="0" w:line="136" w:lineRule="exact"/>
        <w:rPr>
          <w:sz w:val="20"/>
          <w:szCs w:val="20"/>
          <w:color w:val="auto"/>
        </w:rPr>
      </w:pPr>
    </w:p>
    <w:p>
      <w:pPr>
        <w:jc w:val="both"/>
        <w:ind w:right="100" w:firstLine="463"/>
        <w:spacing w:after="0" w:line="258" w:lineRule="auto"/>
        <w:rPr>
          <w:sz w:val="20"/>
          <w:szCs w:val="20"/>
          <w:color w:val="auto"/>
        </w:rPr>
      </w:pPr>
      <w:r>
        <w:rPr>
          <w:rFonts w:ascii="Arial" w:cs="Arial" w:eastAsia="Arial" w:hAnsi="Arial"/>
          <w:sz w:val="19"/>
          <w:szCs w:val="19"/>
          <w:color w:val="231F20"/>
        </w:rPr>
        <w:t>For the year ended December 31, 2023, our total payment volume was over $24.0 billion, consisting of $17.7 billion of total payment volume from transactions included in transaction revenue and $6.3 billion of total payment volume from transactions included in platform and other revenues.</w:t>
      </w:r>
    </w:p>
    <w:p>
      <w:pPr>
        <w:spacing w:after="0" w:line="136" w:lineRule="exact"/>
        <w:rPr>
          <w:sz w:val="20"/>
          <w:szCs w:val="20"/>
          <w:color w:val="auto"/>
        </w:rPr>
      </w:pPr>
    </w:p>
    <w:p>
      <w:pPr>
        <w:ind w:right="120" w:firstLine="463"/>
        <w:spacing w:after="0" w:line="258" w:lineRule="auto"/>
        <w:rPr>
          <w:sz w:val="20"/>
          <w:szCs w:val="20"/>
          <w:color w:val="auto"/>
        </w:rPr>
      </w:pPr>
      <w:r>
        <w:rPr>
          <w:rFonts w:ascii="Arial" w:cs="Arial" w:eastAsia="Arial" w:hAnsi="Arial"/>
          <w:sz w:val="19"/>
          <w:szCs w:val="19"/>
          <w:color w:val="231F20"/>
        </w:rPr>
        <w:t>For the year ended December 31, 2022, our total payment volume was approximately $18.1 billion, consisting of approximately $12.2 billion of total payment volume from transactions included in transaction revenue and approximately $5.8 billion of total payment volume from transactions included in platform and other revenues.</w:t>
      </w:r>
    </w:p>
    <w:p>
      <w:pPr>
        <w:spacing w:after="0" w:line="140" w:lineRule="exact"/>
        <w:rPr>
          <w:sz w:val="20"/>
          <w:szCs w:val="20"/>
          <w:color w:val="auto"/>
        </w:rPr>
      </w:pPr>
    </w:p>
    <w:p>
      <w:pPr>
        <w:ind w:right="200"/>
        <w:spacing w:after="0" w:line="314" w:lineRule="auto"/>
        <w:rPr>
          <w:sz w:val="20"/>
          <w:szCs w:val="20"/>
          <w:color w:val="auto"/>
        </w:rPr>
      </w:pPr>
      <w:r>
        <w:rPr>
          <w:rFonts w:ascii="Arial" w:cs="Arial" w:eastAsia="Arial" w:hAnsi="Arial"/>
          <w:sz w:val="18"/>
          <w:szCs w:val="18"/>
          <w:b w:val="1"/>
          <w:bCs w:val="1"/>
          <w:i w:val="1"/>
          <w:iCs w:val="1"/>
          <w:color w:val="231F20"/>
        </w:rPr>
        <w:t>Revenue Less Ancillary Services, FX Neutral Revenue Less Ancillary Services, Adjusted Gross Profit, Adjusted Gross Margin, EBITDA, Adjusted EBITDA, Adjusted EBITDA Margin and Non-GAAP Operating Expenses</w:t>
      </w:r>
    </w:p>
    <w:p>
      <w:pPr>
        <w:spacing w:after="0" w:line="78" w:lineRule="exact"/>
        <w:rPr>
          <w:sz w:val="20"/>
          <w:szCs w:val="20"/>
          <w:color w:val="auto"/>
        </w:rPr>
      </w:pPr>
    </w:p>
    <w:p>
      <w:pPr>
        <w:ind w:right="60" w:firstLine="463"/>
        <w:spacing w:after="0" w:line="243" w:lineRule="auto"/>
        <w:rPr>
          <w:sz w:val="20"/>
          <w:szCs w:val="20"/>
          <w:color w:val="auto"/>
        </w:rPr>
      </w:pPr>
      <w:r>
        <w:rPr>
          <w:rFonts w:ascii="Arial" w:cs="Arial" w:eastAsia="Arial" w:hAnsi="Arial"/>
          <w:sz w:val="19"/>
          <w:szCs w:val="19"/>
          <w:color w:val="231F20"/>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49" w:lineRule="exact"/>
        <w:rPr>
          <w:sz w:val="20"/>
          <w:szCs w:val="20"/>
          <w:color w:val="auto"/>
        </w:rPr>
      </w:pPr>
    </w:p>
    <w:p>
      <w:pPr>
        <w:ind w:right="180" w:firstLine="463"/>
        <w:spacing w:after="0" w:line="258" w:lineRule="auto"/>
        <w:rPr>
          <w:sz w:val="20"/>
          <w:szCs w:val="20"/>
          <w:color w:val="auto"/>
        </w:rPr>
      </w:pPr>
      <w:r>
        <w:rPr>
          <w:rFonts w:ascii="Arial" w:cs="Arial" w:eastAsia="Arial" w:hAnsi="Arial"/>
          <w:sz w:val="19"/>
          <w:szCs w:val="19"/>
          <w:color w:val="231F20"/>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49" w:lineRule="exact"/>
        <w:rPr>
          <w:sz w:val="20"/>
          <w:szCs w:val="20"/>
          <w:color w:val="auto"/>
        </w:rPr>
      </w:pPr>
    </w:p>
    <w:p>
      <w:pPr>
        <w:ind w:left="800" w:hanging="229"/>
        <w:spacing w:after="0" w:line="251" w:lineRule="auto"/>
        <w:tabs>
          <w:tab w:leader="none" w:pos="800" w:val="left"/>
        </w:tabs>
        <w:numPr>
          <w:ilvl w:val="0"/>
          <w:numId w:val="47"/>
        </w:numPr>
        <w:rPr>
          <w:rFonts w:ascii="Arial" w:cs="Arial" w:eastAsia="Arial" w:hAnsi="Arial"/>
          <w:sz w:val="19"/>
          <w:szCs w:val="19"/>
          <w:color w:val="231F20"/>
        </w:rPr>
      </w:pPr>
      <w:r>
        <w:rPr>
          <w:rFonts w:ascii="Arial" w:cs="Arial" w:eastAsia="Arial" w:hAnsi="Arial"/>
          <w:sz w:val="19"/>
          <w:szCs w:val="19"/>
          <w:i w:val="1"/>
          <w:iCs w:val="1"/>
          <w:color w:val="231F20"/>
        </w:rPr>
        <w:t xml:space="preserve">Revenue Less Ancillary Services </w:t>
      </w:r>
      <w:r>
        <w:rPr>
          <w:rFonts w:ascii="Arial" w:cs="Arial" w:eastAsia="Arial" w:hAnsi="Arial"/>
          <w:sz w:val="19"/>
          <w:szCs w:val="19"/>
          <w:color w:val="231F20"/>
        </w:rPr>
        <w:t>- Revenue Less Ancillary Services represents our consolidated revenue in</w:t>
      </w:r>
      <w:r>
        <w:rPr>
          <w:rFonts w:ascii="Arial" w:cs="Arial" w:eastAsia="Arial" w:hAnsi="Arial"/>
          <w:sz w:val="19"/>
          <w:szCs w:val="19"/>
          <w:i w:val="1"/>
          <w:iCs w:val="1"/>
          <w:color w:val="231F20"/>
        </w:rPr>
        <w:t xml:space="preserve"> </w:t>
      </w:r>
      <w:r>
        <w:rPr>
          <w:rFonts w:ascii="Arial" w:cs="Arial" w:eastAsia="Arial" w:hAnsi="Arial"/>
          <w:sz w:val="19"/>
          <w:szCs w:val="19"/>
          <w:color w:val="231F20"/>
        </w:rPr>
        <w:t>accordance with GAAP less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156" w:lineRule="exact"/>
        <w:rPr>
          <w:rFonts w:ascii="Arial" w:cs="Arial" w:eastAsia="Arial" w:hAnsi="Arial"/>
          <w:sz w:val="19"/>
          <w:szCs w:val="19"/>
          <w:color w:val="231F20"/>
        </w:rPr>
      </w:pPr>
    </w:p>
    <w:p>
      <w:pPr>
        <w:ind w:left="800" w:hanging="229"/>
        <w:spacing w:after="0" w:line="246" w:lineRule="auto"/>
        <w:tabs>
          <w:tab w:leader="none" w:pos="800" w:val="left"/>
        </w:tabs>
        <w:numPr>
          <w:ilvl w:val="0"/>
          <w:numId w:val="47"/>
        </w:numPr>
        <w:rPr>
          <w:rFonts w:ascii="Arial" w:cs="Arial" w:eastAsia="Arial" w:hAnsi="Arial"/>
          <w:sz w:val="19"/>
          <w:szCs w:val="19"/>
          <w:color w:val="231F20"/>
        </w:rPr>
      </w:pPr>
      <w:r>
        <w:rPr>
          <w:rFonts w:ascii="Arial" w:cs="Arial" w:eastAsia="Arial" w:hAnsi="Arial"/>
          <w:sz w:val="19"/>
          <w:szCs w:val="19"/>
          <w:i w:val="1"/>
          <w:iCs w:val="1"/>
          <w:color w:val="231F20"/>
        </w:rPr>
        <w:t xml:space="preserve">FX Neutral Revenue Less Ancillary Services </w:t>
      </w:r>
      <w:r>
        <w:rPr>
          <w:rFonts w:ascii="Arial" w:cs="Arial" w:eastAsia="Arial" w:hAnsi="Arial"/>
          <w:sz w:val="19"/>
          <w:szCs w:val="19"/>
          <w:color w:val="231F20"/>
        </w:rPr>
        <w:t>- FX Neutral Revenue Less Ancillary Services represents Revenue</w:t>
      </w:r>
      <w:r>
        <w:rPr>
          <w:rFonts w:ascii="Arial" w:cs="Arial" w:eastAsia="Arial" w:hAnsi="Arial"/>
          <w:sz w:val="19"/>
          <w:szCs w:val="19"/>
          <w:i w:val="1"/>
          <w:iCs w:val="1"/>
          <w:color w:val="231F20"/>
        </w:rPr>
        <w:t xml:space="preserve"> </w:t>
      </w:r>
      <w:r>
        <w:rPr>
          <w:rFonts w:ascii="Arial" w:cs="Arial" w:eastAsia="Arial" w:hAnsi="Arial"/>
          <w:sz w:val="19"/>
          <w:szCs w:val="19"/>
          <w:color w:val="231F20"/>
        </w:rPr>
        <w:t>Less Ancillary Services adjusted to show presentation on a constant currency basis. The constant currency information presented is calculated by translating current period results using prior period weighted average foreign currency exchange rates. We analyze FX Neutral Revenue Less Ancillary Services to provide a comparable framework for assessing how the business performed excluding the effect of foreign currency fluctuations.</w:t>
      </w:r>
    </w:p>
    <w:p>
      <w:pPr>
        <w:spacing w:after="0" w:line="161" w:lineRule="exact"/>
        <w:rPr>
          <w:rFonts w:ascii="Arial" w:cs="Arial" w:eastAsia="Arial" w:hAnsi="Arial"/>
          <w:sz w:val="19"/>
          <w:szCs w:val="19"/>
          <w:color w:val="231F20"/>
        </w:rPr>
      </w:pPr>
    </w:p>
    <w:p>
      <w:pPr>
        <w:ind w:left="800" w:right="100" w:hanging="229"/>
        <w:spacing w:after="0" w:line="246" w:lineRule="auto"/>
        <w:tabs>
          <w:tab w:leader="none" w:pos="800" w:val="left"/>
        </w:tabs>
        <w:numPr>
          <w:ilvl w:val="0"/>
          <w:numId w:val="47"/>
        </w:numPr>
        <w:rPr>
          <w:rFonts w:ascii="Arial" w:cs="Arial" w:eastAsia="Arial" w:hAnsi="Arial"/>
          <w:sz w:val="19"/>
          <w:szCs w:val="19"/>
          <w:color w:val="231F20"/>
        </w:rPr>
      </w:pPr>
      <w:r>
        <w:rPr>
          <w:rFonts w:ascii="Arial" w:cs="Arial" w:eastAsia="Arial" w:hAnsi="Arial"/>
          <w:sz w:val="19"/>
          <w:szCs w:val="19"/>
          <w:i w:val="1"/>
          <w:iCs w:val="1"/>
          <w:color w:val="231F20"/>
        </w:rPr>
        <w:t xml:space="preserve">Adjusted Gross Profit </w:t>
      </w:r>
      <w:r>
        <w:rPr>
          <w:rFonts w:ascii="Arial" w:cs="Arial" w:eastAsia="Arial" w:hAnsi="Arial"/>
          <w:sz w:val="19"/>
          <w:szCs w:val="19"/>
          <w:color w:val="231F20"/>
        </w:rPr>
        <w:t>- Adjusted Gross Profit represents Revenue Less Ancillary Services, less cost of revenue</w:t>
      </w:r>
      <w:r>
        <w:rPr>
          <w:rFonts w:ascii="Arial" w:cs="Arial" w:eastAsia="Arial" w:hAnsi="Arial"/>
          <w:sz w:val="19"/>
          <w:szCs w:val="19"/>
          <w:i w:val="1"/>
          <w:iCs w:val="1"/>
          <w:color w:val="231F20"/>
        </w:rPr>
        <w:t xml:space="preserve"> </w:t>
      </w:r>
      <w:r>
        <w:rPr>
          <w:rFonts w:ascii="Arial" w:cs="Arial" w:eastAsia="Arial" w:hAnsi="Arial"/>
          <w:sz w:val="19"/>
          <w:szCs w:val="19"/>
          <w:color w:val="231F20"/>
        </w:rPr>
        <w:t>adjusted to (i) exclude pass-through cost for printing services, (ii) offset marketing fees against costs incurred and (iii) exclude depreciation and amortization, including accelerated amortization on the impairment of customer set-up costs tied to technology integration, if applicable. Management believes this presentation supplements the GAAP presentation of gross profit with a useful measure of the gross profit of our payment-related services, which are the primary services we provide to our clients.</w:t>
      </w:r>
    </w:p>
    <w:p>
      <w:pPr>
        <w:spacing w:after="0" w:line="161" w:lineRule="exact"/>
        <w:rPr>
          <w:rFonts w:ascii="Arial" w:cs="Arial" w:eastAsia="Arial" w:hAnsi="Arial"/>
          <w:sz w:val="19"/>
          <w:szCs w:val="19"/>
          <w:color w:val="231F20"/>
        </w:rPr>
      </w:pPr>
    </w:p>
    <w:p>
      <w:pPr>
        <w:ind w:left="800" w:right="40" w:hanging="229"/>
        <w:spacing w:after="0" w:line="251" w:lineRule="auto"/>
        <w:tabs>
          <w:tab w:leader="none" w:pos="800" w:val="left"/>
        </w:tabs>
        <w:numPr>
          <w:ilvl w:val="0"/>
          <w:numId w:val="47"/>
        </w:numPr>
        <w:rPr>
          <w:rFonts w:ascii="Arial" w:cs="Arial" w:eastAsia="Arial" w:hAnsi="Arial"/>
          <w:sz w:val="19"/>
          <w:szCs w:val="19"/>
          <w:color w:val="231F20"/>
        </w:rPr>
      </w:pPr>
      <w:r>
        <w:rPr>
          <w:rFonts w:ascii="Arial" w:cs="Arial" w:eastAsia="Arial" w:hAnsi="Arial"/>
          <w:sz w:val="19"/>
          <w:szCs w:val="19"/>
          <w:i w:val="1"/>
          <w:iCs w:val="1"/>
          <w:color w:val="231F20"/>
        </w:rPr>
        <w:t xml:space="preserve">Adjusted Gross Margin - </w:t>
      </w:r>
      <w:r>
        <w:rPr>
          <w:rFonts w:ascii="Arial" w:cs="Arial" w:eastAsia="Arial" w:hAnsi="Arial"/>
          <w:sz w:val="19"/>
          <w:szCs w:val="19"/>
          <w:color w:val="231F20"/>
        </w:rPr>
        <w:t>Adjusted Gross Margin represents Adjusted Gross Profit divided by Revenue Less</w:t>
      </w:r>
      <w:r>
        <w:rPr>
          <w:rFonts w:ascii="Arial" w:cs="Arial" w:eastAsia="Arial" w:hAnsi="Arial"/>
          <w:sz w:val="19"/>
          <w:szCs w:val="19"/>
          <w:i w:val="1"/>
          <w:iCs w:val="1"/>
          <w:color w:val="231F20"/>
        </w:rPr>
        <w:t xml:space="preserve"> </w:t>
      </w:r>
      <w:r>
        <w:rPr>
          <w:rFonts w:ascii="Arial" w:cs="Arial" w:eastAsia="Arial" w:hAnsi="Arial"/>
          <w:sz w:val="19"/>
          <w:szCs w:val="19"/>
          <w:color w:val="231F20"/>
        </w:rPr>
        <w:t>Ancillary Services. Management believes this presentation supplements the GAAP presentation of gross margin with a useful measure of the gross margin of our payment-related services, which are the primary services we provide to our clients.</w:t>
      </w:r>
    </w:p>
    <w:p>
      <w:pPr>
        <w:spacing w:after="0" w:line="156" w:lineRule="exact"/>
        <w:rPr>
          <w:rFonts w:ascii="Arial" w:cs="Arial" w:eastAsia="Arial" w:hAnsi="Arial"/>
          <w:sz w:val="19"/>
          <w:szCs w:val="19"/>
          <w:color w:val="231F20"/>
        </w:rPr>
      </w:pPr>
    </w:p>
    <w:p>
      <w:pPr>
        <w:ind w:left="800" w:hanging="229"/>
        <w:spacing w:after="0"/>
        <w:tabs>
          <w:tab w:leader="none" w:pos="800" w:val="left"/>
        </w:tabs>
        <w:numPr>
          <w:ilvl w:val="0"/>
          <w:numId w:val="47"/>
        </w:numPr>
        <w:rPr>
          <w:rFonts w:ascii="Arial" w:cs="Arial" w:eastAsia="Arial" w:hAnsi="Arial"/>
          <w:sz w:val="19"/>
          <w:szCs w:val="19"/>
          <w:color w:val="231F20"/>
        </w:rPr>
      </w:pPr>
      <w:r>
        <w:rPr>
          <w:rFonts w:ascii="Arial" w:cs="Arial" w:eastAsia="Arial" w:hAnsi="Arial"/>
          <w:sz w:val="19"/>
          <w:szCs w:val="19"/>
          <w:i w:val="1"/>
          <w:iCs w:val="1"/>
          <w:color w:val="231F20"/>
        </w:rPr>
        <w:t xml:space="preserve">EBITDA - </w:t>
      </w:r>
      <w:r>
        <w:rPr>
          <w:rFonts w:ascii="Arial" w:cs="Arial" w:eastAsia="Arial" w:hAnsi="Arial"/>
          <w:sz w:val="19"/>
          <w:szCs w:val="19"/>
          <w:color w:val="231F20"/>
        </w:rPr>
        <w:t>EBITDA represents our consolidated net income (loss) in accordance with GAAP adjusted to include</w:t>
      </w:r>
    </w:p>
    <w:p>
      <w:pPr>
        <w:spacing w:after="0" w:line="22" w:lineRule="exact"/>
        <w:rPr>
          <w:rFonts w:ascii="Arial" w:cs="Arial" w:eastAsia="Arial" w:hAnsi="Arial"/>
          <w:sz w:val="19"/>
          <w:szCs w:val="19"/>
          <w:color w:val="231F20"/>
        </w:rPr>
      </w:pPr>
    </w:p>
    <w:p>
      <w:pPr>
        <w:ind w:left="800" w:right="220"/>
        <w:spacing w:after="0" w:line="252" w:lineRule="auto"/>
        <w:rPr>
          <w:rFonts w:ascii="Arial" w:cs="Arial" w:eastAsia="Arial" w:hAnsi="Arial"/>
          <w:sz w:val="19"/>
          <w:szCs w:val="19"/>
          <w:color w:val="231F20"/>
        </w:rPr>
      </w:pPr>
      <w:r>
        <w:rPr>
          <w:rFonts w:ascii="Arial" w:cs="Arial" w:eastAsia="Arial" w:hAnsi="Arial"/>
          <w:sz w:val="19"/>
          <w:szCs w:val="19"/>
          <w:color w:val="231F20"/>
        </w:rPr>
        <w:t>(i) interest expense, (ii) interest income, (iii) (benefit from) provision for income taxes and (iv) depreciation and amortization.</w:t>
      </w:r>
    </w:p>
    <w:p>
      <w:pPr>
        <w:spacing w:after="0" w:line="153" w:lineRule="exact"/>
        <w:rPr>
          <w:rFonts w:ascii="Arial" w:cs="Arial" w:eastAsia="Arial" w:hAnsi="Arial"/>
          <w:sz w:val="19"/>
          <w:szCs w:val="19"/>
          <w:color w:val="231F20"/>
        </w:rPr>
      </w:pPr>
    </w:p>
    <w:p>
      <w:pPr>
        <w:ind w:left="800" w:right="180" w:hanging="229"/>
        <w:spacing w:after="0" w:line="307" w:lineRule="auto"/>
        <w:tabs>
          <w:tab w:leader="none" w:pos="800" w:val="left"/>
        </w:tabs>
        <w:numPr>
          <w:ilvl w:val="0"/>
          <w:numId w:val="47"/>
        </w:numPr>
        <w:rPr>
          <w:rFonts w:ascii="Arial" w:cs="Arial" w:eastAsia="Arial" w:hAnsi="Arial"/>
          <w:sz w:val="18"/>
          <w:szCs w:val="18"/>
          <w:color w:val="231F20"/>
        </w:rPr>
      </w:pPr>
      <w:r>
        <w:rPr>
          <w:rFonts w:ascii="Arial" w:cs="Arial" w:eastAsia="Arial" w:hAnsi="Arial"/>
          <w:sz w:val="18"/>
          <w:szCs w:val="18"/>
          <w:i w:val="1"/>
          <w:iCs w:val="1"/>
          <w:color w:val="231F20"/>
        </w:rPr>
        <w:t xml:space="preserve">Adjusted EBITDA </w:t>
      </w:r>
      <w:r>
        <w:rPr>
          <w:rFonts w:ascii="Arial" w:cs="Arial" w:eastAsia="Arial" w:hAnsi="Arial"/>
          <w:sz w:val="18"/>
          <w:szCs w:val="18"/>
          <w:color w:val="231F20"/>
        </w:rPr>
        <w:t>- Adjusted EBITDA represents EBITDA further adjusted by excluding (i) stock-based</w:t>
      </w:r>
      <w:r>
        <w:rPr>
          <w:rFonts w:ascii="Arial" w:cs="Arial" w:eastAsia="Arial" w:hAnsi="Arial"/>
          <w:sz w:val="18"/>
          <w:szCs w:val="18"/>
          <w:i w:val="1"/>
          <w:iCs w:val="1"/>
          <w:color w:val="231F20"/>
        </w:rPr>
        <w:t xml:space="preserve"> </w:t>
      </w:r>
      <w:r>
        <w:rPr>
          <w:rFonts w:ascii="Arial" w:cs="Arial" w:eastAsia="Arial" w:hAnsi="Arial"/>
          <w:sz w:val="18"/>
          <w:szCs w:val="18"/>
          <w:color w:val="231F20"/>
        </w:rPr>
        <w:t>compensation expense and related payroll taxes, (ii) the impact from the change in fair value measurement for</w:t>
      </w:r>
    </w:p>
    <w:p>
      <w:pPr>
        <w:sectPr>
          <w:pgSz w:w="12240" w:h="15840" w:orient="portrait"/>
          <w:cols w:equalWidth="0" w:num="1">
            <w:col w:w="10180"/>
          </w:cols>
          <w:pgMar w:left="1020" w:top="1440" w:right="1040" w:bottom="595"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93</w:t>
      </w:r>
    </w:p>
    <w:p>
      <w:pPr>
        <w:sectPr>
          <w:pgSz w:w="12240" w:h="15840" w:orient="portrait"/>
          <w:cols w:equalWidth="0" w:num="1">
            <w:col w:w="10180"/>
          </w:cols>
          <w:pgMar w:left="1020" w:top="1440" w:right="1040" w:bottom="595" w:gutter="0" w:footer="0" w:header="0"/>
          <w:type w:val="continuous"/>
        </w:sectPr>
      </w:pPr>
    </w:p>
    <w:bookmarkStart w:id="94" w:name="page95"/>
    <w:bookmarkEnd w:id="94"/>
    <w:p>
      <w:pPr>
        <w:spacing w:after="0" w:line="97" w:lineRule="exact"/>
        <w:rPr>
          <w:sz w:val="20"/>
          <w:szCs w:val="20"/>
          <w:color w:val="auto"/>
        </w:rPr>
      </w:pPr>
    </w:p>
    <w:p>
      <w:pPr>
        <w:ind w:left="800" w:right="40"/>
        <w:spacing w:after="0" w:line="248" w:lineRule="auto"/>
        <w:rPr>
          <w:sz w:val="20"/>
          <w:szCs w:val="20"/>
          <w:color w:val="auto"/>
        </w:rPr>
      </w:pPr>
      <w:r>
        <w:rPr>
          <w:rFonts w:ascii="Arial" w:cs="Arial" w:eastAsia="Arial" w:hAnsi="Arial"/>
          <w:sz w:val="19"/>
          <w:szCs w:val="19"/>
          <w:color w:val="231F20"/>
        </w:rPr>
        <w:t>contingent consideration associated with acquisitions, (iii) gain (loss) from the remeasurement of foreign currency, (iv) indirect taxes related to intercompany activity, (v) acquisition related transaction costs and (vi)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83" w:lineRule="exact"/>
        <w:rPr>
          <w:sz w:val="20"/>
          <w:szCs w:val="20"/>
          <w:color w:val="auto"/>
        </w:rPr>
      </w:pPr>
    </w:p>
    <w:p>
      <w:pPr>
        <w:ind w:left="920" w:right="280" w:hanging="458"/>
        <w:spacing w:after="0" w:line="251" w:lineRule="auto"/>
        <w:tabs>
          <w:tab w:leader="none" w:pos="920" w:val="left"/>
        </w:tabs>
        <w:numPr>
          <w:ilvl w:val="0"/>
          <w:numId w:val="48"/>
        </w:numPr>
        <w:rPr>
          <w:rFonts w:ascii="Arial" w:cs="Arial" w:eastAsia="Arial" w:hAnsi="Arial"/>
          <w:sz w:val="19"/>
          <w:szCs w:val="19"/>
          <w:color w:val="231F20"/>
        </w:rPr>
      </w:pPr>
      <w:r>
        <w:rPr>
          <w:rFonts w:ascii="Arial" w:cs="Arial" w:eastAsia="Arial" w:hAnsi="Arial"/>
          <w:sz w:val="19"/>
          <w:szCs w:val="19"/>
          <w:i w:val="1"/>
          <w:iCs w:val="1"/>
          <w:color w:val="231F20"/>
        </w:rPr>
        <w:t xml:space="preserve">Adjusted EBITDA Margin </w:t>
      </w:r>
      <w:r>
        <w:rPr>
          <w:rFonts w:ascii="Arial" w:cs="Arial" w:eastAsia="Arial" w:hAnsi="Arial"/>
          <w:sz w:val="19"/>
          <w:szCs w:val="19"/>
          <w:color w:val="231F20"/>
        </w:rPr>
        <w:t>- Adjusted EBITDA Margin represents Adjusted EBITDA divided by Revenue Less</w:t>
      </w:r>
      <w:r>
        <w:rPr>
          <w:rFonts w:ascii="Arial" w:cs="Arial" w:eastAsia="Arial" w:hAnsi="Arial"/>
          <w:sz w:val="19"/>
          <w:szCs w:val="19"/>
          <w:i w:val="1"/>
          <w:iCs w:val="1"/>
          <w:color w:val="231F20"/>
        </w:rPr>
        <w:t xml:space="preserve"> </w:t>
      </w:r>
      <w:r>
        <w:rPr>
          <w:rFonts w:ascii="Arial" w:cs="Arial" w:eastAsia="Arial" w:hAnsi="Arial"/>
          <w:sz w:val="19"/>
          <w:szCs w:val="19"/>
          <w:color w:val="231F20"/>
        </w:rPr>
        <w:t>Ancillary Services. Management believes this presentation supplements the GAAP presentation of gross margin with a useful measure of the gross margin of our payment-related services, which are the primary services we provide to our clients.</w:t>
      </w:r>
    </w:p>
    <w:p>
      <w:pPr>
        <w:spacing w:after="0" w:line="156" w:lineRule="exact"/>
        <w:rPr>
          <w:rFonts w:ascii="Arial" w:cs="Arial" w:eastAsia="Arial" w:hAnsi="Arial"/>
          <w:sz w:val="19"/>
          <w:szCs w:val="19"/>
          <w:color w:val="231F20"/>
        </w:rPr>
      </w:pPr>
    </w:p>
    <w:p>
      <w:pPr>
        <w:ind w:left="800" w:right="420" w:hanging="229"/>
        <w:spacing w:after="0" w:line="248" w:lineRule="auto"/>
        <w:tabs>
          <w:tab w:leader="none" w:pos="800" w:val="left"/>
        </w:tabs>
        <w:numPr>
          <w:ilvl w:val="1"/>
          <w:numId w:val="48"/>
        </w:numPr>
        <w:rPr>
          <w:rFonts w:ascii="Arial" w:cs="Arial" w:eastAsia="Arial" w:hAnsi="Arial"/>
          <w:sz w:val="19"/>
          <w:szCs w:val="19"/>
          <w:color w:val="231F20"/>
        </w:rPr>
      </w:pPr>
      <w:r>
        <w:rPr>
          <w:rFonts w:ascii="Arial" w:cs="Arial" w:eastAsia="Arial" w:hAnsi="Arial"/>
          <w:sz w:val="19"/>
          <w:szCs w:val="19"/>
          <w:i w:val="1"/>
          <w:iCs w:val="1"/>
          <w:color w:val="231F20"/>
        </w:rPr>
        <w:t xml:space="preserve">Non-GAAP Operating Expenses - </w:t>
      </w:r>
      <w:r>
        <w:rPr>
          <w:rFonts w:ascii="Arial" w:cs="Arial" w:eastAsia="Arial" w:hAnsi="Arial"/>
          <w:sz w:val="19"/>
          <w:szCs w:val="19"/>
          <w:color w:val="231F20"/>
        </w:rPr>
        <w:t>Non-GAAP Operating Expenses represents GAAP Operating Expenses</w:t>
      </w:r>
      <w:r>
        <w:rPr>
          <w:rFonts w:ascii="Arial" w:cs="Arial" w:eastAsia="Arial" w:hAnsi="Arial"/>
          <w:sz w:val="19"/>
          <w:szCs w:val="19"/>
          <w:i w:val="1"/>
          <w:iCs w:val="1"/>
          <w:color w:val="231F20"/>
        </w:rPr>
        <w:t xml:space="preserve"> </w:t>
      </w:r>
      <w:r>
        <w:rPr>
          <w:rFonts w:ascii="Arial" w:cs="Arial" w:eastAsia="Arial" w:hAnsi="Arial"/>
          <w:sz w:val="19"/>
          <w:szCs w:val="19"/>
          <w:color w:val="231F20"/>
        </w:rPr>
        <w:t>adjusted by excluding (i) stock-based compensation expense and related payroll taxes, (ii) depreciation and amortization, (iii) acquisition related transaction costs, (iv) employee retention costs, such as incentive compensation associated with acquisition activities and (v) the impact from the change in fair value measurement for contingent consideration associated with acquisitions.</w:t>
      </w:r>
    </w:p>
    <w:p>
      <w:pPr>
        <w:spacing w:after="0" w:line="309" w:lineRule="exact"/>
        <w:rPr>
          <w:sz w:val="20"/>
          <w:szCs w:val="20"/>
          <w:color w:val="auto"/>
        </w:rPr>
      </w:pPr>
    </w:p>
    <w:p>
      <w:pPr>
        <w:ind w:right="120" w:firstLine="463"/>
        <w:spacing w:after="0" w:line="244" w:lineRule="auto"/>
        <w:rPr>
          <w:sz w:val="20"/>
          <w:szCs w:val="20"/>
          <w:color w:val="auto"/>
        </w:rPr>
      </w:pPr>
      <w:r>
        <w:rPr>
          <w:rFonts w:ascii="Arial" w:cs="Arial" w:eastAsia="Arial" w:hAnsi="Arial"/>
          <w:sz w:val="19"/>
          <w:szCs w:val="19"/>
          <w:color w:val="231F20"/>
        </w:rPr>
        <w:t>These non-GAAP financial measures are not meant to be considered as indicators of performance in isolation from or as a substitute for revenue, gross margin or net income (loss) prepared in accordance with GAAP and should be read only in conjunction with financial information presented on a GAAP basis. Reconciliations of Revenue Less Ancillary Services, Adjusted Gross Profit, Adjusted Gross Margin, FX Neutral Revenue Less Ancillary Services, EBITDA, Adjusted EBITDA, Adjusted EBITDA Margin and Non-GAAP Operating Expenses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Reconciliations of Non-GAAP Financial Measures</w:t>
      </w:r>
    </w:p>
    <w:p>
      <w:pPr>
        <w:spacing w:after="0" w:line="184" w:lineRule="exact"/>
        <w:rPr>
          <w:sz w:val="20"/>
          <w:szCs w:val="20"/>
          <w:color w:val="auto"/>
        </w:rPr>
      </w:pPr>
    </w:p>
    <w:p>
      <w:pPr>
        <w:ind w:right="80" w:firstLine="463"/>
        <w:spacing w:after="0" w:line="270" w:lineRule="auto"/>
        <w:rPr>
          <w:sz w:val="20"/>
          <w:szCs w:val="20"/>
          <w:color w:val="auto"/>
        </w:rPr>
      </w:pPr>
      <w:r>
        <w:rPr>
          <w:rFonts w:ascii="Arial" w:cs="Arial" w:eastAsia="Arial" w:hAnsi="Arial"/>
          <w:sz w:val="18"/>
          <w:szCs w:val="18"/>
          <w:color w:val="231F20"/>
        </w:rPr>
        <w:t>The tables below provide reconciliations of Revenue Less Ancillary Services, Adjusted Gross Profit, Adjusted Gross Margin, FX Neutral Revenue Less Ancillary Services, EBITDA, Adjusted EBITDA, Adjusted EBITDA Margin and Non-GAAP Operating Expenses to the most comparable GAAP figure on a consolidated basis for the periods presented. All dollar amounts are rounded and as a result, certain amounts may not recalculate using the rounded amounts provided.</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Revenue Less Ancillary Services, Adjusted Gross Profit and Adjusted Gross Margin: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180" w:type="dxa"/>
            <w:vAlign w:val="bottom"/>
            <w:gridSpan w:val="2"/>
            <w:shd w:val="clear" w:color="auto" w:fill="FDFDFC"/>
          </w:tcPr>
          <w:p>
            <w:pPr>
              <w:jc w:val="center"/>
              <w:ind w:right="340"/>
              <w:spacing w:after="0"/>
              <w:rPr>
                <w:sz w:val="20"/>
                <w:szCs w:val="20"/>
                <w:color w:val="auto"/>
              </w:rPr>
            </w:pPr>
            <w:r>
              <w:rPr>
                <w:rFonts w:ascii="Arial" w:cs="Arial" w:eastAsia="Arial" w:hAnsi="Arial"/>
                <w:sz w:val="15"/>
                <w:szCs w:val="15"/>
                <w:b w:val="1"/>
                <w:bCs w:val="1"/>
                <w:color w:val="231F20"/>
              </w:rPr>
              <w:t>Year Ended</w:t>
            </w:r>
          </w:p>
        </w:tc>
        <w:tc>
          <w:tcPr>
            <w:tcW w:w="14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860" w:type="dxa"/>
            <w:vAlign w:val="bottom"/>
            <w:tcBorders>
              <w:bottom w:val="single" w:sz="8" w:color="FDFDFC"/>
            </w:tcBorders>
            <w:vMerge w:val="restart"/>
            <w:shd w:val="clear" w:color="auto" w:fill="FDFDFC"/>
          </w:tcPr>
          <w:p>
            <w:pPr>
              <w:spacing w:after="0"/>
              <w:rPr>
                <w:sz w:val="20"/>
                <w:szCs w:val="20"/>
                <w:color w:val="auto"/>
              </w:rPr>
            </w:pPr>
            <w:r>
              <w:rPr>
                <w:rFonts w:ascii="Arial" w:cs="Arial" w:eastAsia="Arial" w:hAnsi="Arial"/>
                <w:sz w:val="15"/>
                <w:szCs w:val="15"/>
                <w:b w:val="1"/>
                <w:bCs w:val="1"/>
                <w:color w:val="231F20"/>
              </w:rPr>
              <w:t>(dollars in millions)</w:t>
            </w:r>
          </w:p>
        </w:tc>
        <w:tc>
          <w:tcPr>
            <w:tcW w:w="160" w:type="dxa"/>
            <w:vAlign w:val="bottom"/>
            <w:tcBorders>
              <w:bottom w:val="single" w:sz="8" w:color="FDFDFC"/>
            </w:tcBorders>
            <w:shd w:val="clear" w:color="auto" w:fill="FDFDFC"/>
          </w:tcPr>
          <w:p>
            <w:pPr>
              <w:spacing w:after="0"/>
              <w:rPr>
                <w:sz w:val="16"/>
                <w:szCs w:val="16"/>
                <w:color w:val="auto"/>
              </w:rPr>
            </w:pPr>
          </w:p>
        </w:tc>
        <w:tc>
          <w:tcPr>
            <w:tcW w:w="240" w:type="dxa"/>
            <w:vAlign w:val="bottom"/>
            <w:tcBorders>
              <w:bottom w:val="single" w:sz="8" w:color="231F20"/>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c>
          <w:tcPr>
            <w:tcW w:w="200" w:type="dxa"/>
            <w:vAlign w:val="bottom"/>
            <w:tcBorders>
              <w:bottom w:val="single" w:sz="8" w:color="231F20"/>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300" w:type="dxa"/>
            <w:vAlign w:val="bottom"/>
            <w:tcBorders>
              <w:bottom w:val="single" w:sz="8" w:color="231F20"/>
            </w:tcBorders>
            <w:gridSpan w:val="3"/>
            <w:shd w:val="clear" w:color="auto" w:fill="FDFDFC"/>
          </w:tcPr>
          <w:p>
            <w:pPr>
              <w:jc w:val="center"/>
              <w:ind w:right="200"/>
              <w:spacing w:after="0"/>
              <w:rPr>
                <w:sz w:val="20"/>
                <w:szCs w:val="20"/>
                <w:color w:val="auto"/>
              </w:rPr>
            </w:pPr>
            <w:r>
              <w:rPr>
                <w:rFonts w:ascii="Arial" w:cs="Arial" w:eastAsia="Arial" w:hAnsi="Arial"/>
                <w:sz w:val="15"/>
                <w:szCs w:val="15"/>
                <w:b w:val="1"/>
                <w:bCs w:val="1"/>
                <w:color w:val="231F20"/>
              </w:rPr>
              <w:t>December 31,</w:t>
            </w:r>
          </w:p>
        </w:tc>
        <w:tc>
          <w:tcPr>
            <w:tcW w:w="140" w:type="dxa"/>
            <w:vAlign w:val="bottom"/>
            <w:tcBorders>
              <w:bottom w:val="single" w:sz="8" w:color="231F20"/>
            </w:tcBorders>
            <w:shd w:val="clear" w:color="auto" w:fill="FDFDFC"/>
          </w:tcPr>
          <w:p>
            <w:pPr>
              <w:spacing w:after="0"/>
              <w:rPr>
                <w:sz w:val="16"/>
                <w:szCs w:val="16"/>
                <w:color w:val="auto"/>
              </w:rPr>
            </w:pPr>
          </w:p>
        </w:tc>
        <w:tc>
          <w:tcPr>
            <w:tcW w:w="240" w:type="dxa"/>
            <w:vAlign w:val="bottom"/>
            <w:tcBorders>
              <w:bottom w:val="single" w:sz="8" w:color="231F20"/>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c>
          <w:tcPr>
            <w:tcW w:w="2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231F20"/>
            </w:tcBorders>
            <w:vMerge w:val="continue"/>
            <w:shd w:val="clear" w:color="auto" w:fill="FDFDFC"/>
          </w:tcPr>
          <w:p>
            <w:pPr>
              <w:spacing w:after="0"/>
              <w:rPr>
                <w:sz w:val="15"/>
                <w:szCs w:val="15"/>
                <w:color w:val="auto"/>
              </w:rPr>
            </w:pPr>
          </w:p>
        </w:tc>
        <w:tc>
          <w:tcPr>
            <w:tcW w:w="160" w:type="dxa"/>
            <w:vAlign w:val="bottom"/>
            <w:tcBorders>
              <w:bottom w:val="single" w:sz="8" w:color="D0EBF2"/>
            </w:tcBorders>
            <w:shd w:val="clear" w:color="auto" w:fill="FDFDFC"/>
          </w:tcPr>
          <w:p>
            <w:pPr>
              <w:spacing w:after="0"/>
              <w:rPr>
                <w:sz w:val="15"/>
                <w:szCs w:val="15"/>
                <w:color w:val="auto"/>
              </w:rPr>
            </w:pPr>
          </w:p>
        </w:tc>
        <w:tc>
          <w:tcPr>
            <w:tcW w:w="240" w:type="dxa"/>
            <w:vAlign w:val="bottom"/>
            <w:tcBorders>
              <w:bottom w:val="single" w:sz="8" w:color="231F20"/>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jc w:val="right"/>
              <w:ind w:right="307"/>
              <w:spacing w:after="0"/>
              <w:rPr>
                <w:sz w:val="20"/>
                <w:szCs w:val="20"/>
                <w:color w:val="auto"/>
              </w:rPr>
            </w:pPr>
            <w:r>
              <w:rPr>
                <w:rFonts w:ascii="Arial" w:cs="Arial" w:eastAsia="Arial" w:hAnsi="Arial"/>
                <w:sz w:val="15"/>
                <w:szCs w:val="15"/>
                <w:b w:val="1"/>
                <w:bCs w:val="1"/>
                <w:color w:val="231F20"/>
              </w:rPr>
              <w:t>2024</w:t>
            </w:r>
          </w:p>
        </w:tc>
        <w:tc>
          <w:tcPr>
            <w:tcW w:w="20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980" w:type="dxa"/>
            <w:vAlign w:val="bottom"/>
            <w:tcBorders>
              <w:bottom w:val="single" w:sz="8" w:color="231F20"/>
            </w:tcBorders>
            <w:shd w:val="clear" w:color="auto" w:fill="FDFDFC"/>
          </w:tcPr>
          <w:p>
            <w:pPr>
              <w:jc w:val="center"/>
              <w:ind w:right="28"/>
              <w:spacing w:after="0"/>
              <w:rPr>
                <w:sz w:val="20"/>
                <w:szCs w:val="20"/>
                <w:color w:val="auto"/>
              </w:rPr>
            </w:pPr>
            <w:r>
              <w:rPr>
                <w:rFonts w:ascii="Arial" w:cs="Arial" w:eastAsia="Arial" w:hAnsi="Arial"/>
                <w:sz w:val="15"/>
                <w:szCs w:val="15"/>
                <w:b w:val="1"/>
                <w:bCs w:val="1"/>
                <w:color w:val="231F20"/>
              </w:rPr>
              <w:t>2023</w:t>
            </w:r>
          </w:p>
        </w:tc>
        <w:tc>
          <w:tcPr>
            <w:tcW w:w="20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40" w:type="dxa"/>
            <w:vAlign w:val="bottom"/>
            <w:tcBorders>
              <w:bottom w:val="single" w:sz="8" w:color="231F20"/>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jc w:val="right"/>
              <w:ind w:right="287"/>
              <w:spacing w:after="0"/>
              <w:rPr>
                <w:sz w:val="20"/>
                <w:szCs w:val="20"/>
                <w:color w:val="auto"/>
              </w:rPr>
            </w:pPr>
            <w:r>
              <w:rPr>
                <w:rFonts w:ascii="Arial" w:cs="Arial" w:eastAsia="Arial" w:hAnsi="Arial"/>
                <w:sz w:val="15"/>
                <w:szCs w:val="15"/>
                <w:b w:val="1"/>
                <w:bCs w:val="1"/>
                <w:color w:val="231F20"/>
              </w:rPr>
              <w:t>2022</w:t>
            </w:r>
          </w:p>
        </w:tc>
        <w:tc>
          <w:tcPr>
            <w:tcW w:w="2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Revenue</w:t>
            </w:r>
          </w:p>
        </w:tc>
        <w:tc>
          <w:tcPr>
            <w:tcW w:w="160" w:type="dxa"/>
            <w:vAlign w:val="bottom"/>
            <w:shd w:val="clear" w:color="auto" w:fill="D0EBF2"/>
          </w:tcPr>
          <w:p>
            <w:pPr>
              <w:spacing w:after="0"/>
              <w:rPr>
                <w:sz w:val="19"/>
                <w:szCs w:val="19"/>
                <w:color w:val="auto"/>
              </w:rPr>
            </w:pPr>
          </w:p>
        </w:tc>
        <w:tc>
          <w:tcPr>
            <w:tcW w:w="240" w:type="dxa"/>
            <w:vAlign w:val="bottom"/>
            <w:shd w:val="clear" w:color="auto" w:fill="D0EBF2"/>
          </w:tcPr>
          <w:p>
            <w:pPr>
              <w:jc w:val="right"/>
              <w:ind w:right="46"/>
              <w:spacing w:after="0"/>
              <w:rPr>
                <w:sz w:val="20"/>
                <w:szCs w:val="20"/>
                <w:color w:val="auto"/>
              </w:rPr>
            </w:pPr>
            <w:r>
              <w:rPr>
                <w:rFonts w:ascii="Arial" w:cs="Arial" w:eastAsia="Arial" w:hAnsi="Arial"/>
                <w:sz w:val="19"/>
                <w:szCs w:val="19"/>
                <w:color w:val="231F20"/>
                <w:w w:val="75"/>
              </w:rPr>
              <w:t>$</w:t>
            </w:r>
          </w:p>
        </w:tc>
        <w:tc>
          <w:tcPr>
            <w:tcW w:w="8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492.1</w:t>
            </w:r>
          </w:p>
        </w:tc>
        <w:tc>
          <w:tcPr>
            <w:tcW w:w="2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9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403.1</w:t>
            </w:r>
          </w:p>
        </w:tc>
        <w:tc>
          <w:tcPr>
            <w:tcW w:w="2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40" w:type="dxa"/>
            <w:vAlign w:val="bottom"/>
            <w:shd w:val="clear" w:color="auto" w:fill="D0EBF2"/>
          </w:tcPr>
          <w:p>
            <w:pPr>
              <w:jc w:val="right"/>
              <w:ind w:right="46"/>
              <w:spacing w:after="0"/>
              <w:rPr>
                <w:sz w:val="20"/>
                <w:szCs w:val="20"/>
                <w:color w:val="auto"/>
              </w:rPr>
            </w:pPr>
            <w:r>
              <w:rPr>
                <w:rFonts w:ascii="Arial" w:cs="Arial" w:eastAsia="Arial" w:hAnsi="Arial"/>
                <w:sz w:val="19"/>
                <w:szCs w:val="19"/>
                <w:color w:val="231F20"/>
                <w:w w:val="75"/>
              </w:rPr>
              <w:t>$</w:t>
            </w:r>
          </w:p>
        </w:tc>
        <w:tc>
          <w:tcPr>
            <w:tcW w:w="8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289.4</w:t>
            </w:r>
          </w:p>
        </w:tc>
        <w:tc>
          <w:tcPr>
            <w:tcW w:w="2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spacing w:after="0"/>
              <w:rPr>
                <w:sz w:val="20"/>
                <w:szCs w:val="20"/>
                <w:color w:val="auto"/>
              </w:rPr>
            </w:pPr>
            <w:r>
              <w:rPr>
                <w:rFonts w:ascii="Arial" w:cs="Arial" w:eastAsia="Arial" w:hAnsi="Arial"/>
                <w:sz w:val="19"/>
                <w:szCs w:val="19"/>
                <w:color w:val="231F20"/>
              </w:rPr>
              <w:t>Adjusted to exclude gross up for:</w:t>
            </w:r>
          </w:p>
        </w:tc>
        <w:tc>
          <w:tcPr>
            <w:tcW w:w="16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86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98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86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Pass-through cost for printing and mailing</w:t>
            </w:r>
          </w:p>
        </w:tc>
        <w:tc>
          <w:tcPr>
            <w:tcW w:w="16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140"/>
              <w:spacing w:after="0"/>
              <w:rPr>
                <w:sz w:val="20"/>
                <w:szCs w:val="20"/>
                <w:color w:val="auto"/>
              </w:rPr>
            </w:pPr>
            <w:r>
              <w:rPr>
                <w:rFonts w:ascii="Arial" w:cs="Arial" w:eastAsia="Arial" w:hAnsi="Arial"/>
                <w:sz w:val="19"/>
                <w:szCs w:val="19"/>
                <w:color w:val="231F20"/>
              </w:rPr>
              <w:t>(15.9)</w:t>
            </w: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180" w:type="dxa"/>
            <w:vAlign w:val="bottom"/>
            <w:gridSpan w:val="2"/>
            <w:shd w:val="clear" w:color="auto" w:fill="D0EBF2"/>
          </w:tcPr>
          <w:p>
            <w:pPr>
              <w:jc w:val="right"/>
              <w:ind w:right="140"/>
              <w:spacing w:after="0"/>
              <w:rPr>
                <w:sz w:val="20"/>
                <w:szCs w:val="20"/>
                <w:color w:val="auto"/>
              </w:rPr>
            </w:pPr>
            <w:r>
              <w:rPr>
                <w:rFonts w:ascii="Arial" w:cs="Arial" w:eastAsia="Arial" w:hAnsi="Arial"/>
                <w:sz w:val="19"/>
                <w:szCs w:val="19"/>
                <w:color w:val="231F20"/>
              </w:rPr>
              <w:t>(19.4)</w:t>
            </w:r>
          </w:p>
        </w:tc>
        <w:tc>
          <w:tcPr>
            <w:tcW w:w="14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120"/>
              <w:spacing w:after="0"/>
              <w:rPr>
                <w:sz w:val="20"/>
                <w:szCs w:val="20"/>
                <w:color w:val="auto"/>
              </w:rPr>
            </w:pPr>
            <w:r>
              <w:rPr>
                <w:rFonts w:ascii="Arial" w:cs="Arial" w:eastAsia="Arial" w:hAnsi="Arial"/>
                <w:sz w:val="19"/>
                <w:szCs w:val="19"/>
                <w:color w:val="231F20"/>
              </w:rPr>
              <w:t>(20.4)</w:t>
            </w: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Marketing fees</w:t>
            </w:r>
          </w:p>
        </w:tc>
        <w:tc>
          <w:tcPr>
            <w:tcW w:w="16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140"/>
              <w:spacing w:after="0"/>
              <w:rPr>
                <w:sz w:val="20"/>
                <w:szCs w:val="20"/>
                <w:color w:val="auto"/>
              </w:rPr>
            </w:pPr>
            <w:r>
              <w:rPr>
                <w:rFonts w:ascii="Arial" w:cs="Arial" w:eastAsia="Arial" w:hAnsi="Arial"/>
                <w:sz w:val="19"/>
                <w:szCs w:val="19"/>
                <w:color w:val="231F20"/>
              </w:rPr>
              <w:t>(2.0)</w:t>
            </w: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180" w:type="dxa"/>
            <w:vAlign w:val="bottom"/>
            <w:gridSpan w:val="2"/>
            <w:shd w:val="clear" w:color="auto" w:fill="FDFDFC"/>
          </w:tcPr>
          <w:p>
            <w:pPr>
              <w:jc w:val="right"/>
              <w:ind w:right="140"/>
              <w:spacing w:after="0"/>
              <w:rPr>
                <w:sz w:val="20"/>
                <w:szCs w:val="20"/>
                <w:color w:val="auto"/>
              </w:rPr>
            </w:pPr>
            <w:r>
              <w:rPr>
                <w:rFonts w:ascii="Arial" w:cs="Arial" w:eastAsia="Arial" w:hAnsi="Arial"/>
                <w:sz w:val="19"/>
                <w:szCs w:val="19"/>
                <w:color w:val="231F20"/>
              </w:rPr>
              <w:t>(2.2)</w:t>
            </w:r>
          </w:p>
        </w:tc>
        <w:tc>
          <w:tcPr>
            <w:tcW w:w="14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120"/>
              <w:spacing w:after="0"/>
              <w:rPr>
                <w:sz w:val="20"/>
                <w:szCs w:val="20"/>
                <w:color w:val="auto"/>
              </w:rPr>
            </w:pPr>
            <w:r>
              <w:rPr>
                <w:rFonts w:ascii="Arial" w:cs="Arial" w:eastAsia="Arial" w:hAnsi="Arial"/>
                <w:sz w:val="19"/>
                <w:szCs w:val="19"/>
                <w:color w:val="231F20"/>
              </w:rPr>
              <w:t>(1.9)</w:t>
            </w:r>
          </w:p>
        </w:tc>
        <w:tc>
          <w:tcPr>
            <w:tcW w:w="0" w:type="dxa"/>
            <w:vAlign w:val="bottom"/>
          </w:tcPr>
          <w:p>
            <w:pPr>
              <w:spacing w:after="0"/>
              <w:rPr>
                <w:sz w:val="1"/>
                <w:szCs w:val="1"/>
                <w:color w:val="auto"/>
              </w:rPr>
            </w:pPr>
          </w:p>
        </w:tc>
      </w:tr>
      <w:tr>
        <w:trPr>
          <w:trHeight w:val="260"/>
        </w:trPr>
        <w:tc>
          <w:tcPr>
            <w:tcW w:w="5860" w:type="dxa"/>
            <w:vAlign w:val="bottom"/>
            <w:tcBorders>
              <w:top w:val="single" w:sz="8" w:color="D0EBF2"/>
              <w:bottom w:val="single" w:sz="8" w:color="FDFDFC"/>
            </w:tcBorders>
            <w:shd w:val="clear" w:color="auto" w:fill="D0EBF2"/>
          </w:tcPr>
          <w:p>
            <w:pPr>
              <w:spacing w:after="0"/>
              <w:rPr>
                <w:sz w:val="20"/>
                <w:szCs w:val="20"/>
                <w:color w:val="auto"/>
              </w:rPr>
            </w:pPr>
            <w:r>
              <w:rPr>
                <w:rFonts w:ascii="Arial" w:cs="Arial" w:eastAsia="Arial" w:hAnsi="Arial"/>
                <w:sz w:val="19"/>
                <w:szCs w:val="19"/>
                <w:color w:val="231F20"/>
              </w:rPr>
              <w:t>Revenue Less Ancillary Services</w:t>
            </w:r>
          </w:p>
        </w:tc>
        <w:tc>
          <w:tcPr>
            <w:tcW w:w="160" w:type="dxa"/>
            <w:vAlign w:val="bottom"/>
            <w:tcBorders>
              <w:top w:val="single" w:sz="8" w:color="D0EBF2"/>
              <w:bottom w:val="single" w:sz="8" w:color="FDFDFC"/>
            </w:tcBorders>
            <w:shd w:val="clear" w:color="auto" w:fill="D0EBF2"/>
          </w:tcPr>
          <w:p>
            <w:pPr>
              <w:spacing w:after="0"/>
              <w:rPr>
                <w:sz w:val="22"/>
                <w:szCs w:val="22"/>
                <w:color w:val="auto"/>
              </w:rPr>
            </w:pPr>
          </w:p>
        </w:tc>
        <w:tc>
          <w:tcPr>
            <w:tcW w:w="240" w:type="dxa"/>
            <w:vAlign w:val="bottom"/>
            <w:tcBorders>
              <w:top w:val="single" w:sz="8" w:color="231F20"/>
              <w:bottom w:val="single" w:sz="8" w:color="231F20"/>
            </w:tcBorders>
            <w:shd w:val="clear" w:color="auto" w:fill="D0EBF2"/>
          </w:tcPr>
          <w:p>
            <w:pPr>
              <w:jc w:val="right"/>
              <w:ind w:right="46"/>
              <w:spacing w:after="0"/>
              <w:rPr>
                <w:sz w:val="20"/>
                <w:szCs w:val="20"/>
                <w:color w:val="auto"/>
              </w:rPr>
            </w:pPr>
            <w:r>
              <w:rPr>
                <w:rFonts w:ascii="Arial" w:cs="Arial" w:eastAsia="Arial" w:hAnsi="Arial"/>
                <w:sz w:val="19"/>
                <w:szCs w:val="19"/>
                <w:color w:val="231F20"/>
                <w:w w:val="75"/>
              </w:rPr>
              <w:t>$</w:t>
            </w:r>
          </w:p>
        </w:tc>
        <w:tc>
          <w:tcPr>
            <w:tcW w:w="86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474.2</w:t>
            </w:r>
          </w:p>
        </w:tc>
        <w:tc>
          <w:tcPr>
            <w:tcW w:w="200" w:type="dxa"/>
            <w:vAlign w:val="bottom"/>
            <w:tcBorders>
              <w:top w:val="single" w:sz="8" w:color="D0EBF2"/>
              <w:bottom w:val="single" w:sz="8" w:color="FDFDFC"/>
            </w:tcBorders>
            <w:shd w:val="clear" w:color="auto" w:fill="D0EBF2"/>
          </w:tcPr>
          <w:p>
            <w:pPr>
              <w:spacing w:after="0"/>
              <w:rPr>
                <w:sz w:val="22"/>
                <w:szCs w:val="22"/>
                <w:color w:val="auto"/>
              </w:rPr>
            </w:pPr>
          </w:p>
        </w:tc>
        <w:tc>
          <w:tcPr>
            <w:tcW w:w="140" w:type="dxa"/>
            <w:vAlign w:val="bottom"/>
            <w:tcBorders>
              <w:top w:val="single" w:sz="8" w:color="D0EBF2"/>
              <w:bottom w:val="single" w:sz="8" w:color="FDFDFC"/>
            </w:tcBorders>
            <w:shd w:val="clear" w:color="auto" w:fill="D0EBF2"/>
          </w:tcPr>
          <w:p>
            <w:pPr>
              <w:spacing w:after="0"/>
              <w:rPr>
                <w:sz w:val="22"/>
                <w:szCs w:val="22"/>
                <w:color w:val="auto"/>
              </w:rPr>
            </w:pPr>
          </w:p>
        </w:tc>
        <w:tc>
          <w:tcPr>
            <w:tcW w:w="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9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381.5</w:t>
            </w:r>
          </w:p>
        </w:tc>
        <w:tc>
          <w:tcPr>
            <w:tcW w:w="200" w:type="dxa"/>
            <w:vAlign w:val="bottom"/>
            <w:tcBorders>
              <w:top w:val="single" w:sz="8" w:color="D0EBF2"/>
              <w:bottom w:val="single" w:sz="8" w:color="FDFDFC"/>
            </w:tcBorders>
            <w:shd w:val="clear" w:color="auto" w:fill="D0EBF2"/>
          </w:tcPr>
          <w:p>
            <w:pPr>
              <w:spacing w:after="0"/>
              <w:rPr>
                <w:sz w:val="22"/>
                <w:szCs w:val="22"/>
                <w:color w:val="auto"/>
              </w:rPr>
            </w:pPr>
          </w:p>
        </w:tc>
        <w:tc>
          <w:tcPr>
            <w:tcW w:w="140" w:type="dxa"/>
            <w:vAlign w:val="bottom"/>
            <w:tcBorders>
              <w:top w:val="single" w:sz="8" w:color="D0EBF2"/>
              <w:bottom w:val="single" w:sz="8" w:color="FDFDFC"/>
            </w:tcBorders>
            <w:shd w:val="clear" w:color="auto" w:fill="D0EBF2"/>
          </w:tcPr>
          <w:p>
            <w:pPr>
              <w:spacing w:after="0"/>
              <w:rPr>
                <w:sz w:val="22"/>
                <w:szCs w:val="22"/>
                <w:color w:val="auto"/>
              </w:rPr>
            </w:pPr>
          </w:p>
        </w:tc>
        <w:tc>
          <w:tcPr>
            <w:tcW w:w="240" w:type="dxa"/>
            <w:vAlign w:val="bottom"/>
            <w:tcBorders>
              <w:top w:val="single" w:sz="8" w:color="231F20"/>
              <w:bottom w:val="single" w:sz="8" w:color="231F20"/>
            </w:tcBorders>
            <w:shd w:val="clear" w:color="auto" w:fill="D0EBF2"/>
          </w:tcPr>
          <w:p>
            <w:pPr>
              <w:jc w:val="right"/>
              <w:ind w:right="46"/>
              <w:spacing w:after="0"/>
              <w:rPr>
                <w:sz w:val="20"/>
                <w:szCs w:val="20"/>
                <w:color w:val="auto"/>
              </w:rPr>
            </w:pPr>
            <w:r>
              <w:rPr>
                <w:rFonts w:ascii="Arial" w:cs="Arial" w:eastAsia="Arial" w:hAnsi="Arial"/>
                <w:sz w:val="19"/>
                <w:szCs w:val="19"/>
                <w:color w:val="231F20"/>
                <w:w w:val="75"/>
              </w:rPr>
              <w:t>$</w:t>
            </w:r>
          </w:p>
        </w:tc>
        <w:tc>
          <w:tcPr>
            <w:tcW w:w="86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267.1</w:t>
            </w:r>
          </w:p>
        </w:tc>
        <w:tc>
          <w:tcPr>
            <w:tcW w:w="200" w:type="dxa"/>
            <w:vAlign w:val="bottom"/>
            <w:tcBorders>
              <w:top w:val="single" w:sz="8" w:color="D0EBF2"/>
              <w:bottom w:val="single" w:sz="8" w:color="FDFDFC"/>
            </w:tcBorders>
            <w:shd w:val="clear" w:color="auto" w:fill="D0EBF2"/>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FDFDFC"/>
          </w:tcPr>
          <w:p>
            <w:pPr>
              <w:spacing w:after="0" w:line="213" w:lineRule="exact"/>
              <w:rPr>
                <w:sz w:val="20"/>
                <w:szCs w:val="20"/>
                <w:color w:val="auto"/>
              </w:rPr>
            </w:pPr>
            <w:r>
              <w:rPr>
                <w:rFonts w:ascii="Arial" w:cs="Arial" w:eastAsia="Arial" w:hAnsi="Arial"/>
                <w:sz w:val="19"/>
                <w:szCs w:val="19"/>
                <w:color w:val="231F20"/>
              </w:rPr>
              <w:t>Payment processing services costs</w:t>
            </w:r>
          </w:p>
        </w:tc>
        <w:tc>
          <w:tcPr>
            <w:tcW w:w="16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860" w:type="dxa"/>
            <w:vAlign w:val="bottom"/>
            <w:shd w:val="clear" w:color="auto" w:fill="FDFDFC"/>
          </w:tcPr>
          <w:p>
            <w:pPr>
              <w:jc w:val="right"/>
              <w:spacing w:after="0" w:line="213" w:lineRule="exact"/>
              <w:rPr>
                <w:sz w:val="20"/>
                <w:szCs w:val="20"/>
                <w:color w:val="auto"/>
              </w:rPr>
            </w:pPr>
            <w:r>
              <w:rPr>
                <w:rFonts w:ascii="Arial" w:cs="Arial" w:eastAsia="Arial" w:hAnsi="Arial"/>
                <w:sz w:val="19"/>
                <w:szCs w:val="19"/>
                <w:color w:val="231F20"/>
              </w:rPr>
              <w:t>177.5</w:t>
            </w:r>
          </w:p>
        </w:tc>
        <w:tc>
          <w:tcPr>
            <w:tcW w:w="2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80" w:type="dxa"/>
            <w:vAlign w:val="bottom"/>
            <w:shd w:val="clear" w:color="auto" w:fill="FDFDFC"/>
          </w:tcPr>
          <w:p>
            <w:pPr>
              <w:jc w:val="right"/>
              <w:spacing w:after="0" w:line="213" w:lineRule="exact"/>
              <w:rPr>
                <w:sz w:val="20"/>
                <w:szCs w:val="20"/>
                <w:color w:val="auto"/>
              </w:rPr>
            </w:pPr>
            <w:r>
              <w:rPr>
                <w:rFonts w:ascii="Arial" w:cs="Arial" w:eastAsia="Arial" w:hAnsi="Arial"/>
                <w:sz w:val="19"/>
                <w:szCs w:val="19"/>
                <w:color w:val="231F20"/>
              </w:rPr>
              <w:t>147.3</w:t>
            </w:r>
          </w:p>
        </w:tc>
        <w:tc>
          <w:tcPr>
            <w:tcW w:w="2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860" w:type="dxa"/>
            <w:vAlign w:val="bottom"/>
            <w:shd w:val="clear" w:color="auto" w:fill="FDFDFC"/>
          </w:tcPr>
          <w:p>
            <w:pPr>
              <w:jc w:val="right"/>
              <w:spacing w:after="0" w:line="213" w:lineRule="exact"/>
              <w:rPr>
                <w:sz w:val="20"/>
                <w:szCs w:val="20"/>
                <w:color w:val="auto"/>
              </w:rPr>
            </w:pPr>
            <w:r>
              <w:rPr>
                <w:rFonts w:ascii="Arial" w:cs="Arial" w:eastAsia="Arial" w:hAnsi="Arial"/>
                <w:sz w:val="19"/>
                <w:szCs w:val="19"/>
                <w:color w:val="231F20"/>
              </w:rPr>
              <w:t>107.9</w:t>
            </w:r>
          </w:p>
        </w:tc>
        <w:tc>
          <w:tcPr>
            <w:tcW w:w="2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D0EBF2"/>
          </w:tcPr>
          <w:p>
            <w:pPr>
              <w:spacing w:after="0" w:line="213" w:lineRule="exact"/>
              <w:rPr>
                <w:sz w:val="20"/>
                <w:szCs w:val="20"/>
                <w:color w:val="auto"/>
              </w:rPr>
            </w:pPr>
            <w:r>
              <w:rPr>
                <w:rFonts w:ascii="Arial" w:cs="Arial" w:eastAsia="Arial" w:hAnsi="Arial"/>
                <w:sz w:val="19"/>
                <w:szCs w:val="19"/>
                <w:color w:val="231F20"/>
              </w:rPr>
              <w:t>Hosting and amortization costs within technology and development</w:t>
            </w:r>
          </w:p>
        </w:tc>
        <w:tc>
          <w:tcPr>
            <w:tcW w:w="16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86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7.7</w:t>
            </w:r>
          </w:p>
        </w:tc>
        <w:tc>
          <w:tcPr>
            <w:tcW w:w="2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98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8.4</w:t>
            </w:r>
          </w:p>
        </w:tc>
        <w:tc>
          <w:tcPr>
            <w:tcW w:w="2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86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6.6</w:t>
            </w:r>
          </w:p>
        </w:tc>
        <w:tc>
          <w:tcPr>
            <w:tcW w:w="2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60" w:type="dxa"/>
            <w:vAlign w:val="bottom"/>
            <w:tcBorders>
              <w:bottom w:val="single" w:sz="8" w:color="FDFDFC"/>
            </w:tcBorders>
            <w:shd w:val="clear" w:color="auto" w:fill="D0EBF2"/>
          </w:tcPr>
          <w:p>
            <w:pPr>
              <w:ind w:left="160"/>
              <w:spacing w:after="0"/>
              <w:rPr>
                <w:sz w:val="20"/>
                <w:szCs w:val="20"/>
                <w:color w:val="auto"/>
              </w:rPr>
            </w:pPr>
            <w:r>
              <w:rPr>
                <w:rFonts w:ascii="Arial" w:cs="Arial" w:eastAsia="Arial" w:hAnsi="Arial"/>
                <w:sz w:val="19"/>
                <w:szCs w:val="19"/>
                <w:color w:val="231F20"/>
              </w:rPr>
              <w:t>expenses</w:t>
            </w:r>
          </w:p>
        </w:tc>
        <w:tc>
          <w:tcPr>
            <w:tcW w:w="160" w:type="dxa"/>
            <w:vAlign w:val="bottom"/>
            <w:tcBorders>
              <w:bottom w:val="single" w:sz="8" w:color="FDFDFC"/>
            </w:tcBorders>
            <w:shd w:val="clear" w:color="auto" w:fill="D0EBF2"/>
          </w:tcPr>
          <w:p>
            <w:pPr>
              <w:spacing w:after="0"/>
              <w:rPr>
                <w:sz w:val="20"/>
                <w:szCs w:val="20"/>
                <w:color w:val="auto"/>
              </w:rPr>
            </w:pPr>
          </w:p>
        </w:tc>
        <w:tc>
          <w:tcPr>
            <w:tcW w:w="240" w:type="dxa"/>
            <w:vAlign w:val="bottom"/>
            <w:tcBorders>
              <w:bottom w:val="single" w:sz="8" w:color="231F20"/>
            </w:tcBorders>
            <w:shd w:val="clear" w:color="auto" w:fill="D0EBF2"/>
          </w:tcPr>
          <w:p>
            <w:pPr>
              <w:spacing w:after="0"/>
              <w:rPr>
                <w:sz w:val="20"/>
                <w:szCs w:val="20"/>
                <w:color w:val="auto"/>
              </w:rPr>
            </w:pPr>
          </w:p>
        </w:tc>
        <w:tc>
          <w:tcPr>
            <w:tcW w:w="860" w:type="dxa"/>
            <w:vAlign w:val="bottom"/>
            <w:tcBorders>
              <w:bottom w:val="single" w:sz="8" w:color="231F20"/>
            </w:tcBorders>
            <w:vMerge w:val="continue"/>
            <w:shd w:val="clear" w:color="auto" w:fill="D0EBF2"/>
          </w:tcPr>
          <w:p>
            <w:pPr>
              <w:spacing w:after="0"/>
              <w:rPr>
                <w:sz w:val="20"/>
                <w:szCs w:val="20"/>
                <w:color w:val="auto"/>
              </w:rPr>
            </w:pPr>
          </w:p>
        </w:tc>
        <w:tc>
          <w:tcPr>
            <w:tcW w:w="200" w:type="dxa"/>
            <w:vAlign w:val="bottom"/>
            <w:tcBorders>
              <w:bottom w:val="single" w:sz="8" w:color="FDFDFC"/>
            </w:tcBorders>
            <w:shd w:val="clear" w:color="auto" w:fill="D0EBF2"/>
          </w:tcPr>
          <w:p>
            <w:pPr>
              <w:spacing w:after="0"/>
              <w:rPr>
                <w:sz w:val="20"/>
                <w:szCs w:val="20"/>
                <w:color w:val="auto"/>
              </w:rPr>
            </w:pPr>
          </w:p>
        </w:tc>
        <w:tc>
          <w:tcPr>
            <w:tcW w:w="140" w:type="dxa"/>
            <w:vAlign w:val="bottom"/>
            <w:tcBorders>
              <w:bottom w:val="single" w:sz="8" w:color="FDFDFC"/>
            </w:tcBorders>
            <w:shd w:val="clear" w:color="auto" w:fill="D0EBF2"/>
          </w:tcPr>
          <w:p>
            <w:pPr>
              <w:spacing w:after="0"/>
              <w:rPr>
                <w:sz w:val="20"/>
                <w:szCs w:val="20"/>
                <w:color w:val="auto"/>
              </w:rPr>
            </w:pPr>
          </w:p>
        </w:tc>
        <w:tc>
          <w:tcPr>
            <w:tcW w:w="120" w:type="dxa"/>
            <w:vAlign w:val="bottom"/>
            <w:tcBorders>
              <w:bottom w:val="single" w:sz="8" w:color="231F20"/>
            </w:tcBorders>
            <w:shd w:val="clear" w:color="auto" w:fill="D0EBF2"/>
          </w:tcPr>
          <w:p>
            <w:pPr>
              <w:spacing w:after="0"/>
              <w:rPr>
                <w:sz w:val="20"/>
                <w:szCs w:val="20"/>
                <w:color w:val="auto"/>
              </w:rPr>
            </w:pPr>
          </w:p>
        </w:tc>
        <w:tc>
          <w:tcPr>
            <w:tcW w:w="980" w:type="dxa"/>
            <w:vAlign w:val="bottom"/>
            <w:tcBorders>
              <w:bottom w:val="single" w:sz="8" w:color="231F20"/>
            </w:tcBorders>
            <w:vMerge w:val="continue"/>
            <w:shd w:val="clear" w:color="auto" w:fill="D0EBF2"/>
          </w:tcPr>
          <w:p>
            <w:pPr>
              <w:spacing w:after="0"/>
              <w:rPr>
                <w:sz w:val="20"/>
                <w:szCs w:val="20"/>
                <w:color w:val="auto"/>
              </w:rPr>
            </w:pPr>
          </w:p>
        </w:tc>
        <w:tc>
          <w:tcPr>
            <w:tcW w:w="200" w:type="dxa"/>
            <w:vAlign w:val="bottom"/>
            <w:tcBorders>
              <w:bottom w:val="single" w:sz="8" w:color="FDFDFC"/>
            </w:tcBorders>
            <w:shd w:val="clear" w:color="auto" w:fill="D0EBF2"/>
          </w:tcPr>
          <w:p>
            <w:pPr>
              <w:spacing w:after="0"/>
              <w:rPr>
                <w:sz w:val="20"/>
                <w:szCs w:val="20"/>
                <w:color w:val="auto"/>
              </w:rPr>
            </w:pPr>
          </w:p>
        </w:tc>
        <w:tc>
          <w:tcPr>
            <w:tcW w:w="140" w:type="dxa"/>
            <w:vAlign w:val="bottom"/>
            <w:tcBorders>
              <w:bottom w:val="single" w:sz="8" w:color="FDFDFC"/>
            </w:tcBorders>
            <w:shd w:val="clear" w:color="auto" w:fill="D0EBF2"/>
          </w:tcPr>
          <w:p>
            <w:pPr>
              <w:spacing w:after="0"/>
              <w:rPr>
                <w:sz w:val="20"/>
                <w:szCs w:val="20"/>
                <w:color w:val="auto"/>
              </w:rPr>
            </w:pPr>
          </w:p>
        </w:tc>
        <w:tc>
          <w:tcPr>
            <w:tcW w:w="240" w:type="dxa"/>
            <w:vAlign w:val="bottom"/>
            <w:tcBorders>
              <w:bottom w:val="single" w:sz="8" w:color="231F20"/>
            </w:tcBorders>
            <w:shd w:val="clear" w:color="auto" w:fill="D0EBF2"/>
          </w:tcPr>
          <w:p>
            <w:pPr>
              <w:spacing w:after="0"/>
              <w:rPr>
                <w:sz w:val="20"/>
                <w:szCs w:val="20"/>
                <w:color w:val="auto"/>
              </w:rPr>
            </w:pPr>
          </w:p>
        </w:tc>
        <w:tc>
          <w:tcPr>
            <w:tcW w:w="860" w:type="dxa"/>
            <w:vAlign w:val="bottom"/>
            <w:tcBorders>
              <w:bottom w:val="single" w:sz="8" w:color="231F20"/>
            </w:tcBorders>
            <w:vMerge w:val="continue"/>
            <w:shd w:val="clear" w:color="auto" w:fill="D0EBF2"/>
          </w:tcPr>
          <w:p>
            <w:pPr>
              <w:spacing w:after="0"/>
              <w:rPr>
                <w:sz w:val="20"/>
                <w:szCs w:val="20"/>
                <w:color w:val="auto"/>
              </w:rPr>
            </w:pPr>
          </w:p>
        </w:tc>
        <w:tc>
          <w:tcPr>
            <w:tcW w:w="200" w:type="dxa"/>
            <w:vAlign w:val="bottom"/>
            <w:tcBorders>
              <w:bottom w:val="single" w:sz="8" w:color="FDFDFC"/>
            </w:tcBorders>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86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9"/>
                <w:szCs w:val="19"/>
                <w:color w:val="231F20"/>
              </w:rPr>
              <w:t>Cost of Revenue</w:t>
            </w:r>
          </w:p>
        </w:tc>
        <w:tc>
          <w:tcPr>
            <w:tcW w:w="160" w:type="dxa"/>
            <w:vAlign w:val="bottom"/>
            <w:tcBorders>
              <w:bottom w:val="single" w:sz="8" w:color="D0EBF2"/>
            </w:tcBorders>
            <w:shd w:val="clear" w:color="auto" w:fill="FDFDFC"/>
          </w:tcPr>
          <w:p>
            <w:pPr>
              <w:spacing w:after="0"/>
              <w:rPr>
                <w:sz w:val="22"/>
                <w:szCs w:val="22"/>
                <w:color w:val="auto"/>
              </w:rPr>
            </w:pPr>
          </w:p>
        </w:tc>
        <w:tc>
          <w:tcPr>
            <w:tcW w:w="240" w:type="dxa"/>
            <w:vAlign w:val="bottom"/>
            <w:tcBorders>
              <w:bottom w:val="single" w:sz="8" w:color="231F20"/>
            </w:tcBorders>
            <w:shd w:val="clear" w:color="auto" w:fill="FDFDFC"/>
          </w:tcPr>
          <w:p>
            <w:pPr>
              <w:jc w:val="right"/>
              <w:ind w:right="46"/>
              <w:spacing w:after="0"/>
              <w:rPr>
                <w:sz w:val="20"/>
                <w:szCs w:val="20"/>
                <w:color w:val="auto"/>
              </w:rPr>
            </w:pPr>
            <w:r>
              <w:rPr>
                <w:rFonts w:ascii="Arial" w:cs="Arial" w:eastAsia="Arial" w:hAnsi="Arial"/>
                <w:sz w:val="19"/>
                <w:szCs w:val="19"/>
                <w:color w:val="231F20"/>
                <w:w w:val="75"/>
              </w:rPr>
              <w:t>$</w:t>
            </w:r>
          </w:p>
        </w:tc>
        <w:tc>
          <w:tcPr>
            <w:tcW w:w="86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185.2</w:t>
            </w:r>
          </w:p>
        </w:tc>
        <w:tc>
          <w:tcPr>
            <w:tcW w:w="200" w:type="dxa"/>
            <w:vAlign w:val="bottom"/>
            <w:tcBorders>
              <w:bottom w:val="single" w:sz="8" w:color="D0EBF2"/>
            </w:tcBorders>
            <w:shd w:val="clear" w:color="auto" w:fill="FDFDFC"/>
          </w:tcPr>
          <w:p>
            <w:pPr>
              <w:spacing w:after="0"/>
              <w:rPr>
                <w:sz w:val="22"/>
                <w:szCs w:val="22"/>
                <w:color w:val="auto"/>
              </w:rPr>
            </w:pPr>
          </w:p>
        </w:tc>
        <w:tc>
          <w:tcPr>
            <w:tcW w:w="140" w:type="dxa"/>
            <w:vAlign w:val="bottom"/>
            <w:tcBorders>
              <w:bottom w:val="single" w:sz="8" w:color="D0EBF2"/>
            </w:tcBorders>
            <w:shd w:val="clear" w:color="auto" w:fill="FDFDFC"/>
          </w:tcPr>
          <w:p>
            <w:pPr>
              <w:spacing w:after="0"/>
              <w:rPr>
                <w:sz w:val="22"/>
                <w:szCs w:val="22"/>
                <w:color w:val="auto"/>
              </w:rPr>
            </w:pPr>
          </w:p>
        </w:tc>
        <w:tc>
          <w:tcPr>
            <w:tcW w:w="1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9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155.7</w:t>
            </w:r>
          </w:p>
        </w:tc>
        <w:tc>
          <w:tcPr>
            <w:tcW w:w="200" w:type="dxa"/>
            <w:vAlign w:val="bottom"/>
            <w:tcBorders>
              <w:bottom w:val="single" w:sz="8" w:color="D0EBF2"/>
            </w:tcBorders>
            <w:shd w:val="clear" w:color="auto" w:fill="FDFDFC"/>
          </w:tcPr>
          <w:p>
            <w:pPr>
              <w:spacing w:after="0"/>
              <w:rPr>
                <w:sz w:val="22"/>
                <w:szCs w:val="22"/>
                <w:color w:val="auto"/>
              </w:rPr>
            </w:pPr>
          </w:p>
        </w:tc>
        <w:tc>
          <w:tcPr>
            <w:tcW w:w="140" w:type="dxa"/>
            <w:vAlign w:val="bottom"/>
            <w:tcBorders>
              <w:bottom w:val="single" w:sz="8" w:color="D0EBF2"/>
            </w:tcBorders>
            <w:shd w:val="clear" w:color="auto" w:fill="FDFDFC"/>
          </w:tcPr>
          <w:p>
            <w:pPr>
              <w:spacing w:after="0"/>
              <w:rPr>
                <w:sz w:val="22"/>
                <w:szCs w:val="22"/>
                <w:color w:val="auto"/>
              </w:rPr>
            </w:pPr>
          </w:p>
        </w:tc>
        <w:tc>
          <w:tcPr>
            <w:tcW w:w="240" w:type="dxa"/>
            <w:vAlign w:val="bottom"/>
            <w:tcBorders>
              <w:bottom w:val="single" w:sz="8" w:color="231F20"/>
            </w:tcBorders>
            <w:shd w:val="clear" w:color="auto" w:fill="FDFDFC"/>
          </w:tcPr>
          <w:p>
            <w:pPr>
              <w:jc w:val="right"/>
              <w:ind w:right="46"/>
              <w:spacing w:after="0"/>
              <w:rPr>
                <w:sz w:val="20"/>
                <w:szCs w:val="20"/>
                <w:color w:val="auto"/>
              </w:rPr>
            </w:pPr>
            <w:r>
              <w:rPr>
                <w:rFonts w:ascii="Arial" w:cs="Arial" w:eastAsia="Arial" w:hAnsi="Arial"/>
                <w:sz w:val="19"/>
                <w:szCs w:val="19"/>
                <w:color w:val="231F20"/>
                <w:w w:val="75"/>
              </w:rPr>
              <w:t>$</w:t>
            </w:r>
          </w:p>
        </w:tc>
        <w:tc>
          <w:tcPr>
            <w:tcW w:w="86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114.5</w:t>
            </w:r>
          </w:p>
        </w:tc>
        <w:tc>
          <w:tcPr>
            <w:tcW w:w="200" w:type="dxa"/>
            <w:vAlign w:val="bottom"/>
            <w:tcBorders>
              <w:bottom w:val="single" w:sz="8" w:color="D0EBF2"/>
            </w:tcBorders>
            <w:shd w:val="clear" w:color="auto" w:fill="FDFDFC"/>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D0EBF2"/>
          </w:tcPr>
          <w:p>
            <w:pPr>
              <w:spacing w:after="0" w:line="213" w:lineRule="exact"/>
              <w:rPr>
                <w:sz w:val="20"/>
                <w:szCs w:val="20"/>
                <w:color w:val="auto"/>
              </w:rPr>
            </w:pPr>
            <w:r>
              <w:rPr>
                <w:rFonts w:ascii="Arial" w:cs="Arial" w:eastAsia="Arial" w:hAnsi="Arial"/>
                <w:sz w:val="19"/>
                <w:szCs w:val="19"/>
                <w:color w:val="231F20"/>
              </w:rPr>
              <w:t>Adjusted to:</w:t>
            </w:r>
          </w:p>
        </w:tc>
        <w:tc>
          <w:tcPr>
            <w:tcW w:w="16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860" w:type="dxa"/>
            <w:vAlign w:val="bottom"/>
            <w:shd w:val="clear" w:color="auto" w:fill="D0EBF2"/>
          </w:tcPr>
          <w:p>
            <w:pPr>
              <w:spacing w:after="0"/>
              <w:rPr>
                <w:sz w:val="18"/>
                <w:szCs w:val="18"/>
                <w:color w:val="auto"/>
              </w:rPr>
            </w:pPr>
          </w:p>
        </w:tc>
        <w:tc>
          <w:tcPr>
            <w:tcW w:w="2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980" w:type="dxa"/>
            <w:vAlign w:val="bottom"/>
            <w:shd w:val="clear" w:color="auto" w:fill="D0EBF2"/>
          </w:tcPr>
          <w:p>
            <w:pPr>
              <w:spacing w:after="0"/>
              <w:rPr>
                <w:sz w:val="18"/>
                <w:szCs w:val="18"/>
                <w:color w:val="auto"/>
              </w:rPr>
            </w:pPr>
          </w:p>
        </w:tc>
        <w:tc>
          <w:tcPr>
            <w:tcW w:w="2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860" w:type="dxa"/>
            <w:vAlign w:val="bottom"/>
            <w:shd w:val="clear" w:color="auto" w:fill="D0EBF2"/>
          </w:tcPr>
          <w:p>
            <w:pPr>
              <w:spacing w:after="0"/>
              <w:rPr>
                <w:sz w:val="18"/>
                <w:szCs w:val="18"/>
                <w:color w:val="auto"/>
              </w:rPr>
            </w:pPr>
          </w:p>
        </w:tc>
        <w:tc>
          <w:tcPr>
            <w:tcW w:w="2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Exclude printing and mailing costs</w:t>
            </w:r>
          </w:p>
        </w:tc>
        <w:tc>
          <w:tcPr>
            <w:tcW w:w="16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(15.9)</w:t>
            </w:r>
          </w:p>
        </w:tc>
        <w:tc>
          <w:tcPr>
            <w:tcW w:w="2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(19.4)</w:t>
            </w:r>
          </w:p>
        </w:tc>
        <w:tc>
          <w:tcPr>
            <w:tcW w:w="2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(20.4)</w:t>
            </w:r>
          </w:p>
        </w:tc>
        <w:tc>
          <w:tcPr>
            <w:tcW w:w="2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Offset marketing fees against related costs</w:t>
            </w:r>
          </w:p>
        </w:tc>
        <w:tc>
          <w:tcPr>
            <w:tcW w:w="16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140"/>
              <w:spacing w:after="0"/>
              <w:rPr>
                <w:sz w:val="20"/>
                <w:szCs w:val="20"/>
                <w:color w:val="auto"/>
              </w:rPr>
            </w:pPr>
            <w:r>
              <w:rPr>
                <w:rFonts w:ascii="Arial" w:cs="Arial" w:eastAsia="Arial" w:hAnsi="Arial"/>
                <w:sz w:val="19"/>
                <w:szCs w:val="19"/>
                <w:color w:val="231F20"/>
              </w:rPr>
              <w:t>(2.0)</w:t>
            </w: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180" w:type="dxa"/>
            <w:vAlign w:val="bottom"/>
            <w:gridSpan w:val="2"/>
            <w:shd w:val="clear" w:color="auto" w:fill="D0EBF2"/>
          </w:tcPr>
          <w:p>
            <w:pPr>
              <w:jc w:val="right"/>
              <w:ind w:right="140"/>
              <w:spacing w:after="0"/>
              <w:rPr>
                <w:sz w:val="20"/>
                <w:szCs w:val="20"/>
                <w:color w:val="auto"/>
              </w:rPr>
            </w:pPr>
            <w:r>
              <w:rPr>
                <w:rFonts w:ascii="Arial" w:cs="Arial" w:eastAsia="Arial" w:hAnsi="Arial"/>
                <w:sz w:val="19"/>
                <w:szCs w:val="19"/>
                <w:color w:val="231F20"/>
              </w:rPr>
              <w:t>(2.2)</w:t>
            </w:r>
          </w:p>
        </w:tc>
        <w:tc>
          <w:tcPr>
            <w:tcW w:w="14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120"/>
              <w:spacing w:after="0"/>
              <w:rPr>
                <w:sz w:val="20"/>
                <w:szCs w:val="20"/>
                <w:color w:val="auto"/>
              </w:rPr>
            </w:pPr>
            <w:r>
              <w:rPr>
                <w:rFonts w:ascii="Arial" w:cs="Arial" w:eastAsia="Arial" w:hAnsi="Arial"/>
                <w:sz w:val="19"/>
                <w:szCs w:val="19"/>
                <w:color w:val="231F20"/>
              </w:rPr>
              <w:t>(1.9)</w:t>
            </w: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Exclude depreciation and amortization</w:t>
            </w:r>
          </w:p>
        </w:tc>
        <w:tc>
          <w:tcPr>
            <w:tcW w:w="16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140"/>
              <w:spacing w:after="0"/>
              <w:rPr>
                <w:sz w:val="20"/>
                <w:szCs w:val="20"/>
                <w:color w:val="auto"/>
              </w:rPr>
            </w:pPr>
            <w:r>
              <w:rPr>
                <w:rFonts w:ascii="Arial" w:cs="Arial" w:eastAsia="Arial" w:hAnsi="Arial"/>
                <w:sz w:val="19"/>
                <w:szCs w:val="19"/>
                <w:color w:val="231F20"/>
              </w:rPr>
              <w:t>(5.9)</w:t>
            </w: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180" w:type="dxa"/>
            <w:vAlign w:val="bottom"/>
            <w:gridSpan w:val="2"/>
            <w:shd w:val="clear" w:color="auto" w:fill="FDFDFC"/>
          </w:tcPr>
          <w:p>
            <w:pPr>
              <w:jc w:val="right"/>
              <w:ind w:right="140"/>
              <w:spacing w:after="0"/>
              <w:rPr>
                <w:sz w:val="20"/>
                <w:szCs w:val="20"/>
                <w:color w:val="auto"/>
              </w:rPr>
            </w:pPr>
            <w:r>
              <w:rPr>
                <w:rFonts w:ascii="Arial" w:cs="Arial" w:eastAsia="Arial" w:hAnsi="Arial"/>
                <w:sz w:val="19"/>
                <w:szCs w:val="19"/>
                <w:color w:val="231F20"/>
              </w:rPr>
              <w:t>(6.7)</w:t>
            </w:r>
          </w:p>
        </w:tc>
        <w:tc>
          <w:tcPr>
            <w:tcW w:w="14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120"/>
              <w:spacing w:after="0"/>
              <w:rPr>
                <w:sz w:val="20"/>
                <w:szCs w:val="20"/>
                <w:color w:val="auto"/>
              </w:rPr>
            </w:pPr>
            <w:r>
              <w:rPr>
                <w:rFonts w:ascii="Arial" w:cs="Arial" w:eastAsia="Arial" w:hAnsi="Arial"/>
                <w:sz w:val="19"/>
                <w:szCs w:val="19"/>
                <w:color w:val="231F20"/>
              </w:rPr>
              <w:t>(7.0)</w:t>
            </w:r>
          </w:p>
        </w:tc>
        <w:tc>
          <w:tcPr>
            <w:tcW w:w="0" w:type="dxa"/>
            <w:vAlign w:val="bottom"/>
          </w:tcPr>
          <w:p>
            <w:pPr>
              <w:spacing w:after="0"/>
              <w:rPr>
                <w:sz w:val="1"/>
                <w:szCs w:val="1"/>
                <w:color w:val="auto"/>
              </w:rPr>
            </w:pPr>
          </w:p>
        </w:tc>
      </w:tr>
      <w:tr>
        <w:trPr>
          <w:trHeight w:val="220"/>
        </w:trPr>
        <w:tc>
          <w:tcPr>
            <w:tcW w:w="5860" w:type="dxa"/>
            <w:vAlign w:val="bottom"/>
            <w:tcBorders>
              <w:top w:val="single" w:sz="8" w:color="D0EBF2"/>
            </w:tcBorders>
            <w:shd w:val="clear" w:color="auto" w:fill="D0EBF2"/>
          </w:tcPr>
          <w:p>
            <w:pPr>
              <w:spacing w:after="0"/>
              <w:rPr>
                <w:sz w:val="20"/>
                <w:szCs w:val="20"/>
                <w:color w:val="auto"/>
              </w:rPr>
            </w:pPr>
            <w:r>
              <w:rPr>
                <w:rFonts w:ascii="Arial" w:cs="Arial" w:eastAsia="Arial" w:hAnsi="Arial"/>
                <w:sz w:val="19"/>
                <w:szCs w:val="19"/>
                <w:color w:val="231F20"/>
              </w:rPr>
              <w:t>Adjusted Cost of Revenue</w:t>
            </w:r>
          </w:p>
        </w:tc>
        <w:tc>
          <w:tcPr>
            <w:tcW w:w="160" w:type="dxa"/>
            <w:vAlign w:val="bottom"/>
            <w:tcBorders>
              <w:top w:val="single" w:sz="8" w:color="D0EBF2"/>
            </w:tcBorders>
            <w:shd w:val="clear" w:color="auto" w:fill="D0EBF2"/>
          </w:tcPr>
          <w:p>
            <w:pPr>
              <w:spacing w:after="0"/>
              <w:rPr>
                <w:sz w:val="19"/>
                <w:szCs w:val="19"/>
                <w:color w:val="auto"/>
              </w:rPr>
            </w:pPr>
          </w:p>
        </w:tc>
        <w:tc>
          <w:tcPr>
            <w:tcW w:w="240" w:type="dxa"/>
            <w:vAlign w:val="bottom"/>
            <w:tcBorders>
              <w:top w:val="single" w:sz="8" w:color="231F20"/>
            </w:tcBorders>
            <w:shd w:val="clear" w:color="auto" w:fill="D0EBF2"/>
          </w:tcPr>
          <w:p>
            <w:pPr>
              <w:jc w:val="right"/>
              <w:ind w:right="46"/>
              <w:spacing w:after="0"/>
              <w:rPr>
                <w:sz w:val="20"/>
                <w:szCs w:val="20"/>
                <w:color w:val="auto"/>
              </w:rPr>
            </w:pPr>
            <w:r>
              <w:rPr>
                <w:rFonts w:ascii="Arial" w:cs="Arial" w:eastAsia="Arial" w:hAnsi="Arial"/>
                <w:sz w:val="19"/>
                <w:szCs w:val="19"/>
                <w:color w:val="231F20"/>
                <w:w w:val="75"/>
              </w:rPr>
              <w:t>$</w:t>
            </w:r>
          </w:p>
        </w:tc>
        <w:tc>
          <w:tcPr>
            <w:tcW w:w="86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161.4</w:t>
            </w:r>
          </w:p>
        </w:tc>
        <w:tc>
          <w:tcPr>
            <w:tcW w:w="200" w:type="dxa"/>
            <w:vAlign w:val="bottom"/>
            <w:tcBorders>
              <w:top w:val="single" w:sz="8" w:color="D0EBF2"/>
            </w:tcBorders>
            <w:shd w:val="clear" w:color="auto" w:fill="D0EBF2"/>
          </w:tcPr>
          <w:p>
            <w:pPr>
              <w:spacing w:after="0"/>
              <w:rPr>
                <w:sz w:val="19"/>
                <w:szCs w:val="19"/>
                <w:color w:val="auto"/>
              </w:rPr>
            </w:pPr>
          </w:p>
        </w:tc>
        <w:tc>
          <w:tcPr>
            <w:tcW w:w="14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98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127.4</w:t>
            </w:r>
          </w:p>
        </w:tc>
        <w:tc>
          <w:tcPr>
            <w:tcW w:w="200" w:type="dxa"/>
            <w:vAlign w:val="bottom"/>
            <w:tcBorders>
              <w:top w:val="single" w:sz="8" w:color="D0EBF2"/>
            </w:tcBorders>
            <w:shd w:val="clear" w:color="auto" w:fill="D0EBF2"/>
          </w:tcPr>
          <w:p>
            <w:pPr>
              <w:spacing w:after="0"/>
              <w:rPr>
                <w:sz w:val="19"/>
                <w:szCs w:val="19"/>
                <w:color w:val="auto"/>
              </w:rPr>
            </w:pPr>
          </w:p>
        </w:tc>
        <w:tc>
          <w:tcPr>
            <w:tcW w:w="140" w:type="dxa"/>
            <w:vAlign w:val="bottom"/>
            <w:tcBorders>
              <w:top w:val="single" w:sz="8" w:color="D0EBF2"/>
            </w:tcBorders>
            <w:shd w:val="clear" w:color="auto" w:fill="D0EBF2"/>
          </w:tcPr>
          <w:p>
            <w:pPr>
              <w:spacing w:after="0"/>
              <w:rPr>
                <w:sz w:val="19"/>
                <w:szCs w:val="19"/>
                <w:color w:val="auto"/>
              </w:rPr>
            </w:pPr>
          </w:p>
        </w:tc>
        <w:tc>
          <w:tcPr>
            <w:tcW w:w="240" w:type="dxa"/>
            <w:vAlign w:val="bottom"/>
            <w:tcBorders>
              <w:top w:val="single" w:sz="8" w:color="231F20"/>
            </w:tcBorders>
            <w:shd w:val="clear" w:color="auto" w:fill="D0EBF2"/>
          </w:tcPr>
          <w:p>
            <w:pPr>
              <w:jc w:val="right"/>
              <w:ind w:right="46"/>
              <w:spacing w:after="0"/>
              <w:rPr>
                <w:sz w:val="20"/>
                <w:szCs w:val="20"/>
                <w:color w:val="auto"/>
              </w:rPr>
            </w:pPr>
            <w:r>
              <w:rPr>
                <w:rFonts w:ascii="Arial" w:cs="Arial" w:eastAsia="Arial" w:hAnsi="Arial"/>
                <w:sz w:val="19"/>
                <w:szCs w:val="19"/>
                <w:color w:val="231F20"/>
                <w:w w:val="75"/>
              </w:rPr>
              <w:t>$</w:t>
            </w:r>
          </w:p>
        </w:tc>
        <w:tc>
          <w:tcPr>
            <w:tcW w:w="86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85.2</w:t>
            </w:r>
          </w:p>
        </w:tc>
        <w:tc>
          <w:tcPr>
            <w:tcW w:w="20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spacing w:after="0"/>
              <w:rPr>
                <w:sz w:val="20"/>
                <w:szCs w:val="20"/>
                <w:color w:val="auto"/>
              </w:rPr>
            </w:pPr>
            <w:r>
              <w:rPr>
                <w:rFonts w:ascii="Arial" w:cs="Arial" w:eastAsia="Arial" w:hAnsi="Arial"/>
                <w:sz w:val="19"/>
                <w:szCs w:val="19"/>
                <w:color w:val="231F20"/>
              </w:rPr>
              <w:t>Gross Profit</w:t>
            </w:r>
          </w:p>
        </w:tc>
        <w:tc>
          <w:tcPr>
            <w:tcW w:w="160" w:type="dxa"/>
            <w:vAlign w:val="bottom"/>
            <w:shd w:val="clear" w:color="auto" w:fill="FDFDFC"/>
          </w:tcPr>
          <w:p>
            <w:pPr>
              <w:spacing w:after="0"/>
              <w:rPr>
                <w:sz w:val="20"/>
                <w:szCs w:val="20"/>
                <w:color w:val="auto"/>
              </w:rPr>
            </w:pPr>
          </w:p>
        </w:tc>
        <w:tc>
          <w:tcPr>
            <w:tcW w:w="240" w:type="dxa"/>
            <w:vAlign w:val="bottom"/>
            <w:shd w:val="clear" w:color="auto" w:fill="FDFDFC"/>
          </w:tcPr>
          <w:p>
            <w:pPr>
              <w:jc w:val="right"/>
              <w:ind w:right="46"/>
              <w:spacing w:after="0"/>
              <w:rPr>
                <w:sz w:val="20"/>
                <w:szCs w:val="20"/>
                <w:color w:val="auto"/>
              </w:rPr>
            </w:pPr>
            <w:r>
              <w:rPr>
                <w:rFonts w:ascii="Arial" w:cs="Arial" w:eastAsia="Arial" w:hAnsi="Arial"/>
                <w:sz w:val="19"/>
                <w:szCs w:val="19"/>
                <w:color w:val="231F20"/>
                <w:w w:val="75"/>
              </w:rPr>
              <w:t>$</w:t>
            </w: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306.9</w:t>
            </w:r>
          </w:p>
        </w:tc>
        <w:tc>
          <w:tcPr>
            <w:tcW w:w="2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9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247.4</w:t>
            </w:r>
          </w:p>
        </w:tc>
        <w:tc>
          <w:tcPr>
            <w:tcW w:w="2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40" w:type="dxa"/>
            <w:vAlign w:val="bottom"/>
            <w:shd w:val="clear" w:color="auto" w:fill="FDFDFC"/>
          </w:tcPr>
          <w:p>
            <w:pPr>
              <w:jc w:val="right"/>
              <w:ind w:right="46"/>
              <w:spacing w:after="0"/>
              <w:rPr>
                <w:sz w:val="20"/>
                <w:szCs w:val="20"/>
                <w:color w:val="auto"/>
              </w:rPr>
            </w:pPr>
            <w:r>
              <w:rPr>
                <w:rFonts w:ascii="Arial" w:cs="Arial" w:eastAsia="Arial" w:hAnsi="Arial"/>
                <w:sz w:val="19"/>
                <w:szCs w:val="19"/>
                <w:color w:val="231F20"/>
                <w:w w:val="75"/>
              </w:rPr>
              <w:t>$</w:t>
            </w: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174.9</w:t>
            </w:r>
          </w:p>
        </w:tc>
        <w:tc>
          <w:tcPr>
            <w:tcW w:w="2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Gross Margin</w:t>
            </w:r>
          </w:p>
        </w:tc>
        <w:tc>
          <w:tcPr>
            <w:tcW w:w="160" w:type="dxa"/>
            <w:vAlign w:val="bottom"/>
            <w:shd w:val="clear" w:color="auto" w:fill="D0EBF2"/>
          </w:tcPr>
          <w:p>
            <w:pPr>
              <w:spacing w:after="0"/>
              <w:rPr>
                <w:sz w:val="23"/>
                <w:szCs w:val="23"/>
                <w:color w:val="auto"/>
              </w:rPr>
            </w:pPr>
          </w:p>
        </w:tc>
        <w:tc>
          <w:tcPr>
            <w:tcW w:w="240" w:type="dxa"/>
            <w:vAlign w:val="bottom"/>
            <w:shd w:val="clear" w:color="auto" w:fill="D0EBF2"/>
          </w:tcPr>
          <w:p>
            <w:pPr>
              <w:spacing w:after="0"/>
              <w:rPr>
                <w:sz w:val="23"/>
                <w:szCs w:val="23"/>
                <w:color w:val="auto"/>
              </w:rPr>
            </w:pPr>
          </w:p>
        </w:tc>
        <w:tc>
          <w:tcPr>
            <w:tcW w:w="106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62.4%</w:t>
            </w:r>
          </w:p>
        </w:tc>
        <w:tc>
          <w:tcPr>
            <w:tcW w:w="140" w:type="dxa"/>
            <w:vAlign w:val="bottom"/>
            <w:shd w:val="clear" w:color="auto" w:fill="D0EBF2"/>
          </w:tcPr>
          <w:p>
            <w:pPr>
              <w:spacing w:after="0"/>
              <w:rPr>
                <w:sz w:val="23"/>
                <w:szCs w:val="23"/>
                <w:color w:val="auto"/>
              </w:rPr>
            </w:pPr>
          </w:p>
        </w:tc>
        <w:tc>
          <w:tcPr>
            <w:tcW w:w="120" w:type="dxa"/>
            <w:vAlign w:val="bottom"/>
            <w:shd w:val="clear" w:color="auto" w:fill="D0EBF2"/>
          </w:tcPr>
          <w:p>
            <w:pPr>
              <w:spacing w:after="0"/>
              <w:rPr>
                <w:sz w:val="23"/>
                <w:szCs w:val="23"/>
                <w:color w:val="auto"/>
              </w:rPr>
            </w:pPr>
          </w:p>
        </w:tc>
        <w:tc>
          <w:tcPr>
            <w:tcW w:w="118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61.4%</w:t>
            </w:r>
          </w:p>
        </w:tc>
        <w:tc>
          <w:tcPr>
            <w:tcW w:w="140" w:type="dxa"/>
            <w:vAlign w:val="bottom"/>
            <w:shd w:val="clear" w:color="auto" w:fill="D0EBF2"/>
          </w:tcPr>
          <w:p>
            <w:pPr>
              <w:spacing w:after="0"/>
              <w:rPr>
                <w:sz w:val="23"/>
                <w:szCs w:val="23"/>
                <w:color w:val="auto"/>
              </w:rPr>
            </w:pPr>
          </w:p>
        </w:tc>
        <w:tc>
          <w:tcPr>
            <w:tcW w:w="240" w:type="dxa"/>
            <w:vAlign w:val="bottom"/>
            <w:shd w:val="clear" w:color="auto" w:fill="D0EBF2"/>
          </w:tcPr>
          <w:p>
            <w:pPr>
              <w:spacing w:after="0"/>
              <w:rPr>
                <w:sz w:val="23"/>
                <w:szCs w:val="23"/>
                <w:color w:val="auto"/>
              </w:rPr>
            </w:pPr>
          </w:p>
        </w:tc>
        <w:tc>
          <w:tcPr>
            <w:tcW w:w="106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60.4%</w:t>
            </w:r>
          </w:p>
        </w:tc>
        <w:tc>
          <w:tcPr>
            <w:tcW w:w="0" w:type="dxa"/>
            <w:vAlign w:val="bottom"/>
          </w:tcPr>
          <w:p>
            <w:pPr>
              <w:spacing w:after="0"/>
              <w:rPr>
                <w:sz w:val="1"/>
                <w:szCs w:val="1"/>
                <w:color w:val="auto"/>
              </w:rPr>
            </w:pPr>
          </w:p>
        </w:tc>
      </w:tr>
      <w:tr>
        <w:trPr>
          <w:trHeight w:val="213"/>
        </w:trPr>
        <w:tc>
          <w:tcPr>
            <w:tcW w:w="5860" w:type="dxa"/>
            <w:vAlign w:val="bottom"/>
            <w:tcBorders>
              <w:top w:val="single" w:sz="8" w:color="FDFDFC"/>
            </w:tcBorders>
            <w:shd w:val="clear" w:color="auto" w:fill="FDFDFC"/>
          </w:tcPr>
          <w:p>
            <w:pPr>
              <w:spacing w:after="0" w:line="213" w:lineRule="exact"/>
              <w:rPr>
                <w:sz w:val="20"/>
                <w:szCs w:val="20"/>
                <w:color w:val="auto"/>
              </w:rPr>
            </w:pPr>
            <w:r>
              <w:rPr>
                <w:rFonts w:ascii="Arial" w:cs="Arial" w:eastAsia="Arial" w:hAnsi="Arial"/>
                <w:sz w:val="19"/>
                <w:szCs w:val="19"/>
                <w:color w:val="231F20"/>
              </w:rPr>
              <w:t>Adjusted Gross Profit</w:t>
            </w:r>
          </w:p>
        </w:tc>
        <w:tc>
          <w:tcPr>
            <w:tcW w:w="160" w:type="dxa"/>
            <w:vAlign w:val="bottom"/>
            <w:tcBorders>
              <w:top w:val="single" w:sz="8" w:color="FDFDFC"/>
            </w:tcBorders>
            <w:shd w:val="clear" w:color="auto" w:fill="FDFDFC"/>
          </w:tcPr>
          <w:p>
            <w:pPr>
              <w:spacing w:after="0"/>
              <w:rPr>
                <w:sz w:val="18"/>
                <w:szCs w:val="18"/>
                <w:color w:val="auto"/>
              </w:rPr>
            </w:pPr>
          </w:p>
        </w:tc>
        <w:tc>
          <w:tcPr>
            <w:tcW w:w="240" w:type="dxa"/>
            <w:vAlign w:val="bottom"/>
            <w:tcBorders>
              <w:top w:val="single" w:sz="8" w:color="231F20"/>
            </w:tcBorders>
            <w:shd w:val="clear" w:color="auto" w:fill="FDFDFC"/>
          </w:tcPr>
          <w:p>
            <w:pPr>
              <w:jc w:val="right"/>
              <w:ind w:right="46"/>
              <w:spacing w:after="0" w:line="213" w:lineRule="exact"/>
              <w:rPr>
                <w:sz w:val="20"/>
                <w:szCs w:val="20"/>
                <w:color w:val="auto"/>
              </w:rPr>
            </w:pPr>
            <w:r>
              <w:rPr>
                <w:rFonts w:ascii="Arial" w:cs="Arial" w:eastAsia="Arial" w:hAnsi="Arial"/>
                <w:sz w:val="19"/>
                <w:szCs w:val="19"/>
                <w:color w:val="231F20"/>
                <w:w w:val="75"/>
              </w:rPr>
              <w:t>$</w:t>
            </w:r>
          </w:p>
        </w:tc>
        <w:tc>
          <w:tcPr>
            <w:tcW w:w="860" w:type="dxa"/>
            <w:vAlign w:val="bottom"/>
            <w:tcBorders>
              <w:top w:val="single" w:sz="8" w:color="231F20"/>
            </w:tcBorders>
            <w:shd w:val="clear" w:color="auto" w:fill="FDFDFC"/>
          </w:tcPr>
          <w:p>
            <w:pPr>
              <w:jc w:val="right"/>
              <w:spacing w:after="0" w:line="213" w:lineRule="exact"/>
              <w:rPr>
                <w:sz w:val="20"/>
                <w:szCs w:val="20"/>
                <w:color w:val="auto"/>
              </w:rPr>
            </w:pPr>
            <w:r>
              <w:rPr>
                <w:rFonts w:ascii="Arial" w:cs="Arial" w:eastAsia="Arial" w:hAnsi="Arial"/>
                <w:sz w:val="19"/>
                <w:szCs w:val="19"/>
                <w:color w:val="231F20"/>
              </w:rPr>
              <w:t>312.8</w:t>
            </w:r>
          </w:p>
        </w:tc>
        <w:tc>
          <w:tcPr>
            <w:tcW w:w="200" w:type="dxa"/>
            <w:vAlign w:val="bottom"/>
            <w:tcBorders>
              <w:top w:val="single" w:sz="8" w:color="FDFDFC"/>
            </w:tcBorders>
            <w:shd w:val="clear" w:color="auto" w:fill="FDFDFC"/>
          </w:tcPr>
          <w:p>
            <w:pPr>
              <w:spacing w:after="0"/>
              <w:rPr>
                <w:sz w:val="18"/>
                <w:szCs w:val="18"/>
                <w:color w:val="auto"/>
              </w:rPr>
            </w:pPr>
          </w:p>
        </w:tc>
        <w:tc>
          <w:tcPr>
            <w:tcW w:w="140" w:type="dxa"/>
            <w:vAlign w:val="bottom"/>
            <w:tcBorders>
              <w:top w:val="single" w:sz="8" w:color="FDFDFC"/>
            </w:tcBorders>
            <w:shd w:val="clear" w:color="auto" w:fill="FDFDFC"/>
          </w:tcPr>
          <w:p>
            <w:pPr>
              <w:spacing w:after="0"/>
              <w:rPr>
                <w:sz w:val="18"/>
                <w:szCs w:val="18"/>
                <w:color w:val="auto"/>
              </w:rPr>
            </w:pPr>
          </w:p>
        </w:tc>
        <w:tc>
          <w:tcPr>
            <w:tcW w:w="120" w:type="dxa"/>
            <w:vAlign w:val="bottom"/>
            <w:tcBorders>
              <w:top w:val="single" w:sz="8" w:color="231F20"/>
            </w:tcBorders>
            <w:shd w:val="clear" w:color="auto" w:fill="FDFDFC"/>
          </w:tcPr>
          <w:p>
            <w:pPr>
              <w:jc w:val="right"/>
              <w:spacing w:after="0" w:line="213" w:lineRule="exact"/>
              <w:rPr>
                <w:sz w:val="20"/>
                <w:szCs w:val="20"/>
                <w:color w:val="auto"/>
              </w:rPr>
            </w:pPr>
            <w:r>
              <w:rPr>
                <w:rFonts w:ascii="Arial" w:cs="Arial" w:eastAsia="Arial" w:hAnsi="Arial"/>
                <w:sz w:val="19"/>
                <w:szCs w:val="19"/>
                <w:color w:val="231F20"/>
                <w:w w:val="75"/>
              </w:rPr>
              <w:t>$</w:t>
            </w:r>
          </w:p>
        </w:tc>
        <w:tc>
          <w:tcPr>
            <w:tcW w:w="980" w:type="dxa"/>
            <w:vAlign w:val="bottom"/>
            <w:tcBorders>
              <w:top w:val="single" w:sz="8" w:color="231F20"/>
            </w:tcBorders>
            <w:shd w:val="clear" w:color="auto" w:fill="FDFDFC"/>
          </w:tcPr>
          <w:p>
            <w:pPr>
              <w:jc w:val="right"/>
              <w:spacing w:after="0" w:line="213" w:lineRule="exact"/>
              <w:rPr>
                <w:sz w:val="20"/>
                <w:szCs w:val="20"/>
                <w:color w:val="auto"/>
              </w:rPr>
            </w:pPr>
            <w:r>
              <w:rPr>
                <w:rFonts w:ascii="Arial" w:cs="Arial" w:eastAsia="Arial" w:hAnsi="Arial"/>
                <w:sz w:val="19"/>
                <w:szCs w:val="19"/>
                <w:color w:val="231F20"/>
              </w:rPr>
              <w:t>254.1</w:t>
            </w:r>
          </w:p>
        </w:tc>
        <w:tc>
          <w:tcPr>
            <w:tcW w:w="200" w:type="dxa"/>
            <w:vAlign w:val="bottom"/>
            <w:tcBorders>
              <w:top w:val="single" w:sz="8" w:color="FDFDFC"/>
            </w:tcBorders>
            <w:shd w:val="clear" w:color="auto" w:fill="FDFDFC"/>
          </w:tcPr>
          <w:p>
            <w:pPr>
              <w:spacing w:after="0"/>
              <w:rPr>
                <w:sz w:val="18"/>
                <w:szCs w:val="18"/>
                <w:color w:val="auto"/>
              </w:rPr>
            </w:pPr>
          </w:p>
        </w:tc>
        <w:tc>
          <w:tcPr>
            <w:tcW w:w="140" w:type="dxa"/>
            <w:vAlign w:val="bottom"/>
            <w:tcBorders>
              <w:top w:val="single" w:sz="8" w:color="FDFDFC"/>
            </w:tcBorders>
            <w:shd w:val="clear" w:color="auto" w:fill="FDFDFC"/>
          </w:tcPr>
          <w:p>
            <w:pPr>
              <w:spacing w:after="0"/>
              <w:rPr>
                <w:sz w:val="18"/>
                <w:szCs w:val="18"/>
                <w:color w:val="auto"/>
              </w:rPr>
            </w:pPr>
          </w:p>
        </w:tc>
        <w:tc>
          <w:tcPr>
            <w:tcW w:w="240" w:type="dxa"/>
            <w:vAlign w:val="bottom"/>
            <w:tcBorders>
              <w:top w:val="single" w:sz="8" w:color="231F20"/>
            </w:tcBorders>
            <w:shd w:val="clear" w:color="auto" w:fill="FDFDFC"/>
          </w:tcPr>
          <w:p>
            <w:pPr>
              <w:jc w:val="right"/>
              <w:ind w:right="46"/>
              <w:spacing w:after="0" w:line="213" w:lineRule="exact"/>
              <w:rPr>
                <w:sz w:val="20"/>
                <w:szCs w:val="20"/>
                <w:color w:val="auto"/>
              </w:rPr>
            </w:pPr>
            <w:r>
              <w:rPr>
                <w:rFonts w:ascii="Arial" w:cs="Arial" w:eastAsia="Arial" w:hAnsi="Arial"/>
                <w:sz w:val="19"/>
                <w:szCs w:val="19"/>
                <w:color w:val="231F20"/>
                <w:w w:val="75"/>
              </w:rPr>
              <w:t>$</w:t>
            </w:r>
          </w:p>
        </w:tc>
        <w:tc>
          <w:tcPr>
            <w:tcW w:w="860" w:type="dxa"/>
            <w:vAlign w:val="bottom"/>
            <w:tcBorders>
              <w:top w:val="single" w:sz="8" w:color="231F20"/>
            </w:tcBorders>
            <w:shd w:val="clear" w:color="auto" w:fill="FDFDFC"/>
          </w:tcPr>
          <w:p>
            <w:pPr>
              <w:jc w:val="right"/>
              <w:spacing w:after="0" w:line="213" w:lineRule="exact"/>
              <w:rPr>
                <w:sz w:val="20"/>
                <w:szCs w:val="20"/>
                <w:color w:val="auto"/>
              </w:rPr>
            </w:pPr>
            <w:r>
              <w:rPr>
                <w:rFonts w:ascii="Arial" w:cs="Arial" w:eastAsia="Arial" w:hAnsi="Arial"/>
                <w:sz w:val="19"/>
                <w:szCs w:val="19"/>
                <w:color w:val="231F20"/>
              </w:rPr>
              <w:t>181.9</w:t>
            </w:r>
          </w:p>
        </w:tc>
        <w:tc>
          <w:tcPr>
            <w:tcW w:w="200" w:type="dxa"/>
            <w:vAlign w:val="bottom"/>
            <w:tcBorders>
              <w:top w:val="single" w:sz="8" w:color="FDFDFC"/>
            </w:tcBorders>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Adjusted Gross Margin</w:t>
            </w:r>
          </w:p>
        </w:tc>
        <w:tc>
          <w:tcPr>
            <w:tcW w:w="16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66.0%</w:t>
            </w: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18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66.6%</w:t>
            </w:r>
          </w:p>
        </w:tc>
        <w:tc>
          <w:tcPr>
            <w:tcW w:w="14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68.1%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20" w:top="1440" w:right="1020" w:bottom="595"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94</w:t>
      </w:r>
    </w:p>
    <w:p>
      <w:pPr>
        <w:sectPr>
          <w:pgSz w:w="12240" w:h="15840" w:orient="portrait"/>
          <w:cols w:equalWidth="0" w:num="1">
            <w:col w:w="10200"/>
          </w:cols>
          <w:pgMar w:left="1020" w:top="1440" w:right="1020" w:bottom="595" w:gutter="0" w:footer="0" w:header="0"/>
          <w:type w:val="continuous"/>
        </w:sectPr>
      </w:pPr>
    </w:p>
    <w:bookmarkStart w:id="95" w:name="page96"/>
    <w:bookmarkEnd w:id="95"/>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100" w:type="dxa"/>
            <w:vAlign w:val="bottom"/>
            <w:tcBorders>
              <w:right w:val="single" w:sz="8" w:color="FDFDFC"/>
            </w:tcBorders>
            <w:shd w:val="clear" w:color="auto" w:fill="FDFDFC"/>
          </w:tcPr>
          <w:p>
            <w:pPr>
              <w:spacing w:after="0"/>
              <w:rPr>
                <w:sz w:val="14"/>
                <w:szCs w:val="14"/>
                <w:color w:val="auto"/>
              </w:rPr>
            </w:pPr>
          </w:p>
        </w:tc>
        <w:tc>
          <w:tcPr>
            <w:tcW w:w="120" w:type="dxa"/>
            <w:vAlign w:val="bottom"/>
            <w:tcBorders>
              <w:left w:val="single" w:sz="8" w:color="FDFDFC"/>
            </w:tcBorders>
            <w:shd w:val="clear" w:color="auto" w:fill="FDFDFC"/>
          </w:tcPr>
          <w:p>
            <w:pPr>
              <w:spacing w:after="0"/>
              <w:rPr>
                <w:sz w:val="14"/>
                <w:szCs w:val="14"/>
                <w:color w:val="auto"/>
              </w:rPr>
            </w:pPr>
          </w:p>
        </w:tc>
        <w:tc>
          <w:tcPr>
            <w:tcW w:w="260" w:type="dxa"/>
            <w:vAlign w:val="bottom"/>
            <w:shd w:val="clear" w:color="auto" w:fill="FDFDFC"/>
          </w:tcPr>
          <w:p>
            <w:pPr>
              <w:spacing w:after="0"/>
              <w:rPr>
                <w:sz w:val="14"/>
                <w:szCs w:val="14"/>
                <w:color w:val="auto"/>
              </w:rPr>
            </w:pPr>
          </w:p>
        </w:tc>
        <w:tc>
          <w:tcPr>
            <w:tcW w:w="68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18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1280" w:type="dxa"/>
            <w:vAlign w:val="bottom"/>
            <w:gridSpan w:val="5"/>
            <w:shd w:val="clear" w:color="auto" w:fill="FDFDFC"/>
          </w:tcPr>
          <w:p>
            <w:pPr>
              <w:ind w:left="80"/>
              <w:spacing w:after="0"/>
              <w:rPr>
                <w:sz w:val="20"/>
                <w:szCs w:val="20"/>
                <w:color w:val="auto"/>
              </w:rPr>
            </w:pPr>
            <w:r>
              <w:rPr>
                <w:rFonts w:ascii="Arial" w:cs="Arial" w:eastAsia="Arial" w:hAnsi="Arial"/>
                <w:sz w:val="15"/>
                <w:szCs w:val="15"/>
                <w:b w:val="1"/>
                <w:bCs w:val="1"/>
                <w:color w:val="231F20"/>
              </w:rPr>
              <w:t>Platform and</w:t>
            </w:r>
          </w:p>
        </w:tc>
        <w:tc>
          <w:tcPr>
            <w:tcW w:w="4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20" w:type="dxa"/>
            <w:vAlign w:val="bottom"/>
            <w:tcBorders>
              <w:left w:val="single" w:sz="8" w:color="FDFDFC"/>
            </w:tcBorders>
            <w:shd w:val="clear" w:color="auto" w:fill="FDFDFC"/>
          </w:tcPr>
          <w:p>
            <w:pPr>
              <w:spacing w:after="0"/>
              <w:rPr>
                <w:sz w:val="14"/>
                <w:szCs w:val="14"/>
                <w:color w:val="auto"/>
              </w:rPr>
            </w:pPr>
          </w:p>
        </w:tc>
        <w:tc>
          <w:tcPr>
            <w:tcW w:w="1280" w:type="dxa"/>
            <w:vAlign w:val="bottom"/>
            <w:gridSpan w:val="2"/>
            <w:shd w:val="clear" w:color="auto" w:fill="FDFDFC"/>
          </w:tcPr>
          <w:p>
            <w:pPr>
              <w:jc w:val="center"/>
              <w:ind w:right="320"/>
              <w:spacing w:after="0"/>
              <w:rPr>
                <w:sz w:val="20"/>
                <w:szCs w:val="20"/>
                <w:color w:val="auto"/>
              </w:rPr>
            </w:pPr>
            <w:r>
              <w:rPr>
                <w:rFonts w:ascii="Arial" w:cs="Arial" w:eastAsia="Arial" w:hAnsi="Arial"/>
                <w:sz w:val="15"/>
                <w:szCs w:val="15"/>
                <w:b w:val="1"/>
                <w:bCs w:val="1"/>
                <w:color w:val="231F20"/>
              </w:rPr>
              <w:t>Year Ended</w:t>
            </w:r>
          </w:p>
        </w:tc>
        <w:tc>
          <w:tcPr>
            <w:tcW w:w="0" w:type="dxa"/>
            <w:vAlign w:val="bottom"/>
          </w:tcPr>
          <w:p>
            <w:pPr>
              <w:spacing w:after="0"/>
              <w:rPr>
                <w:sz w:val="1"/>
                <w:szCs w:val="1"/>
                <w:color w:val="auto"/>
              </w:rPr>
            </w:pPr>
          </w:p>
        </w:tc>
      </w:tr>
      <w:tr>
        <w:trPr>
          <w:trHeight w:val="174"/>
        </w:trPr>
        <w:tc>
          <w:tcPr>
            <w:tcW w:w="5800" w:type="dxa"/>
            <w:vAlign w:val="bottom"/>
            <w:gridSpan w:val="2"/>
            <w:vMerge w:val="restart"/>
            <w:shd w:val="clear" w:color="auto" w:fill="FDFDFC"/>
          </w:tcPr>
          <w:p>
            <w:pPr>
              <w:spacing w:after="0"/>
              <w:rPr>
                <w:sz w:val="20"/>
                <w:szCs w:val="20"/>
                <w:color w:val="auto"/>
              </w:rPr>
            </w:pPr>
            <w:r>
              <w:rPr>
                <w:rFonts w:ascii="Arial" w:cs="Arial" w:eastAsia="Arial" w:hAnsi="Arial"/>
                <w:sz w:val="15"/>
                <w:szCs w:val="15"/>
                <w:b w:val="1"/>
                <w:bCs w:val="1"/>
                <w:color w:val="231F20"/>
              </w:rPr>
              <w:t>(dollars in millions)</w:t>
            </w:r>
          </w:p>
        </w:tc>
        <w:tc>
          <w:tcPr>
            <w:tcW w:w="100" w:type="dxa"/>
            <w:vAlign w:val="bottom"/>
            <w:tcBorders>
              <w:right w:val="single" w:sz="8" w:color="FDFDFC"/>
            </w:tcBorders>
            <w:shd w:val="clear" w:color="auto" w:fill="FDFDFC"/>
          </w:tcPr>
          <w:p>
            <w:pPr>
              <w:spacing w:after="0"/>
              <w:rPr>
                <w:sz w:val="15"/>
                <w:szCs w:val="15"/>
                <w:color w:val="auto"/>
              </w:rPr>
            </w:pPr>
          </w:p>
        </w:tc>
        <w:tc>
          <w:tcPr>
            <w:tcW w:w="120" w:type="dxa"/>
            <w:vAlign w:val="bottom"/>
            <w:tcBorders>
              <w:left w:val="single" w:sz="8" w:color="FDFDFC"/>
            </w:tcBorders>
            <w:shd w:val="clear" w:color="auto" w:fill="FDFDFC"/>
          </w:tcPr>
          <w:p>
            <w:pPr>
              <w:spacing w:after="0"/>
              <w:rPr>
                <w:sz w:val="15"/>
                <w:szCs w:val="15"/>
                <w:color w:val="auto"/>
              </w:rPr>
            </w:pPr>
          </w:p>
        </w:tc>
        <w:tc>
          <w:tcPr>
            <w:tcW w:w="1280" w:type="dxa"/>
            <w:vAlign w:val="bottom"/>
            <w:gridSpan w:val="5"/>
            <w:vMerge w:val="restart"/>
            <w:shd w:val="clear" w:color="auto" w:fill="FDFDFC"/>
          </w:tcPr>
          <w:p>
            <w:pPr>
              <w:ind w:left="40"/>
              <w:spacing w:after="0"/>
              <w:rPr>
                <w:sz w:val="20"/>
                <w:szCs w:val="20"/>
                <w:color w:val="auto"/>
              </w:rPr>
            </w:pPr>
            <w:r>
              <w:rPr>
                <w:rFonts w:ascii="Arial" w:cs="Arial" w:eastAsia="Arial" w:hAnsi="Arial"/>
                <w:sz w:val="15"/>
                <w:szCs w:val="15"/>
                <w:b w:val="1"/>
                <w:bCs w:val="1"/>
                <w:color w:val="231F20"/>
              </w:rPr>
              <w:t>Transaction</w:t>
            </w:r>
          </w:p>
        </w:tc>
        <w:tc>
          <w:tcPr>
            <w:tcW w:w="8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80" w:type="dxa"/>
            <w:vAlign w:val="bottom"/>
            <w:gridSpan w:val="3"/>
            <w:shd w:val="clear" w:color="auto" w:fill="FDFDFC"/>
          </w:tcPr>
          <w:p>
            <w:pPr>
              <w:jc w:val="right"/>
              <w:ind w:right="560"/>
              <w:spacing w:after="0"/>
              <w:rPr>
                <w:sz w:val="20"/>
                <w:szCs w:val="20"/>
                <w:color w:val="auto"/>
              </w:rPr>
            </w:pPr>
            <w:r>
              <w:rPr>
                <w:rFonts w:ascii="Arial" w:cs="Arial" w:eastAsia="Arial" w:hAnsi="Arial"/>
                <w:sz w:val="15"/>
                <w:szCs w:val="15"/>
                <w:b w:val="1"/>
                <w:bCs w:val="1"/>
                <w:color w:val="231F20"/>
              </w:rPr>
              <w:t>other</w:t>
            </w:r>
          </w:p>
        </w:tc>
        <w:tc>
          <w:tcPr>
            <w:tcW w:w="4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00" w:type="dxa"/>
            <w:vAlign w:val="bottom"/>
            <w:tcBorders>
              <w:left w:val="single" w:sz="8" w:color="FDFDFC"/>
            </w:tcBorders>
            <w:gridSpan w:val="3"/>
            <w:shd w:val="clear" w:color="auto" w:fill="FDFDFC"/>
          </w:tcPr>
          <w:p>
            <w:pPr>
              <w:jc w:val="center"/>
              <w:ind w:right="200"/>
              <w:spacing w:after="0"/>
              <w:rPr>
                <w:sz w:val="20"/>
                <w:szCs w:val="20"/>
                <w:color w:val="auto"/>
              </w:rPr>
            </w:pPr>
            <w:r>
              <w:rPr>
                <w:rFonts w:ascii="Arial" w:cs="Arial" w:eastAsia="Arial" w:hAnsi="Arial"/>
                <w:sz w:val="15"/>
                <w:szCs w:val="15"/>
                <w:b w:val="1"/>
                <w:bCs w:val="1"/>
                <w:color w:val="231F20"/>
              </w:rPr>
              <w:t>December 31,</w:t>
            </w:r>
          </w:p>
        </w:tc>
        <w:tc>
          <w:tcPr>
            <w:tcW w:w="0" w:type="dxa"/>
            <w:vAlign w:val="bottom"/>
          </w:tcPr>
          <w:p>
            <w:pPr>
              <w:spacing w:after="0"/>
              <w:rPr>
                <w:sz w:val="1"/>
                <w:szCs w:val="1"/>
                <w:color w:val="auto"/>
              </w:rPr>
            </w:pPr>
          </w:p>
        </w:tc>
      </w:tr>
      <w:tr>
        <w:trPr>
          <w:trHeight w:val="191"/>
        </w:trPr>
        <w:tc>
          <w:tcPr>
            <w:tcW w:w="5800" w:type="dxa"/>
            <w:vAlign w:val="bottom"/>
            <w:gridSpan w:val="2"/>
            <w:vMerge w:val="continue"/>
            <w:shd w:val="clear" w:color="auto" w:fill="FDFDFC"/>
          </w:tcPr>
          <w:p>
            <w:pPr>
              <w:spacing w:after="0"/>
              <w:rPr>
                <w:sz w:val="16"/>
                <w:szCs w:val="16"/>
                <w:color w:val="auto"/>
              </w:rPr>
            </w:pPr>
          </w:p>
        </w:tc>
        <w:tc>
          <w:tcPr>
            <w:tcW w:w="100" w:type="dxa"/>
            <w:vAlign w:val="bottom"/>
            <w:tcBorders>
              <w:right w:val="single" w:sz="8" w:color="FDFDFC"/>
            </w:tcBorders>
            <w:shd w:val="clear" w:color="auto" w:fill="FDFDFC"/>
          </w:tcPr>
          <w:p>
            <w:pPr>
              <w:spacing w:after="0"/>
              <w:rPr>
                <w:sz w:val="16"/>
                <w:szCs w:val="16"/>
                <w:color w:val="auto"/>
              </w:rPr>
            </w:pPr>
          </w:p>
        </w:tc>
        <w:tc>
          <w:tcPr>
            <w:tcW w:w="120" w:type="dxa"/>
            <w:vAlign w:val="bottom"/>
            <w:tcBorders>
              <w:left w:val="single" w:sz="8" w:color="FDFDFC"/>
            </w:tcBorders>
            <w:shd w:val="clear" w:color="auto" w:fill="FDFDFC"/>
          </w:tcPr>
          <w:p>
            <w:pPr>
              <w:spacing w:after="0"/>
              <w:rPr>
                <w:sz w:val="16"/>
                <w:szCs w:val="16"/>
                <w:color w:val="auto"/>
              </w:rPr>
            </w:pPr>
          </w:p>
        </w:tc>
        <w:tc>
          <w:tcPr>
            <w:tcW w:w="1280" w:type="dxa"/>
            <w:vAlign w:val="bottom"/>
            <w:gridSpan w:val="5"/>
            <w:vMerge w:val="continue"/>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80" w:type="dxa"/>
            <w:vAlign w:val="bottom"/>
            <w:gridSpan w:val="3"/>
            <w:shd w:val="clear" w:color="auto" w:fill="FDFDFC"/>
          </w:tcPr>
          <w:p>
            <w:pPr>
              <w:jc w:val="right"/>
              <w:ind w:right="400"/>
              <w:spacing w:after="0"/>
              <w:rPr>
                <w:sz w:val="20"/>
                <w:szCs w:val="20"/>
                <w:color w:val="auto"/>
              </w:rPr>
            </w:pPr>
            <w:r>
              <w:rPr>
                <w:rFonts w:ascii="Arial" w:cs="Arial" w:eastAsia="Arial" w:hAnsi="Arial"/>
                <w:sz w:val="15"/>
                <w:szCs w:val="15"/>
                <w:b w:val="1"/>
                <w:bCs w:val="1"/>
                <w:color w:val="231F20"/>
              </w:rPr>
              <w:t>revenues</w:t>
            </w:r>
          </w:p>
        </w:tc>
        <w:tc>
          <w:tcPr>
            <w:tcW w:w="4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20" w:type="dxa"/>
            <w:vAlign w:val="bottom"/>
            <w:tcBorders>
              <w:left w:val="single" w:sz="8" w:color="FDFDFC"/>
            </w:tcBorders>
            <w:shd w:val="clear" w:color="auto" w:fill="FDFDFC"/>
          </w:tcPr>
          <w:p>
            <w:pPr>
              <w:spacing w:after="0"/>
              <w:rPr>
                <w:sz w:val="16"/>
                <w:szCs w:val="16"/>
                <w:color w:val="auto"/>
              </w:rPr>
            </w:pPr>
          </w:p>
        </w:tc>
        <w:tc>
          <w:tcPr>
            <w:tcW w:w="1080" w:type="dxa"/>
            <w:vAlign w:val="bottom"/>
            <w:shd w:val="clear" w:color="auto" w:fill="FDFDFC"/>
          </w:tcPr>
          <w:p>
            <w:pPr>
              <w:jc w:val="center"/>
              <w:ind w:right="30"/>
              <w:spacing w:after="0"/>
              <w:rPr>
                <w:sz w:val="20"/>
                <w:szCs w:val="20"/>
                <w:color w:val="auto"/>
              </w:rPr>
            </w:pPr>
            <w:r>
              <w:rPr>
                <w:rFonts w:ascii="Arial" w:cs="Arial" w:eastAsia="Arial" w:hAnsi="Arial"/>
                <w:sz w:val="15"/>
                <w:szCs w:val="15"/>
                <w:b w:val="1"/>
                <w:bCs w:val="1"/>
                <w:color w:val="231F20"/>
                <w:w w:val="95"/>
              </w:rPr>
              <w:t>2024</w:t>
            </w:r>
          </w:p>
        </w:tc>
        <w:tc>
          <w:tcPr>
            <w:tcW w:w="2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800" w:type="dxa"/>
            <w:vAlign w:val="bottom"/>
            <w:tcBorders>
              <w:top w:val="single" w:sz="8" w:color="231F20"/>
            </w:tcBorders>
            <w:gridSpan w:val="2"/>
            <w:shd w:val="clear" w:color="auto" w:fill="D0EBF2"/>
          </w:tcPr>
          <w:p>
            <w:pPr>
              <w:spacing w:after="0"/>
              <w:rPr>
                <w:sz w:val="20"/>
                <w:szCs w:val="20"/>
                <w:color w:val="auto"/>
              </w:rPr>
            </w:pPr>
            <w:r>
              <w:rPr>
                <w:rFonts w:ascii="Arial" w:cs="Arial" w:eastAsia="Arial" w:hAnsi="Arial"/>
                <w:sz w:val="19"/>
                <w:szCs w:val="19"/>
                <w:color w:val="231F20"/>
              </w:rPr>
              <w:t>Revenue</w:t>
            </w:r>
          </w:p>
        </w:tc>
        <w:tc>
          <w:tcPr>
            <w:tcW w:w="100" w:type="dxa"/>
            <w:vAlign w:val="bottom"/>
            <w:tcBorders>
              <w:top w:val="single" w:sz="8" w:color="D0EBF2"/>
              <w:right w:val="single" w:sz="8" w:color="D0EBF2"/>
            </w:tcBorders>
            <w:shd w:val="clear" w:color="auto" w:fill="D0EBF2"/>
          </w:tcPr>
          <w:p>
            <w:pPr>
              <w:spacing w:after="0"/>
              <w:rPr>
                <w:sz w:val="19"/>
                <w:szCs w:val="19"/>
                <w:color w:val="auto"/>
              </w:rPr>
            </w:pPr>
          </w:p>
        </w:tc>
        <w:tc>
          <w:tcPr>
            <w:tcW w:w="380" w:type="dxa"/>
            <w:vAlign w:val="bottom"/>
            <w:tcBorders>
              <w:top w:val="single" w:sz="8" w:color="231F20"/>
              <w:left w:val="single" w:sz="8" w:color="D0EBF2"/>
            </w:tcBorders>
            <w:gridSpan w:val="2"/>
            <w:shd w:val="clear" w:color="auto" w:fill="D0EBF2"/>
          </w:tcPr>
          <w:p>
            <w:pPr>
              <w:jc w:val="right"/>
              <w:ind w:right="130"/>
              <w:spacing w:after="0"/>
              <w:rPr>
                <w:sz w:val="20"/>
                <w:szCs w:val="20"/>
                <w:color w:val="auto"/>
              </w:rPr>
            </w:pPr>
            <w:r>
              <w:rPr>
                <w:rFonts w:ascii="Arial" w:cs="Arial" w:eastAsia="Arial" w:hAnsi="Arial"/>
                <w:sz w:val="19"/>
                <w:szCs w:val="19"/>
                <w:color w:val="231F20"/>
              </w:rPr>
              <w:t>$</w:t>
            </w:r>
          </w:p>
        </w:tc>
        <w:tc>
          <w:tcPr>
            <w:tcW w:w="760" w:type="dxa"/>
            <w:vAlign w:val="bottom"/>
            <w:tcBorders>
              <w:top w:val="single" w:sz="8" w:color="231F20"/>
            </w:tcBorders>
            <w:gridSpan w:val="2"/>
            <w:shd w:val="clear" w:color="auto" w:fill="D0EBF2"/>
          </w:tcPr>
          <w:p>
            <w:pPr>
              <w:jc w:val="right"/>
              <w:spacing w:after="0"/>
              <w:rPr>
                <w:sz w:val="20"/>
                <w:szCs w:val="20"/>
                <w:color w:val="auto"/>
              </w:rPr>
            </w:pPr>
            <w:r>
              <w:rPr>
                <w:rFonts w:ascii="Arial" w:cs="Arial" w:eastAsia="Arial" w:hAnsi="Arial"/>
                <w:sz w:val="19"/>
                <w:szCs w:val="19"/>
                <w:color w:val="231F20"/>
              </w:rPr>
              <w:t>410.2</w:t>
            </w:r>
          </w:p>
        </w:tc>
        <w:tc>
          <w:tcPr>
            <w:tcW w:w="180" w:type="dxa"/>
            <w:vAlign w:val="bottom"/>
            <w:tcBorders>
              <w:top w:val="single" w:sz="8" w:color="D0EBF2"/>
            </w:tcBorders>
            <w:shd w:val="clear" w:color="auto" w:fill="D0EBF2"/>
          </w:tcPr>
          <w:p>
            <w:pPr>
              <w:spacing w:after="0"/>
              <w:rPr>
                <w:sz w:val="19"/>
                <w:szCs w:val="19"/>
                <w:color w:val="auto"/>
              </w:rPr>
            </w:pPr>
          </w:p>
        </w:tc>
        <w:tc>
          <w:tcPr>
            <w:tcW w:w="80" w:type="dxa"/>
            <w:vAlign w:val="bottom"/>
            <w:tcBorders>
              <w:top w:val="single" w:sz="8" w:color="D0EBF2"/>
            </w:tcBorders>
            <w:shd w:val="clear" w:color="auto" w:fill="D0EBF2"/>
          </w:tcPr>
          <w:p>
            <w:pPr>
              <w:spacing w:after="0"/>
              <w:rPr>
                <w:sz w:val="19"/>
                <w:szCs w:val="19"/>
                <w:color w:val="auto"/>
              </w:rPr>
            </w:pPr>
          </w:p>
        </w:tc>
        <w:tc>
          <w:tcPr>
            <w:tcW w:w="80" w:type="dxa"/>
            <w:vAlign w:val="bottom"/>
            <w:tcBorders>
              <w:top w:val="single" w:sz="8" w:color="D0EBF2"/>
            </w:tcBorders>
            <w:shd w:val="clear" w:color="auto" w:fill="D0EBF2"/>
          </w:tcPr>
          <w:p>
            <w:pPr>
              <w:spacing w:after="0"/>
              <w:rPr>
                <w:sz w:val="19"/>
                <w:szCs w:val="19"/>
                <w:color w:val="auto"/>
              </w:rPr>
            </w:pPr>
          </w:p>
        </w:tc>
        <w:tc>
          <w:tcPr>
            <w:tcW w:w="200" w:type="dxa"/>
            <w:vAlign w:val="bottom"/>
            <w:tcBorders>
              <w:top w:val="single" w:sz="8" w:color="231F20"/>
            </w:tcBorders>
            <w:gridSpan w:val="2"/>
            <w:shd w:val="clear" w:color="auto" w:fill="D0EBF2"/>
          </w:tcPr>
          <w:p>
            <w:pPr>
              <w:jc w:val="right"/>
              <w:ind w:right="15"/>
              <w:spacing w:after="0"/>
              <w:rPr>
                <w:sz w:val="20"/>
                <w:szCs w:val="20"/>
                <w:color w:val="auto"/>
              </w:rPr>
            </w:pPr>
            <w:r>
              <w:rPr>
                <w:rFonts w:ascii="Arial" w:cs="Arial" w:eastAsia="Arial" w:hAnsi="Arial"/>
                <w:sz w:val="19"/>
                <w:szCs w:val="19"/>
                <w:color w:val="231F20"/>
                <w:w w:val="75"/>
              </w:rPr>
              <w:t>$</w:t>
            </w:r>
          </w:p>
        </w:tc>
        <w:tc>
          <w:tcPr>
            <w:tcW w:w="900" w:type="dxa"/>
            <w:vAlign w:val="bottom"/>
            <w:tcBorders>
              <w:top w:val="single" w:sz="8" w:color="231F20"/>
            </w:tcBorders>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81.9</w:t>
            </w:r>
          </w:p>
        </w:tc>
        <w:tc>
          <w:tcPr>
            <w:tcW w:w="180" w:type="dxa"/>
            <w:vAlign w:val="bottom"/>
            <w:tcBorders>
              <w:top w:val="single" w:sz="8" w:color="D0EBF2"/>
            </w:tcBorders>
            <w:shd w:val="clear" w:color="auto" w:fill="D0EBF2"/>
          </w:tcPr>
          <w:p>
            <w:pPr>
              <w:spacing w:after="0"/>
              <w:rPr>
                <w:sz w:val="19"/>
                <w:szCs w:val="19"/>
                <w:color w:val="auto"/>
              </w:rPr>
            </w:pPr>
          </w:p>
        </w:tc>
        <w:tc>
          <w:tcPr>
            <w:tcW w:w="40" w:type="dxa"/>
            <w:vAlign w:val="bottom"/>
            <w:tcBorders>
              <w:top w:val="single" w:sz="8" w:color="D0EBF2"/>
            </w:tcBorders>
            <w:shd w:val="clear" w:color="auto" w:fill="D0EBF2"/>
          </w:tcPr>
          <w:p>
            <w:pPr>
              <w:spacing w:after="0"/>
              <w:rPr>
                <w:sz w:val="19"/>
                <w:szCs w:val="19"/>
                <w:color w:val="auto"/>
              </w:rPr>
            </w:pPr>
          </w:p>
        </w:tc>
        <w:tc>
          <w:tcPr>
            <w:tcW w:w="10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231F20"/>
              <w:left w:val="single" w:sz="8" w:color="D0EBF2"/>
            </w:tcBorders>
            <w:shd w:val="clear" w:color="auto" w:fill="D0EBF2"/>
          </w:tcPr>
          <w:p>
            <w:pPr>
              <w:jc w:val="right"/>
              <w:spacing w:after="0"/>
              <w:rPr>
                <w:sz w:val="20"/>
                <w:szCs w:val="20"/>
                <w:color w:val="auto"/>
              </w:rPr>
            </w:pPr>
            <w:r>
              <w:rPr>
                <w:rFonts w:ascii="Arial" w:cs="Arial" w:eastAsia="Arial" w:hAnsi="Arial"/>
                <w:sz w:val="19"/>
                <w:szCs w:val="19"/>
                <w:color w:val="231F20"/>
                <w:w w:val="94"/>
              </w:rPr>
              <w:t>$</w:t>
            </w:r>
          </w:p>
        </w:tc>
        <w:tc>
          <w:tcPr>
            <w:tcW w:w="108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492.1</w:t>
            </w:r>
          </w:p>
        </w:tc>
        <w:tc>
          <w:tcPr>
            <w:tcW w:w="20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FDFDFC"/>
          </w:tcPr>
          <w:p>
            <w:pPr>
              <w:spacing w:after="0"/>
              <w:rPr>
                <w:sz w:val="20"/>
                <w:szCs w:val="20"/>
                <w:color w:val="auto"/>
              </w:rPr>
            </w:pPr>
            <w:r>
              <w:rPr>
                <w:rFonts w:ascii="Arial" w:cs="Arial" w:eastAsia="Arial" w:hAnsi="Arial"/>
                <w:sz w:val="19"/>
                <w:szCs w:val="19"/>
                <w:color w:val="231F20"/>
              </w:rPr>
              <w:t>Adjusted to exclude gross up for:</w:t>
            </w:r>
          </w:p>
        </w:tc>
        <w:tc>
          <w:tcPr>
            <w:tcW w:w="100" w:type="dxa"/>
            <w:vAlign w:val="bottom"/>
            <w:tcBorders>
              <w:right w:val="single" w:sz="8" w:color="FDFDFC"/>
            </w:tcBorders>
            <w:shd w:val="clear" w:color="auto" w:fill="FDFDFC"/>
          </w:tcPr>
          <w:p>
            <w:pPr>
              <w:spacing w:after="0"/>
              <w:rPr>
                <w:sz w:val="20"/>
                <w:szCs w:val="20"/>
                <w:color w:val="auto"/>
              </w:rPr>
            </w:pPr>
          </w:p>
        </w:tc>
        <w:tc>
          <w:tcPr>
            <w:tcW w:w="120" w:type="dxa"/>
            <w:vAlign w:val="bottom"/>
            <w:tcBorders>
              <w:left w:val="single" w:sz="8" w:color="FDFDFC"/>
            </w:tcBorders>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20" w:type="dxa"/>
            <w:vAlign w:val="bottom"/>
            <w:tcBorders>
              <w:left w:val="single" w:sz="8" w:color="FDFDFC"/>
            </w:tcBorders>
            <w:shd w:val="clear" w:color="auto" w:fill="FDFDFC"/>
          </w:tcPr>
          <w:p>
            <w:pPr>
              <w:spacing w:after="0"/>
              <w:rPr>
                <w:sz w:val="20"/>
                <w:szCs w:val="20"/>
                <w:color w:val="auto"/>
              </w:rPr>
            </w:pPr>
          </w:p>
        </w:tc>
        <w:tc>
          <w:tcPr>
            <w:tcW w:w="108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D0EBF2"/>
          </w:tcPr>
          <w:p>
            <w:pPr>
              <w:ind w:left="260"/>
              <w:spacing w:after="0"/>
              <w:rPr>
                <w:sz w:val="20"/>
                <w:szCs w:val="20"/>
                <w:color w:val="auto"/>
              </w:rPr>
            </w:pPr>
            <w:r>
              <w:rPr>
                <w:rFonts w:ascii="Arial" w:cs="Arial" w:eastAsia="Arial" w:hAnsi="Arial"/>
                <w:sz w:val="19"/>
                <w:szCs w:val="19"/>
                <w:color w:val="231F20"/>
              </w:rPr>
              <w:t>Pass-through cost for printing and mailing</w:t>
            </w:r>
          </w:p>
        </w:tc>
        <w:tc>
          <w:tcPr>
            <w:tcW w:w="100" w:type="dxa"/>
            <w:vAlign w:val="bottom"/>
            <w:tcBorders>
              <w:right w:val="single" w:sz="8" w:color="D0EBF2"/>
            </w:tcBorders>
            <w:shd w:val="clear" w:color="auto" w:fill="D0EBF2"/>
          </w:tcPr>
          <w:p>
            <w:pPr>
              <w:spacing w:after="0"/>
              <w:rPr>
                <w:sz w:val="20"/>
                <w:szCs w:val="20"/>
                <w:color w:val="auto"/>
              </w:rPr>
            </w:pPr>
          </w:p>
        </w:tc>
        <w:tc>
          <w:tcPr>
            <w:tcW w:w="120" w:type="dxa"/>
            <w:vAlign w:val="bottom"/>
            <w:tcBorders>
              <w:left w:val="single" w:sz="8" w:color="D0EBF2"/>
            </w:tcBorders>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020" w:type="dxa"/>
            <w:vAlign w:val="bottom"/>
            <w:gridSpan w:val="4"/>
            <w:shd w:val="clear" w:color="auto" w:fill="D0EBF2"/>
          </w:tcPr>
          <w:p>
            <w:pPr>
              <w:jc w:val="right"/>
              <w:ind w:right="260"/>
              <w:spacing w:after="0"/>
              <w:rPr>
                <w:sz w:val="20"/>
                <w:szCs w:val="20"/>
                <w:color w:val="auto"/>
              </w:rPr>
            </w:pPr>
            <w:r>
              <w:rPr>
                <w:rFonts w:ascii="Arial" w:cs="Arial" w:eastAsia="Arial" w:hAnsi="Arial"/>
                <w:sz w:val="19"/>
                <w:szCs w:val="19"/>
                <w:color w:val="231F20"/>
              </w:rPr>
              <w:t>—</w:t>
            </w:r>
          </w:p>
        </w:tc>
        <w:tc>
          <w:tcPr>
            <w:tcW w:w="8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gridSpan w:val="3"/>
            <w:shd w:val="clear" w:color="auto" w:fill="D0EBF2"/>
          </w:tcPr>
          <w:p>
            <w:pPr>
              <w:jc w:val="right"/>
              <w:ind w:right="120"/>
              <w:spacing w:after="0"/>
              <w:rPr>
                <w:sz w:val="20"/>
                <w:szCs w:val="20"/>
                <w:color w:val="auto"/>
              </w:rPr>
            </w:pPr>
            <w:r>
              <w:rPr>
                <w:rFonts w:ascii="Arial" w:cs="Arial" w:eastAsia="Arial" w:hAnsi="Arial"/>
                <w:sz w:val="19"/>
                <w:szCs w:val="19"/>
                <w:color w:val="231F20"/>
              </w:rPr>
              <w:t>(15.9)</w:t>
            </w:r>
          </w:p>
        </w:tc>
        <w:tc>
          <w:tcPr>
            <w:tcW w:w="4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20" w:type="dxa"/>
            <w:vAlign w:val="bottom"/>
            <w:tcBorders>
              <w:left w:val="single" w:sz="8" w:color="D0EBF2"/>
            </w:tcBorders>
            <w:shd w:val="clear" w:color="auto" w:fill="D0EBF2"/>
          </w:tcPr>
          <w:p>
            <w:pPr>
              <w:spacing w:after="0"/>
              <w:rPr>
                <w:sz w:val="20"/>
                <w:szCs w:val="20"/>
                <w:color w:val="auto"/>
              </w:rPr>
            </w:pPr>
          </w:p>
        </w:tc>
        <w:tc>
          <w:tcPr>
            <w:tcW w:w="1280" w:type="dxa"/>
            <w:vAlign w:val="bottom"/>
            <w:gridSpan w:val="2"/>
            <w:shd w:val="clear" w:color="auto" w:fill="D0EBF2"/>
          </w:tcPr>
          <w:p>
            <w:pPr>
              <w:jc w:val="right"/>
              <w:ind w:right="120"/>
              <w:spacing w:after="0"/>
              <w:rPr>
                <w:sz w:val="20"/>
                <w:szCs w:val="20"/>
                <w:color w:val="auto"/>
              </w:rPr>
            </w:pPr>
            <w:r>
              <w:rPr>
                <w:rFonts w:ascii="Arial" w:cs="Arial" w:eastAsia="Arial" w:hAnsi="Arial"/>
                <w:sz w:val="19"/>
                <w:szCs w:val="19"/>
                <w:color w:val="231F20"/>
              </w:rPr>
              <w:t>(15.9)</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FDFDFC"/>
          </w:tcPr>
          <w:p>
            <w:pPr>
              <w:ind w:left="260"/>
              <w:spacing w:after="0"/>
              <w:rPr>
                <w:sz w:val="20"/>
                <w:szCs w:val="20"/>
                <w:color w:val="auto"/>
              </w:rPr>
            </w:pPr>
            <w:r>
              <w:rPr>
                <w:rFonts w:ascii="Arial" w:cs="Arial" w:eastAsia="Arial" w:hAnsi="Arial"/>
                <w:sz w:val="19"/>
                <w:szCs w:val="19"/>
                <w:color w:val="231F20"/>
              </w:rPr>
              <w:t>Marketing fees</w:t>
            </w:r>
          </w:p>
        </w:tc>
        <w:tc>
          <w:tcPr>
            <w:tcW w:w="100" w:type="dxa"/>
            <w:vAlign w:val="bottom"/>
            <w:tcBorders>
              <w:right w:val="single" w:sz="8" w:color="FDFDFC"/>
            </w:tcBorders>
            <w:shd w:val="clear" w:color="auto" w:fill="FDFDFC"/>
          </w:tcPr>
          <w:p>
            <w:pPr>
              <w:spacing w:after="0"/>
              <w:rPr>
                <w:sz w:val="20"/>
                <w:szCs w:val="20"/>
                <w:color w:val="auto"/>
              </w:rPr>
            </w:pPr>
          </w:p>
        </w:tc>
        <w:tc>
          <w:tcPr>
            <w:tcW w:w="120" w:type="dxa"/>
            <w:vAlign w:val="bottom"/>
            <w:tcBorders>
              <w:left w:val="single" w:sz="8" w:color="FDFDFC"/>
            </w:tcBorders>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gridSpan w:val="3"/>
            <w:shd w:val="clear" w:color="auto" w:fill="FDFDFC"/>
          </w:tcPr>
          <w:p>
            <w:pPr>
              <w:jc w:val="right"/>
              <w:ind w:right="120"/>
              <w:spacing w:after="0"/>
              <w:rPr>
                <w:sz w:val="20"/>
                <w:szCs w:val="20"/>
                <w:color w:val="auto"/>
              </w:rPr>
            </w:pPr>
            <w:r>
              <w:rPr>
                <w:rFonts w:ascii="Arial" w:cs="Arial" w:eastAsia="Arial" w:hAnsi="Arial"/>
                <w:sz w:val="19"/>
                <w:szCs w:val="19"/>
                <w:color w:val="231F20"/>
              </w:rPr>
              <w:t>(2.0)</w:t>
            </w:r>
          </w:p>
        </w:tc>
        <w:tc>
          <w:tcPr>
            <w:tcW w:w="8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gridSpan w:val="3"/>
            <w:shd w:val="clear" w:color="auto" w:fill="FDFDFC"/>
          </w:tcPr>
          <w:p>
            <w:pPr>
              <w:jc w:val="right"/>
              <w:ind w:right="200"/>
              <w:spacing w:after="0"/>
              <w:rPr>
                <w:sz w:val="20"/>
                <w:szCs w:val="20"/>
                <w:color w:val="auto"/>
              </w:rPr>
            </w:pPr>
            <w:r>
              <w:rPr>
                <w:rFonts w:ascii="Arial" w:cs="Arial" w:eastAsia="Arial" w:hAnsi="Arial"/>
                <w:sz w:val="19"/>
                <w:szCs w:val="19"/>
                <w:color w:val="231F20"/>
              </w:rPr>
              <w:t>—</w:t>
            </w:r>
          </w:p>
        </w:tc>
        <w:tc>
          <w:tcPr>
            <w:tcW w:w="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20" w:type="dxa"/>
            <w:vAlign w:val="bottom"/>
            <w:tcBorders>
              <w:left w:val="single" w:sz="8" w:color="FDFDFC"/>
            </w:tcBorders>
            <w:shd w:val="clear" w:color="auto" w:fill="FDFDFC"/>
          </w:tcPr>
          <w:p>
            <w:pPr>
              <w:spacing w:after="0"/>
              <w:rPr>
                <w:sz w:val="20"/>
                <w:szCs w:val="20"/>
                <w:color w:val="auto"/>
              </w:rPr>
            </w:pPr>
          </w:p>
        </w:tc>
        <w:tc>
          <w:tcPr>
            <w:tcW w:w="1280" w:type="dxa"/>
            <w:vAlign w:val="bottom"/>
            <w:gridSpan w:val="2"/>
            <w:shd w:val="clear" w:color="auto" w:fill="FDFDFC"/>
          </w:tcPr>
          <w:p>
            <w:pPr>
              <w:jc w:val="right"/>
              <w:ind w:right="120"/>
              <w:spacing w:after="0"/>
              <w:rPr>
                <w:sz w:val="20"/>
                <w:szCs w:val="20"/>
                <w:color w:val="auto"/>
              </w:rPr>
            </w:pPr>
            <w:r>
              <w:rPr>
                <w:rFonts w:ascii="Arial" w:cs="Arial" w:eastAsia="Arial" w:hAnsi="Arial"/>
                <w:sz w:val="19"/>
                <w:szCs w:val="19"/>
                <w:color w:val="231F20"/>
              </w:rPr>
              <w:t>(2.0)</w:t>
            </w:r>
          </w:p>
        </w:tc>
        <w:tc>
          <w:tcPr>
            <w:tcW w:w="0" w:type="dxa"/>
            <w:vAlign w:val="bottom"/>
          </w:tcPr>
          <w:p>
            <w:pPr>
              <w:spacing w:after="0"/>
              <w:rPr>
                <w:sz w:val="1"/>
                <w:szCs w:val="1"/>
                <w:color w:val="auto"/>
              </w:rPr>
            </w:pPr>
          </w:p>
        </w:tc>
      </w:tr>
      <w:tr>
        <w:trPr>
          <w:trHeight w:val="260"/>
        </w:trPr>
        <w:tc>
          <w:tcPr>
            <w:tcW w:w="5800" w:type="dxa"/>
            <w:vAlign w:val="bottom"/>
            <w:tcBorders>
              <w:top w:val="single" w:sz="8" w:color="D0EBF2"/>
              <w:bottom w:val="single" w:sz="8" w:color="FDFDFC"/>
            </w:tcBorders>
            <w:gridSpan w:val="2"/>
            <w:shd w:val="clear" w:color="auto" w:fill="D0EBF2"/>
          </w:tcPr>
          <w:p>
            <w:pPr>
              <w:spacing w:after="0"/>
              <w:rPr>
                <w:sz w:val="20"/>
                <w:szCs w:val="20"/>
                <w:color w:val="auto"/>
              </w:rPr>
            </w:pPr>
            <w:r>
              <w:rPr>
                <w:rFonts w:ascii="Arial" w:cs="Arial" w:eastAsia="Arial" w:hAnsi="Arial"/>
                <w:sz w:val="19"/>
                <w:szCs w:val="19"/>
                <w:color w:val="231F20"/>
              </w:rPr>
              <w:t>Revenue Less Ancillary Services</w:t>
            </w:r>
          </w:p>
        </w:tc>
        <w:tc>
          <w:tcPr>
            <w:tcW w:w="100" w:type="dxa"/>
            <w:vAlign w:val="bottom"/>
            <w:tcBorders>
              <w:top w:val="single" w:sz="8" w:color="D0EBF2"/>
              <w:bottom w:val="single" w:sz="8" w:color="FDFDFC"/>
              <w:right w:val="single" w:sz="8" w:color="D0EBF2"/>
            </w:tcBorders>
            <w:shd w:val="clear" w:color="auto" w:fill="D0EBF2"/>
          </w:tcPr>
          <w:p>
            <w:pPr>
              <w:spacing w:after="0"/>
              <w:rPr>
                <w:sz w:val="22"/>
                <w:szCs w:val="22"/>
                <w:color w:val="auto"/>
              </w:rPr>
            </w:pPr>
          </w:p>
        </w:tc>
        <w:tc>
          <w:tcPr>
            <w:tcW w:w="380" w:type="dxa"/>
            <w:vAlign w:val="bottom"/>
            <w:tcBorders>
              <w:top w:val="single" w:sz="8" w:color="231F20"/>
              <w:left w:val="single" w:sz="8" w:color="D0EBF2"/>
              <w:bottom w:val="single" w:sz="8" w:color="231F20"/>
            </w:tcBorders>
            <w:gridSpan w:val="2"/>
            <w:shd w:val="clear" w:color="auto" w:fill="D0EBF2"/>
          </w:tcPr>
          <w:p>
            <w:pPr>
              <w:jc w:val="right"/>
              <w:ind w:right="130"/>
              <w:spacing w:after="0"/>
              <w:rPr>
                <w:sz w:val="20"/>
                <w:szCs w:val="20"/>
                <w:color w:val="auto"/>
              </w:rPr>
            </w:pPr>
            <w:r>
              <w:rPr>
                <w:rFonts w:ascii="Arial" w:cs="Arial" w:eastAsia="Arial" w:hAnsi="Arial"/>
                <w:sz w:val="19"/>
                <w:szCs w:val="19"/>
                <w:color w:val="231F20"/>
              </w:rPr>
              <w:t>$</w:t>
            </w:r>
          </w:p>
        </w:tc>
        <w:tc>
          <w:tcPr>
            <w:tcW w:w="760" w:type="dxa"/>
            <w:vAlign w:val="bottom"/>
            <w:tcBorders>
              <w:top w:val="single" w:sz="8" w:color="231F20"/>
              <w:bottom w:val="single" w:sz="8" w:color="231F20"/>
            </w:tcBorders>
            <w:gridSpan w:val="2"/>
            <w:shd w:val="clear" w:color="auto" w:fill="D0EBF2"/>
          </w:tcPr>
          <w:p>
            <w:pPr>
              <w:jc w:val="right"/>
              <w:spacing w:after="0"/>
              <w:rPr>
                <w:sz w:val="20"/>
                <w:szCs w:val="20"/>
                <w:color w:val="auto"/>
              </w:rPr>
            </w:pPr>
            <w:r>
              <w:rPr>
                <w:rFonts w:ascii="Arial" w:cs="Arial" w:eastAsia="Arial" w:hAnsi="Arial"/>
                <w:sz w:val="19"/>
                <w:szCs w:val="19"/>
                <w:color w:val="231F20"/>
              </w:rPr>
              <w:t>408.2</w:t>
            </w:r>
          </w:p>
        </w:tc>
        <w:tc>
          <w:tcPr>
            <w:tcW w:w="180" w:type="dxa"/>
            <w:vAlign w:val="bottom"/>
            <w:tcBorders>
              <w:top w:val="single" w:sz="8" w:color="D0EBF2"/>
            </w:tcBorders>
            <w:shd w:val="clear" w:color="auto" w:fill="D0EBF2"/>
          </w:tcPr>
          <w:p>
            <w:pPr>
              <w:spacing w:after="0"/>
              <w:rPr>
                <w:sz w:val="22"/>
                <w:szCs w:val="22"/>
                <w:color w:val="auto"/>
              </w:rPr>
            </w:pPr>
          </w:p>
        </w:tc>
        <w:tc>
          <w:tcPr>
            <w:tcW w:w="80" w:type="dxa"/>
            <w:vAlign w:val="bottom"/>
            <w:tcBorders>
              <w:top w:val="single" w:sz="8" w:color="D0EBF2"/>
            </w:tcBorders>
            <w:shd w:val="clear" w:color="auto" w:fill="D0EBF2"/>
          </w:tcPr>
          <w:p>
            <w:pPr>
              <w:spacing w:after="0"/>
              <w:rPr>
                <w:sz w:val="22"/>
                <w:szCs w:val="22"/>
                <w:color w:val="auto"/>
              </w:rPr>
            </w:pPr>
          </w:p>
        </w:tc>
        <w:tc>
          <w:tcPr>
            <w:tcW w:w="80" w:type="dxa"/>
            <w:vAlign w:val="bottom"/>
            <w:tcBorders>
              <w:top w:val="single" w:sz="8" w:color="D0EBF2"/>
            </w:tcBorders>
            <w:shd w:val="clear" w:color="auto" w:fill="D0EBF2"/>
          </w:tcPr>
          <w:p>
            <w:pPr>
              <w:spacing w:after="0"/>
              <w:rPr>
                <w:sz w:val="22"/>
                <w:szCs w:val="22"/>
                <w:color w:val="auto"/>
              </w:rPr>
            </w:pPr>
          </w:p>
        </w:tc>
        <w:tc>
          <w:tcPr>
            <w:tcW w:w="200" w:type="dxa"/>
            <w:vAlign w:val="bottom"/>
            <w:tcBorders>
              <w:top w:val="single" w:sz="8" w:color="231F20"/>
              <w:bottom w:val="single" w:sz="8" w:color="231F20"/>
            </w:tcBorders>
            <w:gridSpan w:val="2"/>
            <w:shd w:val="clear" w:color="auto" w:fill="D0EBF2"/>
          </w:tcPr>
          <w:p>
            <w:pPr>
              <w:jc w:val="right"/>
              <w:ind w:right="15"/>
              <w:spacing w:after="0"/>
              <w:rPr>
                <w:sz w:val="20"/>
                <w:szCs w:val="20"/>
                <w:color w:val="auto"/>
              </w:rPr>
            </w:pPr>
            <w:r>
              <w:rPr>
                <w:rFonts w:ascii="Arial" w:cs="Arial" w:eastAsia="Arial" w:hAnsi="Arial"/>
                <w:sz w:val="19"/>
                <w:szCs w:val="19"/>
                <w:color w:val="231F20"/>
                <w:w w:val="75"/>
              </w:rPr>
              <w:t>$</w:t>
            </w:r>
          </w:p>
        </w:tc>
        <w:tc>
          <w:tcPr>
            <w:tcW w:w="900" w:type="dxa"/>
            <w:vAlign w:val="bottom"/>
            <w:tcBorders>
              <w:top w:val="single" w:sz="8" w:color="231F20"/>
              <w:bottom w:val="single" w:sz="8" w:color="231F20"/>
            </w:tcBorders>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66.0</w:t>
            </w:r>
          </w:p>
        </w:tc>
        <w:tc>
          <w:tcPr>
            <w:tcW w:w="180" w:type="dxa"/>
            <w:vAlign w:val="bottom"/>
            <w:tcBorders>
              <w:top w:val="single" w:sz="8" w:color="D0EBF2"/>
            </w:tcBorders>
            <w:shd w:val="clear" w:color="auto" w:fill="D0EBF2"/>
          </w:tcPr>
          <w:p>
            <w:pPr>
              <w:spacing w:after="0"/>
              <w:rPr>
                <w:sz w:val="22"/>
                <w:szCs w:val="22"/>
                <w:color w:val="auto"/>
              </w:rPr>
            </w:pPr>
          </w:p>
        </w:tc>
        <w:tc>
          <w:tcPr>
            <w:tcW w:w="40" w:type="dxa"/>
            <w:vAlign w:val="bottom"/>
            <w:tcBorders>
              <w:top w:val="single" w:sz="8" w:color="D0EBF2"/>
            </w:tcBorders>
            <w:shd w:val="clear" w:color="auto" w:fill="D0EBF2"/>
          </w:tcPr>
          <w:p>
            <w:pPr>
              <w:spacing w:after="0"/>
              <w:rPr>
                <w:sz w:val="22"/>
                <w:szCs w:val="22"/>
                <w:color w:val="auto"/>
              </w:rPr>
            </w:pPr>
          </w:p>
        </w:tc>
        <w:tc>
          <w:tcPr>
            <w:tcW w:w="100" w:type="dxa"/>
            <w:vAlign w:val="bottom"/>
            <w:tcBorders>
              <w:top w:val="single" w:sz="8" w:color="D0EBF2"/>
            </w:tcBorders>
            <w:shd w:val="clear" w:color="auto" w:fill="D0EBF2"/>
          </w:tcPr>
          <w:p>
            <w:pPr>
              <w:spacing w:after="0"/>
              <w:rPr>
                <w:sz w:val="22"/>
                <w:szCs w:val="22"/>
                <w:color w:val="auto"/>
              </w:rPr>
            </w:pPr>
          </w:p>
        </w:tc>
        <w:tc>
          <w:tcPr>
            <w:tcW w:w="120" w:type="dxa"/>
            <w:vAlign w:val="bottom"/>
            <w:tcBorders>
              <w:top w:val="single" w:sz="8" w:color="231F20"/>
              <w:left w:val="single" w:sz="8" w:color="D0EBF2"/>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94"/>
              </w:rPr>
              <w:t>$</w:t>
            </w:r>
          </w:p>
        </w:tc>
        <w:tc>
          <w:tcPr>
            <w:tcW w:w="10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474.2</w:t>
            </w:r>
          </w:p>
        </w:tc>
        <w:tc>
          <w:tcPr>
            <w:tcW w:w="200" w:type="dxa"/>
            <w:vAlign w:val="bottom"/>
            <w:tcBorders>
              <w:top w:val="single" w:sz="8" w:color="D0EBF2"/>
            </w:tcBorders>
            <w:shd w:val="clear" w:color="auto" w:fill="D0EBF2"/>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800" w:type="dxa"/>
            <w:vAlign w:val="bottom"/>
            <w:gridSpan w:val="2"/>
            <w:shd w:val="clear" w:color="auto" w:fill="FDFDFC"/>
          </w:tcPr>
          <w:p>
            <w:pPr>
              <w:spacing w:after="0" w:line="213" w:lineRule="exact"/>
              <w:rPr>
                <w:sz w:val="20"/>
                <w:szCs w:val="20"/>
                <w:color w:val="auto"/>
              </w:rPr>
            </w:pPr>
            <w:r>
              <w:rPr>
                <w:rFonts w:ascii="Arial" w:cs="Arial" w:eastAsia="Arial" w:hAnsi="Arial"/>
                <w:sz w:val="19"/>
                <w:szCs w:val="19"/>
                <w:color w:val="231F20"/>
              </w:rPr>
              <w:t>Percentage of Revenue</w:t>
            </w:r>
          </w:p>
        </w:tc>
        <w:tc>
          <w:tcPr>
            <w:tcW w:w="100" w:type="dxa"/>
            <w:vAlign w:val="bottom"/>
            <w:tcBorders>
              <w:right w:val="single" w:sz="8" w:color="FDFDFC"/>
            </w:tcBorders>
            <w:shd w:val="clear" w:color="auto" w:fill="FDFDFC"/>
          </w:tcPr>
          <w:p>
            <w:pPr>
              <w:spacing w:after="0"/>
              <w:rPr>
                <w:sz w:val="18"/>
                <w:szCs w:val="18"/>
                <w:color w:val="auto"/>
              </w:rPr>
            </w:pPr>
          </w:p>
        </w:tc>
        <w:tc>
          <w:tcPr>
            <w:tcW w:w="120" w:type="dxa"/>
            <w:vAlign w:val="bottom"/>
            <w:tcBorders>
              <w:left w:val="single" w:sz="8" w:color="FDFDFC"/>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jc w:val="right"/>
              <w:spacing w:after="0" w:line="213" w:lineRule="exact"/>
              <w:rPr>
                <w:sz w:val="20"/>
                <w:szCs w:val="20"/>
                <w:color w:val="auto"/>
              </w:rPr>
            </w:pPr>
            <w:r>
              <w:rPr>
                <w:rFonts w:ascii="Arial" w:cs="Arial" w:eastAsia="Arial" w:hAnsi="Arial"/>
                <w:sz w:val="19"/>
                <w:szCs w:val="19"/>
                <w:color w:val="231F20"/>
              </w:rPr>
              <w:t>83.4%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0"/>
              <w:spacing w:after="0" w:line="213" w:lineRule="exact"/>
              <w:rPr>
                <w:sz w:val="20"/>
                <w:szCs w:val="20"/>
                <w:color w:val="auto"/>
              </w:rPr>
            </w:pPr>
            <w:r>
              <w:rPr>
                <w:rFonts w:ascii="Arial" w:cs="Arial" w:eastAsia="Arial" w:hAnsi="Arial"/>
                <w:sz w:val="19"/>
                <w:szCs w:val="19"/>
                <w:color w:val="231F20"/>
              </w:rPr>
              <w:t>16.6%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line="213" w:lineRule="exact"/>
              <w:rPr>
                <w:sz w:val="20"/>
                <w:szCs w:val="20"/>
                <w:color w:val="auto"/>
              </w:rPr>
            </w:pPr>
            <w:r>
              <w:rPr>
                <w:rFonts w:ascii="Arial" w:cs="Arial" w:eastAsia="Arial" w:hAnsi="Arial"/>
                <w:sz w:val="19"/>
                <w:szCs w:val="19"/>
                <w:color w:val="231F20"/>
              </w:rPr>
              <w:t>100.0%</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Percentage of Revenue Less Ancillary Services</w:t>
            </w:r>
          </w:p>
        </w:tc>
        <w:tc>
          <w:tcPr>
            <w:tcW w:w="100" w:type="dxa"/>
            <w:vAlign w:val="bottom"/>
            <w:tcBorders>
              <w:right w:val="single" w:sz="8" w:color="D0EBF2"/>
            </w:tcBorders>
            <w:shd w:val="clear" w:color="auto" w:fill="D0EBF2"/>
          </w:tcPr>
          <w:p>
            <w:pPr>
              <w:spacing w:after="0"/>
              <w:rPr>
                <w:sz w:val="20"/>
                <w:szCs w:val="20"/>
                <w:color w:val="auto"/>
              </w:rPr>
            </w:pPr>
          </w:p>
        </w:tc>
        <w:tc>
          <w:tcPr>
            <w:tcW w:w="120" w:type="dxa"/>
            <w:vAlign w:val="bottom"/>
            <w:tcBorders>
              <w:left w:val="single" w:sz="8" w:color="D0EBF2"/>
            </w:tcBorders>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gridSpan w:val="3"/>
            <w:shd w:val="clear" w:color="auto" w:fill="D0EBF2"/>
          </w:tcPr>
          <w:p>
            <w:pPr>
              <w:jc w:val="right"/>
              <w:spacing w:after="0"/>
              <w:rPr>
                <w:sz w:val="20"/>
                <w:szCs w:val="20"/>
                <w:color w:val="auto"/>
              </w:rPr>
            </w:pPr>
            <w:r>
              <w:rPr>
                <w:rFonts w:ascii="Arial" w:cs="Arial" w:eastAsia="Arial" w:hAnsi="Arial"/>
                <w:sz w:val="19"/>
                <w:szCs w:val="19"/>
                <w:color w:val="231F20"/>
              </w:rPr>
              <w:t>86.1%</w:t>
            </w:r>
          </w:p>
        </w:tc>
        <w:tc>
          <w:tcPr>
            <w:tcW w:w="8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gridSpan w:val="3"/>
            <w:shd w:val="clear" w:color="auto" w:fill="D0EBF2"/>
          </w:tcPr>
          <w:p>
            <w:pPr>
              <w:jc w:val="right"/>
              <w:ind w:right="20"/>
              <w:spacing w:after="0"/>
              <w:rPr>
                <w:sz w:val="20"/>
                <w:szCs w:val="20"/>
                <w:color w:val="auto"/>
              </w:rPr>
            </w:pPr>
            <w:r>
              <w:rPr>
                <w:rFonts w:ascii="Arial" w:cs="Arial" w:eastAsia="Arial" w:hAnsi="Arial"/>
                <w:sz w:val="19"/>
                <w:szCs w:val="19"/>
                <w:color w:val="231F20"/>
              </w:rPr>
              <w:t>13.9%</w:t>
            </w:r>
          </w:p>
        </w:tc>
        <w:tc>
          <w:tcPr>
            <w:tcW w:w="4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20" w:type="dxa"/>
            <w:vAlign w:val="bottom"/>
            <w:tcBorders>
              <w:left w:val="single" w:sz="8" w:color="D0EBF2"/>
            </w:tcBorders>
            <w:shd w:val="clear" w:color="auto" w:fill="D0EBF2"/>
          </w:tcPr>
          <w:p>
            <w:pPr>
              <w:spacing w:after="0"/>
              <w:rPr>
                <w:sz w:val="20"/>
                <w:szCs w:val="20"/>
                <w:color w:val="auto"/>
              </w:rPr>
            </w:pPr>
          </w:p>
        </w:tc>
        <w:tc>
          <w:tcPr>
            <w:tcW w:w="128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100.0%</w:t>
            </w:r>
          </w:p>
        </w:tc>
        <w:tc>
          <w:tcPr>
            <w:tcW w:w="0" w:type="dxa"/>
            <w:vAlign w:val="bottom"/>
          </w:tcPr>
          <w:p>
            <w:pPr>
              <w:spacing w:after="0"/>
              <w:rPr>
                <w:sz w:val="1"/>
                <w:szCs w:val="1"/>
                <w:color w:val="auto"/>
              </w:rPr>
            </w:pPr>
          </w:p>
        </w:tc>
      </w:tr>
      <w:tr>
        <w:trPr>
          <w:trHeight w:val="217"/>
        </w:trPr>
        <w:tc>
          <w:tcPr>
            <w:tcW w:w="5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74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100" w:type="dxa"/>
            <w:vAlign w:val="bottom"/>
            <w:tcBorders>
              <w:right w:val="single" w:sz="8" w:color="FDFDFC"/>
            </w:tcBorders>
            <w:shd w:val="clear" w:color="auto" w:fill="FDFDFC"/>
          </w:tcPr>
          <w:p>
            <w:pPr>
              <w:spacing w:after="0"/>
              <w:rPr>
                <w:sz w:val="13"/>
                <w:szCs w:val="13"/>
                <w:color w:val="auto"/>
              </w:rPr>
            </w:pPr>
          </w:p>
        </w:tc>
        <w:tc>
          <w:tcPr>
            <w:tcW w:w="120" w:type="dxa"/>
            <w:vAlign w:val="bottom"/>
            <w:tcBorders>
              <w:left w:val="single" w:sz="8" w:color="FDFDFC"/>
            </w:tcBorders>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6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1360" w:type="dxa"/>
            <w:vAlign w:val="bottom"/>
            <w:gridSpan w:val="6"/>
            <w:shd w:val="clear" w:color="auto" w:fill="FDFDFC"/>
          </w:tcPr>
          <w:p>
            <w:pPr>
              <w:jc w:val="center"/>
              <w:ind w:right="280"/>
              <w:spacing w:after="0" w:line="157" w:lineRule="exact"/>
              <w:rPr>
                <w:sz w:val="20"/>
                <w:szCs w:val="20"/>
                <w:color w:val="auto"/>
              </w:rPr>
            </w:pPr>
            <w:r>
              <w:rPr>
                <w:rFonts w:ascii="Arial" w:cs="Arial" w:eastAsia="Arial" w:hAnsi="Arial"/>
                <w:sz w:val="15"/>
                <w:szCs w:val="15"/>
                <w:b w:val="1"/>
                <w:bCs w:val="1"/>
                <w:color w:val="231F20"/>
              </w:rPr>
              <w:t>Platform and</w:t>
            </w:r>
          </w:p>
        </w:tc>
        <w:tc>
          <w:tcPr>
            <w:tcW w:w="4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120" w:type="dxa"/>
            <w:vAlign w:val="bottom"/>
            <w:tcBorders>
              <w:left w:val="single" w:sz="8" w:color="FDFDFC"/>
            </w:tcBorders>
            <w:shd w:val="clear" w:color="auto" w:fill="FDFDFC"/>
          </w:tcPr>
          <w:p>
            <w:pPr>
              <w:spacing w:after="0"/>
              <w:rPr>
                <w:sz w:val="13"/>
                <w:szCs w:val="13"/>
                <w:color w:val="auto"/>
              </w:rPr>
            </w:pPr>
          </w:p>
        </w:tc>
        <w:tc>
          <w:tcPr>
            <w:tcW w:w="1280" w:type="dxa"/>
            <w:vAlign w:val="bottom"/>
            <w:gridSpan w:val="2"/>
            <w:shd w:val="clear" w:color="auto" w:fill="FDFDFC"/>
          </w:tcPr>
          <w:p>
            <w:pPr>
              <w:jc w:val="center"/>
              <w:ind w:right="400"/>
              <w:spacing w:after="0" w:line="157" w:lineRule="exact"/>
              <w:rPr>
                <w:sz w:val="20"/>
                <w:szCs w:val="20"/>
                <w:color w:val="auto"/>
              </w:rPr>
            </w:pPr>
            <w:r>
              <w:rPr>
                <w:rFonts w:ascii="Arial" w:cs="Arial" w:eastAsia="Arial" w:hAnsi="Arial"/>
                <w:sz w:val="15"/>
                <w:szCs w:val="15"/>
                <w:b w:val="1"/>
                <w:bCs w:val="1"/>
                <w:color w:val="231F20"/>
              </w:rPr>
              <w:t>Year Ended</w:t>
            </w:r>
          </w:p>
        </w:tc>
        <w:tc>
          <w:tcPr>
            <w:tcW w:w="0" w:type="dxa"/>
            <w:vAlign w:val="bottom"/>
          </w:tcPr>
          <w:p>
            <w:pPr>
              <w:spacing w:after="0"/>
              <w:rPr>
                <w:sz w:val="1"/>
                <w:szCs w:val="1"/>
                <w:color w:val="auto"/>
              </w:rPr>
            </w:pPr>
          </w:p>
        </w:tc>
      </w:tr>
      <w:tr>
        <w:trPr>
          <w:trHeight w:val="174"/>
        </w:trPr>
        <w:tc>
          <w:tcPr>
            <w:tcW w:w="5800" w:type="dxa"/>
            <w:vAlign w:val="bottom"/>
            <w:gridSpan w:val="2"/>
            <w:vMerge w:val="restart"/>
            <w:shd w:val="clear" w:color="auto" w:fill="FDFDFC"/>
          </w:tcPr>
          <w:p>
            <w:pPr>
              <w:spacing w:after="0"/>
              <w:rPr>
                <w:sz w:val="20"/>
                <w:szCs w:val="20"/>
                <w:color w:val="auto"/>
              </w:rPr>
            </w:pPr>
            <w:r>
              <w:rPr>
                <w:rFonts w:ascii="Arial" w:cs="Arial" w:eastAsia="Arial" w:hAnsi="Arial"/>
                <w:sz w:val="15"/>
                <w:szCs w:val="15"/>
                <w:b w:val="1"/>
                <w:bCs w:val="1"/>
                <w:color w:val="231F20"/>
              </w:rPr>
              <w:t>(dollars in millions)</w:t>
            </w:r>
          </w:p>
        </w:tc>
        <w:tc>
          <w:tcPr>
            <w:tcW w:w="100" w:type="dxa"/>
            <w:vAlign w:val="bottom"/>
            <w:tcBorders>
              <w:right w:val="single" w:sz="8" w:color="FDFDFC"/>
            </w:tcBorders>
            <w:shd w:val="clear" w:color="auto" w:fill="FDFDFC"/>
          </w:tcPr>
          <w:p>
            <w:pPr>
              <w:spacing w:after="0"/>
              <w:rPr>
                <w:sz w:val="15"/>
                <w:szCs w:val="15"/>
                <w:color w:val="auto"/>
              </w:rPr>
            </w:pPr>
          </w:p>
        </w:tc>
        <w:tc>
          <w:tcPr>
            <w:tcW w:w="1400" w:type="dxa"/>
            <w:vAlign w:val="bottom"/>
            <w:tcBorders>
              <w:left w:val="single" w:sz="8" w:color="FDFDFC"/>
            </w:tcBorders>
            <w:gridSpan w:val="6"/>
            <w:vMerge w:val="restart"/>
            <w:shd w:val="clear" w:color="auto" w:fill="FDFDFC"/>
          </w:tcPr>
          <w:p>
            <w:pPr>
              <w:ind w:left="100"/>
              <w:spacing w:after="0"/>
              <w:rPr>
                <w:sz w:val="20"/>
                <w:szCs w:val="20"/>
                <w:color w:val="auto"/>
              </w:rPr>
            </w:pPr>
            <w:r>
              <w:rPr>
                <w:rFonts w:ascii="Arial" w:cs="Arial" w:eastAsia="Arial" w:hAnsi="Arial"/>
                <w:sz w:val="15"/>
                <w:szCs w:val="15"/>
                <w:b w:val="1"/>
                <w:bCs w:val="1"/>
                <w:color w:val="231F20"/>
              </w:rPr>
              <w:t>Transaction</w:t>
            </w:r>
          </w:p>
        </w:tc>
        <w:tc>
          <w:tcPr>
            <w:tcW w:w="8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80" w:type="dxa"/>
            <w:vAlign w:val="bottom"/>
            <w:gridSpan w:val="3"/>
            <w:shd w:val="clear" w:color="auto" w:fill="FDFDFC"/>
          </w:tcPr>
          <w:p>
            <w:pPr>
              <w:jc w:val="center"/>
              <w:ind w:right="580"/>
              <w:spacing w:after="0"/>
              <w:rPr>
                <w:sz w:val="20"/>
                <w:szCs w:val="20"/>
                <w:color w:val="auto"/>
              </w:rPr>
            </w:pPr>
            <w:r>
              <w:rPr>
                <w:rFonts w:ascii="Arial" w:cs="Arial" w:eastAsia="Arial" w:hAnsi="Arial"/>
                <w:sz w:val="15"/>
                <w:szCs w:val="15"/>
                <w:b w:val="1"/>
                <w:bCs w:val="1"/>
                <w:color w:val="231F20"/>
              </w:rPr>
              <w:t>other</w:t>
            </w:r>
          </w:p>
        </w:tc>
        <w:tc>
          <w:tcPr>
            <w:tcW w:w="4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00" w:type="dxa"/>
            <w:vAlign w:val="bottom"/>
            <w:tcBorders>
              <w:left w:val="single" w:sz="8" w:color="FDFDFC"/>
            </w:tcBorders>
            <w:gridSpan w:val="3"/>
            <w:shd w:val="clear" w:color="auto" w:fill="FDFDFC"/>
          </w:tcPr>
          <w:p>
            <w:pPr>
              <w:jc w:val="center"/>
              <w:ind w:right="300"/>
              <w:spacing w:after="0"/>
              <w:rPr>
                <w:sz w:val="20"/>
                <w:szCs w:val="20"/>
                <w:color w:val="auto"/>
              </w:rPr>
            </w:pPr>
            <w:r>
              <w:rPr>
                <w:rFonts w:ascii="Arial" w:cs="Arial" w:eastAsia="Arial" w:hAnsi="Arial"/>
                <w:sz w:val="15"/>
                <w:szCs w:val="15"/>
                <w:b w:val="1"/>
                <w:bCs w:val="1"/>
                <w:color w:val="231F20"/>
              </w:rPr>
              <w:t>December 31,</w:t>
            </w:r>
          </w:p>
        </w:tc>
        <w:tc>
          <w:tcPr>
            <w:tcW w:w="0" w:type="dxa"/>
            <w:vAlign w:val="bottom"/>
          </w:tcPr>
          <w:p>
            <w:pPr>
              <w:spacing w:after="0"/>
              <w:rPr>
                <w:sz w:val="1"/>
                <w:szCs w:val="1"/>
                <w:color w:val="auto"/>
              </w:rPr>
            </w:pPr>
          </w:p>
        </w:tc>
      </w:tr>
      <w:tr>
        <w:trPr>
          <w:trHeight w:val="191"/>
        </w:trPr>
        <w:tc>
          <w:tcPr>
            <w:tcW w:w="5800" w:type="dxa"/>
            <w:vAlign w:val="bottom"/>
            <w:gridSpan w:val="2"/>
            <w:vMerge w:val="continue"/>
            <w:shd w:val="clear" w:color="auto" w:fill="FDFDFC"/>
          </w:tcPr>
          <w:p>
            <w:pPr>
              <w:spacing w:after="0"/>
              <w:rPr>
                <w:sz w:val="16"/>
                <w:szCs w:val="16"/>
                <w:color w:val="auto"/>
              </w:rPr>
            </w:pPr>
          </w:p>
        </w:tc>
        <w:tc>
          <w:tcPr>
            <w:tcW w:w="100" w:type="dxa"/>
            <w:vAlign w:val="bottom"/>
            <w:tcBorders>
              <w:right w:val="single" w:sz="8" w:color="FDFDFC"/>
            </w:tcBorders>
            <w:shd w:val="clear" w:color="auto" w:fill="FDFDFC"/>
          </w:tcPr>
          <w:p>
            <w:pPr>
              <w:spacing w:after="0"/>
              <w:rPr>
                <w:sz w:val="16"/>
                <w:szCs w:val="16"/>
                <w:color w:val="auto"/>
              </w:rPr>
            </w:pPr>
          </w:p>
        </w:tc>
        <w:tc>
          <w:tcPr>
            <w:tcW w:w="1400" w:type="dxa"/>
            <w:vAlign w:val="bottom"/>
            <w:tcBorders>
              <w:left w:val="single" w:sz="8" w:color="FDFDFC"/>
            </w:tcBorders>
            <w:gridSpan w:val="6"/>
            <w:vMerge w:val="continue"/>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200" w:type="dxa"/>
            <w:vAlign w:val="bottom"/>
            <w:gridSpan w:val="4"/>
            <w:shd w:val="clear" w:color="auto" w:fill="FDFDFC"/>
          </w:tcPr>
          <w:p>
            <w:pPr>
              <w:jc w:val="center"/>
              <w:ind w:right="460"/>
              <w:spacing w:after="0"/>
              <w:rPr>
                <w:sz w:val="20"/>
                <w:szCs w:val="20"/>
                <w:color w:val="auto"/>
              </w:rPr>
            </w:pPr>
            <w:r>
              <w:rPr>
                <w:rFonts w:ascii="Arial" w:cs="Arial" w:eastAsia="Arial" w:hAnsi="Arial"/>
                <w:sz w:val="15"/>
                <w:szCs w:val="15"/>
                <w:b w:val="1"/>
                <w:bCs w:val="1"/>
                <w:color w:val="231F20"/>
              </w:rPr>
              <w:t>revenues</w:t>
            </w:r>
          </w:p>
        </w:tc>
        <w:tc>
          <w:tcPr>
            <w:tcW w:w="4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20" w:type="dxa"/>
            <w:vAlign w:val="bottom"/>
            <w:tcBorders>
              <w:left w:val="single" w:sz="8" w:color="FDFDFC"/>
            </w:tcBorders>
            <w:shd w:val="clear" w:color="auto" w:fill="FDFDFC"/>
          </w:tcPr>
          <w:p>
            <w:pPr>
              <w:spacing w:after="0"/>
              <w:rPr>
                <w:sz w:val="16"/>
                <w:szCs w:val="16"/>
                <w:color w:val="auto"/>
              </w:rPr>
            </w:pPr>
          </w:p>
        </w:tc>
        <w:tc>
          <w:tcPr>
            <w:tcW w:w="1080" w:type="dxa"/>
            <w:vAlign w:val="bottom"/>
            <w:shd w:val="clear" w:color="auto" w:fill="FDFDFC"/>
          </w:tcPr>
          <w:p>
            <w:pPr>
              <w:jc w:val="center"/>
              <w:ind w:right="130"/>
              <w:spacing w:after="0"/>
              <w:rPr>
                <w:sz w:val="20"/>
                <w:szCs w:val="20"/>
                <w:color w:val="auto"/>
              </w:rPr>
            </w:pPr>
            <w:r>
              <w:rPr>
                <w:rFonts w:ascii="Arial" w:cs="Arial" w:eastAsia="Arial" w:hAnsi="Arial"/>
                <w:sz w:val="15"/>
                <w:szCs w:val="15"/>
                <w:b w:val="1"/>
                <w:bCs w:val="1"/>
                <w:color w:val="231F20"/>
              </w:rPr>
              <w:t>2023</w:t>
            </w:r>
          </w:p>
        </w:tc>
        <w:tc>
          <w:tcPr>
            <w:tcW w:w="2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40" w:type="dxa"/>
            <w:vAlign w:val="bottom"/>
            <w:tcBorders>
              <w:top w:val="single" w:sz="8" w:color="231F20"/>
            </w:tcBorders>
            <w:shd w:val="clear" w:color="auto" w:fill="D0EBF2"/>
          </w:tcPr>
          <w:p>
            <w:pPr>
              <w:spacing w:after="0" w:line="206" w:lineRule="exact"/>
              <w:rPr>
                <w:sz w:val="20"/>
                <w:szCs w:val="20"/>
                <w:color w:val="auto"/>
              </w:rPr>
            </w:pPr>
            <w:r>
              <w:rPr>
                <w:rFonts w:ascii="Arial" w:cs="Arial" w:eastAsia="Arial" w:hAnsi="Arial"/>
                <w:sz w:val="19"/>
                <w:szCs w:val="19"/>
                <w:color w:val="231F20"/>
              </w:rPr>
              <w:t>Revenue</w:t>
            </w:r>
          </w:p>
        </w:tc>
        <w:tc>
          <w:tcPr>
            <w:tcW w:w="6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D0EBF2"/>
              <w:right w:val="single" w:sz="8" w:color="D0EBF2"/>
            </w:tcBorders>
            <w:shd w:val="clear" w:color="auto" w:fill="D0EBF2"/>
          </w:tcPr>
          <w:p>
            <w:pPr>
              <w:spacing w:after="0"/>
              <w:rPr>
                <w:sz w:val="17"/>
                <w:szCs w:val="17"/>
                <w:color w:val="auto"/>
              </w:rPr>
            </w:pPr>
          </w:p>
        </w:tc>
        <w:tc>
          <w:tcPr>
            <w:tcW w:w="120" w:type="dxa"/>
            <w:vAlign w:val="bottom"/>
            <w:tcBorders>
              <w:top w:val="single" w:sz="8" w:color="231F20"/>
              <w:left w:val="single" w:sz="8" w:color="D0EBF2"/>
            </w:tcBorders>
            <w:shd w:val="clear" w:color="auto" w:fill="D0EBF2"/>
          </w:tcPr>
          <w:p>
            <w:pPr>
              <w:jc w:val="right"/>
              <w:spacing w:after="0"/>
              <w:rPr>
                <w:sz w:val="20"/>
                <w:szCs w:val="20"/>
                <w:color w:val="auto"/>
              </w:rPr>
            </w:pPr>
            <w:r>
              <w:rPr>
                <w:rFonts w:ascii="Arial" w:cs="Arial" w:eastAsia="Arial" w:hAnsi="Arial"/>
                <w:sz w:val="15"/>
                <w:szCs w:val="15"/>
                <w:color w:val="231F20"/>
                <w:w w:val="71"/>
              </w:rPr>
              <w:t>$</w:t>
            </w:r>
          </w:p>
        </w:tc>
        <w:tc>
          <w:tcPr>
            <w:tcW w:w="260" w:type="dxa"/>
            <w:vAlign w:val="bottom"/>
            <w:tcBorders>
              <w:top w:val="single" w:sz="8" w:color="231F20"/>
            </w:tcBorders>
            <w:shd w:val="clear" w:color="auto" w:fill="D0EBF2"/>
          </w:tcPr>
          <w:p>
            <w:pPr>
              <w:spacing w:after="0"/>
              <w:rPr>
                <w:sz w:val="17"/>
                <w:szCs w:val="17"/>
                <w:color w:val="auto"/>
              </w:rPr>
            </w:pPr>
          </w:p>
        </w:tc>
        <w:tc>
          <w:tcPr>
            <w:tcW w:w="680" w:type="dxa"/>
            <w:vAlign w:val="bottom"/>
            <w:tcBorders>
              <w:top w:val="single" w:sz="8" w:color="231F20"/>
            </w:tcBorders>
            <w:shd w:val="clear" w:color="auto" w:fill="D0EBF2"/>
          </w:tcPr>
          <w:p>
            <w:pPr>
              <w:jc w:val="right"/>
              <w:spacing w:after="0" w:line="206" w:lineRule="exact"/>
              <w:rPr>
                <w:sz w:val="20"/>
                <w:szCs w:val="20"/>
                <w:color w:val="auto"/>
              </w:rPr>
            </w:pPr>
            <w:r>
              <w:rPr>
                <w:rFonts w:ascii="Arial" w:cs="Arial" w:eastAsia="Arial" w:hAnsi="Arial"/>
                <w:sz w:val="19"/>
                <w:szCs w:val="19"/>
                <w:color w:val="231F20"/>
              </w:rPr>
              <w:t>329.7</w:t>
            </w:r>
          </w:p>
        </w:tc>
        <w:tc>
          <w:tcPr>
            <w:tcW w:w="80" w:type="dxa"/>
            <w:vAlign w:val="bottom"/>
            <w:tcBorders>
              <w:top w:val="single" w:sz="8" w:color="D0EBF2"/>
            </w:tcBorders>
            <w:shd w:val="clear" w:color="auto" w:fill="D0EBF2"/>
          </w:tcPr>
          <w:p>
            <w:pPr>
              <w:spacing w:after="0"/>
              <w:rPr>
                <w:sz w:val="17"/>
                <w:szCs w:val="17"/>
                <w:color w:val="auto"/>
              </w:rPr>
            </w:pPr>
          </w:p>
        </w:tc>
        <w:tc>
          <w:tcPr>
            <w:tcW w:w="180" w:type="dxa"/>
            <w:vAlign w:val="bottom"/>
            <w:tcBorders>
              <w:top w:val="single" w:sz="8" w:color="D0EBF2"/>
            </w:tcBorders>
            <w:shd w:val="clear" w:color="auto" w:fill="D0EBF2"/>
          </w:tcPr>
          <w:p>
            <w:pPr>
              <w:spacing w:after="0"/>
              <w:rPr>
                <w:sz w:val="17"/>
                <w:szCs w:val="17"/>
                <w:color w:val="auto"/>
              </w:rPr>
            </w:pPr>
          </w:p>
        </w:tc>
        <w:tc>
          <w:tcPr>
            <w:tcW w:w="80" w:type="dxa"/>
            <w:vAlign w:val="bottom"/>
            <w:tcBorders>
              <w:top w:val="single" w:sz="8" w:color="D0EBF2"/>
            </w:tcBorders>
            <w:shd w:val="clear" w:color="auto" w:fill="D0EBF2"/>
          </w:tcPr>
          <w:p>
            <w:pPr>
              <w:spacing w:after="0"/>
              <w:rPr>
                <w:sz w:val="17"/>
                <w:szCs w:val="17"/>
                <w:color w:val="auto"/>
              </w:rPr>
            </w:pPr>
          </w:p>
        </w:tc>
        <w:tc>
          <w:tcPr>
            <w:tcW w:w="160" w:type="dxa"/>
            <w:vAlign w:val="bottom"/>
            <w:tcBorders>
              <w:top w:val="single" w:sz="8" w:color="231F20"/>
            </w:tcBorders>
            <w:gridSpan w:val="2"/>
            <w:shd w:val="clear" w:color="auto" w:fill="D0EBF2"/>
          </w:tcPr>
          <w:p>
            <w:pPr>
              <w:jc w:val="center"/>
              <w:spacing w:after="0" w:line="206" w:lineRule="exact"/>
              <w:rPr>
                <w:sz w:val="20"/>
                <w:szCs w:val="20"/>
                <w:color w:val="auto"/>
              </w:rPr>
            </w:pPr>
            <w:r>
              <w:rPr>
                <w:rFonts w:ascii="Arial" w:cs="Arial" w:eastAsia="Arial" w:hAnsi="Arial"/>
                <w:sz w:val="19"/>
                <w:szCs w:val="19"/>
                <w:color w:val="231F20"/>
                <w:w w:val="94"/>
              </w:rPr>
              <w:t>$</w:t>
            </w:r>
          </w:p>
        </w:tc>
        <w:tc>
          <w:tcPr>
            <w:tcW w:w="120" w:type="dxa"/>
            <w:vAlign w:val="bottom"/>
            <w:tcBorders>
              <w:top w:val="single" w:sz="8" w:color="231F20"/>
            </w:tcBorders>
            <w:shd w:val="clear" w:color="auto" w:fill="D0EBF2"/>
          </w:tcPr>
          <w:p>
            <w:pPr>
              <w:spacing w:after="0"/>
              <w:rPr>
                <w:sz w:val="17"/>
                <w:szCs w:val="17"/>
                <w:color w:val="auto"/>
              </w:rPr>
            </w:pPr>
          </w:p>
        </w:tc>
        <w:tc>
          <w:tcPr>
            <w:tcW w:w="800" w:type="dxa"/>
            <w:vAlign w:val="bottom"/>
            <w:tcBorders>
              <w:top w:val="single" w:sz="8" w:color="231F20"/>
            </w:tcBorders>
            <w:shd w:val="clear" w:color="auto" w:fill="D0EBF2"/>
          </w:tcPr>
          <w:p>
            <w:pPr>
              <w:jc w:val="right"/>
              <w:spacing w:after="0" w:line="206" w:lineRule="exact"/>
              <w:rPr>
                <w:sz w:val="20"/>
                <w:szCs w:val="20"/>
                <w:color w:val="auto"/>
              </w:rPr>
            </w:pPr>
            <w:r>
              <w:rPr>
                <w:rFonts w:ascii="Arial" w:cs="Arial" w:eastAsia="Arial" w:hAnsi="Arial"/>
                <w:sz w:val="19"/>
                <w:szCs w:val="19"/>
                <w:color w:val="231F20"/>
              </w:rPr>
              <w:t>73.4</w:t>
            </w:r>
          </w:p>
        </w:tc>
        <w:tc>
          <w:tcPr>
            <w:tcW w:w="100" w:type="dxa"/>
            <w:vAlign w:val="bottom"/>
            <w:tcBorders>
              <w:top w:val="single" w:sz="8" w:color="D0EBF2"/>
            </w:tcBorders>
            <w:shd w:val="clear" w:color="auto" w:fill="D0EBF2"/>
          </w:tcPr>
          <w:p>
            <w:pPr>
              <w:spacing w:after="0"/>
              <w:rPr>
                <w:sz w:val="17"/>
                <w:szCs w:val="17"/>
                <w:color w:val="auto"/>
              </w:rPr>
            </w:pPr>
          </w:p>
        </w:tc>
        <w:tc>
          <w:tcPr>
            <w:tcW w:w="180" w:type="dxa"/>
            <w:vAlign w:val="bottom"/>
            <w:tcBorders>
              <w:top w:val="single" w:sz="8" w:color="D0EBF2"/>
            </w:tcBorders>
            <w:shd w:val="clear" w:color="auto" w:fill="D0EBF2"/>
          </w:tcPr>
          <w:p>
            <w:pPr>
              <w:spacing w:after="0"/>
              <w:rPr>
                <w:sz w:val="17"/>
                <w:szCs w:val="17"/>
                <w:color w:val="auto"/>
              </w:rPr>
            </w:pPr>
          </w:p>
        </w:tc>
        <w:tc>
          <w:tcPr>
            <w:tcW w:w="4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231F20"/>
            </w:tcBorders>
            <w:shd w:val="clear" w:color="auto" w:fill="D0EBF2"/>
          </w:tcPr>
          <w:p>
            <w:pPr>
              <w:jc w:val="right"/>
              <w:spacing w:after="0" w:line="206" w:lineRule="exact"/>
              <w:rPr>
                <w:sz w:val="20"/>
                <w:szCs w:val="20"/>
                <w:color w:val="auto"/>
              </w:rPr>
            </w:pPr>
            <w:r>
              <w:rPr>
                <w:rFonts w:ascii="Arial" w:cs="Arial" w:eastAsia="Arial" w:hAnsi="Arial"/>
                <w:sz w:val="19"/>
                <w:szCs w:val="19"/>
                <w:color w:val="231F20"/>
                <w:w w:val="94"/>
                <w:shd w:val="clear" w:color="auto" w:fill="D0EBF2"/>
              </w:rPr>
              <w:t>$</w:t>
            </w:r>
          </w:p>
        </w:tc>
        <w:tc>
          <w:tcPr>
            <w:tcW w:w="120" w:type="dxa"/>
            <w:vAlign w:val="bottom"/>
            <w:tcBorders>
              <w:top w:val="single" w:sz="8" w:color="231F20"/>
              <w:left w:val="single" w:sz="8" w:color="D0EBF2"/>
            </w:tcBorders>
            <w:shd w:val="clear" w:color="auto" w:fill="D0EBF2"/>
          </w:tcPr>
          <w:p>
            <w:pPr>
              <w:spacing w:after="0"/>
              <w:rPr>
                <w:sz w:val="17"/>
                <w:szCs w:val="17"/>
                <w:color w:val="auto"/>
              </w:rPr>
            </w:pPr>
          </w:p>
        </w:tc>
        <w:tc>
          <w:tcPr>
            <w:tcW w:w="1080" w:type="dxa"/>
            <w:vAlign w:val="bottom"/>
            <w:tcBorders>
              <w:top w:val="single" w:sz="8" w:color="231F20"/>
            </w:tcBorders>
            <w:shd w:val="clear" w:color="auto" w:fill="D0EBF2"/>
          </w:tcPr>
          <w:p>
            <w:pPr>
              <w:jc w:val="right"/>
              <w:spacing w:after="0" w:line="206" w:lineRule="exact"/>
              <w:rPr>
                <w:sz w:val="20"/>
                <w:szCs w:val="20"/>
                <w:color w:val="auto"/>
              </w:rPr>
            </w:pPr>
            <w:r>
              <w:rPr>
                <w:rFonts w:ascii="Arial" w:cs="Arial" w:eastAsia="Arial" w:hAnsi="Arial"/>
                <w:sz w:val="19"/>
                <w:szCs w:val="19"/>
                <w:color w:val="231F20"/>
              </w:rPr>
              <w:t>403.1</w:t>
            </w:r>
          </w:p>
        </w:tc>
        <w:tc>
          <w:tcPr>
            <w:tcW w:w="200" w:type="dxa"/>
            <w:vAlign w:val="bottom"/>
            <w:tcBorders>
              <w:top w:val="single" w:sz="8" w:color="D0EBF2"/>
            </w:tcBorders>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Adjusted to exclude gross up for:</w:t>
            </w:r>
          </w:p>
        </w:tc>
        <w:tc>
          <w:tcPr>
            <w:tcW w:w="60" w:type="dxa"/>
            <w:vAlign w:val="bottom"/>
            <w:shd w:val="clear" w:color="auto" w:fill="FDFDFC"/>
          </w:tcPr>
          <w:p>
            <w:pPr>
              <w:spacing w:after="0"/>
              <w:rPr>
                <w:sz w:val="18"/>
                <w:szCs w:val="18"/>
                <w:color w:val="auto"/>
              </w:rPr>
            </w:pPr>
          </w:p>
        </w:tc>
        <w:tc>
          <w:tcPr>
            <w:tcW w:w="100" w:type="dxa"/>
            <w:vAlign w:val="bottom"/>
            <w:tcBorders>
              <w:right w:val="single" w:sz="8" w:color="FDFDFC"/>
            </w:tcBorders>
            <w:shd w:val="clear" w:color="auto" w:fill="FDFDFC"/>
          </w:tcPr>
          <w:p>
            <w:pPr>
              <w:spacing w:after="0"/>
              <w:rPr>
                <w:sz w:val="18"/>
                <w:szCs w:val="18"/>
                <w:color w:val="auto"/>
              </w:rPr>
            </w:pPr>
          </w:p>
        </w:tc>
        <w:tc>
          <w:tcPr>
            <w:tcW w:w="120" w:type="dxa"/>
            <w:vAlign w:val="bottom"/>
            <w:tcBorders>
              <w:left w:val="single" w:sz="8" w:color="FDFDFC"/>
            </w:tcBorders>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68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8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0" w:type="dxa"/>
            <w:vAlign w:val="bottom"/>
            <w:tcBorders>
              <w:left w:val="single" w:sz="8" w:color="FDFDFC"/>
            </w:tcBorders>
            <w:shd w:val="clear" w:color="auto" w:fill="FDFDFC"/>
          </w:tcPr>
          <w:p>
            <w:pPr>
              <w:spacing w:after="0"/>
              <w:rPr>
                <w:sz w:val="18"/>
                <w:szCs w:val="18"/>
                <w:color w:val="auto"/>
              </w:rPr>
            </w:pPr>
          </w:p>
        </w:tc>
        <w:tc>
          <w:tcPr>
            <w:tcW w:w="1080" w:type="dxa"/>
            <w:vAlign w:val="bottom"/>
            <w:shd w:val="clear" w:color="auto" w:fill="FDFDFC"/>
          </w:tcPr>
          <w:p>
            <w:pPr>
              <w:spacing w:after="0"/>
              <w:rPr>
                <w:sz w:val="18"/>
                <w:szCs w:val="18"/>
                <w:color w:val="auto"/>
              </w:rPr>
            </w:pPr>
          </w:p>
        </w:tc>
        <w:tc>
          <w:tcPr>
            <w:tcW w:w="2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0" w:type="dxa"/>
            <w:vAlign w:val="bottom"/>
            <w:gridSpan w:val="2"/>
            <w:shd w:val="clear" w:color="auto" w:fill="D0EBF2"/>
          </w:tcPr>
          <w:p>
            <w:pPr>
              <w:ind w:left="260"/>
              <w:spacing w:after="0" w:line="217" w:lineRule="exact"/>
              <w:rPr>
                <w:sz w:val="20"/>
                <w:szCs w:val="20"/>
                <w:color w:val="auto"/>
              </w:rPr>
            </w:pPr>
            <w:r>
              <w:rPr>
                <w:rFonts w:ascii="Arial" w:cs="Arial" w:eastAsia="Arial" w:hAnsi="Arial"/>
                <w:sz w:val="19"/>
                <w:szCs w:val="19"/>
                <w:color w:val="231F20"/>
              </w:rPr>
              <w:t>Pass-through cost for printing and mailing</w:t>
            </w:r>
          </w:p>
        </w:tc>
        <w:tc>
          <w:tcPr>
            <w:tcW w:w="100" w:type="dxa"/>
            <w:vAlign w:val="bottom"/>
            <w:tcBorders>
              <w:right w:val="single" w:sz="8" w:color="D0EBF2"/>
            </w:tcBorders>
            <w:shd w:val="clear" w:color="auto" w:fill="D0EBF2"/>
          </w:tcPr>
          <w:p>
            <w:pPr>
              <w:spacing w:after="0"/>
              <w:rPr>
                <w:sz w:val="18"/>
                <w:szCs w:val="18"/>
                <w:color w:val="auto"/>
              </w:rPr>
            </w:pPr>
          </w:p>
        </w:tc>
        <w:tc>
          <w:tcPr>
            <w:tcW w:w="120" w:type="dxa"/>
            <w:vAlign w:val="bottom"/>
            <w:tcBorders>
              <w:left w:val="single" w:sz="8" w:color="D0EBF2"/>
            </w:tcBorders>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20" w:type="dxa"/>
            <w:vAlign w:val="bottom"/>
            <w:gridSpan w:val="4"/>
            <w:shd w:val="clear" w:color="auto" w:fill="D0EBF2"/>
          </w:tcPr>
          <w:p>
            <w:pPr>
              <w:jc w:val="right"/>
              <w:ind w:right="340"/>
              <w:spacing w:after="0" w:line="217" w:lineRule="exact"/>
              <w:rPr>
                <w:sz w:val="20"/>
                <w:szCs w:val="20"/>
                <w:color w:val="auto"/>
              </w:rPr>
            </w:pPr>
            <w:r>
              <w:rPr>
                <w:rFonts w:ascii="Arial" w:cs="Arial" w:eastAsia="Arial" w:hAnsi="Arial"/>
                <w:sz w:val="19"/>
                <w:szCs w:val="19"/>
                <w:color w:val="231F20"/>
              </w:rPr>
              <w:t>—</w:t>
            </w:r>
          </w:p>
        </w:tc>
        <w:tc>
          <w:tcPr>
            <w:tcW w:w="8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900" w:type="dxa"/>
            <w:vAlign w:val="bottom"/>
            <w:gridSpan w:val="2"/>
            <w:shd w:val="clear" w:color="auto" w:fill="D0EBF2"/>
          </w:tcPr>
          <w:p>
            <w:pPr>
              <w:jc w:val="right"/>
              <w:ind w:right="40"/>
              <w:spacing w:after="0" w:line="217" w:lineRule="exact"/>
              <w:rPr>
                <w:sz w:val="20"/>
                <w:szCs w:val="20"/>
                <w:color w:val="auto"/>
              </w:rPr>
            </w:pPr>
            <w:r>
              <w:rPr>
                <w:rFonts w:ascii="Arial" w:cs="Arial" w:eastAsia="Arial" w:hAnsi="Arial"/>
                <w:sz w:val="19"/>
                <w:szCs w:val="19"/>
                <w:color w:val="231F20"/>
              </w:rPr>
              <w:t>(19.4)</w:t>
            </w:r>
          </w:p>
        </w:tc>
        <w:tc>
          <w:tcPr>
            <w:tcW w:w="180" w:type="dxa"/>
            <w:vAlign w:val="bottom"/>
            <w:shd w:val="clear" w:color="auto" w:fill="D0EBF2"/>
          </w:tcPr>
          <w:p>
            <w:pPr>
              <w:spacing w:after="0"/>
              <w:rPr>
                <w:sz w:val="18"/>
                <w:szCs w:val="18"/>
                <w:color w:val="auto"/>
              </w:rPr>
            </w:pPr>
          </w:p>
        </w:tc>
        <w:tc>
          <w:tcPr>
            <w:tcW w:w="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0" w:type="dxa"/>
            <w:vAlign w:val="bottom"/>
            <w:tcBorders>
              <w:left w:val="single" w:sz="8" w:color="D0EBF2"/>
            </w:tcBorders>
            <w:shd w:val="clear" w:color="auto" w:fill="D0EBF2"/>
          </w:tcPr>
          <w:p>
            <w:pPr>
              <w:spacing w:after="0"/>
              <w:rPr>
                <w:sz w:val="18"/>
                <w:szCs w:val="18"/>
                <w:color w:val="auto"/>
              </w:rPr>
            </w:pPr>
          </w:p>
        </w:tc>
        <w:tc>
          <w:tcPr>
            <w:tcW w:w="1280" w:type="dxa"/>
            <w:vAlign w:val="bottom"/>
            <w:gridSpan w:val="2"/>
            <w:shd w:val="clear" w:color="auto" w:fill="D0EBF2"/>
          </w:tcPr>
          <w:p>
            <w:pPr>
              <w:jc w:val="right"/>
              <w:ind w:right="120"/>
              <w:spacing w:after="0" w:line="217" w:lineRule="exact"/>
              <w:rPr>
                <w:sz w:val="20"/>
                <w:szCs w:val="20"/>
                <w:color w:val="auto"/>
              </w:rPr>
            </w:pPr>
            <w:r>
              <w:rPr>
                <w:rFonts w:ascii="Arial" w:cs="Arial" w:eastAsia="Arial" w:hAnsi="Arial"/>
                <w:sz w:val="19"/>
                <w:szCs w:val="19"/>
                <w:color w:val="231F20"/>
              </w:rPr>
              <w:t>(19.4)</w:t>
            </w:r>
          </w:p>
        </w:tc>
        <w:tc>
          <w:tcPr>
            <w:tcW w:w="0" w:type="dxa"/>
            <w:vAlign w:val="bottom"/>
          </w:tcPr>
          <w:p>
            <w:pPr>
              <w:spacing w:after="0"/>
              <w:rPr>
                <w:sz w:val="1"/>
                <w:szCs w:val="1"/>
                <w:color w:val="auto"/>
              </w:rPr>
            </w:pPr>
          </w:p>
        </w:tc>
      </w:tr>
      <w:tr>
        <w:trPr>
          <w:trHeight w:val="217"/>
        </w:trPr>
        <w:tc>
          <w:tcPr>
            <w:tcW w:w="5800" w:type="dxa"/>
            <w:vAlign w:val="bottom"/>
            <w:gridSpan w:val="2"/>
            <w:shd w:val="clear" w:color="auto" w:fill="FDFDFC"/>
          </w:tcPr>
          <w:p>
            <w:pPr>
              <w:ind w:left="260"/>
              <w:spacing w:after="0" w:line="217" w:lineRule="exact"/>
              <w:rPr>
                <w:sz w:val="20"/>
                <w:szCs w:val="20"/>
                <w:color w:val="auto"/>
              </w:rPr>
            </w:pPr>
            <w:r>
              <w:rPr>
                <w:rFonts w:ascii="Arial" w:cs="Arial" w:eastAsia="Arial" w:hAnsi="Arial"/>
                <w:sz w:val="19"/>
                <w:szCs w:val="19"/>
                <w:color w:val="231F20"/>
              </w:rPr>
              <w:t>Marketing fees</w:t>
            </w:r>
          </w:p>
        </w:tc>
        <w:tc>
          <w:tcPr>
            <w:tcW w:w="100" w:type="dxa"/>
            <w:vAlign w:val="bottom"/>
            <w:tcBorders>
              <w:right w:val="single" w:sz="8" w:color="FDFDFC"/>
            </w:tcBorders>
            <w:shd w:val="clear" w:color="auto" w:fill="FDFDFC"/>
          </w:tcPr>
          <w:p>
            <w:pPr>
              <w:spacing w:after="0"/>
              <w:rPr>
                <w:sz w:val="18"/>
                <w:szCs w:val="18"/>
                <w:color w:val="auto"/>
              </w:rPr>
            </w:pPr>
          </w:p>
        </w:tc>
        <w:tc>
          <w:tcPr>
            <w:tcW w:w="120" w:type="dxa"/>
            <w:vAlign w:val="bottom"/>
            <w:tcBorders>
              <w:left w:val="single" w:sz="8" w:color="FDFDFC"/>
            </w:tcBorders>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760" w:type="dxa"/>
            <w:vAlign w:val="bottom"/>
            <w:gridSpan w:val="2"/>
            <w:shd w:val="clear" w:color="auto" w:fill="FDFDFC"/>
          </w:tcPr>
          <w:p>
            <w:pPr>
              <w:jc w:val="right"/>
              <w:ind w:right="20"/>
              <w:spacing w:after="0" w:line="217" w:lineRule="exact"/>
              <w:rPr>
                <w:sz w:val="20"/>
                <w:szCs w:val="20"/>
                <w:color w:val="auto"/>
              </w:rPr>
            </w:pPr>
            <w:r>
              <w:rPr>
                <w:rFonts w:ascii="Arial" w:cs="Arial" w:eastAsia="Arial" w:hAnsi="Arial"/>
                <w:sz w:val="19"/>
                <w:szCs w:val="19"/>
                <w:color w:val="231F20"/>
              </w:rPr>
              <w:t>(2.2)</w:t>
            </w:r>
          </w:p>
        </w:tc>
        <w:tc>
          <w:tcPr>
            <w:tcW w:w="18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80" w:type="dxa"/>
            <w:vAlign w:val="bottom"/>
            <w:gridSpan w:val="3"/>
            <w:shd w:val="clear" w:color="auto" w:fill="FDFDFC"/>
          </w:tcPr>
          <w:p>
            <w:pPr>
              <w:jc w:val="right"/>
              <w:ind w:right="280"/>
              <w:spacing w:after="0" w:line="217" w:lineRule="exact"/>
              <w:rPr>
                <w:sz w:val="20"/>
                <w:szCs w:val="20"/>
                <w:color w:val="auto"/>
              </w:rPr>
            </w:pPr>
            <w:r>
              <w:rPr>
                <w:rFonts w:ascii="Arial" w:cs="Arial" w:eastAsia="Arial" w:hAnsi="Arial"/>
                <w:sz w:val="19"/>
                <w:szCs w:val="19"/>
                <w:color w:val="231F20"/>
              </w:rPr>
              <w:t>—</w:t>
            </w:r>
          </w:p>
        </w:tc>
        <w:tc>
          <w:tcPr>
            <w:tcW w:w="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0" w:type="dxa"/>
            <w:vAlign w:val="bottom"/>
            <w:tcBorders>
              <w:left w:val="single" w:sz="8" w:color="FDFDFC"/>
            </w:tcBorders>
            <w:shd w:val="clear" w:color="auto" w:fill="FDFDFC"/>
          </w:tcPr>
          <w:p>
            <w:pPr>
              <w:spacing w:after="0"/>
              <w:rPr>
                <w:sz w:val="18"/>
                <w:szCs w:val="18"/>
                <w:color w:val="auto"/>
              </w:rPr>
            </w:pPr>
          </w:p>
        </w:tc>
        <w:tc>
          <w:tcPr>
            <w:tcW w:w="1280" w:type="dxa"/>
            <w:vAlign w:val="bottom"/>
            <w:gridSpan w:val="2"/>
            <w:shd w:val="clear" w:color="auto" w:fill="FDFDFC"/>
          </w:tcPr>
          <w:p>
            <w:pPr>
              <w:jc w:val="right"/>
              <w:ind w:right="120"/>
              <w:spacing w:after="0" w:line="217" w:lineRule="exact"/>
              <w:rPr>
                <w:sz w:val="20"/>
                <w:szCs w:val="20"/>
                <w:color w:val="auto"/>
              </w:rPr>
            </w:pPr>
            <w:r>
              <w:rPr>
                <w:rFonts w:ascii="Arial" w:cs="Arial" w:eastAsia="Arial" w:hAnsi="Arial"/>
                <w:sz w:val="19"/>
                <w:szCs w:val="19"/>
                <w:color w:val="231F20"/>
              </w:rPr>
              <w:t>(2.2)</w:t>
            </w:r>
          </w:p>
        </w:tc>
        <w:tc>
          <w:tcPr>
            <w:tcW w:w="0" w:type="dxa"/>
            <w:vAlign w:val="bottom"/>
          </w:tcPr>
          <w:p>
            <w:pPr>
              <w:spacing w:after="0"/>
              <w:rPr>
                <w:sz w:val="1"/>
                <w:szCs w:val="1"/>
                <w:color w:val="auto"/>
              </w:rPr>
            </w:pPr>
          </w:p>
        </w:tc>
      </w:tr>
      <w:tr>
        <w:trPr>
          <w:trHeight w:val="247"/>
        </w:trPr>
        <w:tc>
          <w:tcPr>
            <w:tcW w:w="5800" w:type="dxa"/>
            <w:vAlign w:val="bottom"/>
            <w:tcBorders>
              <w:top w:val="single" w:sz="8" w:color="D0EBF2"/>
              <w:bottom w:val="single" w:sz="8" w:color="D0EBF2"/>
            </w:tcBorders>
            <w:gridSpan w:val="2"/>
            <w:shd w:val="clear" w:color="auto" w:fill="D0EBF2"/>
          </w:tcPr>
          <w:p>
            <w:pPr>
              <w:spacing w:after="0" w:line="207" w:lineRule="exact"/>
              <w:rPr>
                <w:sz w:val="20"/>
                <w:szCs w:val="20"/>
                <w:color w:val="auto"/>
              </w:rPr>
            </w:pPr>
            <w:r>
              <w:rPr>
                <w:rFonts w:ascii="Arial" w:cs="Arial" w:eastAsia="Arial" w:hAnsi="Arial"/>
                <w:sz w:val="19"/>
                <w:szCs w:val="19"/>
                <w:color w:val="231F20"/>
              </w:rPr>
              <w:t>Revenue Less Ancillary Services</w:t>
            </w:r>
          </w:p>
        </w:tc>
        <w:tc>
          <w:tcPr>
            <w:tcW w:w="100" w:type="dxa"/>
            <w:vAlign w:val="bottom"/>
            <w:tcBorders>
              <w:top w:val="single" w:sz="8" w:color="D0EBF2"/>
              <w:bottom w:val="single" w:sz="8" w:color="D0EBF2"/>
              <w:right w:val="single" w:sz="8" w:color="D0EBF2"/>
            </w:tcBorders>
            <w:shd w:val="clear" w:color="auto" w:fill="D0EBF2"/>
          </w:tcPr>
          <w:p>
            <w:pPr>
              <w:spacing w:after="0"/>
              <w:rPr>
                <w:sz w:val="21"/>
                <w:szCs w:val="21"/>
                <w:color w:val="auto"/>
              </w:rPr>
            </w:pPr>
          </w:p>
        </w:tc>
        <w:tc>
          <w:tcPr>
            <w:tcW w:w="120" w:type="dxa"/>
            <w:vAlign w:val="bottom"/>
            <w:tcBorders>
              <w:top w:val="single" w:sz="8" w:color="231F20"/>
              <w:left w:val="single" w:sz="8" w:color="D0EBF2"/>
              <w:bottom w:val="single" w:sz="8" w:color="231F20"/>
            </w:tcBorders>
            <w:shd w:val="clear" w:color="auto" w:fill="D0EBF2"/>
          </w:tcPr>
          <w:p>
            <w:pPr>
              <w:jc w:val="right"/>
              <w:spacing w:after="0"/>
              <w:rPr>
                <w:sz w:val="20"/>
                <w:szCs w:val="20"/>
                <w:color w:val="auto"/>
              </w:rPr>
            </w:pPr>
            <w:r>
              <w:rPr>
                <w:rFonts w:ascii="Arial" w:cs="Arial" w:eastAsia="Arial" w:hAnsi="Arial"/>
                <w:sz w:val="15"/>
                <w:szCs w:val="15"/>
                <w:color w:val="231F20"/>
                <w:w w:val="71"/>
              </w:rPr>
              <w:t>$</w:t>
            </w:r>
          </w:p>
        </w:tc>
        <w:tc>
          <w:tcPr>
            <w:tcW w:w="260" w:type="dxa"/>
            <w:vAlign w:val="bottom"/>
            <w:tcBorders>
              <w:top w:val="single" w:sz="8" w:color="231F20"/>
              <w:bottom w:val="single" w:sz="8" w:color="231F20"/>
            </w:tcBorders>
            <w:shd w:val="clear" w:color="auto" w:fill="D0EBF2"/>
          </w:tcPr>
          <w:p>
            <w:pPr>
              <w:spacing w:after="0"/>
              <w:rPr>
                <w:sz w:val="21"/>
                <w:szCs w:val="21"/>
                <w:color w:val="auto"/>
              </w:rPr>
            </w:pPr>
          </w:p>
        </w:tc>
        <w:tc>
          <w:tcPr>
            <w:tcW w:w="68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327.5</w:t>
            </w:r>
          </w:p>
        </w:tc>
        <w:tc>
          <w:tcPr>
            <w:tcW w:w="80" w:type="dxa"/>
            <w:vAlign w:val="bottom"/>
            <w:tcBorders>
              <w:top w:val="single" w:sz="8" w:color="D0EBF2"/>
              <w:bottom w:val="single" w:sz="8" w:color="D0EBF2"/>
            </w:tcBorders>
            <w:shd w:val="clear" w:color="auto" w:fill="D0EBF2"/>
          </w:tcPr>
          <w:p>
            <w:pPr>
              <w:spacing w:after="0"/>
              <w:rPr>
                <w:sz w:val="21"/>
                <w:szCs w:val="21"/>
                <w:color w:val="auto"/>
              </w:rPr>
            </w:pPr>
          </w:p>
        </w:tc>
        <w:tc>
          <w:tcPr>
            <w:tcW w:w="180" w:type="dxa"/>
            <w:vAlign w:val="bottom"/>
            <w:tcBorders>
              <w:top w:val="single" w:sz="8" w:color="D0EBF2"/>
              <w:bottom w:val="single" w:sz="8" w:color="D0EBF2"/>
            </w:tcBorders>
            <w:shd w:val="clear" w:color="auto" w:fill="D0EBF2"/>
          </w:tcPr>
          <w:p>
            <w:pPr>
              <w:spacing w:after="0"/>
              <w:rPr>
                <w:sz w:val="21"/>
                <w:szCs w:val="21"/>
                <w:color w:val="auto"/>
              </w:rPr>
            </w:pPr>
          </w:p>
        </w:tc>
        <w:tc>
          <w:tcPr>
            <w:tcW w:w="80" w:type="dxa"/>
            <w:vAlign w:val="bottom"/>
            <w:tcBorders>
              <w:top w:val="single" w:sz="8" w:color="D0EBF2"/>
              <w:bottom w:val="single" w:sz="8" w:color="D0EBF2"/>
            </w:tcBorders>
            <w:shd w:val="clear" w:color="auto" w:fill="D0EBF2"/>
          </w:tcPr>
          <w:p>
            <w:pPr>
              <w:spacing w:after="0"/>
              <w:rPr>
                <w:sz w:val="21"/>
                <w:szCs w:val="21"/>
                <w:color w:val="auto"/>
              </w:rPr>
            </w:pPr>
          </w:p>
        </w:tc>
        <w:tc>
          <w:tcPr>
            <w:tcW w:w="160" w:type="dxa"/>
            <w:vAlign w:val="bottom"/>
            <w:tcBorders>
              <w:top w:val="single" w:sz="8" w:color="231F20"/>
              <w:bottom w:val="single" w:sz="8" w:color="231F20"/>
            </w:tcBorders>
            <w:gridSpan w:val="2"/>
            <w:shd w:val="clear" w:color="auto" w:fill="D0EBF2"/>
          </w:tcPr>
          <w:p>
            <w:pPr>
              <w:jc w:val="center"/>
              <w:spacing w:after="0" w:line="207" w:lineRule="exact"/>
              <w:rPr>
                <w:sz w:val="20"/>
                <w:szCs w:val="20"/>
                <w:color w:val="auto"/>
              </w:rPr>
            </w:pPr>
            <w:r>
              <w:rPr>
                <w:rFonts w:ascii="Arial" w:cs="Arial" w:eastAsia="Arial" w:hAnsi="Arial"/>
                <w:sz w:val="19"/>
                <w:szCs w:val="19"/>
                <w:color w:val="231F20"/>
                <w:w w:val="94"/>
              </w:rPr>
              <w:t>$</w:t>
            </w:r>
          </w:p>
        </w:tc>
        <w:tc>
          <w:tcPr>
            <w:tcW w:w="120" w:type="dxa"/>
            <w:vAlign w:val="bottom"/>
            <w:tcBorders>
              <w:top w:val="single" w:sz="8" w:color="231F20"/>
              <w:bottom w:val="single" w:sz="8" w:color="231F20"/>
            </w:tcBorders>
            <w:shd w:val="clear" w:color="auto" w:fill="D0EBF2"/>
          </w:tcPr>
          <w:p>
            <w:pPr>
              <w:spacing w:after="0"/>
              <w:rPr>
                <w:sz w:val="21"/>
                <w:szCs w:val="21"/>
                <w:color w:val="auto"/>
              </w:rPr>
            </w:pPr>
          </w:p>
        </w:tc>
        <w:tc>
          <w:tcPr>
            <w:tcW w:w="80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54.0</w:t>
            </w:r>
          </w:p>
        </w:tc>
        <w:tc>
          <w:tcPr>
            <w:tcW w:w="100" w:type="dxa"/>
            <w:vAlign w:val="bottom"/>
            <w:tcBorders>
              <w:top w:val="single" w:sz="8" w:color="D0EBF2"/>
              <w:bottom w:val="single" w:sz="8" w:color="D0EBF2"/>
            </w:tcBorders>
            <w:shd w:val="clear" w:color="auto" w:fill="D0EBF2"/>
          </w:tcPr>
          <w:p>
            <w:pPr>
              <w:spacing w:after="0"/>
              <w:rPr>
                <w:sz w:val="21"/>
                <w:szCs w:val="21"/>
                <w:color w:val="auto"/>
              </w:rPr>
            </w:pPr>
          </w:p>
        </w:tc>
        <w:tc>
          <w:tcPr>
            <w:tcW w:w="180" w:type="dxa"/>
            <w:vAlign w:val="bottom"/>
            <w:tcBorders>
              <w:top w:val="single" w:sz="8" w:color="D0EBF2"/>
              <w:bottom w:val="single" w:sz="8" w:color="D0EBF2"/>
            </w:tcBorders>
            <w:shd w:val="clear" w:color="auto" w:fill="D0EBF2"/>
          </w:tcPr>
          <w:p>
            <w:pPr>
              <w:spacing w:after="0"/>
              <w:rPr>
                <w:sz w:val="21"/>
                <w:szCs w:val="21"/>
                <w:color w:val="auto"/>
              </w:rPr>
            </w:pPr>
          </w:p>
        </w:tc>
        <w:tc>
          <w:tcPr>
            <w:tcW w:w="40" w:type="dxa"/>
            <w:vAlign w:val="bottom"/>
            <w:tcBorders>
              <w:top w:val="single" w:sz="8" w:color="D0EBF2"/>
              <w:bottom w:val="single" w:sz="8" w:color="D0EBF2"/>
            </w:tcBorders>
            <w:shd w:val="clear" w:color="auto" w:fill="D0EBF2"/>
          </w:tcPr>
          <w:p>
            <w:pPr>
              <w:spacing w:after="0"/>
              <w:rPr>
                <w:sz w:val="21"/>
                <w:szCs w:val="21"/>
                <w:color w:val="auto"/>
              </w:rPr>
            </w:pPr>
          </w:p>
        </w:tc>
        <w:tc>
          <w:tcPr>
            <w:tcW w:w="10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w w:val="94"/>
                <w:shd w:val="clear" w:color="auto" w:fill="D0EBF2"/>
              </w:rPr>
              <w:t>$</w:t>
            </w:r>
          </w:p>
        </w:tc>
        <w:tc>
          <w:tcPr>
            <w:tcW w:w="120" w:type="dxa"/>
            <w:vAlign w:val="bottom"/>
            <w:tcBorders>
              <w:top w:val="single" w:sz="8" w:color="231F20"/>
              <w:left w:val="single" w:sz="8" w:color="D0EBF2"/>
              <w:bottom w:val="single" w:sz="8" w:color="231F20"/>
            </w:tcBorders>
            <w:shd w:val="clear" w:color="auto" w:fill="D0EBF2"/>
          </w:tcPr>
          <w:p>
            <w:pPr>
              <w:spacing w:after="0"/>
              <w:rPr>
                <w:sz w:val="21"/>
                <w:szCs w:val="21"/>
                <w:color w:val="auto"/>
              </w:rPr>
            </w:pPr>
          </w:p>
        </w:tc>
        <w:tc>
          <w:tcPr>
            <w:tcW w:w="108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381.5</w:t>
            </w:r>
          </w:p>
        </w:tc>
        <w:tc>
          <w:tcPr>
            <w:tcW w:w="200" w:type="dxa"/>
            <w:vAlign w:val="bottom"/>
            <w:tcBorders>
              <w:top w:val="single" w:sz="8" w:color="D0EBF2"/>
              <w:bottom w:val="single" w:sz="8" w:color="D0EBF2"/>
            </w:tcBorders>
            <w:shd w:val="clear" w:color="auto" w:fill="D0EBF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FDFDFC"/>
            </w:tcBorders>
            <w:gridSpan w:val="2"/>
            <w:vMerge w:val="restart"/>
            <w:shd w:val="clear" w:color="auto" w:fill="FDFDFC"/>
          </w:tcPr>
          <w:p>
            <w:pPr>
              <w:spacing w:after="0" w:line="200" w:lineRule="exact"/>
              <w:rPr>
                <w:sz w:val="20"/>
                <w:szCs w:val="20"/>
                <w:color w:val="auto"/>
              </w:rPr>
            </w:pPr>
            <w:r>
              <w:rPr>
                <w:rFonts w:ascii="Arial" w:cs="Arial" w:eastAsia="Arial" w:hAnsi="Arial"/>
                <w:sz w:val="19"/>
                <w:szCs w:val="19"/>
                <w:color w:val="231F20"/>
              </w:rPr>
              <w:t>Percentage of Revenue</w:t>
            </w:r>
          </w:p>
        </w:tc>
        <w:tc>
          <w:tcPr>
            <w:tcW w:w="100" w:type="dxa"/>
            <w:vAlign w:val="bottom"/>
            <w:tcBorders>
              <w:top w:val="single" w:sz="8" w:color="FDFDFC"/>
              <w:right w:val="single" w:sz="8" w:color="FDFDFC"/>
            </w:tcBorders>
            <w:shd w:val="clear" w:color="auto" w:fill="FDFDFC"/>
          </w:tcPr>
          <w:p>
            <w:pPr>
              <w:spacing w:after="0" w:line="20" w:lineRule="exact"/>
              <w:rPr>
                <w:sz w:val="1"/>
                <w:szCs w:val="1"/>
                <w:color w:val="auto"/>
              </w:rPr>
            </w:pPr>
          </w:p>
        </w:tc>
        <w:tc>
          <w:tcPr>
            <w:tcW w:w="12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260" w:type="dxa"/>
            <w:vAlign w:val="bottom"/>
            <w:tcBorders>
              <w:top w:val="single" w:sz="8" w:color="231F20"/>
            </w:tcBorders>
            <w:shd w:val="clear" w:color="auto" w:fill="231F20"/>
          </w:tcPr>
          <w:p>
            <w:pPr>
              <w:spacing w:after="0" w:line="20" w:lineRule="exact"/>
              <w:rPr>
                <w:sz w:val="1"/>
                <w:szCs w:val="1"/>
                <w:color w:val="auto"/>
              </w:rPr>
            </w:pPr>
          </w:p>
        </w:tc>
        <w:tc>
          <w:tcPr>
            <w:tcW w:w="68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231F20"/>
            </w:tcBorders>
            <w:shd w:val="clear" w:color="auto" w:fill="231F20"/>
          </w:tcPr>
          <w:p>
            <w:pPr>
              <w:spacing w:after="0" w:line="20" w:lineRule="exact"/>
              <w:rPr>
                <w:sz w:val="1"/>
                <w:szCs w:val="1"/>
                <w:color w:val="auto"/>
              </w:rPr>
            </w:pPr>
          </w:p>
        </w:tc>
        <w:tc>
          <w:tcPr>
            <w:tcW w:w="120" w:type="dxa"/>
            <w:vAlign w:val="bottom"/>
            <w:tcBorders>
              <w:top w:val="single" w:sz="8" w:color="231F20"/>
            </w:tcBorders>
            <w:shd w:val="clear" w:color="auto" w:fill="231F20"/>
          </w:tcPr>
          <w:p>
            <w:pPr>
              <w:spacing w:after="0" w:line="20" w:lineRule="exact"/>
              <w:rPr>
                <w:sz w:val="1"/>
                <w:szCs w:val="1"/>
                <w:color w:val="auto"/>
              </w:rPr>
            </w:pPr>
          </w:p>
        </w:tc>
        <w:tc>
          <w:tcPr>
            <w:tcW w:w="800" w:type="dxa"/>
            <w:vAlign w:val="bottom"/>
            <w:tcBorders>
              <w:top w:val="single" w:sz="8" w:color="231F20"/>
            </w:tcBorders>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231F20"/>
            </w:tcBorders>
            <w:shd w:val="clear" w:color="auto" w:fill="231F20"/>
          </w:tcPr>
          <w:p>
            <w:pPr>
              <w:spacing w:after="0" w:line="20" w:lineRule="exact"/>
              <w:rPr>
                <w:sz w:val="1"/>
                <w:szCs w:val="1"/>
                <w:color w:val="auto"/>
              </w:rPr>
            </w:pPr>
          </w:p>
        </w:tc>
        <w:tc>
          <w:tcPr>
            <w:tcW w:w="12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108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00" w:type="dxa"/>
            <w:vAlign w:val="bottom"/>
            <w:gridSpan w:val="2"/>
            <w:vMerge w:val="continue"/>
            <w:shd w:val="clear" w:color="auto" w:fill="FDFDFC"/>
          </w:tcPr>
          <w:p>
            <w:pPr>
              <w:spacing w:after="0"/>
              <w:rPr>
                <w:sz w:val="15"/>
                <w:szCs w:val="15"/>
                <w:color w:val="auto"/>
              </w:rPr>
            </w:pPr>
          </w:p>
        </w:tc>
        <w:tc>
          <w:tcPr>
            <w:tcW w:w="100" w:type="dxa"/>
            <w:vAlign w:val="bottom"/>
            <w:tcBorders>
              <w:right w:val="single" w:sz="8" w:color="FDFDFC"/>
            </w:tcBorders>
            <w:shd w:val="clear" w:color="auto" w:fill="FDFDFC"/>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3"/>
          </w:tcPr>
          <w:p>
            <w:pPr>
              <w:jc w:val="right"/>
              <w:ind w:right="80"/>
              <w:spacing w:after="0" w:line="180" w:lineRule="exact"/>
              <w:rPr>
                <w:sz w:val="20"/>
                <w:szCs w:val="20"/>
                <w:color w:val="auto"/>
              </w:rPr>
            </w:pPr>
            <w:r>
              <w:rPr>
                <w:rFonts w:ascii="Arial" w:cs="Arial" w:eastAsia="Arial" w:hAnsi="Arial"/>
                <w:sz w:val="19"/>
                <w:szCs w:val="19"/>
                <w:color w:val="231F20"/>
              </w:rPr>
              <w:t>81.8%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right"/>
              <w:ind w:right="120"/>
              <w:spacing w:after="0" w:line="180" w:lineRule="exact"/>
              <w:rPr>
                <w:sz w:val="20"/>
                <w:szCs w:val="20"/>
                <w:color w:val="auto"/>
              </w:rPr>
            </w:pPr>
            <w:r>
              <w:rPr>
                <w:rFonts w:ascii="Arial" w:cs="Arial" w:eastAsia="Arial" w:hAnsi="Arial"/>
                <w:sz w:val="19"/>
                <w:szCs w:val="19"/>
                <w:color w:val="231F20"/>
              </w:rPr>
              <w:t>18.2%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
              <w:spacing w:after="0" w:line="180" w:lineRule="exact"/>
              <w:rPr>
                <w:sz w:val="20"/>
                <w:szCs w:val="20"/>
                <w:color w:val="auto"/>
              </w:rPr>
            </w:pPr>
            <w:r>
              <w:rPr>
                <w:rFonts w:ascii="Arial" w:cs="Arial" w:eastAsia="Arial" w:hAnsi="Arial"/>
                <w:sz w:val="19"/>
                <w:szCs w:val="19"/>
                <w:color w:val="231F20"/>
              </w:rPr>
              <w:t>100.0%</w:t>
            </w:r>
          </w:p>
        </w:tc>
        <w:tc>
          <w:tcPr>
            <w:tcW w:w="0" w:type="dxa"/>
            <w:vAlign w:val="bottom"/>
          </w:tcPr>
          <w:p>
            <w:pPr>
              <w:spacing w:after="0"/>
              <w:rPr>
                <w:sz w:val="1"/>
                <w:szCs w:val="1"/>
                <w:color w:val="auto"/>
              </w:rPr>
            </w:pPr>
          </w:p>
        </w:tc>
      </w:tr>
      <w:tr>
        <w:trPr>
          <w:trHeight w:val="217"/>
        </w:trPr>
        <w:tc>
          <w:tcPr>
            <w:tcW w:w="5800" w:type="dxa"/>
            <w:vAlign w:val="bottom"/>
            <w:gridSpan w:val="2"/>
            <w:shd w:val="clear" w:color="auto" w:fill="D0EBF2"/>
          </w:tcPr>
          <w:p>
            <w:pPr>
              <w:spacing w:after="0" w:line="217" w:lineRule="exact"/>
              <w:rPr>
                <w:sz w:val="20"/>
                <w:szCs w:val="20"/>
                <w:color w:val="auto"/>
              </w:rPr>
            </w:pPr>
            <w:r>
              <w:rPr>
                <w:rFonts w:ascii="Arial" w:cs="Arial" w:eastAsia="Arial" w:hAnsi="Arial"/>
                <w:sz w:val="19"/>
                <w:szCs w:val="19"/>
                <w:color w:val="231F20"/>
              </w:rPr>
              <w:t>Percentage of Revenue Less Ancillary Services</w:t>
            </w:r>
          </w:p>
        </w:tc>
        <w:tc>
          <w:tcPr>
            <w:tcW w:w="100" w:type="dxa"/>
            <w:vAlign w:val="bottom"/>
            <w:tcBorders>
              <w:right w:val="single" w:sz="8" w:color="D0EBF2"/>
            </w:tcBorders>
            <w:shd w:val="clear" w:color="auto" w:fill="D0EBF2"/>
          </w:tcPr>
          <w:p>
            <w:pPr>
              <w:spacing w:after="0"/>
              <w:rPr>
                <w:sz w:val="18"/>
                <w:szCs w:val="18"/>
                <w:color w:val="auto"/>
              </w:rPr>
            </w:pPr>
          </w:p>
        </w:tc>
        <w:tc>
          <w:tcPr>
            <w:tcW w:w="120" w:type="dxa"/>
            <w:vAlign w:val="bottom"/>
            <w:tcBorders>
              <w:left w:val="single" w:sz="8" w:color="D0EBF2"/>
            </w:tcBorders>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gridSpan w:val="3"/>
            <w:shd w:val="clear" w:color="auto" w:fill="D0EBF2"/>
          </w:tcPr>
          <w:p>
            <w:pPr>
              <w:jc w:val="right"/>
              <w:ind w:right="80"/>
              <w:spacing w:after="0" w:line="217" w:lineRule="exact"/>
              <w:rPr>
                <w:sz w:val="20"/>
                <w:szCs w:val="20"/>
                <w:color w:val="auto"/>
              </w:rPr>
            </w:pPr>
            <w:r>
              <w:rPr>
                <w:rFonts w:ascii="Arial" w:cs="Arial" w:eastAsia="Arial" w:hAnsi="Arial"/>
                <w:sz w:val="19"/>
                <w:szCs w:val="19"/>
                <w:color w:val="231F20"/>
              </w:rPr>
              <w:t>85.8%</w:t>
            </w:r>
          </w:p>
        </w:tc>
        <w:tc>
          <w:tcPr>
            <w:tcW w:w="8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80" w:type="dxa"/>
            <w:vAlign w:val="bottom"/>
            <w:gridSpan w:val="3"/>
            <w:shd w:val="clear" w:color="auto" w:fill="D0EBF2"/>
          </w:tcPr>
          <w:p>
            <w:pPr>
              <w:jc w:val="right"/>
              <w:ind w:right="120"/>
              <w:spacing w:after="0" w:line="217" w:lineRule="exact"/>
              <w:rPr>
                <w:sz w:val="20"/>
                <w:szCs w:val="20"/>
                <w:color w:val="auto"/>
              </w:rPr>
            </w:pPr>
            <w:r>
              <w:rPr>
                <w:rFonts w:ascii="Arial" w:cs="Arial" w:eastAsia="Arial" w:hAnsi="Arial"/>
                <w:sz w:val="19"/>
                <w:szCs w:val="19"/>
                <w:color w:val="231F20"/>
              </w:rPr>
              <w:t>14.2%</w:t>
            </w:r>
          </w:p>
        </w:tc>
        <w:tc>
          <w:tcPr>
            <w:tcW w:w="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0" w:type="dxa"/>
            <w:vAlign w:val="bottom"/>
            <w:tcBorders>
              <w:left w:val="single" w:sz="8" w:color="D0EBF2"/>
            </w:tcBorders>
            <w:shd w:val="clear" w:color="auto" w:fill="D0EBF2"/>
          </w:tcPr>
          <w:p>
            <w:pPr>
              <w:spacing w:after="0"/>
              <w:rPr>
                <w:sz w:val="18"/>
                <w:szCs w:val="18"/>
                <w:color w:val="auto"/>
              </w:rPr>
            </w:pPr>
          </w:p>
        </w:tc>
        <w:tc>
          <w:tcPr>
            <w:tcW w:w="1280" w:type="dxa"/>
            <w:vAlign w:val="bottom"/>
            <w:gridSpan w:val="2"/>
            <w:shd w:val="clear" w:color="auto" w:fill="D0EBF2"/>
          </w:tcPr>
          <w:p>
            <w:pPr>
              <w:jc w:val="right"/>
              <w:ind w:right="20"/>
              <w:spacing w:after="0" w:line="217" w:lineRule="exact"/>
              <w:rPr>
                <w:sz w:val="20"/>
                <w:szCs w:val="20"/>
                <w:color w:val="auto"/>
              </w:rPr>
            </w:pPr>
            <w:r>
              <w:rPr>
                <w:rFonts w:ascii="Arial" w:cs="Arial" w:eastAsia="Arial" w:hAnsi="Arial"/>
                <w:sz w:val="19"/>
                <w:szCs w:val="19"/>
                <w:color w:val="231F20"/>
              </w:rPr>
              <w:t>100.0%</w:t>
            </w:r>
          </w:p>
        </w:tc>
        <w:tc>
          <w:tcPr>
            <w:tcW w:w="0" w:type="dxa"/>
            <w:vAlign w:val="bottom"/>
          </w:tcPr>
          <w:p>
            <w:pPr>
              <w:spacing w:after="0"/>
              <w:rPr>
                <w:sz w:val="1"/>
                <w:szCs w:val="1"/>
                <w:color w:val="auto"/>
              </w:rPr>
            </w:pPr>
          </w:p>
        </w:tc>
      </w:tr>
      <w:tr>
        <w:trPr>
          <w:trHeight w:val="217"/>
        </w:trPr>
        <w:tc>
          <w:tcPr>
            <w:tcW w:w="5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74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100" w:type="dxa"/>
            <w:vAlign w:val="bottom"/>
            <w:tcBorders>
              <w:right w:val="single" w:sz="8" w:color="FDFDFC"/>
            </w:tcBorders>
            <w:shd w:val="clear" w:color="auto" w:fill="FDFDFC"/>
          </w:tcPr>
          <w:p>
            <w:pPr>
              <w:spacing w:after="0"/>
              <w:rPr>
                <w:sz w:val="13"/>
                <w:szCs w:val="13"/>
                <w:color w:val="auto"/>
              </w:rPr>
            </w:pPr>
          </w:p>
        </w:tc>
        <w:tc>
          <w:tcPr>
            <w:tcW w:w="120" w:type="dxa"/>
            <w:vAlign w:val="bottom"/>
            <w:tcBorders>
              <w:left w:val="single" w:sz="8" w:color="FDFDFC"/>
            </w:tcBorders>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6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1360" w:type="dxa"/>
            <w:vAlign w:val="bottom"/>
            <w:gridSpan w:val="6"/>
            <w:shd w:val="clear" w:color="auto" w:fill="FDFDFC"/>
          </w:tcPr>
          <w:p>
            <w:pPr>
              <w:jc w:val="center"/>
              <w:ind w:right="280"/>
              <w:spacing w:after="0" w:line="157" w:lineRule="exact"/>
              <w:rPr>
                <w:sz w:val="20"/>
                <w:szCs w:val="20"/>
                <w:color w:val="auto"/>
              </w:rPr>
            </w:pPr>
            <w:r>
              <w:rPr>
                <w:rFonts w:ascii="Arial" w:cs="Arial" w:eastAsia="Arial" w:hAnsi="Arial"/>
                <w:sz w:val="15"/>
                <w:szCs w:val="15"/>
                <w:b w:val="1"/>
                <w:bCs w:val="1"/>
                <w:color w:val="231F20"/>
              </w:rPr>
              <w:t>Platform and</w:t>
            </w:r>
          </w:p>
        </w:tc>
        <w:tc>
          <w:tcPr>
            <w:tcW w:w="4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120" w:type="dxa"/>
            <w:vAlign w:val="bottom"/>
            <w:tcBorders>
              <w:left w:val="single" w:sz="8" w:color="FDFDFC"/>
            </w:tcBorders>
            <w:shd w:val="clear" w:color="auto" w:fill="FDFDFC"/>
          </w:tcPr>
          <w:p>
            <w:pPr>
              <w:spacing w:after="0"/>
              <w:rPr>
                <w:sz w:val="13"/>
                <w:szCs w:val="13"/>
                <w:color w:val="auto"/>
              </w:rPr>
            </w:pPr>
          </w:p>
        </w:tc>
        <w:tc>
          <w:tcPr>
            <w:tcW w:w="1280" w:type="dxa"/>
            <w:vAlign w:val="bottom"/>
            <w:gridSpan w:val="2"/>
            <w:shd w:val="clear" w:color="auto" w:fill="FDFDFC"/>
          </w:tcPr>
          <w:p>
            <w:pPr>
              <w:jc w:val="center"/>
              <w:ind w:right="400"/>
              <w:spacing w:after="0" w:line="157" w:lineRule="exact"/>
              <w:rPr>
                <w:sz w:val="20"/>
                <w:szCs w:val="20"/>
                <w:color w:val="auto"/>
              </w:rPr>
            </w:pPr>
            <w:r>
              <w:rPr>
                <w:rFonts w:ascii="Arial" w:cs="Arial" w:eastAsia="Arial" w:hAnsi="Arial"/>
                <w:sz w:val="15"/>
                <w:szCs w:val="15"/>
                <w:b w:val="1"/>
                <w:bCs w:val="1"/>
                <w:color w:val="231F20"/>
              </w:rPr>
              <w:t>Year Ended</w:t>
            </w:r>
          </w:p>
        </w:tc>
        <w:tc>
          <w:tcPr>
            <w:tcW w:w="0" w:type="dxa"/>
            <w:vAlign w:val="bottom"/>
          </w:tcPr>
          <w:p>
            <w:pPr>
              <w:spacing w:after="0"/>
              <w:rPr>
                <w:sz w:val="1"/>
                <w:szCs w:val="1"/>
                <w:color w:val="auto"/>
              </w:rPr>
            </w:pPr>
          </w:p>
        </w:tc>
      </w:tr>
      <w:tr>
        <w:trPr>
          <w:trHeight w:val="174"/>
        </w:trPr>
        <w:tc>
          <w:tcPr>
            <w:tcW w:w="574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00" w:type="dxa"/>
            <w:vAlign w:val="bottom"/>
            <w:tcBorders>
              <w:right w:val="single" w:sz="8" w:color="FDFDFC"/>
            </w:tcBorders>
            <w:shd w:val="clear" w:color="auto" w:fill="FDFDFC"/>
          </w:tcPr>
          <w:p>
            <w:pPr>
              <w:spacing w:after="0"/>
              <w:rPr>
                <w:sz w:val="15"/>
                <w:szCs w:val="15"/>
                <w:color w:val="auto"/>
              </w:rPr>
            </w:pPr>
          </w:p>
        </w:tc>
        <w:tc>
          <w:tcPr>
            <w:tcW w:w="120" w:type="dxa"/>
            <w:vAlign w:val="bottom"/>
            <w:tcBorders>
              <w:left w:val="single" w:sz="8" w:color="FDFDFC"/>
            </w:tcBorders>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68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80" w:type="dxa"/>
            <w:vAlign w:val="bottom"/>
            <w:gridSpan w:val="3"/>
            <w:shd w:val="clear" w:color="auto" w:fill="FDFDFC"/>
          </w:tcPr>
          <w:p>
            <w:pPr>
              <w:jc w:val="center"/>
              <w:ind w:right="580"/>
              <w:spacing w:after="0"/>
              <w:rPr>
                <w:sz w:val="20"/>
                <w:szCs w:val="20"/>
                <w:color w:val="auto"/>
              </w:rPr>
            </w:pPr>
            <w:r>
              <w:rPr>
                <w:rFonts w:ascii="Arial" w:cs="Arial" w:eastAsia="Arial" w:hAnsi="Arial"/>
                <w:sz w:val="15"/>
                <w:szCs w:val="15"/>
                <w:b w:val="1"/>
                <w:bCs w:val="1"/>
                <w:color w:val="231F20"/>
              </w:rPr>
              <w:t>other</w:t>
            </w:r>
          </w:p>
        </w:tc>
        <w:tc>
          <w:tcPr>
            <w:tcW w:w="4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00" w:type="dxa"/>
            <w:vAlign w:val="bottom"/>
            <w:tcBorders>
              <w:left w:val="single" w:sz="8" w:color="FDFDFC"/>
            </w:tcBorders>
            <w:gridSpan w:val="3"/>
            <w:shd w:val="clear" w:color="auto" w:fill="FDFDFC"/>
          </w:tcPr>
          <w:p>
            <w:pPr>
              <w:jc w:val="center"/>
              <w:ind w:right="300"/>
              <w:spacing w:after="0"/>
              <w:rPr>
                <w:sz w:val="20"/>
                <w:szCs w:val="20"/>
                <w:color w:val="auto"/>
              </w:rPr>
            </w:pPr>
            <w:r>
              <w:rPr>
                <w:rFonts w:ascii="Arial" w:cs="Arial" w:eastAsia="Arial" w:hAnsi="Arial"/>
                <w:sz w:val="15"/>
                <w:szCs w:val="15"/>
                <w:b w:val="1"/>
                <w:bCs w:val="1"/>
                <w:color w:val="231F20"/>
              </w:rPr>
              <w:t>December 31,</w:t>
            </w:r>
          </w:p>
        </w:tc>
        <w:tc>
          <w:tcPr>
            <w:tcW w:w="0" w:type="dxa"/>
            <w:vAlign w:val="bottom"/>
          </w:tcPr>
          <w:p>
            <w:pPr>
              <w:spacing w:after="0"/>
              <w:rPr>
                <w:sz w:val="1"/>
                <w:szCs w:val="1"/>
                <w:color w:val="auto"/>
              </w:rPr>
            </w:pPr>
          </w:p>
        </w:tc>
      </w:tr>
      <w:tr>
        <w:trPr>
          <w:trHeight w:val="191"/>
        </w:trPr>
        <w:tc>
          <w:tcPr>
            <w:tcW w:w="5800" w:type="dxa"/>
            <w:vAlign w:val="bottom"/>
            <w:gridSpan w:val="2"/>
            <w:shd w:val="clear" w:color="auto" w:fill="FDFDFC"/>
          </w:tcPr>
          <w:p>
            <w:pPr>
              <w:spacing w:after="0"/>
              <w:rPr>
                <w:sz w:val="20"/>
                <w:szCs w:val="20"/>
                <w:color w:val="auto"/>
              </w:rPr>
            </w:pPr>
            <w:r>
              <w:rPr>
                <w:rFonts w:ascii="Arial" w:cs="Arial" w:eastAsia="Arial" w:hAnsi="Arial"/>
                <w:sz w:val="15"/>
                <w:szCs w:val="15"/>
                <w:b w:val="1"/>
                <w:bCs w:val="1"/>
                <w:color w:val="231F20"/>
              </w:rPr>
              <w:t>(dollars in millions)</w:t>
            </w:r>
          </w:p>
        </w:tc>
        <w:tc>
          <w:tcPr>
            <w:tcW w:w="100" w:type="dxa"/>
            <w:vAlign w:val="bottom"/>
            <w:tcBorders>
              <w:right w:val="single" w:sz="8" w:color="FDFDFC"/>
            </w:tcBorders>
            <w:shd w:val="clear" w:color="auto" w:fill="FDFDFC"/>
          </w:tcPr>
          <w:p>
            <w:pPr>
              <w:spacing w:after="0"/>
              <w:rPr>
                <w:sz w:val="16"/>
                <w:szCs w:val="16"/>
                <w:color w:val="auto"/>
              </w:rPr>
            </w:pPr>
          </w:p>
        </w:tc>
        <w:tc>
          <w:tcPr>
            <w:tcW w:w="1400" w:type="dxa"/>
            <w:vAlign w:val="bottom"/>
            <w:tcBorders>
              <w:left w:val="single" w:sz="8" w:color="FDFDFC"/>
            </w:tcBorders>
            <w:gridSpan w:val="6"/>
            <w:shd w:val="clear" w:color="auto" w:fill="FDFDFC"/>
          </w:tcPr>
          <w:p>
            <w:pPr>
              <w:ind w:left="100"/>
              <w:spacing w:after="0"/>
              <w:rPr>
                <w:sz w:val="20"/>
                <w:szCs w:val="20"/>
                <w:color w:val="auto"/>
              </w:rPr>
            </w:pPr>
            <w:r>
              <w:rPr>
                <w:rFonts w:ascii="Arial" w:cs="Arial" w:eastAsia="Arial" w:hAnsi="Arial"/>
                <w:sz w:val="15"/>
                <w:szCs w:val="15"/>
                <w:b w:val="1"/>
                <w:bCs w:val="1"/>
                <w:color w:val="231F20"/>
              </w:rPr>
              <w:t>Transaction</w:t>
            </w:r>
          </w:p>
        </w:tc>
        <w:tc>
          <w:tcPr>
            <w:tcW w:w="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200" w:type="dxa"/>
            <w:vAlign w:val="bottom"/>
            <w:gridSpan w:val="4"/>
            <w:shd w:val="clear" w:color="auto" w:fill="FDFDFC"/>
          </w:tcPr>
          <w:p>
            <w:pPr>
              <w:jc w:val="center"/>
              <w:ind w:right="460"/>
              <w:spacing w:after="0"/>
              <w:rPr>
                <w:sz w:val="20"/>
                <w:szCs w:val="20"/>
                <w:color w:val="auto"/>
              </w:rPr>
            </w:pPr>
            <w:r>
              <w:rPr>
                <w:rFonts w:ascii="Arial" w:cs="Arial" w:eastAsia="Arial" w:hAnsi="Arial"/>
                <w:sz w:val="15"/>
                <w:szCs w:val="15"/>
                <w:b w:val="1"/>
                <w:bCs w:val="1"/>
                <w:color w:val="231F20"/>
              </w:rPr>
              <w:t>revenues</w:t>
            </w:r>
          </w:p>
        </w:tc>
        <w:tc>
          <w:tcPr>
            <w:tcW w:w="4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20" w:type="dxa"/>
            <w:vAlign w:val="bottom"/>
            <w:tcBorders>
              <w:left w:val="single" w:sz="8" w:color="FDFDFC"/>
            </w:tcBorders>
            <w:shd w:val="clear" w:color="auto" w:fill="FDFDFC"/>
          </w:tcPr>
          <w:p>
            <w:pPr>
              <w:spacing w:after="0"/>
              <w:rPr>
                <w:sz w:val="16"/>
                <w:szCs w:val="16"/>
                <w:color w:val="auto"/>
              </w:rPr>
            </w:pPr>
          </w:p>
        </w:tc>
        <w:tc>
          <w:tcPr>
            <w:tcW w:w="1080" w:type="dxa"/>
            <w:vAlign w:val="bottom"/>
            <w:shd w:val="clear" w:color="auto" w:fill="FDFDFC"/>
          </w:tcPr>
          <w:p>
            <w:pPr>
              <w:jc w:val="center"/>
              <w:ind w:right="130"/>
              <w:spacing w:after="0"/>
              <w:rPr>
                <w:sz w:val="20"/>
                <w:szCs w:val="20"/>
                <w:color w:val="auto"/>
              </w:rPr>
            </w:pPr>
            <w:r>
              <w:rPr>
                <w:rFonts w:ascii="Arial" w:cs="Arial" w:eastAsia="Arial" w:hAnsi="Arial"/>
                <w:sz w:val="15"/>
                <w:szCs w:val="15"/>
                <w:b w:val="1"/>
                <w:bCs w:val="1"/>
                <w:color w:val="231F20"/>
              </w:rPr>
              <w:t>2022</w:t>
            </w:r>
          </w:p>
        </w:tc>
        <w:tc>
          <w:tcPr>
            <w:tcW w:w="2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40" w:type="dxa"/>
            <w:vAlign w:val="bottom"/>
            <w:tcBorders>
              <w:top w:val="single" w:sz="8" w:color="231F20"/>
            </w:tcBorders>
            <w:shd w:val="clear" w:color="auto" w:fill="D0EBF2"/>
          </w:tcPr>
          <w:p>
            <w:pPr>
              <w:spacing w:after="0" w:line="207" w:lineRule="exact"/>
              <w:rPr>
                <w:sz w:val="20"/>
                <w:szCs w:val="20"/>
                <w:color w:val="auto"/>
              </w:rPr>
            </w:pPr>
            <w:r>
              <w:rPr>
                <w:rFonts w:ascii="Arial" w:cs="Arial" w:eastAsia="Arial" w:hAnsi="Arial"/>
                <w:sz w:val="19"/>
                <w:szCs w:val="19"/>
                <w:color w:val="231F20"/>
              </w:rPr>
              <w:t>Revenue</w:t>
            </w:r>
          </w:p>
        </w:tc>
        <w:tc>
          <w:tcPr>
            <w:tcW w:w="6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D0EBF2"/>
              <w:right w:val="single" w:sz="8" w:color="D0EBF2"/>
            </w:tcBorders>
            <w:shd w:val="clear" w:color="auto" w:fill="D0EBF2"/>
          </w:tcPr>
          <w:p>
            <w:pPr>
              <w:spacing w:after="0"/>
              <w:rPr>
                <w:sz w:val="17"/>
                <w:szCs w:val="17"/>
                <w:color w:val="auto"/>
              </w:rPr>
            </w:pPr>
          </w:p>
        </w:tc>
        <w:tc>
          <w:tcPr>
            <w:tcW w:w="120" w:type="dxa"/>
            <w:vAlign w:val="bottom"/>
            <w:tcBorders>
              <w:top w:val="single" w:sz="8" w:color="231F20"/>
              <w:left w:val="single" w:sz="8" w:color="D0EBF2"/>
            </w:tcBorders>
            <w:shd w:val="clear" w:color="auto" w:fill="D0EBF2"/>
          </w:tcPr>
          <w:p>
            <w:pPr>
              <w:jc w:val="right"/>
              <w:spacing w:after="0"/>
              <w:rPr>
                <w:sz w:val="20"/>
                <w:szCs w:val="20"/>
                <w:color w:val="auto"/>
              </w:rPr>
            </w:pPr>
            <w:r>
              <w:rPr>
                <w:rFonts w:ascii="Arial" w:cs="Arial" w:eastAsia="Arial" w:hAnsi="Arial"/>
                <w:sz w:val="15"/>
                <w:szCs w:val="15"/>
                <w:color w:val="231F20"/>
                <w:w w:val="71"/>
              </w:rPr>
              <w:t>$</w:t>
            </w:r>
          </w:p>
        </w:tc>
        <w:tc>
          <w:tcPr>
            <w:tcW w:w="260" w:type="dxa"/>
            <w:vAlign w:val="bottom"/>
            <w:tcBorders>
              <w:top w:val="single" w:sz="8" w:color="231F20"/>
            </w:tcBorders>
            <w:shd w:val="clear" w:color="auto" w:fill="D0EBF2"/>
          </w:tcPr>
          <w:p>
            <w:pPr>
              <w:spacing w:after="0"/>
              <w:rPr>
                <w:sz w:val="17"/>
                <w:szCs w:val="17"/>
                <w:color w:val="auto"/>
              </w:rPr>
            </w:pPr>
          </w:p>
        </w:tc>
        <w:tc>
          <w:tcPr>
            <w:tcW w:w="68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224.2</w:t>
            </w:r>
          </w:p>
        </w:tc>
        <w:tc>
          <w:tcPr>
            <w:tcW w:w="80" w:type="dxa"/>
            <w:vAlign w:val="bottom"/>
            <w:tcBorders>
              <w:top w:val="single" w:sz="8" w:color="D0EBF2"/>
            </w:tcBorders>
            <w:shd w:val="clear" w:color="auto" w:fill="D0EBF2"/>
          </w:tcPr>
          <w:p>
            <w:pPr>
              <w:spacing w:after="0"/>
              <w:rPr>
                <w:sz w:val="17"/>
                <w:szCs w:val="17"/>
                <w:color w:val="auto"/>
              </w:rPr>
            </w:pPr>
          </w:p>
        </w:tc>
        <w:tc>
          <w:tcPr>
            <w:tcW w:w="180" w:type="dxa"/>
            <w:vAlign w:val="bottom"/>
            <w:tcBorders>
              <w:top w:val="single" w:sz="8" w:color="D0EBF2"/>
            </w:tcBorders>
            <w:shd w:val="clear" w:color="auto" w:fill="D0EBF2"/>
          </w:tcPr>
          <w:p>
            <w:pPr>
              <w:spacing w:after="0"/>
              <w:rPr>
                <w:sz w:val="17"/>
                <w:szCs w:val="17"/>
                <w:color w:val="auto"/>
              </w:rPr>
            </w:pPr>
          </w:p>
        </w:tc>
        <w:tc>
          <w:tcPr>
            <w:tcW w:w="80" w:type="dxa"/>
            <w:vAlign w:val="bottom"/>
            <w:tcBorders>
              <w:top w:val="single" w:sz="8" w:color="D0EBF2"/>
            </w:tcBorders>
            <w:shd w:val="clear" w:color="auto" w:fill="D0EBF2"/>
          </w:tcPr>
          <w:p>
            <w:pPr>
              <w:spacing w:after="0"/>
              <w:rPr>
                <w:sz w:val="17"/>
                <w:szCs w:val="17"/>
                <w:color w:val="auto"/>
              </w:rPr>
            </w:pPr>
          </w:p>
        </w:tc>
        <w:tc>
          <w:tcPr>
            <w:tcW w:w="160" w:type="dxa"/>
            <w:vAlign w:val="bottom"/>
            <w:tcBorders>
              <w:top w:val="single" w:sz="8" w:color="231F20"/>
            </w:tcBorders>
            <w:gridSpan w:val="2"/>
            <w:shd w:val="clear" w:color="auto" w:fill="D0EBF2"/>
          </w:tcPr>
          <w:p>
            <w:pPr>
              <w:jc w:val="center"/>
              <w:spacing w:after="0" w:line="207" w:lineRule="exact"/>
              <w:rPr>
                <w:sz w:val="20"/>
                <w:szCs w:val="20"/>
                <w:color w:val="auto"/>
              </w:rPr>
            </w:pPr>
            <w:r>
              <w:rPr>
                <w:rFonts w:ascii="Arial" w:cs="Arial" w:eastAsia="Arial" w:hAnsi="Arial"/>
                <w:sz w:val="19"/>
                <w:szCs w:val="19"/>
                <w:color w:val="231F20"/>
                <w:w w:val="94"/>
              </w:rPr>
              <w:t>$</w:t>
            </w:r>
          </w:p>
        </w:tc>
        <w:tc>
          <w:tcPr>
            <w:tcW w:w="120" w:type="dxa"/>
            <w:vAlign w:val="bottom"/>
            <w:tcBorders>
              <w:top w:val="single" w:sz="8" w:color="231F20"/>
            </w:tcBorders>
            <w:shd w:val="clear" w:color="auto" w:fill="D0EBF2"/>
          </w:tcPr>
          <w:p>
            <w:pPr>
              <w:spacing w:after="0"/>
              <w:rPr>
                <w:sz w:val="17"/>
                <w:szCs w:val="17"/>
                <w:color w:val="auto"/>
              </w:rPr>
            </w:pPr>
          </w:p>
        </w:tc>
        <w:tc>
          <w:tcPr>
            <w:tcW w:w="80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65.2</w:t>
            </w:r>
          </w:p>
        </w:tc>
        <w:tc>
          <w:tcPr>
            <w:tcW w:w="100" w:type="dxa"/>
            <w:vAlign w:val="bottom"/>
            <w:tcBorders>
              <w:top w:val="single" w:sz="8" w:color="D0EBF2"/>
            </w:tcBorders>
            <w:shd w:val="clear" w:color="auto" w:fill="D0EBF2"/>
          </w:tcPr>
          <w:p>
            <w:pPr>
              <w:spacing w:after="0"/>
              <w:rPr>
                <w:sz w:val="17"/>
                <w:szCs w:val="17"/>
                <w:color w:val="auto"/>
              </w:rPr>
            </w:pPr>
          </w:p>
        </w:tc>
        <w:tc>
          <w:tcPr>
            <w:tcW w:w="180" w:type="dxa"/>
            <w:vAlign w:val="bottom"/>
            <w:tcBorders>
              <w:top w:val="single" w:sz="8" w:color="D0EBF2"/>
            </w:tcBorders>
            <w:shd w:val="clear" w:color="auto" w:fill="D0EBF2"/>
          </w:tcPr>
          <w:p>
            <w:pPr>
              <w:spacing w:after="0"/>
              <w:rPr>
                <w:sz w:val="17"/>
                <w:szCs w:val="17"/>
                <w:color w:val="auto"/>
              </w:rPr>
            </w:pPr>
          </w:p>
        </w:tc>
        <w:tc>
          <w:tcPr>
            <w:tcW w:w="4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w w:val="94"/>
                <w:shd w:val="clear" w:color="auto" w:fill="D0EBF2"/>
              </w:rPr>
              <w:t>$</w:t>
            </w:r>
          </w:p>
        </w:tc>
        <w:tc>
          <w:tcPr>
            <w:tcW w:w="120" w:type="dxa"/>
            <w:vAlign w:val="bottom"/>
            <w:tcBorders>
              <w:top w:val="single" w:sz="8" w:color="231F20"/>
              <w:left w:val="single" w:sz="8" w:color="D0EBF2"/>
            </w:tcBorders>
            <w:shd w:val="clear" w:color="auto" w:fill="D0EBF2"/>
          </w:tcPr>
          <w:p>
            <w:pPr>
              <w:spacing w:after="0"/>
              <w:rPr>
                <w:sz w:val="17"/>
                <w:szCs w:val="17"/>
                <w:color w:val="auto"/>
              </w:rPr>
            </w:pPr>
          </w:p>
        </w:tc>
        <w:tc>
          <w:tcPr>
            <w:tcW w:w="108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289.4</w:t>
            </w:r>
          </w:p>
        </w:tc>
        <w:tc>
          <w:tcPr>
            <w:tcW w:w="200" w:type="dxa"/>
            <w:vAlign w:val="bottom"/>
            <w:tcBorders>
              <w:top w:val="single" w:sz="8" w:color="D0EBF2"/>
            </w:tcBorders>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Adjusted to exclude gross up for:</w:t>
            </w:r>
          </w:p>
        </w:tc>
        <w:tc>
          <w:tcPr>
            <w:tcW w:w="60" w:type="dxa"/>
            <w:vAlign w:val="bottom"/>
            <w:shd w:val="clear" w:color="auto" w:fill="FDFDFC"/>
          </w:tcPr>
          <w:p>
            <w:pPr>
              <w:spacing w:after="0"/>
              <w:rPr>
                <w:sz w:val="18"/>
                <w:szCs w:val="18"/>
                <w:color w:val="auto"/>
              </w:rPr>
            </w:pPr>
          </w:p>
        </w:tc>
        <w:tc>
          <w:tcPr>
            <w:tcW w:w="100" w:type="dxa"/>
            <w:vAlign w:val="bottom"/>
            <w:tcBorders>
              <w:right w:val="single" w:sz="8" w:color="FDFDFC"/>
            </w:tcBorders>
            <w:shd w:val="clear" w:color="auto" w:fill="FDFDFC"/>
          </w:tcPr>
          <w:p>
            <w:pPr>
              <w:spacing w:after="0"/>
              <w:rPr>
                <w:sz w:val="18"/>
                <w:szCs w:val="18"/>
                <w:color w:val="auto"/>
              </w:rPr>
            </w:pPr>
          </w:p>
        </w:tc>
        <w:tc>
          <w:tcPr>
            <w:tcW w:w="120" w:type="dxa"/>
            <w:vAlign w:val="bottom"/>
            <w:tcBorders>
              <w:left w:val="single" w:sz="8" w:color="FDFDFC"/>
            </w:tcBorders>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68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8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0" w:type="dxa"/>
            <w:vAlign w:val="bottom"/>
            <w:tcBorders>
              <w:left w:val="single" w:sz="8" w:color="FDFDFC"/>
            </w:tcBorders>
            <w:shd w:val="clear" w:color="auto" w:fill="FDFDFC"/>
          </w:tcPr>
          <w:p>
            <w:pPr>
              <w:spacing w:after="0"/>
              <w:rPr>
                <w:sz w:val="18"/>
                <w:szCs w:val="18"/>
                <w:color w:val="auto"/>
              </w:rPr>
            </w:pPr>
          </w:p>
        </w:tc>
        <w:tc>
          <w:tcPr>
            <w:tcW w:w="1080" w:type="dxa"/>
            <w:vAlign w:val="bottom"/>
            <w:shd w:val="clear" w:color="auto" w:fill="FDFDFC"/>
          </w:tcPr>
          <w:p>
            <w:pPr>
              <w:spacing w:after="0"/>
              <w:rPr>
                <w:sz w:val="18"/>
                <w:szCs w:val="18"/>
                <w:color w:val="auto"/>
              </w:rPr>
            </w:pPr>
          </w:p>
        </w:tc>
        <w:tc>
          <w:tcPr>
            <w:tcW w:w="2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0" w:type="dxa"/>
            <w:vAlign w:val="bottom"/>
            <w:gridSpan w:val="2"/>
            <w:shd w:val="clear" w:color="auto" w:fill="D0EBF2"/>
          </w:tcPr>
          <w:p>
            <w:pPr>
              <w:ind w:left="260"/>
              <w:spacing w:after="0" w:line="217" w:lineRule="exact"/>
              <w:rPr>
                <w:sz w:val="20"/>
                <w:szCs w:val="20"/>
                <w:color w:val="auto"/>
              </w:rPr>
            </w:pPr>
            <w:r>
              <w:rPr>
                <w:rFonts w:ascii="Arial" w:cs="Arial" w:eastAsia="Arial" w:hAnsi="Arial"/>
                <w:sz w:val="19"/>
                <w:szCs w:val="19"/>
                <w:color w:val="231F20"/>
              </w:rPr>
              <w:t>Pass-through cost for printing and mailing</w:t>
            </w:r>
          </w:p>
        </w:tc>
        <w:tc>
          <w:tcPr>
            <w:tcW w:w="100" w:type="dxa"/>
            <w:vAlign w:val="bottom"/>
            <w:tcBorders>
              <w:right w:val="single" w:sz="8" w:color="D0EBF2"/>
            </w:tcBorders>
            <w:shd w:val="clear" w:color="auto" w:fill="D0EBF2"/>
          </w:tcPr>
          <w:p>
            <w:pPr>
              <w:spacing w:after="0"/>
              <w:rPr>
                <w:sz w:val="18"/>
                <w:szCs w:val="18"/>
                <w:color w:val="auto"/>
              </w:rPr>
            </w:pPr>
          </w:p>
        </w:tc>
        <w:tc>
          <w:tcPr>
            <w:tcW w:w="120" w:type="dxa"/>
            <w:vAlign w:val="bottom"/>
            <w:tcBorders>
              <w:left w:val="single" w:sz="8" w:color="D0EBF2"/>
            </w:tcBorders>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20" w:type="dxa"/>
            <w:vAlign w:val="bottom"/>
            <w:gridSpan w:val="4"/>
            <w:shd w:val="clear" w:color="auto" w:fill="D0EBF2"/>
          </w:tcPr>
          <w:p>
            <w:pPr>
              <w:jc w:val="right"/>
              <w:ind w:right="340"/>
              <w:spacing w:after="0" w:line="217" w:lineRule="exact"/>
              <w:rPr>
                <w:sz w:val="20"/>
                <w:szCs w:val="20"/>
                <w:color w:val="auto"/>
              </w:rPr>
            </w:pPr>
            <w:r>
              <w:rPr>
                <w:rFonts w:ascii="Arial" w:cs="Arial" w:eastAsia="Arial" w:hAnsi="Arial"/>
                <w:sz w:val="19"/>
                <w:szCs w:val="19"/>
                <w:color w:val="231F20"/>
              </w:rPr>
              <w:t>—</w:t>
            </w:r>
          </w:p>
        </w:tc>
        <w:tc>
          <w:tcPr>
            <w:tcW w:w="8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900" w:type="dxa"/>
            <w:vAlign w:val="bottom"/>
            <w:gridSpan w:val="2"/>
            <w:shd w:val="clear" w:color="auto" w:fill="D0EBF2"/>
          </w:tcPr>
          <w:p>
            <w:pPr>
              <w:jc w:val="right"/>
              <w:ind w:right="40"/>
              <w:spacing w:after="0" w:line="217" w:lineRule="exact"/>
              <w:rPr>
                <w:sz w:val="20"/>
                <w:szCs w:val="20"/>
                <w:color w:val="auto"/>
              </w:rPr>
            </w:pPr>
            <w:r>
              <w:rPr>
                <w:rFonts w:ascii="Arial" w:cs="Arial" w:eastAsia="Arial" w:hAnsi="Arial"/>
                <w:sz w:val="19"/>
                <w:szCs w:val="19"/>
                <w:color w:val="231F20"/>
              </w:rPr>
              <w:t>(20.4)</w:t>
            </w:r>
          </w:p>
        </w:tc>
        <w:tc>
          <w:tcPr>
            <w:tcW w:w="180" w:type="dxa"/>
            <w:vAlign w:val="bottom"/>
            <w:shd w:val="clear" w:color="auto" w:fill="D0EBF2"/>
          </w:tcPr>
          <w:p>
            <w:pPr>
              <w:spacing w:after="0"/>
              <w:rPr>
                <w:sz w:val="18"/>
                <w:szCs w:val="18"/>
                <w:color w:val="auto"/>
              </w:rPr>
            </w:pPr>
          </w:p>
        </w:tc>
        <w:tc>
          <w:tcPr>
            <w:tcW w:w="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0" w:type="dxa"/>
            <w:vAlign w:val="bottom"/>
            <w:tcBorders>
              <w:left w:val="single" w:sz="8" w:color="D0EBF2"/>
            </w:tcBorders>
            <w:shd w:val="clear" w:color="auto" w:fill="D0EBF2"/>
          </w:tcPr>
          <w:p>
            <w:pPr>
              <w:spacing w:after="0"/>
              <w:rPr>
                <w:sz w:val="18"/>
                <w:szCs w:val="18"/>
                <w:color w:val="auto"/>
              </w:rPr>
            </w:pPr>
          </w:p>
        </w:tc>
        <w:tc>
          <w:tcPr>
            <w:tcW w:w="1280" w:type="dxa"/>
            <w:vAlign w:val="bottom"/>
            <w:gridSpan w:val="2"/>
            <w:shd w:val="clear" w:color="auto" w:fill="D0EBF2"/>
          </w:tcPr>
          <w:p>
            <w:pPr>
              <w:jc w:val="right"/>
              <w:ind w:right="120"/>
              <w:spacing w:after="0" w:line="217" w:lineRule="exact"/>
              <w:rPr>
                <w:sz w:val="20"/>
                <w:szCs w:val="20"/>
                <w:color w:val="auto"/>
              </w:rPr>
            </w:pPr>
            <w:r>
              <w:rPr>
                <w:rFonts w:ascii="Arial" w:cs="Arial" w:eastAsia="Arial" w:hAnsi="Arial"/>
                <w:sz w:val="19"/>
                <w:szCs w:val="19"/>
                <w:color w:val="231F20"/>
              </w:rPr>
              <w:t>(20.4)</w:t>
            </w:r>
          </w:p>
        </w:tc>
        <w:tc>
          <w:tcPr>
            <w:tcW w:w="0" w:type="dxa"/>
            <w:vAlign w:val="bottom"/>
          </w:tcPr>
          <w:p>
            <w:pPr>
              <w:spacing w:after="0"/>
              <w:rPr>
                <w:sz w:val="1"/>
                <w:szCs w:val="1"/>
                <w:color w:val="auto"/>
              </w:rPr>
            </w:pPr>
          </w:p>
        </w:tc>
      </w:tr>
      <w:tr>
        <w:trPr>
          <w:trHeight w:val="217"/>
        </w:trPr>
        <w:tc>
          <w:tcPr>
            <w:tcW w:w="5800" w:type="dxa"/>
            <w:vAlign w:val="bottom"/>
            <w:gridSpan w:val="2"/>
            <w:shd w:val="clear" w:color="auto" w:fill="FDFDFC"/>
          </w:tcPr>
          <w:p>
            <w:pPr>
              <w:ind w:left="260"/>
              <w:spacing w:after="0" w:line="217" w:lineRule="exact"/>
              <w:rPr>
                <w:sz w:val="20"/>
                <w:szCs w:val="20"/>
                <w:color w:val="auto"/>
              </w:rPr>
            </w:pPr>
            <w:r>
              <w:rPr>
                <w:rFonts w:ascii="Arial" w:cs="Arial" w:eastAsia="Arial" w:hAnsi="Arial"/>
                <w:sz w:val="19"/>
                <w:szCs w:val="19"/>
                <w:color w:val="231F20"/>
              </w:rPr>
              <w:t>Marketing fees</w:t>
            </w:r>
          </w:p>
        </w:tc>
        <w:tc>
          <w:tcPr>
            <w:tcW w:w="100" w:type="dxa"/>
            <w:vAlign w:val="bottom"/>
            <w:tcBorders>
              <w:right w:val="single" w:sz="8" w:color="FDFDFC"/>
            </w:tcBorders>
            <w:shd w:val="clear" w:color="auto" w:fill="FDFDFC"/>
          </w:tcPr>
          <w:p>
            <w:pPr>
              <w:spacing w:after="0"/>
              <w:rPr>
                <w:sz w:val="18"/>
                <w:szCs w:val="18"/>
                <w:color w:val="auto"/>
              </w:rPr>
            </w:pPr>
          </w:p>
        </w:tc>
        <w:tc>
          <w:tcPr>
            <w:tcW w:w="120" w:type="dxa"/>
            <w:vAlign w:val="bottom"/>
            <w:tcBorders>
              <w:left w:val="single" w:sz="8" w:color="FDFDFC"/>
            </w:tcBorders>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760" w:type="dxa"/>
            <w:vAlign w:val="bottom"/>
            <w:gridSpan w:val="2"/>
            <w:shd w:val="clear" w:color="auto" w:fill="FDFDFC"/>
          </w:tcPr>
          <w:p>
            <w:pPr>
              <w:jc w:val="right"/>
              <w:ind w:right="20"/>
              <w:spacing w:after="0" w:line="217" w:lineRule="exact"/>
              <w:rPr>
                <w:sz w:val="20"/>
                <w:szCs w:val="20"/>
                <w:color w:val="auto"/>
              </w:rPr>
            </w:pPr>
            <w:r>
              <w:rPr>
                <w:rFonts w:ascii="Arial" w:cs="Arial" w:eastAsia="Arial" w:hAnsi="Arial"/>
                <w:sz w:val="19"/>
                <w:szCs w:val="19"/>
                <w:color w:val="231F20"/>
              </w:rPr>
              <w:t>(1.9)</w:t>
            </w:r>
          </w:p>
        </w:tc>
        <w:tc>
          <w:tcPr>
            <w:tcW w:w="18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80" w:type="dxa"/>
            <w:vAlign w:val="bottom"/>
            <w:gridSpan w:val="3"/>
            <w:shd w:val="clear" w:color="auto" w:fill="FDFDFC"/>
          </w:tcPr>
          <w:p>
            <w:pPr>
              <w:jc w:val="right"/>
              <w:ind w:right="280"/>
              <w:spacing w:after="0" w:line="217" w:lineRule="exact"/>
              <w:rPr>
                <w:sz w:val="20"/>
                <w:szCs w:val="20"/>
                <w:color w:val="auto"/>
              </w:rPr>
            </w:pPr>
            <w:r>
              <w:rPr>
                <w:rFonts w:ascii="Arial" w:cs="Arial" w:eastAsia="Arial" w:hAnsi="Arial"/>
                <w:sz w:val="19"/>
                <w:szCs w:val="19"/>
                <w:color w:val="231F20"/>
              </w:rPr>
              <w:t>—</w:t>
            </w:r>
          </w:p>
        </w:tc>
        <w:tc>
          <w:tcPr>
            <w:tcW w:w="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0" w:type="dxa"/>
            <w:vAlign w:val="bottom"/>
            <w:tcBorders>
              <w:left w:val="single" w:sz="8" w:color="FDFDFC"/>
            </w:tcBorders>
            <w:shd w:val="clear" w:color="auto" w:fill="FDFDFC"/>
          </w:tcPr>
          <w:p>
            <w:pPr>
              <w:spacing w:after="0"/>
              <w:rPr>
                <w:sz w:val="18"/>
                <w:szCs w:val="18"/>
                <w:color w:val="auto"/>
              </w:rPr>
            </w:pPr>
          </w:p>
        </w:tc>
        <w:tc>
          <w:tcPr>
            <w:tcW w:w="1280" w:type="dxa"/>
            <w:vAlign w:val="bottom"/>
            <w:gridSpan w:val="2"/>
            <w:shd w:val="clear" w:color="auto" w:fill="FDFDFC"/>
          </w:tcPr>
          <w:p>
            <w:pPr>
              <w:jc w:val="right"/>
              <w:ind w:right="120"/>
              <w:spacing w:after="0" w:line="217" w:lineRule="exact"/>
              <w:rPr>
                <w:sz w:val="20"/>
                <w:szCs w:val="20"/>
                <w:color w:val="auto"/>
              </w:rPr>
            </w:pPr>
            <w:r>
              <w:rPr>
                <w:rFonts w:ascii="Arial" w:cs="Arial" w:eastAsia="Arial" w:hAnsi="Arial"/>
                <w:sz w:val="19"/>
                <w:szCs w:val="19"/>
                <w:color w:val="231F20"/>
              </w:rPr>
              <w:t>(1.9)</w:t>
            </w:r>
          </w:p>
        </w:tc>
        <w:tc>
          <w:tcPr>
            <w:tcW w:w="0" w:type="dxa"/>
            <w:vAlign w:val="bottom"/>
          </w:tcPr>
          <w:p>
            <w:pPr>
              <w:spacing w:after="0"/>
              <w:rPr>
                <w:sz w:val="1"/>
                <w:szCs w:val="1"/>
                <w:color w:val="auto"/>
              </w:rPr>
            </w:pPr>
          </w:p>
        </w:tc>
      </w:tr>
      <w:tr>
        <w:trPr>
          <w:trHeight w:val="247"/>
        </w:trPr>
        <w:tc>
          <w:tcPr>
            <w:tcW w:w="5800" w:type="dxa"/>
            <w:vAlign w:val="bottom"/>
            <w:tcBorders>
              <w:top w:val="single" w:sz="8" w:color="D0EBF2"/>
              <w:bottom w:val="single" w:sz="8" w:color="FDFDFC"/>
            </w:tcBorders>
            <w:gridSpan w:val="2"/>
            <w:shd w:val="clear" w:color="auto" w:fill="D0EBF2"/>
          </w:tcPr>
          <w:p>
            <w:pPr>
              <w:spacing w:after="0" w:line="207" w:lineRule="exact"/>
              <w:rPr>
                <w:sz w:val="20"/>
                <w:szCs w:val="20"/>
                <w:color w:val="auto"/>
              </w:rPr>
            </w:pPr>
            <w:r>
              <w:rPr>
                <w:rFonts w:ascii="Arial" w:cs="Arial" w:eastAsia="Arial" w:hAnsi="Arial"/>
                <w:sz w:val="19"/>
                <w:szCs w:val="19"/>
                <w:color w:val="231F20"/>
              </w:rPr>
              <w:t>Revenue Less Ancillary Services</w:t>
            </w:r>
          </w:p>
        </w:tc>
        <w:tc>
          <w:tcPr>
            <w:tcW w:w="100" w:type="dxa"/>
            <w:vAlign w:val="bottom"/>
            <w:tcBorders>
              <w:top w:val="single" w:sz="8" w:color="D0EBF2"/>
              <w:bottom w:val="single" w:sz="8" w:color="FDFDFC"/>
              <w:right w:val="single" w:sz="8" w:color="D0EBF2"/>
            </w:tcBorders>
            <w:shd w:val="clear" w:color="auto" w:fill="D0EBF2"/>
          </w:tcPr>
          <w:p>
            <w:pPr>
              <w:spacing w:after="0"/>
              <w:rPr>
                <w:sz w:val="21"/>
                <w:szCs w:val="21"/>
                <w:color w:val="auto"/>
              </w:rPr>
            </w:pPr>
          </w:p>
        </w:tc>
        <w:tc>
          <w:tcPr>
            <w:tcW w:w="120" w:type="dxa"/>
            <w:vAlign w:val="bottom"/>
            <w:tcBorders>
              <w:top w:val="single" w:sz="8" w:color="231F20"/>
              <w:left w:val="single" w:sz="8" w:color="D0EBF2"/>
              <w:bottom w:val="single" w:sz="8" w:color="231F20"/>
            </w:tcBorders>
            <w:shd w:val="clear" w:color="auto" w:fill="D0EBF2"/>
          </w:tcPr>
          <w:p>
            <w:pPr>
              <w:jc w:val="right"/>
              <w:spacing w:after="0"/>
              <w:rPr>
                <w:sz w:val="20"/>
                <w:szCs w:val="20"/>
                <w:color w:val="auto"/>
              </w:rPr>
            </w:pPr>
            <w:r>
              <w:rPr>
                <w:rFonts w:ascii="Arial" w:cs="Arial" w:eastAsia="Arial" w:hAnsi="Arial"/>
                <w:sz w:val="15"/>
                <w:szCs w:val="15"/>
                <w:color w:val="231F20"/>
                <w:w w:val="71"/>
              </w:rPr>
              <w:t>$</w:t>
            </w:r>
          </w:p>
        </w:tc>
        <w:tc>
          <w:tcPr>
            <w:tcW w:w="260" w:type="dxa"/>
            <w:vAlign w:val="bottom"/>
            <w:tcBorders>
              <w:top w:val="single" w:sz="8" w:color="231F20"/>
              <w:bottom w:val="single" w:sz="8" w:color="231F20"/>
            </w:tcBorders>
            <w:shd w:val="clear" w:color="auto" w:fill="D0EBF2"/>
          </w:tcPr>
          <w:p>
            <w:pPr>
              <w:spacing w:after="0"/>
              <w:rPr>
                <w:sz w:val="21"/>
                <w:szCs w:val="21"/>
                <w:color w:val="auto"/>
              </w:rPr>
            </w:pPr>
          </w:p>
        </w:tc>
        <w:tc>
          <w:tcPr>
            <w:tcW w:w="68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222.3</w:t>
            </w:r>
          </w:p>
        </w:tc>
        <w:tc>
          <w:tcPr>
            <w:tcW w:w="80" w:type="dxa"/>
            <w:vAlign w:val="bottom"/>
            <w:tcBorders>
              <w:top w:val="single" w:sz="8" w:color="D0EBF2"/>
            </w:tcBorders>
            <w:shd w:val="clear" w:color="auto" w:fill="D0EBF2"/>
          </w:tcPr>
          <w:p>
            <w:pPr>
              <w:spacing w:after="0"/>
              <w:rPr>
                <w:sz w:val="21"/>
                <w:szCs w:val="21"/>
                <w:color w:val="auto"/>
              </w:rPr>
            </w:pPr>
          </w:p>
        </w:tc>
        <w:tc>
          <w:tcPr>
            <w:tcW w:w="180" w:type="dxa"/>
            <w:vAlign w:val="bottom"/>
            <w:tcBorders>
              <w:top w:val="single" w:sz="8" w:color="D0EBF2"/>
            </w:tcBorders>
            <w:shd w:val="clear" w:color="auto" w:fill="D0EBF2"/>
          </w:tcPr>
          <w:p>
            <w:pPr>
              <w:spacing w:after="0"/>
              <w:rPr>
                <w:sz w:val="21"/>
                <w:szCs w:val="21"/>
                <w:color w:val="auto"/>
              </w:rPr>
            </w:pPr>
          </w:p>
        </w:tc>
        <w:tc>
          <w:tcPr>
            <w:tcW w:w="80" w:type="dxa"/>
            <w:vAlign w:val="bottom"/>
            <w:tcBorders>
              <w:top w:val="single" w:sz="8" w:color="D0EBF2"/>
            </w:tcBorders>
            <w:shd w:val="clear" w:color="auto" w:fill="D0EBF2"/>
          </w:tcPr>
          <w:p>
            <w:pPr>
              <w:spacing w:after="0"/>
              <w:rPr>
                <w:sz w:val="21"/>
                <w:szCs w:val="21"/>
                <w:color w:val="auto"/>
              </w:rPr>
            </w:pPr>
          </w:p>
        </w:tc>
        <w:tc>
          <w:tcPr>
            <w:tcW w:w="160" w:type="dxa"/>
            <w:vAlign w:val="bottom"/>
            <w:tcBorders>
              <w:top w:val="single" w:sz="8" w:color="231F20"/>
              <w:bottom w:val="single" w:sz="8" w:color="231F20"/>
            </w:tcBorders>
            <w:gridSpan w:val="2"/>
            <w:shd w:val="clear" w:color="auto" w:fill="D0EBF2"/>
          </w:tcPr>
          <w:p>
            <w:pPr>
              <w:jc w:val="center"/>
              <w:spacing w:after="0" w:line="207" w:lineRule="exact"/>
              <w:rPr>
                <w:sz w:val="20"/>
                <w:szCs w:val="20"/>
                <w:color w:val="auto"/>
              </w:rPr>
            </w:pPr>
            <w:r>
              <w:rPr>
                <w:rFonts w:ascii="Arial" w:cs="Arial" w:eastAsia="Arial" w:hAnsi="Arial"/>
                <w:sz w:val="19"/>
                <w:szCs w:val="19"/>
                <w:color w:val="231F20"/>
                <w:w w:val="94"/>
              </w:rPr>
              <w:t>$</w:t>
            </w:r>
          </w:p>
        </w:tc>
        <w:tc>
          <w:tcPr>
            <w:tcW w:w="120" w:type="dxa"/>
            <w:vAlign w:val="bottom"/>
            <w:tcBorders>
              <w:top w:val="single" w:sz="8" w:color="231F20"/>
              <w:bottom w:val="single" w:sz="8" w:color="231F20"/>
            </w:tcBorders>
            <w:shd w:val="clear" w:color="auto" w:fill="D0EBF2"/>
          </w:tcPr>
          <w:p>
            <w:pPr>
              <w:spacing w:after="0"/>
              <w:rPr>
                <w:sz w:val="21"/>
                <w:szCs w:val="21"/>
                <w:color w:val="auto"/>
              </w:rPr>
            </w:pPr>
          </w:p>
        </w:tc>
        <w:tc>
          <w:tcPr>
            <w:tcW w:w="80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44.8</w:t>
            </w:r>
          </w:p>
        </w:tc>
        <w:tc>
          <w:tcPr>
            <w:tcW w:w="100" w:type="dxa"/>
            <w:vAlign w:val="bottom"/>
            <w:tcBorders>
              <w:top w:val="single" w:sz="8" w:color="D0EBF2"/>
            </w:tcBorders>
            <w:shd w:val="clear" w:color="auto" w:fill="D0EBF2"/>
          </w:tcPr>
          <w:p>
            <w:pPr>
              <w:spacing w:after="0"/>
              <w:rPr>
                <w:sz w:val="21"/>
                <w:szCs w:val="21"/>
                <w:color w:val="auto"/>
              </w:rPr>
            </w:pPr>
          </w:p>
        </w:tc>
        <w:tc>
          <w:tcPr>
            <w:tcW w:w="180" w:type="dxa"/>
            <w:vAlign w:val="bottom"/>
            <w:tcBorders>
              <w:top w:val="single" w:sz="8" w:color="D0EBF2"/>
            </w:tcBorders>
            <w:shd w:val="clear" w:color="auto" w:fill="D0EBF2"/>
          </w:tcPr>
          <w:p>
            <w:pPr>
              <w:spacing w:after="0"/>
              <w:rPr>
                <w:sz w:val="21"/>
                <w:szCs w:val="21"/>
                <w:color w:val="auto"/>
              </w:rPr>
            </w:pPr>
          </w:p>
        </w:tc>
        <w:tc>
          <w:tcPr>
            <w:tcW w:w="40" w:type="dxa"/>
            <w:vAlign w:val="bottom"/>
            <w:tcBorders>
              <w:top w:val="single" w:sz="8" w:color="D0EBF2"/>
            </w:tcBorders>
            <w:shd w:val="clear" w:color="auto" w:fill="D0EBF2"/>
          </w:tcPr>
          <w:p>
            <w:pPr>
              <w:spacing w:after="0"/>
              <w:rPr>
                <w:sz w:val="21"/>
                <w:szCs w:val="21"/>
                <w:color w:val="auto"/>
              </w:rPr>
            </w:pPr>
          </w:p>
        </w:tc>
        <w:tc>
          <w:tcPr>
            <w:tcW w:w="10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w w:val="94"/>
                <w:shd w:val="clear" w:color="auto" w:fill="D0EBF2"/>
              </w:rPr>
              <w:t>$</w:t>
            </w:r>
          </w:p>
        </w:tc>
        <w:tc>
          <w:tcPr>
            <w:tcW w:w="120" w:type="dxa"/>
            <w:vAlign w:val="bottom"/>
            <w:tcBorders>
              <w:top w:val="single" w:sz="8" w:color="231F20"/>
              <w:left w:val="single" w:sz="8" w:color="D0EBF2"/>
              <w:bottom w:val="single" w:sz="8" w:color="231F20"/>
            </w:tcBorders>
            <w:shd w:val="clear" w:color="auto" w:fill="D0EBF2"/>
          </w:tcPr>
          <w:p>
            <w:pPr>
              <w:spacing w:after="0"/>
              <w:rPr>
                <w:sz w:val="21"/>
                <w:szCs w:val="21"/>
                <w:color w:val="auto"/>
              </w:rPr>
            </w:pPr>
          </w:p>
        </w:tc>
        <w:tc>
          <w:tcPr>
            <w:tcW w:w="108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267.1</w:t>
            </w:r>
          </w:p>
        </w:tc>
        <w:tc>
          <w:tcPr>
            <w:tcW w:w="200" w:type="dxa"/>
            <w:vAlign w:val="bottom"/>
            <w:tcBorders>
              <w:top w:val="single" w:sz="8" w:color="D0EBF2"/>
            </w:tcBorders>
            <w:shd w:val="clear" w:color="auto" w:fill="D0EBF2"/>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800" w:type="dxa"/>
            <w:vAlign w:val="bottom"/>
            <w:gridSpan w:val="2"/>
            <w:shd w:val="clear" w:color="auto" w:fill="FDFDFC"/>
          </w:tcPr>
          <w:p>
            <w:pPr>
              <w:spacing w:after="0" w:line="200" w:lineRule="exact"/>
              <w:rPr>
                <w:sz w:val="20"/>
                <w:szCs w:val="20"/>
                <w:color w:val="auto"/>
              </w:rPr>
            </w:pPr>
            <w:r>
              <w:rPr>
                <w:rFonts w:ascii="Arial" w:cs="Arial" w:eastAsia="Arial" w:hAnsi="Arial"/>
                <w:sz w:val="19"/>
                <w:szCs w:val="19"/>
                <w:color w:val="231F20"/>
              </w:rPr>
              <w:t>Percentage of Revenue</w:t>
            </w:r>
          </w:p>
        </w:tc>
        <w:tc>
          <w:tcPr>
            <w:tcW w:w="100" w:type="dxa"/>
            <w:vAlign w:val="bottom"/>
            <w:tcBorders>
              <w:right w:val="single" w:sz="8" w:color="FDFDFC"/>
            </w:tcBorders>
            <w:shd w:val="clear" w:color="auto" w:fill="FDFDFC"/>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3"/>
          </w:tcPr>
          <w:p>
            <w:pPr>
              <w:jc w:val="right"/>
              <w:ind w:right="80"/>
              <w:spacing w:after="0" w:line="200" w:lineRule="exact"/>
              <w:rPr>
                <w:sz w:val="20"/>
                <w:szCs w:val="20"/>
                <w:color w:val="auto"/>
              </w:rPr>
            </w:pPr>
            <w:r>
              <w:rPr>
                <w:rFonts w:ascii="Arial" w:cs="Arial" w:eastAsia="Arial" w:hAnsi="Arial"/>
                <w:sz w:val="19"/>
                <w:szCs w:val="19"/>
                <w:color w:val="231F20"/>
              </w:rPr>
              <w:t>77.5%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120"/>
              <w:spacing w:after="0" w:line="200" w:lineRule="exact"/>
              <w:rPr>
                <w:sz w:val="20"/>
                <w:szCs w:val="20"/>
                <w:color w:val="auto"/>
              </w:rPr>
            </w:pPr>
            <w:r>
              <w:rPr>
                <w:rFonts w:ascii="Arial" w:cs="Arial" w:eastAsia="Arial" w:hAnsi="Arial"/>
                <w:sz w:val="19"/>
                <w:szCs w:val="19"/>
                <w:color w:val="231F20"/>
              </w:rPr>
              <w:t>22.5%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0"/>
              <w:spacing w:after="0" w:line="200" w:lineRule="exact"/>
              <w:rPr>
                <w:sz w:val="20"/>
                <w:szCs w:val="20"/>
                <w:color w:val="auto"/>
              </w:rPr>
            </w:pPr>
            <w:r>
              <w:rPr>
                <w:rFonts w:ascii="Arial" w:cs="Arial" w:eastAsia="Arial" w:hAnsi="Arial"/>
                <w:sz w:val="19"/>
                <w:szCs w:val="19"/>
                <w:color w:val="231F20"/>
              </w:rPr>
              <w:t>100.0%</w:t>
            </w:r>
          </w:p>
        </w:tc>
        <w:tc>
          <w:tcPr>
            <w:tcW w:w="0" w:type="dxa"/>
            <w:vAlign w:val="bottom"/>
          </w:tcPr>
          <w:p>
            <w:pPr>
              <w:spacing w:after="0"/>
              <w:rPr>
                <w:sz w:val="1"/>
                <w:szCs w:val="1"/>
                <w:color w:val="auto"/>
              </w:rPr>
            </w:pPr>
          </w:p>
        </w:tc>
      </w:tr>
      <w:tr>
        <w:trPr>
          <w:trHeight w:val="217"/>
        </w:trPr>
        <w:tc>
          <w:tcPr>
            <w:tcW w:w="5800" w:type="dxa"/>
            <w:vAlign w:val="bottom"/>
            <w:gridSpan w:val="2"/>
            <w:shd w:val="clear" w:color="auto" w:fill="D0EBF2"/>
          </w:tcPr>
          <w:p>
            <w:pPr>
              <w:spacing w:after="0" w:line="217" w:lineRule="exact"/>
              <w:rPr>
                <w:sz w:val="20"/>
                <w:szCs w:val="20"/>
                <w:color w:val="auto"/>
              </w:rPr>
            </w:pPr>
            <w:r>
              <w:rPr>
                <w:rFonts w:ascii="Arial" w:cs="Arial" w:eastAsia="Arial" w:hAnsi="Arial"/>
                <w:sz w:val="19"/>
                <w:szCs w:val="19"/>
                <w:color w:val="231F20"/>
              </w:rPr>
              <w:t>Percentage of Revenue Less Ancillary Services</w:t>
            </w:r>
          </w:p>
        </w:tc>
        <w:tc>
          <w:tcPr>
            <w:tcW w:w="100" w:type="dxa"/>
            <w:vAlign w:val="bottom"/>
            <w:tcBorders>
              <w:right w:val="single" w:sz="8" w:color="D0EBF2"/>
            </w:tcBorders>
            <w:shd w:val="clear" w:color="auto" w:fill="D0EBF2"/>
          </w:tcPr>
          <w:p>
            <w:pPr>
              <w:spacing w:after="0"/>
              <w:rPr>
                <w:sz w:val="18"/>
                <w:szCs w:val="18"/>
                <w:color w:val="auto"/>
              </w:rPr>
            </w:pPr>
          </w:p>
        </w:tc>
        <w:tc>
          <w:tcPr>
            <w:tcW w:w="120" w:type="dxa"/>
            <w:vAlign w:val="bottom"/>
            <w:tcBorders>
              <w:left w:val="single" w:sz="8" w:color="D0EBF2"/>
            </w:tcBorders>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gridSpan w:val="3"/>
            <w:shd w:val="clear" w:color="auto" w:fill="D0EBF2"/>
          </w:tcPr>
          <w:p>
            <w:pPr>
              <w:jc w:val="right"/>
              <w:ind w:right="80"/>
              <w:spacing w:after="0" w:line="217" w:lineRule="exact"/>
              <w:rPr>
                <w:sz w:val="20"/>
                <w:szCs w:val="20"/>
                <w:color w:val="auto"/>
              </w:rPr>
            </w:pPr>
            <w:r>
              <w:rPr>
                <w:rFonts w:ascii="Arial" w:cs="Arial" w:eastAsia="Arial" w:hAnsi="Arial"/>
                <w:sz w:val="19"/>
                <w:szCs w:val="19"/>
                <w:color w:val="231F20"/>
              </w:rPr>
              <w:t>83.2%</w:t>
            </w:r>
          </w:p>
        </w:tc>
        <w:tc>
          <w:tcPr>
            <w:tcW w:w="8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80" w:type="dxa"/>
            <w:vAlign w:val="bottom"/>
            <w:gridSpan w:val="3"/>
            <w:shd w:val="clear" w:color="auto" w:fill="D0EBF2"/>
          </w:tcPr>
          <w:p>
            <w:pPr>
              <w:jc w:val="right"/>
              <w:ind w:right="120"/>
              <w:spacing w:after="0" w:line="217" w:lineRule="exact"/>
              <w:rPr>
                <w:sz w:val="20"/>
                <w:szCs w:val="20"/>
                <w:color w:val="auto"/>
              </w:rPr>
            </w:pPr>
            <w:r>
              <w:rPr>
                <w:rFonts w:ascii="Arial" w:cs="Arial" w:eastAsia="Arial" w:hAnsi="Arial"/>
                <w:sz w:val="19"/>
                <w:szCs w:val="19"/>
                <w:color w:val="231F20"/>
              </w:rPr>
              <w:t>16.8%</w:t>
            </w:r>
          </w:p>
        </w:tc>
        <w:tc>
          <w:tcPr>
            <w:tcW w:w="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0" w:type="dxa"/>
            <w:vAlign w:val="bottom"/>
            <w:tcBorders>
              <w:left w:val="single" w:sz="8" w:color="D0EBF2"/>
            </w:tcBorders>
            <w:shd w:val="clear" w:color="auto" w:fill="D0EBF2"/>
          </w:tcPr>
          <w:p>
            <w:pPr>
              <w:spacing w:after="0"/>
              <w:rPr>
                <w:sz w:val="18"/>
                <w:szCs w:val="18"/>
                <w:color w:val="auto"/>
              </w:rPr>
            </w:pPr>
          </w:p>
        </w:tc>
        <w:tc>
          <w:tcPr>
            <w:tcW w:w="1280" w:type="dxa"/>
            <w:vAlign w:val="bottom"/>
            <w:gridSpan w:val="2"/>
            <w:shd w:val="clear" w:color="auto" w:fill="D0EBF2"/>
          </w:tcPr>
          <w:p>
            <w:pPr>
              <w:jc w:val="right"/>
              <w:ind w:right="20"/>
              <w:spacing w:after="0" w:line="217" w:lineRule="exact"/>
              <w:rPr>
                <w:sz w:val="20"/>
                <w:szCs w:val="20"/>
                <w:color w:val="auto"/>
              </w:rPr>
            </w:pPr>
            <w:r>
              <w:rPr>
                <w:rFonts w:ascii="Arial" w:cs="Arial" w:eastAsia="Arial" w:hAnsi="Arial"/>
                <w:sz w:val="19"/>
                <w:szCs w:val="19"/>
                <w:color w:val="231F20"/>
              </w:rPr>
              <w:t>100.0%</w:t>
            </w:r>
          </w:p>
        </w:tc>
        <w:tc>
          <w:tcPr>
            <w:tcW w:w="0" w:type="dxa"/>
            <w:vAlign w:val="bottom"/>
          </w:tcPr>
          <w:p>
            <w:pPr>
              <w:spacing w:after="0"/>
              <w:rPr>
                <w:sz w:val="1"/>
                <w:szCs w:val="1"/>
                <w:color w:val="auto"/>
              </w:rPr>
            </w:pPr>
          </w:p>
        </w:tc>
      </w:tr>
      <w:tr>
        <w:trPr>
          <w:trHeight w:val="426"/>
        </w:trPr>
        <w:tc>
          <w:tcPr>
            <w:tcW w:w="5800" w:type="dxa"/>
            <w:vAlign w:val="bottom"/>
            <w:gridSpan w:val="2"/>
          </w:tcPr>
          <w:p>
            <w:pPr>
              <w:spacing w:after="0"/>
              <w:rPr>
                <w:sz w:val="20"/>
                <w:szCs w:val="20"/>
                <w:color w:val="auto"/>
              </w:rPr>
            </w:pPr>
            <w:r>
              <w:rPr>
                <w:rFonts w:ascii="Arial" w:cs="Arial" w:eastAsia="Arial" w:hAnsi="Arial"/>
                <w:sz w:val="19"/>
                <w:szCs w:val="19"/>
                <w:i w:val="1"/>
                <w:iCs w:val="1"/>
                <w:color w:val="231F20"/>
              </w:rPr>
              <w:t>FX Neutral Revenue Less Ancillary Services: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2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4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100" w:type="dxa"/>
            <w:vAlign w:val="bottom"/>
            <w:tcBorders>
              <w:right w:val="single" w:sz="8" w:color="FDFDFC"/>
            </w:tcBorders>
            <w:shd w:val="clear" w:color="auto" w:fill="FDFDFC"/>
          </w:tcPr>
          <w:p>
            <w:pPr>
              <w:spacing w:after="0"/>
              <w:rPr>
                <w:sz w:val="14"/>
                <w:szCs w:val="14"/>
                <w:color w:val="auto"/>
              </w:rPr>
            </w:pPr>
          </w:p>
        </w:tc>
        <w:tc>
          <w:tcPr>
            <w:tcW w:w="120" w:type="dxa"/>
            <w:vAlign w:val="bottom"/>
            <w:tcBorders>
              <w:left w:val="single" w:sz="8" w:color="FDFDFC"/>
            </w:tcBorders>
            <w:shd w:val="clear" w:color="auto" w:fill="FDFDFC"/>
          </w:tcPr>
          <w:p>
            <w:pPr>
              <w:spacing w:after="0"/>
              <w:rPr>
                <w:sz w:val="14"/>
                <w:szCs w:val="14"/>
                <w:color w:val="auto"/>
              </w:rPr>
            </w:pPr>
          </w:p>
        </w:tc>
        <w:tc>
          <w:tcPr>
            <w:tcW w:w="260" w:type="dxa"/>
            <w:vAlign w:val="bottom"/>
            <w:shd w:val="clear" w:color="auto" w:fill="FDFDFC"/>
          </w:tcPr>
          <w:p>
            <w:pPr>
              <w:spacing w:after="0"/>
              <w:rPr>
                <w:sz w:val="14"/>
                <w:szCs w:val="14"/>
                <w:color w:val="auto"/>
              </w:rPr>
            </w:pPr>
          </w:p>
        </w:tc>
        <w:tc>
          <w:tcPr>
            <w:tcW w:w="2380" w:type="dxa"/>
            <w:vAlign w:val="bottom"/>
            <w:gridSpan w:val="10"/>
            <w:shd w:val="clear" w:color="auto" w:fill="FDFDFC"/>
          </w:tcPr>
          <w:p>
            <w:pPr>
              <w:jc w:val="center"/>
              <w:ind w:right="280"/>
              <w:spacing w:after="0" w:line="170" w:lineRule="exact"/>
              <w:rPr>
                <w:sz w:val="20"/>
                <w:szCs w:val="20"/>
                <w:color w:val="auto"/>
              </w:rPr>
            </w:pPr>
            <w:r>
              <w:rPr>
                <w:rFonts w:ascii="Arial" w:cs="Arial" w:eastAsia="Arial" w:hAnsi="Arial"/>
                <w:sz w:val="15"/>
                <w:szCs w:val="15"/>
                <w:b w:val="1"/>
                <w:bCs w:val="1"/>
                <w:color w:val="231F20"/>
                <w:w w:val="99"/>
              </w:rPr>
              <w:t>Year Ended</w:t>
            </w:r>
          </w:p>
        </w:tc>
        <w:tc>
          <w:tcPr>
            <w:tcW w:w="4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20" w:type="dxa"/>
            <w:vAlign w:val="bottom"/>
            <w:tcBorders>
              <w:left w:val="single" w:sz="8" w:color="FDFDFC"/>
            </w:tcBorders>
            <w:shd w:val="clear" w:color="auto" w:fill="FDFDFC"/>
          </w:tcPr>
          <w:p>
            <w:pPr>
              <w:spacing w:after="0"/>
              <w:rPr>
                <w:sz w:val="14"/>
                <w:szCs w:val="14"/>
                <w:color w:val="auto"/>
              </w:rPr>
            </w:pPr>
          </w:p>
        </w:tc>
        <w:tc>
          <w:tcPr>
            <w:tcW w:w="1280" w:type="dxa"/>
            <w:vAlign w:val="bottom"/>
            <w:gridSpan w:val="2"/>
            <w:vMerge w:val="restart"/>
            <w:shd w:val="clear" w:color="auto" w:fill="FDFDFC"/>
          </w:tcPr>
          <w:p>
            <w:pPr>
              <w:jc w:val="right"/>
              <w:ind w:right="320"/>
              <w:spacing w:after="0"/>
              <w:rPr>
                <w:sz w:val="20"/>
                <w:szCs w:val="20"/>
                <w:color w:val="auto"/>
              </w:rPr>
            </w:pPr>
            <w:r>
              <w:rPr>
                <w:rFonts w:ascii="Arial" w:cs="Arial" w:eastAsia="Arial" w:hAnsi="Arial"/>
                <w:sz w:val="15"/>
                <w:szCs w:val="15"/>
                <w:b w:val="1"/>
                <w:bCs w:val="1"/>
                <w:color w:val="231F20"/>
              </w:rPr>
              <w:t>Growth Rate</w:t>
            </w:r>
          </w:p>
        </w:tc>
        <w:tc>
          <w:tcPr>
            <w:tcW w:w="0" w:type="dxa"/>
            <w:vAlign w:val="bottom"/>
          </w:tcPr>
          <w:p>
            <w:pPr>
              <w:spacing w:after="0"/>
              <w:rPr>
                <w:sz w:val="1"/>
                <w:szCs w:val="1"/>
                <w:color w:val="auto"/>
              </w:rPr>
            </w:pPr>
          </w:p>
        </w:tc>
      </w:tr>
      <w:tr>
        <w:trPr>
          <w:trHeight w:val="191"/>
        </w:trPr>
        <w:tc>
          <w:tcPr>
            <w:tcW w:w="5800" w:type="dxa"/>
            <w:vAlign w:val="bottom"/>
            <w:tcBorders>
              <w:bottom w:val="single" w:sz="8" w:color="FDFDFC"/>
            </w:tcBorders>
            <w:gridSpan w:val="2"/>
            <w:vMerge w:val="restart"/>
            <w:shd w:val="clear" w:color="auto" w:fill="FDFDFC"/>
          </w:tcPr>
          <w:p>
            <w:pPr>
              <w:spacing w:after="0"/>
              <w:rPr>
                <w:sz w:val="20"/>
                <w:szCs w:val="20"/>
                <w:color w:val="auto"/>
              </w:rPr>
            </w:pPr>
            <w:r>
              <w:rPr>
                <w:rFonts w:ascii="Arial" w:cs="Arial" w:eastAsia="Arial" w:hAnsi="Arial"/>
                <w:sz w:val="15"/>
                <w:szCs w:val="15"/>
                <w:b w:val="1"/>
                <w:bCs w:val="1"/>
                <w:color w:val="231F20"/>
              </w:rPr>
              <w:t>(dollars in millions)</w:t>
            </w:r>
          </w:p>
        </w:tc>
        <w:tc>
          <w:tcPr>
            <w:tcW w:w="100" w:type="dxa"/>
            <w:vAlign w:val="bottom"/>
            <w:tcBorders>
              <w:bottom w:val="single" w:sz="8" w:color="FDFDFC"/>
              <w:right w:val="single" w:sz="8" w:color="FDFDFC"/>
            </w:tcBorders>
            <w:shd w:val="clear" w:color="auto" w:fill="FDFDFC"/>
          </w:tcPr>
          <w:p>
            <w:pPr>
              <w:spacing w:after="0"/>
              <w:rPr>
                <w:sz w:val="16"/>
                <w:szCs w:val="16"/>
                <w:color w:val="auto"/>
              </w:rPr>
            </w:pPr>
          </w:p>
        </w:tc>
        <w:tc>
          <w:tcPr>
            <w:tcW w:w="120" w:type="dxa"/>
            <w:vAlign w:val="bottom"/>
            <w:tcBorders>
              <w:left w:val="single" w:sz="8" w:color="FDFDFC"/>
              <w:bottom w:val="single" w:sz="8" w:color="FDFDFC"/>
            </w:tcBorders>
            <w:shd w:val="clear" w:color="auto" w:fill="FDFDFC"/>
          </w:tcPr>
          <w:p>
            <w:pPr>
              <w:spacing w:after="0"/>
              <w:rPr>
                <w:sz w:val="16"/>
                <w:szCs w:val="16"/>
                <w:color w:val="auto"/>
              </w:rPr>
            </w:pPr>
          </w:p>
        </w:tc>
        <w:tc>
          <w:tcPr>
            <w:tcW w:w="260" w:type="dxa"/>
            <w:vAlign w:val="bottom"/>
            <w:tcBorders>
              <w:bottom w:val="single" w:sz="8" w:color="231F20"/>
            </w:tcBorders>
            <w:shd w:val="clear" w:color="auto" w:fill="FDFDFC"/>
          </w:tcPr>
          <w:p>
            <w:pPr>
              <w:spacing w:after="0"/>
              <w:rPr>
                <w:sz w:val="16"/>
                <w:szCs w:val="16"/>
                <w:color w:val="auto"/>
              </w:rPr>
            </w:pPr>
          </w:p>
        </w:tc>
        <w:tc>
          <w:tcPr>
            <w:tcW w:w="2380" w:type="dxa"/>
            <w:vAlign w:val="bottom"/>
            <w:tcBorders>
              <w:bottom w:val="single" w:sz="8" w:color="231F20"/>
            </w:tcBorders>
            <w:gridSpan w:val="10"/>
            <w:shd w:val="clear" w:color="auto" w:fill="FDFDFC"/>
          </w:tcPr>
          <w:p>
            <w:pPr>
              <w:jc w:val="center"/>
              <w:ind w:right="280"/>
              <w:spacing w:after="0"/>
              <w:rPr>
                <w:sz w:val="20"/>
                <w:szCs w:val="20"/>
                <w:color w:val="auto"/>
              </w:rPr>
            </w:pPr>
            <w:r>
              <w:rPr>
                <w:rFonts w:ascii="Arial" w:cs="Arial" w:eastAsia="Arial" w:hAnsi="Arial"/>
                <w:sz w:val="15"/>
                <w:szCs w:val="15"/>
                <w:b w:val="1"/>
                <w:bCs w:val="1"/>
                <w:color w:val="231F20"/>
              </w:rPr>
              <w:t>December 31,</w:t>
            </w:r>
          </w:p>
        </w:tc>
        <w:tc>
          <w:tcPr>
            <w:tcW w:w="40" w:type="dxa"/>
            <w:vAlign w:val="bottom"/>
            <w:tcBorders>
              <w:bottom w:val="single" w:sz="8" w:color="FDFDFC"/>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120" w:type="dxa"/>
            <w:vAlign w:val="bottom"/>
            <w:tcBorders>
              <w:left w:val="single" w:sz="8" w:color="FDFDFC"/>
              <w:bottom w:val="single" w:sz="8" w:color="FDFDFC"/>
            </w:tcBorders>
            <w:shd w:val="clear" w:color="auto" w:fill="FDFDFC"/>
          </w:tcPr>
          <w:p>
            <w:pPr>
              <w:spacing w:after="0"/>
              <w:rPr>
                <w:sz w:val="16"/>
                <w:szCs w:val="16"/>
                <w:color w:val="auto"/>
              </w:rPr>
            </w:pPr>
          </w:p>
        </w:tc>
        <w:tc>
          <w:tcPr>
            <w:tcW w:w="1280" w:type="dxa"/>
            <w:vAlign w:val="bottom"/>
            <w:tcBorders>
              <w:bottom w:val="single" w:sz="8" w:color="FDFDFC"/>
            </w:tcBorders>
            <w:gridSpan w:val="2"/>
            <w:vMerge w:val="continue"/>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800" w:type="dxa"/>
            <w:vAlign w:val="bottom"/>
            <w:tcBorders>
              <w:bottom w:val="single" w:sz="8" w:color="231F20"/>
            </w:tcBorders>
            <w:gridSpan w:val="2"/>
            <w:vMerge w:val="continue"/>
            <w:shd w:val="clear" w:color="auto" w:fill="FDFDFC"/>
          </w:tcPr>
          <w:p>
            <w:pPr>
              <w:spacing w:after="0"/>
              <w:rPr>
                <w:sz w:val="15"/>
                <w:szCs w:val="15"/>
                <w:color w:val="auto"/>
              </w:rPr>
            </w:pPr>
          </w:p>
        </w:tc>
        <w:tc>
          <w:tcPr>
            <w:tcW w:w="100" w:type="dxa"/>
            <w:vAlign w:val="bottom"/>
            <w:tcBorders>
              <w:bottom w:val="single" w:sz="8" w:color="231F20"/>
              <w:right w:val="single" w:sz="8" w:color="FDFDFC"/>
            </w:tcBorders>
            <w:shd w:val="clear" w:color="auto" w:fill="FDFDFC"/>
          </w:tcPr>
          <w:p>
            <w:pPr>
              <w:spacing w:after="0"/>
              <w:rPr>
                <w:sz w:val="15"/>
                <w:szCs w:val="15"/>
                <w:color w:val="auto"/>
              </w:rPr>
            </w:pPr>
          </w:p>
        </w:tc>
        <w:tc>
          <w:tcPr>
            <w:tcW w:w="120" w:type="dxa"/>
            <w:vAlign w:val="bottom"/>
            <w:tcBorders>
              <w:left w:val="single" w:sz="8" w:color="FDFDFC"/>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680" w:type="dxa"/>
            <w:vAlign w:val="bottom"/>
            <w:tcBorders>
              <w:bottom w:val="single" w:sz="8" w:color="231F20"/>
            </w:tcBorders>
            <w:shd w:val="clear" w:color="auto" w:fill="FDFDFC"/>
          </w:tcPr>
          <w:p>
            <w:pPr>
              <w:jc w:val="right"/>
              <w:ind w:right="88"/>
              <w:spacing w:after="0"/>
              <w:rPr>
                <w:sz w:val="20"/>
                <w:szCs w:val="20"/>
                <w:color w:val="auto"/>
              </w:rPr>
            </w:pPr>
            <w:r>
              <w:rPr>
                <w:rFonts w:ascii="Arial" w:cs="Arial" w:eastAsia="Arial" w:hAnsi="Arial"/>
                <w:sz w:val="15"/>
                <w:szCs w:val="15"/>
                <w:b w:val="1"/>
                <w:bCs w:val="1"/>
                <w:color w:val="231F20"/>
              </w:rPr>
              <w:t>2024</w:t>
            </w:r>
          </w:p>
        </w:tc>
        <w:tc>
          <w:tcPr>
            <w:tcW w:w="80" w:type="dxa"/>
            <w:vAlign w:val="bottom"/>
            <w:tcBorders>
              <w:bottom w:val="single" w:sz="8" w:color="231F20"/>
            </w:tcBorders>
            <w:shd w:val="clear" w:color="auto" w:fill="FDFDFC"/>
          </w:tcPr>
          <w:p>
            <w:pPr>
              <w:spacing w:after="0"/>
              <w:rPr>
                <w:sz w:val="15"/>
                <w:szCs w:val="15"/>
                <w:color w:val="auto"/>
              </w:rPr>
            </w:pPr>
          </w:p>
        </w:tc>
        <w:tc>
          <w:tcPr>
            <w:tcW w:w="180" w:type="dxa"/>
            <w:vAlign w:val="bottom"/>
            <w:tcBorders>
              <w:bottom w:val="single" w:sz="8" w:color="231F20"/>
            </w:tcBorders>
            <w:shd w:val="clear" w:color="auto" w:fill="FDFDFC"/>
          </w:tcPr>
          <w:p>
            <w:pPr>
              <w:spacing w:after="0"/>
              <w:rPr>
                <w:sz w:val="15"/>
                <w:szCs w:val="15"/>
                <w:color w:val="auto"/>
              </w:rPr>
            </w:pPr>
          </w:p>
        </w:tc>
        <w:tc>
          <w:tcPr>
            <w:tcW w:w="80" w:type="dxa"/>
            <w:vAlign w:val="bottom"/>
            <w:tcBorders>
              <w:bottom w:val="single" w:sz="8" w:color="D0EBF2"/>
            </w:tcBorders>
            <w:shd w:val="clear" w:color="auto" w:fill="FDFDFC"/>
          </w:tcPr>
          <w:p>
            <w:pPr>
              <w:spacing w:after="0"/>
              <w:rPr>
                <w:sz w:val="15"/>
                <w:szCs w:val="15"/>
                <w:color w:val="auto"/>
              </w:rPr>
            </w:pPr>
          </w:p>
        </w:tc>
        <w:tc>
          <w:tcPr>
            <w:tcW w:w="80" w:type="dxa"/>
            <w:vAlign w:val="bottom"/>
            <w:tcBorders>
              <w:bottom w:val="single" w:sz="8" w:color="D0EBF2"/>
            </w:tcBorders>
            <w:shd w:val="clear" w:color="auto" w:fill="FDFDFC"/>
          </w:tcPr>
          <w:p>
            <w:pPr>
              <w:spacing w:after="0"/>
              <w:rPr>
                <w:sz w:val="15"/>
                <w:szCs w:val="15"/>
                <w:color w:val="auto"/>
              </w:rPr>
            </w:pPr>
          </w:p>
        </w:tc>
        <w:tc>
          <w:tcPr>
            <w:tcW w:w="8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800" w:type="dxa"/>
            <w:vAlign w:val="bottom"/>
            <w:tcBorders>
              <w:bottom w:val="single" w:sz="8" w:color="231F20"/>
            </w:tcBorders>
            <w:shd w:val="clear" w:color="auto" w:fill="FDFDFC"/>
          </w:tcPr>
          <w:p>
            <w:pPr>
              <w:jc w:val="right"/>
              <w:ind w:right="69"/>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bottom w:val="single" w:sz="8" w:color="231F20"/>
            </w:tcBorders>
            <w:shd w:val="clear" w:color="auto" w:fill="FDFDFC"/>
          </w:tcPr>
          <w:p>
            <w:pPr>
              <w:spacing w:after="0"/>
              <w:rPr>
                <w:sz w:val="15"/>
                <w:szCs w:val="15"/>
                <w:color w:val="auto"/>
              </w:rPr>
            </w:pPr>
          </w:p>
        </w:tc>
        <w:tc>
          <w:tcPr>
            <w:tcW w:w="180" w:type="dxa"/>
            <w:vAlign w:val="bottom"/>
            <w:tcBorders>
              <w:bottom w:val="single" w:sz="8" w:color="231F20"/>
            </w:tcBorders>
            <w:shd w:val="clear" w:color="auto" w:fill="FDFDFC"/>
          </w:tcPr>
          <w:p>
            <w:pPr>
              <w:spacing w:after="0"/>
              <w:rPr>
                <w:sz w:val="15"/>
                <w:szCs w:val="15"/>
                <w:color w:val="auto"/>
              </w:rPr>
            </w:pPr>
          </w:p>
        </w:tc>
        <w:tc>
          <w:tcPr>
            <w:tcW w:w="4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left w:val="single" w:sz="8" w:color="FDFDFC"/>
              <w:bottom w:val="single" w:sz="8" w:color="231F20"/>
            </w:tcBorders>
            <w:shd w:val="clear" w:color="auto" w:fill="FDFDFC"/>
          </w:tcPr>
          <w:p>
            <w:pPr>
              <w:spacing w:after="0"/>
              <w:rPr>
                <w:sz w:val="15"/>
                <w:szCs w:val="15"/>
                <w:color w:val="auto"/>
              </w:rPr>
            </w:pPr>
          </w:p>
        </w:tc>
        <w:tc>
          <w:tcPr>
            <w:tcW w:w="1080" w:type="dxa"/>
            <w:vAlign w:val="bottom"/>
            <w:tcBorders>
              <w:bottom w:val="single" w:sz="8" w:color="231F20"/>
            </w:tcBorders>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80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Revenue</w:t>
            </w:r>
          </w:p>
        </w:tc>
        <w:tc>
          <w:tcPr>
            <w:tcW w:w="100" w:type="dxa"/>
            <w:vAlign w:val="bottom"/>
            <w:tcBorders>
              <w:right w:val="single" w:sz="8" w:color="D0EBF2"/>
            </w:tcBorders>
            <w:shd w:val="clear" w:color="auto" w:fill="D0EBF2"/>
          </w:tcPr>
          <w:p>
            <w:pPr>
              <w:spacing w:after="0"/>
              <w:rPr>
                <w:sz w:val="19"/>
                <w:szCs w:val="19"/>
                <w:color w:val="auto"/>
              </w:rPr>
            </w:pPr>
          </w:p>
        </w:tc>
        <w:tc>
          <w:tcPr>
            <w:tcW w:w="120" w:type="dxa"/>
            <w:vAlign w:val="bottom"/>
            <w:tcBorders>
              <w:left w:val="single" w:sz="8" w:color="D0EBF2"/>
            </w:tcBorders>
            <w:shd w:val="clear" w:color="auto" w:fill="D0EBF2"/>
          </w:tcPr>
          <w:p>
            <w:pPr>
              <w:spacing w:after="0"/>
              <w:rPr>
                <w:sz w:val="19"/>
                <w:szCs w:val="19"/>
                <w:color w:val="auto"/>
              </w:rPr>
            </w:pPr>
          </w:p>
        </w:tc>
        <w:tc>
          <w:tcPr>
            <w:tcW w:w="260" w:type="dxa"/>
            <w:vAlign w:val="bottom"/>
            <w:shd w:val="clear" w:color="auto" w:fill="D0EBF2"/>
          </w:tcPr>
          <w:p>
            <w:pPr>
              <w:spacing w:after="0"/>
              <w:rPr>
                <w:sz w:val="20"/>
                <w:szCs w:val="20"/>
                <w:color w:val="auto"/>
              </w:rPr>
            </w:pPr>
            <w:r>
              <w:rPr>
                <w:rFonts w:ascii="Arial" w:cs="Arial" w:eastAsia="Arial" w:hAnsi="Arial"/>
                <w:sz w:val="19"/>
                <w:szCs w:val="19"/>
                <w:color w:val="231F20"/>
              </w:rPr>
              <w:t>$</w:t>
            </w:r>
          </w:p>
        </w:tc>
        <w:tc>
          <w:tcPr>
            <w:tcW w:w="940" w:type="dxa"/>
            <w:vAlign w:val="bottom"/>
            <w:gridSpan w:val="3"/>
            <w:shd w:val="clear" w:color="auto" w:fill="D0EBF2"/>
          </w:tcPr>
          <w:p>
            <w:pPr>
              <w:jc w:val="right"/>
              <w:ind w:right="20"/>
              <w:spacing w:after="0"/>
              <w:rPr>
                <w:sz w:val="20"/>
                <w:szCs w:val="20"/>
                <w:color w:val="auto"/>
              </w:rPr>
            </w:pPr>
            <w:r>
              <w:rPr>
                <w:rFonts w:ascii="Arial" w:cs="Arial" w:eastAsia="Arial" w:hAnsi="Arial"/>
                <w:sz w:val="19"/>
                <w:szCs w:val="19"/>
                <w:color w:val="231F20"/>
              </w:rPr>
              <w:t>492.1</w:t>
            </w:r>
          </w:p>
        </w:tc>
        <w:tc>
          <w:tcPr>
            <w:tcW w:w="80" w:type="dxa"/>
            <w:vAlign w:val="bottom"/>
            <w:shd w:val="clear" w:color="auto" w:fill="D0EBF2"/>
          </w:tcPr>
          <w:p>
            <w:pPr>
              <w:spacing w:after="0"/>
              <w:rPr>
                <w:sz w:val="19"/>
                <w:szCs w:val="19"/>
                <w:color w:val="auto"/>
              </w:rPr>
            </w:pPr>
          </w:p>
        </w:tc>
        <w:tc>
          <w:tcPr>
            <w:tcW w:w="160" w:type="dxa"/>
            <w:vAlign w:val="bottom"/>
            <w:gridSpan w:val="2"/>
            <w:shd w:val="clear" w:color="auto" w:fill="D0EBF2"/>
          </w:tcPr>
          <w:p>
            <w:pPr>
              <w:spacing w:after="0"/>
              <w:rPr>
                <w:sz w:val="19"/>
                <w:szCs w:val="19"/>
                <w:color w:val="auto"/>
              </w:rPr>
            </w:pPr>
          </w:p>
        </w:tc>
        <w:tc>
          <w:tcPr>
            <w:tcW w:w="120" w:type="dxa"/>
            <w:vAlign w:val="bottom"/>
            <w:shd w:val="clear" w:color="auto" w:fill="D0EBF2"/>
          </w:tcPr>
          <w:p>
            <w:pPr>
              <w:spacing w:after="0"/>
              <w:rPr>
                <w:sz w:val="20"/>
                <w:szCs w:val="20"/>
                <w:color w:val="auto"/>
              </w:rPr>
            </w:pPr>
            <w:r>
              <w:rPr>
                <w:rFonts w:ascii="Arial" w:cs="Arial" w:eastAsia="Arial" w:hAnsi="Arial"/>
                <w:sz w:val="19"/>
                <w:szCs w:val="19"/>
                <w:color w:val="231F20"/>
                <w:w w:val="94"/>
              </w:rPr>
              <w:t>$</w:t>
            </w:r>
          </w:p>
        </w:tc>
        <w:tc>
          <w:tcPr>
            <w:tcW w:w="1080" w:type="dxa"/>
            <w:vAlign w:val="bottom"/>
            <w:gridSpan w:val="3"/>
            <w:shd w:val="clear" w:color="auto" w:fill="D0EBF2"/>
          </w:tcPr>
          <w:p>
            <w:pPr>
              <w:jc w:val="right"/>
              <w:ind w:right="20"/>
              <w:spacing w:after="0"/>
              <w:rPr>
                <w:sz w:val="20"/>
                <w:szCs w:val="20"/>
                <w:color w:val="auto"/>
              </w:rPr>
            </w:pPr>
            <w:r>
              <w:rPr>
                <w:rFonts w:ascii="Arial" w:cs="Arial" w:eastAsia="Arial" w:hAnsi="Arial"/>
                <w:sz w:val="19"/>
                <w:szCs w:val="19"/>
                <w:color w:val="231F20"/>
              </w:rPr>
              <w:t>403.1</w:t>
            </w:r>
          </w:p>
        </w:tc>
        <w:tc>
          <w:tcPr>
            <w:tcW w:w="4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20" w:type="dxa"/>
            <w:vAlign w:val="bottom"/>
            <w:tcBorders>
              <w:left w:val="single" w:sz="8" w:color="D0EBF2"/>
            </w:tcBorders>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9"/>
                <w:szCs w:val="19"/>
                <w:color w:val="231F20"/>
              </w:rPr>
              <w:t>22.1%</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D0EBF2"/>
            </w:tcBorders>
            <w:gridSpan w:val="2"/>
            <w:shd w:val="clear" w:color="auto" w:fill="FDFDFC"/>
          </w:tcPr>
          <w:p>
            <w:pPr>
              <w:spacing w:after="0"/>
              <w:rPr>
                <w:sz w:val="20"/>
                <w:szCs w:val="20"/>
                <w:color w:val="auto"/>
              </w:rPr>
            </w:pPr>
            <w:r>
              <w:rPr>
                <w:rFonts w:ascii="Arial" w:cs="Arial" w:eastAsia="Arial" w:hAnsi="Arial"/>
                <w:sz w:val="19"/>
                <w:szCs w:val="19"/>
                <w:color w:val="231F20"/>
              </w:rPr>
              <w:t>Ancillary services</w:t>
            </w:r>
          </w:p>
        </w:tc>
        <w:tc>
          <w:tcPr>
            <w:tcW w:w="100" w:type="dxa"/>
            <w:vAlign w:val="bottom"/>
            <w:tcBorders>
              <w:bottom w:val="single" w:sz="8" w:color="D0EBF2"/>
              <w:right w:val="single" w:sz="8" w:color="FDFDFC"/>
            </w:tcBorders>
            <w:shd w:val="clear" w:color="auto" w:fill="FDFDFC"/>
          </w:tcPr>
          <w:p>
            <w:pPr>
              <w:spacing w:after="0"/>
              <w:rPr>
                <w:sz w:val="20"/>
                <w:szCs w:val="20"/>
                <w:color w:val="auto"/>
              </w:rPr>
            </w:pPr>
          </w:p>
        </w:tc>
        <w:tc>
          <w:tcPr>
            <w:tcW w:w="120" w:type="dxa"/>
            <w:vAlign w:val="bottom"/>
            <w:tcBorders>
              <w:left w:val="single" w:sz="8" w:color="FDFDFC"/>
              <w:bottom w:val="single" w:sz="8" w:color="D0EBF2"/>
            </w:tcBorders>
            <w:shd w:val="clear" w:color="auto" w:fill="FDFDFC"/>
          </w:tcPr>
          <w:p>
            <w:pPr>
              <w:spacing w:after="0"/>
              <w:rPr>
                <w:sz w:val="20"/>
                <w:szCs w:val="20"/>
                <w:color w:val="auto"/>
              </w:rPr>
            </w:pPr>
          </w:p>
        </w:tc>
        <w:tc>
          <w:tcPr>
            <w:tcW w:w="260" w:type="dxa"/>
            <w:vAlign w:val="bottom"/>
            <w:tcBorders>
              <w:bottom w:val="single" w:sz="8" w:color="231F20"/>
            </w:tcBorders>
            <w:shd w:val="clear" w:color="auto" w:fill="FDFDFC"/>
          </w:tcPr>
          <w:p>
            <w:pPr>
              <w:spacing w:after="0"/>
              <w:rPr>
                <w:sz w:val="20"/>
                <w:szCs w:val="20"/>
                <w:color w:val="auto"/>
              </w:rPr>
            </w:pPr>
          </w:p>
        </w:tc>
        <w:tc>
          <w:tcPr>
            <w:tcW w:w="940" w:type="dxa"/>
            <w:vAlign w:val="bottom"/>
            <w:tcBorders>
              <w:bottom w:val="single" w:sz="8" w:color="231F20"/>
            </w:tcBorders>
            <w:gridSpan w:val="3"/>
            <w:shd w:val="clear" w:color="auto" w:fill="FDFDFC"/>
          </w:tcPr>
          <w:p>
            <w:pPr>
              <w:jc w:val="right"/>
              <w:spacing w:after="0"/>
              <w:rPr>
                <w:sz w:val="20"/>
                <w:szCs w:val="20"/>
                <w:color w:val="auto"/>
              </w:rPr>
            </w:pPr>
            <w:r>
              <w:rPr>
                <w:rFonts w:ascii="Arial" w:cs="Arial" w:eastAsia="Arial" w:hAnsi="Arial"/>
                <w:sz w:val="19"/>
                <w:szCs w:val="19"/>
                <w:color w:val="231F20"/>
              </w:rPr>
              <w:t>(17.9)</w:t>
            </w:r>
          </w:p>
        </w:tc>
        <w:tc>
          <w:tcPr>
            <w:tcW w:w="80" w:type="dxa"/>
            <w:vAlign w:val="bottom"/>
            <w:tcBorders>
              <w:bottom w:val="single" w:sz="8" w:color="D0EBF2"/>
            </w:tcBorders>
            <w:shd w:val="clear" w:color="auto" w:fill="FDFDFC"/>
          </w:tcPr>
          <w:p>
            <w:pPr>
              <w:spacing w:after="0"/>
              <w:rPr>
                <w:sz w:val="20"/>
                <w:szCs w:val="20"/>
                <w:color w:val="auto"/>
              </w:rPr>
            </w:pPr>
          </w:p>
        </w:tc>
        <w:tc>
          <w:tcPr>
            <w:tcW w:w="80" w:type="dxa"/>
            <w:vAlign w:val="bottom"/>
            <w:tcBorders>
              <w:bottom w:val="single" w:sz="8" w:color="D0EBF2"/>
            </w:tcBorders>
            <w:shd w:val="clear" w:color="auto" w:fill="FDFDFC"/>
          </w:tcPr>
          <w:p>
            <w:pPr>
              <w:spacing w:after="0"/>
              <w:rPr>
                <w:sz w:val="20"/>
                <w:szCs w:val="20"/>
                <w:color w:val="auto"/>
              </w:rPr>
            </w:pPr>
          </w:p>
        </w:tc>
        <w:tc>
          <w:tcPr>
            <w:tcW w:w="8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spacing w:after="0"/>
              <w:rPr>
                <w:sz w:val="20"/>
                <w:szCs w:val="20"/>
                <w:color w:val="auto"/>
              </w:rPr>
            </w:pPr>
          </w:p>
        </w:tc>
        <w:tc>
          <w:tcPr>
            <w:tcW w:w="1080" w:type="dxa"/>
            <w:vAlign w:val="bottom"/>
            <w:tcBorders>
              <w:bottom w:val="single" w:sz="8" w:color="231F20"/>
            </w:tcBorders>
            <w:gridSpan w:val="3"/>
            <w:shd w:val="clear" w:color="auto" w:fill="FDFDFC"/>
          </w:tcPr>
          <w:p>
            <w:pPr>
              <w:jc w:val="right"/>
              <w:spacing w:after="0"/>
              <w:rPr>
                <w:sz w:val="20"/>
                <w:szCs w:val="20"/>
                <w:color w:val="auto"/>
              </w:rPr>
            </w:pPr>
            <w:r>
              <w:rPr>
                <w:rFonts w:ascii="Arial" w:cs="Arial" w:eastAsia="Arial" w:hAnsi="Arial"/>
                <w:sz w:val="19"/>
                <w:szCs w:val="19"/>
                <w:color w:val="231F20"/>
              </w:rPr>
              <w:t>(21.6)</w:t>
            </w:r>
          </w:p>
        </w:tc>
        <w:tc>
          <w:tcPr>
            <w:tcW w:w="140" w:type="dxa"/>
            <w:vAlign w:val="bottom"/>
            <w:tcBorders>
              <w:bottom w:val="single" w:sz="8" w:color="D0EBF2"/>
            </w:tcBorders>
            <w:gridSpan w:val="2"/>
            <w:shd w:val="clear" w:color="auto" w:fill="FDFDFC"/>
          </w:tcPr>
          <w:p>
            <w:pPr>
              <w:spacing w:after="0"/>
              <w:rPr>
                <w:sz w:val="20"/>
                <w:szCs w:val="20"/>
                <w:color w:val="auto"/>
              </w:rPr>
            </w:pPr>
          </w:p>
        </w:tc>
        <w:tc>
          <w:tcPr>
            <w:tcW w:w="120" w:type="dxa"/>
            <w:vAlign w:val="bottom"/>
            <w:tcBorders>
              <w:left w:val="single" w:sz="8" w:color="FDFDFC"/>
              <w:bottom w:val="single" w:sz="8" w:color="231F20"/>
            </w:tcBorders>
            <w:shd w:val="clear" w:color="auto" w:fill="FDFDFC"/>
          </w:tcPr>
          <w:p>
            <w:pPr>
              <w:spacing w:after="0"/>
              <w:rPr>
                <w:sz w:val="20"/>
                <w:szCs w:val="20"/>
                <w:color w:val="auto"/>
              </w:rPr>
            </w:pPr>
          </w:p>
        </w:tc>
        <w:tc>
          <w:tcPr>
            <w:tcW w:w="1080" w:type="dxa"/>
            <w:vAlign w:val="bottom"/>
            <w:tcBorders>
              <w:bottom w:val="single" w:sz="8" w:color="231F20"/>
            </w:tcBorders>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80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Revenue Less Ancillary Services</w:t>
            </w:r>
          </w:p>
        </w:tc>
        <w:tc>
          <w:tcPr>
            <w:tcW w:w="100" w:type="dxa"/>
            <w:vAlign w:val="bottom"/>
            <w:tcBorders>
              <w:right w:val="single" w:sz="8" w:color="D0EBF2"/>
            </w:tcBorders>
            <w:shd w:val="clear" w:color="auto" w:fill="D0EBF2"/>
          </w:tcPr>
          <w:p>
            <w:pPr>
              <w:spacing w:after="0"/>
              <w:rPr>
                <w:sz w:val="22"/>
                <w:szCs w:val="22"/>
                <w:color w:val="auto"/>
              </w:rPr>
            </w:pPr>
          </w:p>
        </w:tc>
        <w:tc>
          <w:tcPr>
            <w:tcW w:w="120" w:type="dxa"/>
            <w:vAlign w:val="bottom"/>
            <w:tcBorders>
              <w:left w:val="single" w:sz="8" w:color="D0EBF2"/>
            </w:tcBorders>
            <w:shd w:val="clear" w:color="auto" w:fill="D0EBF2"/>
          </w:tcPr>
          <w:p>
            <w:pPr>
              <w:spacing w:after="0"/>
              <w:rPr>
                <w:sz w:val="22"/>
                <w:szCs w:val="22"/>
                <w:color w:val="auto"/>
              </w:rPr>
            </w:pPr>
          </w:p>
        </w:tc>
        <w:tc>
          <w:tcPr>
            <w:tcW w:w="260" w:type="dxa"/>
            <w:vAlign w:val="bottom"/>
            <w:shd w:val="clear" w:color="auto" w:fill="D0EBF2"/>
          </w:tcPr>
          <w:p>
            <w:pPr>
              <w:spacing w:after="0"/>
              <w:rPr>
                <w:sz w:val="22"/>
                <w:szCs w:val="22"/>
                <w:color w:val="auto"/>
              </w:rPr>
            </w:pPr>
          </w:p>
        </w:tc>
        <w:tc>
          <w:tcPr>
            <w:tcW w:w="940" w:type="dxa"/>
            <w:vAlign w:val="bottom"/>
            <w:gridSpan w:val="3"/>
            <w:shd w:val="clear" w:color="auto" w:fill="D0EBF2"/>
          </w:tcPr>
          <w:p>
            <w:pPr>
              <w:jc w:val="right"/>
              <w:ind w:right="20"/>
              <w:spacing w:after="0"/>
              <w:rPr>
                <w:sz w:val="20"/>
                <w:szCs w:val="20"/>
                <w:color w:val="auto"/>
              </w:rPr>
            </w:pPr>
            <w:r>
              <w:rPr>
                <w:rFonts w:ascii="Arial" w:cs="Arial" w:eastAsia="Arial" w:hAnsi="Arial"/>
                <w:sz w:val="19"/>
                <w:szCs w:val="19"/>
                <w:color w:val="231F20"/>
              </w:rPr>
              <w:t>474.2</w:t>
            </w:r>
          </w:p>
        </w:tc>
        <w:tc>
          <w:tcPr>
            <w:tcW w:w="80" w:type="dxa"/>
            <w:vAlign w:val="bottom"/>
            <w:shd w:val="clear" w:color="auto" w:fill="D0EBF2"/>
          </w:tcPr>
          <w:p>
            <w:pPr>
              <w:spacing w:after="0"/>
              <w:rPr>
                <w:sz w:val="22"/>
                <w:szCs w:val="22"/>
                <w:color w:val="auto"/>
              </w:rPr>
            </w:pPr>
          </w:p>
        </w:tc>
        <w:tc>
          <w:tcPr>
            <w:tcW w:w="80" w:type="dxa"/>
            <w:vAlign w:val="bottom"/>
            <w:shd w:val="clear" w:color="auto" w:fill="D0EBF2"/>
          </w:tcPr>
          <w:p>
            <w:pPr>
              <w:spacing w:after="0"/>
              <w:rPr>
                <w:sz w:val="22"/>
                <w:szCs w:val="22"/>
                <w:color w:val="auto"/>
              </w:rPr>
            </w:pPr>
          </w:p>
        </w:tc>
        <w:tc>
          <w:tcPr>
            <w:tcW w:w="80" w:type="dxa"/>
            <w:vAlign w:val="bottom"/>
            <w:shd w:val="clear" w:color="auto" w:fill="D0EBF2"/>
          </w:tcPr>
          <w:p>
            <w:pPr>
              <w:spacing w:after="0"/>
              <w:rPr>
                <w:sz w:val="22"/>
                <w:szCs w:val="22"/>
                <w:color w:val="auto"/>
              </w:rPr>
            </w:pPr>
          </w:p>
        </w:tc>
        <w:tc>
          <w:tcPr>
            <w:tcW w:w="120" w:type="dxa"/>
            <w:vAlign w:val="bottom"/>
            <w:shd w:val="clear" w:color="auto" w:fill="D0EBF2"/>
          </w:tcPr>
          <w:p>
            <w:pPr>
              <w:spacing w:after="0"/>
              <w:rPr>
                <w:sz w:val="22"/>
                <w:szCs w:val="22"/>
                <w:color w:val="auto"/>
              </w:rPr>
            </w:pPr>
          </w:p>
        </w:tc>
        <w:tc>
          <w:tcPr>
            <w:tcW w:w="1080" w:type="dxa"/>
            <w:vAlign w:val="bottom"/>
            <w:gridSpan w:val="3"/>
            <w:shd w:val="clear" w:color="auto" w:fill="D0EBF2"/>
          </w:tcPr>
          <w:p>
            <w:pPr>
              <w:jc w:val="right"/>
              <w:ind w:right="20"/>
              <w:spacing w:after="0"/>
              <w:rPr>
                <w:sz w:val="20"/>
                <w:szCs w:val="20"/>
                <w:color w:val="auto"/>
              </w:rPr>
            </w:pPr>
            <w:r>
              <w:rPr>
                <w:rFonts w:ascii="Arial" w:cs="Arial" w:eastAsia="Arial" w:hAnsi="Arial"/>
                <w:sz w:val="19"/>
                <w:szCs w:val="19"/>
                <w:color w:val="231F20"/>
              </w:rPr>
              <w:t>381.5</w:t>
            </w:r>
          </w:p>
        </w:tc>
        <w:tc>
          <w:tcPr>
            <w:tcW w:w="40" w:type="dxa"/>
            <w:vAlign w:val="bottom"/>
            <w:shd w:val="clear" w:color="auto" w:fill="D0EBF2"/>
          </w:tcPr>
          <w:p>
            <w:pPr>
              <w:spacing w:after="0"/>
              <w:rPr>
                <w:sz w:val="22"/>
                <w:szCs w:val="22"/>
                <w:color w:val="auto"/>
              </w:rPr>
            </w:pPr>
          </w:p>
        </w:tc>
        <w:tc>
          <w:tcPr>
            <w:tcW w:w="100" w:type="dxa"/>
            <w:vAlign w:val="bottom"/>
            <w:shd w:val="clear" w:color="auto" w:fill="D0EBF2"/>
          </w:tcPr>
          <w:p>
            <w:pPr>
              <w:spacing w:after="0"/>
              <w:rPr>
                <w:sz w:val="22"/>
                <w:szCs w:val="22"/>
                <w:color w:val="auto"/>
              </w:rPr>
            </w:pPr>
          </w:p>
        </w:tc>
        <w:tc>
          <w:tcPr>
            <w:tcW w:w="120" w:type="dxa"/>
            <w:vAlign w:val="bottom"/>
            <w:tcBorders>
              <w:left w:val="single" w:sz="8" w:color="D0EBF2"/>
            </w:tcBorders>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9"/>
                <w:szCs w:val="19"/>
                <w:color w:val="231F20"/>
              </w:rPr>
              <w:t>24.3%</w:t>
            </w:r>
          </w:p>
        </w:tc>
        <w:tc>
          <w:tcPr>
            <w:tcW w:w="0" w:type="dxa"/>
            <w:vAlign w:val="bottom"/>
          </w:tcPr>
          <w:p>
            <w:pPr>
              <w:spacing w:after="0"/>
              <w:rPr>
                <w:sz w:val="1"/>
                <w:szCs w:val="1"/>
                <w:color w:val="auto"/>
              </w:rPr>
            </w:pPr>
          </w:p>
        </w:tc>
      </w:tr>
      <w:tr>
        <w:trPr>
          <w:trHeight w:val="213"/>
        </w:trPr>
        <w:tc>
          <w:tcPr>
            <w:tcW w:w="5800" w:type="dxa"/>
            <w:vAlign w:val="bottom"/>
            <w:tcBorders>
              <w:top w:val="single" w:sz="8" w:color="FDFDFC"/>
              <w:bottom w:val="single" w:sz="8" w:color="D0EBF2"/>
            </w:tcBorders>
            <w:gridSpan w:val="2"/>
            <w:shd w:val="clear" w:color="auto" w:fill="FDFDFC"/>
          </w:tcPr>
          <w:p>
            <w:pPr>
              <w:spacing w:after="0" w:line="213" w:lineRule="exact"/>
              <w:rPr>
                <w:sz w:val="20"/>
                <w:szCs w:val="20"/>
                <w:color w:val="auto"/>
              </w:rPr>
            </w:pPr>
            <w:r>
              <w:rPr>
                <w:rFonts w:ascii="Arial" w:cs="Arial" w:eastAsia="Arial" w:hAnsi="Arial"/>
                <w:sz w:val="19"/>
                <w:szCs w:val="19"/>
                <w:color w:val="231F20"/>
              </w:rPr>
              <w:t>Effects of foreign currency rate fluctuations</w:t>
            </w:r>
          </w:p>
        </w:tc>
        <w:tc>
          <w:tcPr>
            <w:tcW w:w="100" w:type="dxa"/>
            <w:vAlign w:val="bottom"/>
            <w:tcBorders>
              <w:top w:val="single" w:sz="8" w:color="FDFDFC"/>
              <w:bottom w:val="single" w:sz="8" w:color="D0EBF2"/>
              <w:right w:val="single" w:sz="8" w:color="FDFDFC"/>
            </w:tcBorders>
            <w:shd w:val="clear" w:color="auto" w:fill="FDFDFC"/>
          </w:tcPr>
          <w:p>
            <w:pPr>
              <w:spacing w:after="0"/>
              <w:rPr>
                <w:sz w:val="18"/>
                <w:szCs w:val="18"/>
                <w:color w:val="auto"/>
              </w:rPr>
            </w:pPr>
          </w:p>
        </w:tc>
        <w:tc>
          <w:tcPr>
            <w:tcW w:w="120" w:type="dxa"/>
            <w:vAlign w:val="bottom"/>
            <w:tcBorders>
              <w:top w:val="single" w:sz="8" w:color="FDFDFC"/>
              <w:left w:val="single" w:sz="8" w:color="FDFDFC"/>
              <w:bottom w:val="single" w:sz="8" w:color="D0EBF2"/>
            </w:tcBorders>
            <w:shd w:val="clear" w:color="auto" w:fill="FDFDFC"/>
          </w:tcPr>
          <w:p>
            <w:pPr>
              <w:spacing w:after="0"/>
              <w:rPr>
                <w:sz w:val="18"/>
                <w:szCs w:val="18"/>
                <w:color w:val="auto"/>
              </w:rPr>
            </w:pPr>
          </w:p>
        </w:tc>
        <w:tc>
          <w:tcPr>
            <w:tcW w:w="260" w:type="dxa"/>
            <w:vAlign w:val="bottom"/>
            <w:tcBorders>
              <w:top w:val="single" w:sz="8" w:color="231F20"/>
              <w:bottom w:val="single" w:sz="8" w:color="231F20"/>
            </w:tcBorders>
            <w:shd w:val="clear" w:color="auto" w:fill="FDFDFC"/>
          </w:tcPr>
          <w:p>
            <w:pPr>
              <w:spacing w:after="0" w:line="213" w:lineRule="exact"/>
              <w:rPr>
                <w:sz w:val="20"/>
                <w:szCs w:val="20"/>
                <w:color w:val="auto"/>
              </w:rPr>
            </w:pPr>
            <w:r>
              <w:rPr>
                <w:rFonts w:ascii="Arial" w:cs="Arial" w:eastAsia="Arial" w:hAnsi="Arial"/>
                <w:sz w:val="19"/>
                <w:szCs w:val="19"/>
                <w:color w:val="231F20"/>
              </w:rPr>
              <w:t>$</w:t>
            </w:r>
          </w:p>
        </w:tc>
        <w:tc>
          <w:tcPr>
            <w:tcW w:w="940" w:type="dxa"/>
            <w:vAlign w:val="bottom"/>
            <w:tcBorders>
              <w:top w:val="single" w:sz="8" w:color="231F20"/>
              <w:bottom w:val="single" w:sz="8" w:color="231F20"/>
            </w:tcBorders>
            <w:gridSpan w:val="3"/>
            <w:shd w:val="clear" w:color="auto" w:fill="FDFDFC"/>
          </w:tcPr>
          <w:p>
            <w:pPr>
              <w:jc w:val="right"/>
              <w:spacing w:after="0" w:line="213" w:lineRule="exact"/>
              <w:rPr>
                <w:sz w:val="20"/>
                <w:szCs w:val="20"/>
                <w:color w:val="auto"/>
              </w:rPr>
            </w:pPr>
            <w:r>
              <w:rPr>
                <w:rFonts w:ascii="Arial" w:cs="Arial" w:eastAsia="Arial" w:hAnsi="Arial"/>
                <w:sz w:val="19"/>
                <w:szCs w:val="19"/>
                <w:color w:val="231F20"/>
              </w:rPr>
              <w:t>(2.3)</w:t>
            </w:r>
          </w:p>
        </w:tc>
        <w:tc>
          <w:tcPr>
            <w:tcW w:w="80" w:type="dxa"/>
            <w:vAlign w:val="bottom"/>
            <w:tcBorders>
              <w:top w:val="single" w:sz="8" w:color="FDFDFC"/>
              <w:bottom w:val="single" w:sz="8" w:color="D0EBF2"/>
            </w:tcBorders>
            <w:shd w:val="clear" w:color="auto" w:fill="FDFDFC"/>
          </w:tcPr>
          <w:p>
            <w:pPr>
              <w:spacing w:after="0"/>
              <w:rPr>
                <w:sz w:val="18"/>
                <w:szCs w:val="18"/>
                <w:color w:val="auto"/>
              </w:rPr>
            </w:pPr>
          </w:p>
        </w:tc>
        <w:tc>
          <w:tcPr>
            <w:tcW w:w="80" w:type="dxa"/>
            <w:vAlign w:val="bottom"/>
            <w:tcBorders>
              <w:top w:val="single" w:sz="8" w:color="FDFDFC"/>
              <w:bottom w:val="single" w:sz="8" w:color="D0EBF2"/>
            </w:tcBorders>
            <w:shd w:val="clear" w:color="auto" w:fill="FDFDFC"/>
          </w:tcPr>
          <w:p>
            <w:pPr>
              <w:spacing w:after="0"/>
              <w:rPr>
                <w:sz w:val="18"/>
                <w:szCs w:val="18"/>
                <w:color w:val="auto"/>
              </w:rPr>
            </w:pPr>
          </w:p>
        </w:tc>
        <w:tc>
          <w:tcPr>
            <w:tcW w:w="80" w:type="dxa"/>
            <w:vAlign w:val="bottom"/>
            <w:tcBorders>
              <w:top w:val="single" w:sz="8" w:color="FDFDFC"/>
              <w:bottom w:val="single" w:sz="8" w:color="D0EBF2"/>
            </w:tcBorders>
            <w:shd w:val="clear" w:color="auto" w:fill="FDFDFC"/>
          </w:tcPr>
          <w:p>
            <w:pPr>
              <w:spacing w:after="0"/>
              <w:rPr>
                <w:sz w:val="18"/>
                <w:szCs w:val="18"/>
                <w:color w:val="auto"/>
              </w:rPr>
            </w:pPr>
          </w:p>
        </w:tc>
        <w:tc>
          <w:tcPr>
            <w:tcW w:w="120" w:type="dxa"/>
            <w:vAlign w:val="bottom"/>
            <w:tcBorders>
              <w:top w:val="single" w:sz="8" w:color="231F20"/>
              <w:bottom w:val="single" w:sz="8" w:color="231F20"/>
            </w:tcBorders>
            <w:shd w:val="clear" w:color="auto" w:fill="FDFDFC"/>
          </w:tcPr>
          <w:p>
            <w:pPr>
              <w:spacing w:after="0"/>
              <w:rPr>
                <w:sz w:val="18"/>
                <w:szCs w:val="18"/>
                <w:color w:val="auto"/>
              </w:rPr>
            </w:pPr>
          </w:p>
        </w:tc>
        <w:tc>
          <w:tcPr>
            <w:tcW w:w="800" w:type="dxa"/>
            <w:vAlign w:val="bottom"/>
            <w:tcBorders>
              <w:top w:val="single" w:sz="8" w:color="231F20"/>
              <w:bottom w:val="single" w:sz="8" w:color="231F20"/>
            </w:tcBorders>
            <w:shd w:val="clear" w:color="auto" w:fill="FDFDFC"/>
          </w:tcPr>
          <w:p>
            <w:pPr>
              <w:spacing w:after="0"/>
              <w:rPr>
                <w:sz w:val="18"/>
                <w:szCs w:val="18"/>
                <w:color w:val="auto"/>
              </w:rPr>
            </w:pPr>
          </w:p>
        </w:tc>
        <w:tc>
          <w:tcPr>
            <w:tcW w:w="100" w:type="dxa"/>
            <w:vAlign w:val="bottom"/>
            <w:tcBorders>
              <w:top w:val="single" w:sz="8" w:color="231F20"/>
              <w:bottom w:val="single" w:sz="8" w:color="231F20"/>
            </w:tcBorders>
            <w:shd w:val="clear" w:color="auto" w:fill="FDFDFC"/>
          </w:tcPr>
          <w:p>
            <w:pPr>
              <w:spacing w:after="0"/>
              <w:rPr>
                <w:sz w:val="18"/>
                <w:szCs w:val="18"/>
                <w:color w:val="auto"/>
              </w:rPr>
            </w:pPr>
          </w:p>
        </w:tc>
        <w:tc>
          <w:tcPr>
            <w:tcW w:w="180" w:type="dxa"/>
            <w:vAlign w:val="bottom"/>
            <w:tcBorders>
              <w:top w:val="single" w:sz="8" w:color="231F20"/>
              <w:bottom w:val="single" w:sz="8" w:color="231F20"/>
            </w:tcBorders>
            <w:shd w:val="clear" w:color="auto" w:fill="FDFDFC"/>
          </w:tcPr>
          <w:p>
            <w:pPr>
              <w:spacing w:after="0"/>
              <w:rPr>
                <w:sz w:val="18"/>
                <w:szCs w:val="18"/>
                <w:color w:val="auto"/>
              </w:rPr>
            </w:pPr>
          </w:p>
        </w:tc>
        <w:tc>
          <w:tcPr>
            <w:tcW w:w="40" w:type="dxa"/>
            <w:vAlign w:val="bottom"/>
            <w:tcBorders>
              <w:top w:val="single" w:sz="8" w:color="FDFDFC"/>
              <w:bottom w:val="single" w:sz="8" w:color="D0EBF2"/>
            </w:tcBorders>
            <w:shd w:val="clear" w:color="auto" w:fill="FDFDFC"/>
          </w:tcPr>
          <w:p>
            <w:pPr>
              <w:spacing w:after="0"/>
              <w:rPr>
                <w:sz w:val="18"/>
                <w:szCs w:val="18"/>
                <w:color w:val="auto"/>
              </w:rPr>
            </w:pPr>
          </w:p>
        </w:tc>
        <w:tc>
          <w:tcPr>
            <w:tcW w:w="100" w:type="dxa"/>
            <w:vAlign w:val="bottom"/>
            <w:tcBorders>
              <w:top w:val="single" w:sz="8" w:color="FDFDFC"/>
              <w:bottom w:val="single" w:sz="8" w:color="D0EBF2"/>
            </w:tcBorders>
            <w:shd w:val="clear" w:color="auto" w:fill="FDFDFC"/>
          </w:tcPr>
          <w:p>
            <w:pPr>
              <w:spacing w:after="0"/>
              <w:rPr>
                <w:sz w:val="18"/>
                <w:szCs w:val="18"/>
                <w:color w:val="auto"/>
              </w:rPr>
            </w:pPr>
          </w:p>
        </w:tc>
        <w:tc>
          <w:tcPr>
            <w:tcW w:w="120" w:type="dxa"/>
            <w:vAlign w:val="bottom"/>
            <w:tcBorders>
              <w:top w:val="single" w:sz="8" w:color="231F20"/>
              <w:left w:val="single" w:sz="8" w:color="FDFDFC"/>
              <w:bottom w:val="single" w:sz="8" w:color="231F20"/>
            </w:tcBorders>
            <w:shd w:val="clear" w:color="auto" w:fill="FDFDFC"/>
          </w:tcPr>
          <w:p>
            <w:pPr>
              <w:spacing w:after="0"/>
              <w:rPr>
                <w:sz w:val="18"/>
                <w:szCs w:val="18"/>
                <w:color w:val="auto"/>
              </w:rPr>
            </w:pPr>
          </w:p>
        </w:tc>
        <w:tc>
          <w:tcPr>
            <w:tcW w:w="1080" w:type="dxa"/>
            <w:vAlign w:val="bottom"/>
            <w:tcBorders>
              <w:top w:val="single" w:sz="8" w:color="231F20"/>
              <w:bottom w:val="single" w:sz="8" w:color="231F20"/>
            </w:tcBorders>
            <w:shd w:val="clear" w:color="auto" w:fill="FDFDFC"/>
          </w:tcPr>
          <w:p>
            <w:pPr>
              <w:spacing w:after="0"/>
              <w:rPr>
                <w:sz w:val="18"/>
                <w:szCs w:val="18"/>
                <w:color w:val="auto"/>
              </w:rPr>
            </w:pPr>
          </w:p>
        </w:tc>
        <w:tc>
          <w:tcPr>
            <w:tcW w:w="200" w:type="dxa"/>
            <w:vAlign w:val="bottom"/>
            <w:tcBorders>
              <w:top w:val="single" w:sz="8" w:color="FDFDFC"/>
            </w:tcBorders>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80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FX Neutral Revenue Less Ancillary Services</w:t>
            </w:r>
          </w:p>
        </w:tc>
        <w:tc>
          <w:tcPr>
            <w:tcW w:w="100" w:type="dxa"/>
            <w:vAlign w:val="bottom"/>
            <w:tcBorders>
              <w:right w:val="single" w:sz="8" w:color="D0EBF2"/>
            </w:tcBorders>
            <w:shd w:val="clear" w:color="auto" w:fill="D0EBF2"/>
          </w:tcPr>
          <w:p>
            <w:pPr>
              <w:spacing w:after="0"/>
              <w:rPr>
                <w:sz w:val="20"/>
                <w:szCs w:val="20"/>
                <w:color w:val="auto"/>
              </w:rPr>
            </w:pPr>
          </w:p>
        </w:tc>
        <w:tc>
          <w:tcPr>
            <w:tcW w:w="120" w:type="dxa"/>
            <w:vAlign w:val="bottom"/>
            <w:tcBorders>
              <w:left w:val="single" w:sz="8" w:color="D0EBF2"/>
            </w:tcBorders>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r>
              <w:rPr>
                <w:rFonts w:ascii="Arial" w:cs="Arial" w:eastAsia="Arial" w:hAnsi="Arial"/>
                <w:sz w:val="19"/>
                <w:szCs w:val="19"/>
                <w:color w:val="231F20"/>
              </w:rPr>
              <w:t>$</w:t>
            </w:r>
          </w:p>
        </w:tc>
        <w:tc>
          <w:tcPr>
            <w:tcW w:w="940" w:type="dxa"/>
            <w:vAlign w:val="bottom"/>
            <w:gridSpan w:val="3"/>
            <w:shd w:val="clear" w:color="auto" w:fill="D0EBF2"/>
          </w:tcPr>
          <w:p>
            <w:pPr>
              <w:jc w:val="right"/>
              <w:ind w:right="20"/>
              <w:spacing w:after="0"/>
              <w:rPr>
                <w:sz w:val="20"/>
                <w:szCs w:val="20"/>
                <w:color w:val="auto"/>
              </w:rPr>
            </w:pPr>
            <w:r>
              <w:rPr>
                <w:rFonts w:ascii="Arial" w:cs="Arial" w:eastAsia="Arial" w:hAnsi="Arial"/>
                <w:sz w:val="19"/>
                <w:szCs w:val="19"/>
                <w:color w:val="231F20"/>
              </w:rPr>
              <w:t>471.9</w:t>
            </w:r>
          </w:p>
        </w:tc>
        <w:tc>
          <w:tcPr>
            <w:tcW w:w="80" w:type="dxa"/>
            <w:vAlign w:val="bottom"/>
            <w:shd w:val="clear" w:color="auto" w:fill="D0EBF2"/>
          </w:tcPr>
          <w:p>
            <w:pPr>
              <w:spacing w:after="0"/>
              <w:rPr>
                <w:sz w:val="20"/>
                <w:szCs w:val="20"/>
                <w:color w:val="auto"/>
              </w:rPr>
            </w:pPr>
          </w:p>
        </w:tc>
        <w:tc>
          <w:tcPr>
            <w:tcW w:w="160" w:type="dxa"/>
            <w:vAlign w:val="bottom"/>
            <w:gridSpan w:val="2"/>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r>
              <w:rPr>
                <w:rFonts w:ascii="Arial" w:cs="Arial" w:eastAsia="Arial" w:hAnsi="Arial"/>
                <w:sz w:val="19"/>
                <w:szCs w:val="19"/>
                <w:color w:val="231F20"/>
                <w:w w:val="94"/>
              </w:rPr>
              <w:t>$</w:t>
            </w:r>
          </w:p>
        </w:tc>
        <w:tc>
          <w:tcPr>
            <w:tcW w:w="1080" w:type="dxa"/>
            <w:vAlign w:val="bottom"/>
            <w:gridSpan w:val="3"/>
            <w:shd w:val="clear" w:color="auto" w:fill="D0EBF2"/>
          </w:tcPr>
          <w:p>
            <w:pPr>
              <w:jc w:val="right"/>
              <w:ind w:right="20"/>
              <w:spacing w:after="0"/>
              <w:rPr>
                <w:sz w:val="20"/>
                <w:szCs w:val="20"/>
                <w:color w:val="auto"/>
              </w:rPr>
            </w:pPr>
            <w:r>
              <w:rPr>
                <w:rFonts w:ascii="Arial" w:cs="Arial" w:eastAsia="Arial" w:hAnsi="Arial"/>
                <w:sz w:val="19"/>
                <w:szCs w:val="19"/>
                <w:color w:val="231F20"/>
              </w:rPr>
              <w:t>381.5</w:t>
            </w:r>
          </w:p>
        </w:tc>
        <w:tc>
          <w:tcPr>
            <w:tcW w:w="4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20" w:type="dxa"/>
            <w:vAlign w:val="bottom"/>
            <w:tcBorders>
              <w:left w:val="single" w:sz="8" w:color="D0EBF2"/>
            </w:tcBorders>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9"/>
                <w:szCs w:val="19"/>
                <w:color w:val="231F20"/>
              </w:rPr>
              <w:t>23.7%</w:t>
            </w:r>
          </w:p>
        </w:tc>
        <w:tc>
          <w:tcPr>
            <w:tcW w:w="0" w:type="dxa"/>
            <w:vAlign w:val="bottom"/>
          </w:tcPr>
          <w:p>
            <w:pPr>
              <w:spacing w:after="0"/>
              <w:rPr>
                <w:sz w:val="1"/>
                <w:szCs w:val="1"/>
                <w:color w:val="auto"/>
              </w:rPr>
            </w:pPr>
          </w:p>
        </w:tc>
      </w:tr>
      <w:tr>
        <w:trPr>
          <w:trHeight w:val="20"/>
        </w:trPr>
        <w:tc>
          <w:tcPr>
            <w:tcW w:w="5740" w:type="dxa"/>
            <w:vAlign w:val="bottom"/>
            <w:tcBorders>
              <w:top w:val="single" w:sz="8" w:color="D0EBF2"/>
            </w:tcBorders>
          </w:tcPr>
          <w:p>
            <w:pPr>
              <w:spacing w:after="0" w:line="20" w:lineRule="exact"/>
              <w:rPr>
                <w:sz w:val="1"/>
                <w:szCs w:val="1"/>
                <w:color w:val="auto"/>
              </w:rPr>
            </w:pPr>
          </w:p>
        </w:tc>
        <w:tc>
          <w:tcPr>
            <w:tcW w:w="60" w:type="dxa"/>
            <w:vAlign w:val="bottom"/>
            <w:tcBorders>
              <w:top w:val="single" w:sz="8" w:color="D0EBF2"/>
            </w:tcBorders>
          </w:tcPr>
          <w:p>
            <w:pPr>
              <w:spacing w:after="0" w:line="20" w:lineRule="exact"/>
              <w:rPr>
                <w:sz w:val="1"/>
                <w:szCs w:val="1"/>
                <w:color w:val="auto"/>
              </w:rPr>
            </w:pPr>
          </w:p>
        </w:tc>
        <w:tc>
          <w:tcPr>
            <w:tcW w:w="100" w:type="dxa"/>
            <w:vAlign w:val="bottom"/>
            <w:tcBorders>
              <w:top w:val="single" w:sz="8" w:color="D0EBF2"/>
            </w:tcBorders>
          </w:tcPr>
          <w:p>
            <w:pPr>
              <w:spacing w:after="0" w:line="20" w:lineRule="exact"/>
              <w:rPr>
                <w:sz w:val="1"/>
                <w:szCs w:val="1"/>
                <w:color w:val="auto"/>
              </w:rPr>
            </w:pPr>
          </w:p>
        </w:tc>
        <w:tc>
          <w:tcPr>
            <w:tcW w:w="120" w:type="dxa"/>
            <w:vAlign w:val="bottom"/>
            <w:tcBorders>
              <w:top w:val="single" w:sz="8" w:color="D0EBF2"/>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D0EBF2"/>
            </w:tcBorders>
          </w:tcPr>
          <w:p>
            <w:pPr>
              <w:spacing w:after="0" w:line="20" w:lineRule="exact"/>
              <w:rPr>
                <w:sz w:val="1"/>
                <w:szCs w:val="1"/>
                <w:color w:val="auto"/>
              </w:rPr>
            </w:pPr>
          </w:p>
        </w:tc>
        <w:tc>
          <w:tcPr>
            <w:tcW w:w="80" w:type="dxa"/>
            <w:vAlign w:val="bottom"/>
            <w:tcBorders>
              <w:top w:val="single" w:sz="8" w:color="D0EBF2"/>
            </w:tcBorders>
          </w:tcPr>
          <w:p>
            <w:pPr>
              <w:spacing w:after="0" w:line="20" w:lineRule="exact"/>
              <w:rPr>
                <w:sz w:val="1"/>
                <w:szCs w:val="1"/>
                <w:color w:val="auto"/>
              </w:rPr>
            </w:pPr>
          </w:p>
        </w:tc>
        <w:tc>
          <w:tcPr>
            <w:tcW w:w="80" w:type="dxa"/>
            <w:vAlign w:val="bottom"/>
            <w:tcBorders>
              <w:top w:val="single" w:sz="8" w:color="D0EBF2"/>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D0EBF2"/>
            </w:tcBorders>
          </w:tcPr>
          <w:p>
            <w:pPr>
              <w:spacing w:after="0" w:line="20" w:lineRule="exact"/>
              <w:rPr>
                <w:sz w:val="1"/>
                <w:szCs w:val="1"/>
                <w:color w:val="auto"/>
              </w:rPr>
            </w:pPr>
          </w:p>
        </w:tc>
        <w:tc>
          <w:tcPr>
            <w:tcW w:w="100" w:type="dxa"/>
            <w:vAlign w:val="bottom"/>
            <w:tcBorders>
              <w:top w:val="single" w:sz="8" w:color="D0EBF2"/>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3776345</wp:posOffset>
                </wp:positionH>
                <wp:positionV relativeFrom="paragraph">
                  <wp:posOffset>-4774565</wp:posOffset>
                </wp:positionV>
                <wp:extent cx="696595" cy="14668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6595" cy="146685"/>
                        </a:xfrm>
                        <a:prstGeom prst="rect">
                          <a:avLst/>
                        </a:prstGeom>
                        <a:solidFill>
                          <a:srgbClr val="FDFDFC"/>
                        </a:solidFill>
                      </wps:spPr>
                      <wps:bodyPr/>
                    </wps:wsp>
                  </a:graphicData>
                </a:graphic>
              </wp:anchor>
            </w:drawing>
          </mc:Choice>
          <mc:Fallback>
            <w:pict>
              <v:rect id="Shape 32" o:spid="_x0000_s1057" style="position:absolute;margin-left:297.35pt;margin-top:-375.9499pt;width:54.8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4472940</wp:posOffset>
                </wp:positionH>
                <wp:positionV relativeFrom="paragraph">
                  <wp:posOffset>-4801235</wp:posOffset>
                </wp:positionV>
                <wp:extent cx="211455" cy="17335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455" cy="173355"/>
                        </a:xfrm>
                        <a:prstGeom prst="rect">
                          <a:avLst/>
                        </a:prstGeom>
                        <a:solidFill>
                          <a:srgbClr val="FDFDFC"/>
                        </a:solidFill>
                      </wps:spPr>
                      <wps:bodyPr/>
                    </wps:wsp>
                  </a:graphicData>
                </a:graphic>
              </wp:anchor>
            </w:drawing>
          </mc:Choice>
          <mc:Fallback>
            <w:pict>
              <v:rect id="Shape 33" o:spid="_x0000_s1058" style="position:absolute;margin-left:352.2pt;margin-top:-378.0499pt;width:16.65pt;height:1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4684395</wp:posOffset>
                </wp:positionH>
                <wp:positionV relativeFrom="paragraph">
                  <wp:posOffset>-4774565</wp:posOffset>
                </wp:positionV>
                <wp:extent cx="696595" cy="14668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6595" cy="146685"/>
                        </a:xfrm>
                        <a:prstGeom prst="rect">
                          <a:avLst/>
                        </a:prstGeom>
                        <a:solidFill>
                          <a:srgbClr val="FDFDFC"/>
                        </a:solidFill>
                      </wps:spPr>
                      <wps:bodyPr/>
                    </wps:wsp>
                  </a:graphicData>
                </a:graphic>
              </wp:anchor>
            </w:drawing>
          </mc:Choice>
          <mc:Fallback>
            <w:pict>
              <v:rect id="Shape 34" o:spid="_x0000_s1059" style="position:absolute;margin-left:368.85pt;margin-top:-375.9499pt;width:54.8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5380990</wp:posOffset>
                </wp:positionH>
                <wp:positionV relativeFrom="paragraph">
                  <wp:posOffset>-4801235</wp:posOffset>
                </wp:positionV>
                <wp:extent cx="210820" cy="17335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820" cy="173355"/>
                        </a:xfrm>
                        <a:prstGeom prst="rect">
                          <a:avLst/>
                        </a:prstGeom>
                        <a:solidFill>
                          <a:srgbClr val="FDFDFC"/>
                        </a:solidFill>
                      </wps:spPr>
                      <wps:bodyPr/>
                    </wps:wsp>
                  </a:graphicData>
                </a:graphic>
              </wp:anchor>
            </w:drawing>
          </mc:Choice>
          <mc:Fallback>
            <w:pict>
              <v:rect id="Shape 35" o:spid="_x0000_s1060" style="position:absolute;margin-left:423.7pt;margin-top:-378.0499pt;width:16.6pt;height:1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5591810</wp:posOffset>
                </wp:positionH>
                <wp:positionV relativeFrom="paragraph">
                  <wp:posOffset>-4774565</wp:posOffset>
                </wp:positionV>
                <wp:extent cx="763270" cy="14668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3270" cy="146685"/>
                        </a:xfrm>
                        <a:prstGeom prst="rect">
                          <a:avLst/>
                        </a:prstGeom>
                        <a:solidFill>
                          <a:srgbClr val="FDFDFC"/>
                        </a:solidFill>
                      </wps:spPr>
                      <wps:bodyPr/>
                    </wps:wsp>
                  </a:graphicData>
                </a:graphic>
              </wp:anchor>
            </w:drawing>
          </mc:Choice>
          <mc:Fallback>
            <w:pict>
              <v:rect id="Shape 36" o:spid="_x0000_s1061" style="position:absolute;margin-left:440.3pt;margin-top:-375.9499pt;width:60.1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3735070</wp:posOffset>
                </wp:positionH>
                <wp:positionV relativeFrom="paragraph">
                  <wp:posOffset>-3284220</wp:posOffset>
                </wp:positionV>
                <wp:extent cx="687705" cy="13779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705" cy="137795"/>
                        </a:xfrm>
                        <a:prstGeom prst="rect">
                          <a:avLst/>
                        </a:prstGeom>
                        <a:solidFill>
                          <a:srgbClr val="FDFDFC"/>
                        </a:solidFill>
                      </wps:spPr>
                      <wps:bodyPr/>
                    </wps:wsp>
                  </a:graphicData>
                </a:graphic>
              </wp:anchor>
            </w:drawing>
          </mc:Choice>
          <mc:Fallback>
            <w:pict>
              <v:rect id="Shape 37" o:spid="_x0000_s1062" style="position:absolute;margin-left:294.1pt;margin-top:-258.5999pt;width:54.15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4422775</wp:posOffset>
                </wp:positionH>
                <wp:positionV relativeFrom="paragraph">
                  <wp:posOffset>-3310890</wp:posOffset>
                </wp:positionV>
                <wp:extent cx="209550" cy="16446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550" cy="164465"/>
                        </a:xfrm>
                        <a:prstGeom prst="rect">
                          <a:avLst/>
                        </a:prstGeom>
                        <a:solidFill>
                          <a:srgbClr val="FDFDFC"/>
                        </a:solidFill>
                      </wps:spPr>
                      <wps:bodyPr/>
                    </wps:wsp>
                  </a:graphicData>
                </a:graphic>
              </wp:anchor>
            </w:drawing>
          </mc:Choice>
          <mc:Fallback>
            <w:pict>
              <v:rect id="Shape 38" o:spid="_x0000_s1063" style="position:absolute;margin-left:348.25pt;margin-top:-260.6999pt;width:16.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4632325</wp:posOffset>
                </wp:positionH>
                <wp:positionV relativeFrom="paragraph">
                  <wp:posOffset>-3284220</wp:posOffset>
                </wp:positionV>
                <wp:extent cx="686435" cy="13779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435" cy="137795"/>
                        </a:xfrm>
                        <a:prstGeom prst="rect">
                          <a:avLst/>
                        </a:prstGeom>
                        <a:solidFill>
                          <a:srgbClr val="FDFDFC"/>
                        </a:solidFill>
                      </wps:spPr>
                      <wps:bodyPr/>
                    </wps:wsp>
                  </a:graphicData>
                </a:graphic>
              </wp:anchor>
            </w:drawing>
          </mc:Choice>
          <mc:Fallback>
            <w:pict>
              <v:rect id="Shape 39" o:spid="_x0000_s1064" style="position:absolute;margin-left:364.75pt;margin-top:-258.5999pt;width:54.05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5318760</wp:posOffset>
                </wp:positionH>
                <wp:positionV relativeFrom="paragraph">
                  <wp:posOffset>-3310890</wp:posOffset>
                </wp:positionV>
                <wp:extent cx="209550" cy="16446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550" cy="164465"/>
                        </a:xfrm>
                        <a:prstGeom prst="rect">
                          <a:avLst/>
                        </a:prstGeom>
                        <a:solidFill>
                          <a:srgbClr val="FDFDFC"/>
                        </a:solidFill>
                      </wps:spPr>
                      <wps:bodyPr/>
                    </wps:wsp>
                  </a:graphicData>
                </a:graphic>
              </wp:anchor>
            </w:drawing>
          </mc:Choice>
          <mc:Fallback>
            <w:pict>
              <v:rect id="Shape 40" o:spid="_x0000_s1065" style="position:absolute;margin-left:418.8pt;margin-top:-260.6999pt;width:16.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5528310</wp:posOffset>
                </wp:positionH>
                <wp:positionV relativeFrom="paragraph">
                  <wp:posOffset>-3284220</wp:posOffset>
                </wp:positionV>
                <wp:extent cx="826770" cy="13779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6770" cy="137795"/>
                        </a:xfrm>
                        <a:prstGeom prst="rect">
                          <a:avLst/>
                        </a:prstGeom>
                        <a:solidFill>
                          <a:srgbClr val="FDFDFC"/>
                        </a:solidFill>
                      </wps:spPr>
                      <wps:bodyPr/>
                    </wps:wsp>
                  </a:graphicData>
                </a:graphic>
              </wp:anchor>
            </w:drawing>
          </mc:Choice>
          <mc:Fallback>
            <w:pict>
              <v:rect id="Shape 41" o:spid="_x0000_s1066" style="position:absolute;margin-left:435.3pt;margin-top:-258.5999pt;width:65.1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3735070</wp:posOffset>
                </wp:positionH>
                <wp:positionV relativeFrom="paragraph">
                  <wp:posOffset>-1811020</wp:posOffset>
                </wp:positionV>
                <wp:extent cx="687705" cy="13843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705" cy="138430"/>
                        </a:xfrm>
                        <a:prstGeom prst="rect">
                          <a:avLst/>
                        </a:prstGeom>
                        <a:solidFill>
                          <a:srgbClr val="FDFDFC"/>
                        </a:solidFill>
                      </wps:spPr>
                      <wps:bodyPr/>
                    </wps:wsp>
                  </a:graphicData>
                </a:graphic>
              </wp:anchor>
            </w:drawing>
          </mc:Choice>
          <mc:Fallback>
            <w:pict>
              <v:rect id="Shape 42" o:spid="_x0000_s1067" style="position:absolute;margin-left:294.1pt;margin-top:-142.5999pt;width:54.15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4422775</wp:posOffset>
                </wp:positionH>
                <wp:positionV relativeFrom="paragraph">
                  <wp:posOffset>-1837690</wp:posOffset>
                </wp:positionV>
                <wp:extent cx="209550" cy="16510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550" cy="165100"/>
                        </a:xfrm>
                        <a:prstGeom prst="rect">
                          <a:avLst/>
                        </a:prstGeom>
                        <a:solidFill>
                          <a:srgbClr val="FDFDFC"/>
                        </a:solidFill>
                      </wps:spPr>
                      <wps:bodyPr/>
                    </wps:wsp>
                  </a:graphicData>
                </a:graphic>
              </wp:anchor>
            </w:drawing>
          </mc:Choice>
          <mc:Fallback>
            <w:pict>
              <v:rect id="Shape 43" o:spid="_x0000_s1068" style="position:absolute;margin-left:348.25pt;margin-top:-144.6999pt;width:16.5pt;height: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4632325</wp:posOffset>
                </wp:positionH>
                <wp:positionV relativeFrom="paragraph">
                  <wp:posOffset>-1811020</wp:posOffset>
                </wp:positionV>
                <wp:extent cx="686435" cy="13843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435" cy="138430"/>
                        </a:xfrm>
                        <a:prstGeom prst="rect">
                          <a:avLst/>
                        </a:prstGeom>
                        <a:solidFill>
                          <a:srgbClr val="FDFDFC"/>
                        </a:solidFill>
                      </wps:spPr>
                      <wps:bodyPr/>
                    </wps:wsp>
                  </a:graphicData>
                </a:graphic>
              </wp:anchor>
            </w:drawing>
          </mc:Choice>
          <mc:Fallback>
            <w:pict>
              <v:rect id="Shape 44" o:spid="_x0000_s1069" style="position:absolute;margin-left:364.75pt;margin-top:-142.5999pt;width:54.05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5318760</wp:posOffset>
                </wp:positionH>
                <wp:positionV relativeFrom="paragraph">
                  <wp:posOffset>-1837690</wp:posOffset>
                </wp:positionV>
                <wp:extent cx="209550" cy="16510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550" cy="165100"/>
                        </a:xfrm>
                        <a:prstGeom prst="rect">
                          <a:avLst/>
                        </a:prstGeom>
                        <a:solidFill>
                          <a:srgbClr val="FDFDFC"/>
                        </a:solidFill>
                      </wps:spPr>
                      <wps:bodyPr/>
                    </wps:wsp>
                  </a:graphicData>
                </a:graphic>
              </wp:anchor>
            </w:drawing>
          </mc:Choice>
          <mc:Fallback>
            <w:pict>
              <v:rect id="Shape 45" o:spid="_x0000_s1070" style="position:absolute;margin-left:418.8pt;margin-top:-144.6999pt;width:16.5pt;height: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5528310</wp:posOffset>
                </wp:positionH>
                <wp:positionV relativeFrom="paragraph">
                  <wp:posOffset>-1811020</wp:posOffset>
                </wp:positionV>
                <wp:extent cx="826770" cy="13843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6770" cy="138430"/>
                        </a:xfrm>
                        <a:prstGeom prst="rect">
                          <a:avLst/>
                        </a:prstGeom>
                        <a:solidFill>
                          <a:srgbClr val="FDFDFC"/>
                        </a:solidFill>
                      </wps:spPr>
                      <wps:bodyPr/>
                    </wps:wsp>
                  </a:graphicData>
                </a:graphic>
              </wp:anchor>
            </w:drawing>
          </mc:Choice>
          <mc:Fallback>
            <w:pict>
              <v:rect id="Shape 46" o:spid="_x0000_s1071" style="position:absolute;margin-left:435.3pt;margin-top:-142.5999pt;width:65.1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5629275</wp:posOffset>
                </wp:positionH>
                <wp:positionV relativeFrom="paragraph">
                  <wp:posOffset>-797560</wp:posOffset>
                </wp:positionV>
                <wp:extent cx="725805" cy="14668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146685"/>
                        </a:xfrm>
                        <a:prstGeom prst="rect">
                          <a:avLst/>
                        </a:prstGeom>
                        <a:solidFill>
                          <a:srgbClr val="D0EBF2"/>
                        </a:solidFill>
                      </wps:spPr>
                      <wps:bodyPr/>
                    </wps:wsp>
                  </a:graphicData>
                </a:graphic>
              </wp:anchor>
            </w:drawing>
          </mc:Choice>
          <mc:Fallback>
            <w:pict>
              <v:rect id="Shape 47" o:spid="_x0000_s1072" style="position:absolute;margin-left:443.25pt;margin-top:-62.7999pt;width:57.1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5629275</wp:posOffset>
                </wp:positionH>
                <wp:positionV relativeFrom="paragraph">
                  <wp:posOffset>-498475</wp:posOffset>
                </wp:positionV>
                <wp:extent cx="725805" cy="14605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146050"/>
                        </a:xfrm>
                        <a:prstGeom prst="rect">
                          <a:avLst/>
                        </a:prstGeom>
                        <a:solidFill>
                          <a:srgbClr val="D0EBF2"/>
                        </a:solidFill>
                      </wps:spPr>
                      <wps:bodyPr/>
                    </wps:wsp>
                  </a:graphicData>
                </a:graphic>
              </wp:anchor>
            </w:drawing>
          </mc:Choice>
          <mc:Fallback>
            <w:pict>
              <v:rect id="Shape 48" o:spid="_x0000_s1073" style="position:absolute;margin-left:443.25pt;margin-top:-39.2499pt;width:57.1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5629275</wp:posOffset>
                </wp:positionH>
                <wp:positionV relativeFrom="paragraph">
                  <wp:posOffset>-172720</wp:posOffset>
                </wp:positionV>
                <wp:extent cx="725805" cy="14605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146050"/>
                        </a:xfrm>
                        <a:prstGeom prst="rect">
                          <a:avLst/>
                        </a:prstGeom>
                        <a:solidFill>
                          <a:srgbClr val="D0EBF2"/>
                        </a:solidFill>
                      </wps:spPr>
                      <wps:bodyPr/>
                    </wps:wsp>
                  </a:graphicData>
                </a:graphic>
              </wp:anchor>
            </w:drawing>
          </mc:Choice>
          <mc:Fallback>
            <w:pict>
              <v:rect id="Shape 49" o:spid="_x0000_s1074" style="position:absolute;margin-left:443.25pt;margin-top:-13.5999pt;width:57.1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w:r>
    </w:p>
    <w:p>
      <w:pPr>
        <w:sectPr>
          <w:pgSz w:w="12240" w:h="15840" w:orient="portrait"/>
          <w:cols w:equalWidth="0" w:num="1">
            <w:col w:w="10200"/>
          </w:cols>
          <w:pgMar w:left="1020" w:top="1440" w:right="102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95</w:t>
      </w:r>
    </w:p>
    <w:p>
      <w:pPr>
        <w:sectPr>
          <w:pgSz w:w="12240" w:h="15840" w:orient="portrait"/>
          <w:cols w:equalWidth="0" w:num="1">
            <w:col w:w="10200"/>
          </w:cols>
          <w:pgMar w:left="1020" w:top="1440" w:right="1020" w:bottom="595" w:gutter="0" w:footer="0" w:header="0"/>
          <w:type w:val="continuous"/>
        </w:sectPr>
      </w:pPr>
    </w:p>
    <w:bookmarkStart w:id="96" w:name="page97"/>
    <w:bookmarkEnd w:id="96"/>
    <w:p>
      <w:pPr>
        <w:spacing w:after="0" w:line="105" w:lineRule="exact"/>
        <w:rPr>
          <w:sz w:val="20"/>
          <w:szCs w:val="20"/>
          <w:color w:val="auto"/>
        </w:rPr>
      </w:pPr>
    </w:p>
    <w:p>
      <w:pPr>
        <w:ind w:left="20"/>
        <w:spacing w:after="0"/>
        <w:rPr>
          <w:sz w:val="20"/>
          <w:szCs w:val="20"/>
          <w:color w:val="auto"/>
        </w:rPr>
      </w:pPr>
      <w:r>
        <w:rPr>
          <w:rFonts w:ascii="Arial" w:cs="Arial" w:eastAsia="Arial" w:hAnsi="Arial"/>
          <w:sz w:val="19"/>
          <w:szCs w:val="19"/>
          <w:i w:val="1"/>
          <w:iCs w:val="1"/>
          <w:color w:val="231F20"/>
        </w:rPr>
        <w:t>EBITDA, Adjusted EBITDA and Adjusted EBITDA Margin: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shd w:val="clear" w:color="auto" w:fill="FDFDFC"/>
          </w:tcPr>
          <w:p>
            <w:pPr>
              <w:spacing w:after="0"/>
              <w:rPr>
                <w:sz w:val="14"/>
                <w:szCs w:val="14"/>
                <w:color w:val="auto"/>
              </w:rPr>
            </w:pPr>
          </w:p>
        </w:tc>
        <w:tc>
          <w:tcPr>
            <w:tcW w:w="244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280" w:type="dxa"/>
            <w:vAlign w:val="bottom"/>
            <w:shd w:val="clear" w:color="auto" w:fill="FDFDFC"/>
          </w:tcPr>
          <w:p>
            <w:pPr>
              <w:spacing w:after="0"/>
              <w:rPr>
                <w:sz w:val="14"/>
                <w:szCs w:val="14"/>
                <w:color w:val="auto"/>
              </w:rPr>
            </w:pPr>
          </w:p>
        </w:tc>
        <w:tc>
          <w:tcPr>
            <w:tcW w:w="92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160" w:type="dxa"/>
            <w:vAlign w:val="bottom"/>
            <w:gridSpan w:val="2"/>
            <w:shd w:val="clear" w:color="auto" w:fill="FDFDFC"/>
          </w:tcPr>
          <w:p>
            <w:pPr>
              <w:jc w:val="center"/>
              <w:ind w:right="260"/>
              <w:spacing w:after="0"/>
              <w:rPr>
                <w:sz w:val="20"/>
                <w:szCs w:val="20"/>
                <w:color w:val="auto"/>
              </w:rPr>
            </w:pPr>
            <w:r>
              <w:rPr>
                <w:rFonts w:ascii="Arial" w:cs="Arial" w:eastAsia="Arial" w:hAnsi="Arial"/>
                <w:sz w:val="15"/>
                <w:szCs w:val="15"/>
                <w:b w:val="1"/>
                <w:bCs w:val="1"/>
                <w:color w:val="231F20"/>
                <w:w w:val="99"/>
              </w:rPr>
              <w:t>Year Ended</w:t>
            </w:r>
          </w:p>
        </w:tc>
        <w:tc>
          <w:tcPr>
            <w:tcW w:w="140" w:type="dxa"/>
            <w:vAlign w:val="bottom"/>
            <w:shd w:val="clear" w:color="auto" w:fill="FDFDFC"/>
          </w:tcPr>
          <w:p>
            <w:pPr>
              <w:spacing w:after="0"/>
              <w:rPr>
                <w:sz w:val="14"/>
                <w:szCs w:val="14"/>
                <w:color w:val="auto"/>
              </w:rPr>
            </w:pPr>
          </w:p>
        </w:tc>
        <w:tc>
          <w:tcPr>
            <w:tcW w:w="260" w:type="dxa"/>
            <w:vAlign w:val="bottom"/>
            <w:shd w:val="clear" w:color="auto" w:fill="FDFDFC"/>
          </w:tcPr>
          <w:p>
            <w:pPr>
              <w:spacing w:after="0"/>
              <w:rPr>
                <w:sz w:val="14"/>
                <w:szCs w:val="14"/>
                <w:color w:val="auto"/>
              </w:rPr>
            </w:pPr>
          </w:p>
        </w:tc>
        <w:tc>
          <w:tcPr>
            <w:tcW w:w="94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60" w:type="dxa"/>
            <w:vAlign w:val="bottom"/>
            <w:tcBorders>
              <w:bottom w:val="single" w:sz="8" w:color="FDFDFC"/>
            </w:tcBorders>
            <w:gridSpan w:val="2"/>
            <w:vMerge w:val="restart"/>
            <w:shd w:val="clear" w:color="auto" w:fill="FDFDFC"/>
          </w:tcPr>
          <w:p>
            <w:pPr>
              <w:spacing w:after="0"/>
              <w:rPr>
                <w:sz w:val="20"/>
                <w:szCs w:val="20"/>
                <w:color w:val="auto"/>
              </w:rPr>
            </w:pPr>
            <w:r>
              <w:rPr>
                <w:rFonts w:ascii="Arial" w:cs="Arial" w:eastAsia="Arial" w:hAnsi="Arial"/>
                <w:sz w:val="15"/>
                <w:szCs w:val="15"/>
                <w:b w:val="1"/>
                <w:bCs w:val="1"/>
                <w:color w:val="231F20"/>
              </w:rPr>
              <w:t>(in millions)</w:t>
            </w:r>
          </w:p>
        </w:tc>
        <w:tc>
          <w:tcPr>
            <w:tcW w:w="140" w:type="dxa"/>
            <w:vAlign w:val="bottom"/>
            <w:tcBorders>
              <w:bottom w:val="single" w:sz="8" w:color="FDFDFC"/>
            </w:tcBorders>
            <w:shd w:val="clear" w:color="auto" w:fill="FDFDFC"/>
          </w:tcPr>
          <w:p>
            <w:pPr>
              <w:spacing w:after="0"/>
              <w:rPr>
                <w:sz w:val="16"/>
                <w:szCs w:val="16"/>
                <w:color w:val="auto"/>
              </w:rPr>
            </w:pPr>
          </w:p>
        </w:tc>
        <w:tc>
          <w:tcPr>
            <w:tcW w:w="280" w:type="dxa"/>
            <w:vAlign w:val="bottom"/>
            <w:tcBorders>
              <w:bottom w:val="single" w:sz="8" w:color="231F20"/>
            </w:tcBorders>
            <w:shd w:val="clear" w:color="auto" w:fill="FDFDFC"/>
          </w:tcPr>
          <w:p>
            <w:pPr>
              <w:spacing w:after="0"/>
              <w:rPr>
                <w:sz w:val="16"/>
                <w:szCs w:val="16"/>
                <w:color w:val="auto"/>
              </w:rPr>
            </w:pPr>
          </w:p>
        </w:tc>
        <w:tc>
          <w:tcPr>
            <w:tcW w:w="92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300" w:type="dxa"/>
            <w:vAlign w:val="bottom"/>
            <w:tcBorders>
              <w:bottom w:val="single" w:sz="8" w:color="231F20"/>
            </w:tcBorders>
            <w:gridSpan w:val="3"/>
            <w:shd w:val="clear" w:color="auto" w:fill="FDFDFC"/>
          </w:tcPr>
          <w:p>
            <w:pPr>
              <w:jc w:val="center"/>
              <w:ind w:right="120"/>
              <w:spacing w:after="0"/>
              <w:rPr>
                <w:sz w:val="20"/>
                <w:szCs w:val="20"/>
                <w:color w:val="auto"/>
              </w:rPr>
            </w:pPr>
            <w:r>
              <w:rPr>
                <w:rFonts w:ascii="Arial" w:cs="Arial" w:eastAsia="Arial" w:hAnsi="Arial"/>
                <w:sz w:val="15"/>
                <w:szCs w:val="15"/>
                <w:b w:val="1"/>
                <w:bCs w:val="1"/>
                <w:color w:val="231F20"/>
              </w:rPr>
              <w:t>December 31,</w:t>
            </w:r>
          </w:p>
        </w:tc>
        <w:tc>
          <w:tcPr>
            <w:tcW w:w="140" w:type="dxa"/>
            <w:vAlign w:val="bottom"/>
            <w:tcBorders>
              <w:bottom w:val="single" w:sz="8" w:color="231F20"/>
            </w:tcBorders>
            <w:shd w:val="clear" w:color="auto" w:fill="FDFDFC"/>
          </w:tcPr>
          <w:p>
            <w:pPr>
              <w:spacing w:after="0"/>
              <w:rPr>
                <w:sz w:val="16"/>
                <w:szCs w:val="16"/>
                <w:color w:val="auto"/>
              </w:rPr>
            </w:pPr>
          </w:p>
        </w:tc>
        <w:tc>
          <w:tcPr>
            <w:tcW w:w="260" w:type="dxa"/>
            <w:vAlign w:val="bottom"/>
            <w:tcBorders>
              <w:bottom w:val="single" w:sz="8" w:color="231F20"/>
            </w:tcBorders>
            <w:shd w:val="clear" w:color="auto" w:fill="FDFDFC"/>
          </w:tcPr>
          <w:p>
            <w:pPr>
              <w:spacing w:after="0"/>
              <w:rPr>
                <w:sz w:val="16"/>
                <w:szCs w:val="16"/>
                <w:color w:val="auto"/>
              </w:rPr>
            </w:pPr>
          </w:p>
        </w:tc>
        <w:tc>
          <w:tcPr>
            <w:tcW w:w="9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60" w:type="dxa"/>
            <w:vAlign w:val="bottom"/>
            <w:tcBorders>
              <w:bottom w:val="single" w:sz="8" w:color="231F20"/>
            </w:tcBorders>
            <w:gridSpan w:val="2"/>
            <w:vMerge w:val="continue"/>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80" w:type="dxa"/>
            <w:vAlign w:val="bottom"/>
            <w:tcBorders>
              <w:bottom w:val="single" w:sz="8" w:color="231F20"/>
            </w:tcBorders>
            <w:shd w:val="clear" w:color="auto" w:fill="FDFDFC"/>
          </w:tcPr>
          <w:p>
            <w:pPr>
              <w:spacing w:after="0"/>
              <w:rPr>
                <w:sz w:val="15"/>
                <w:szCs w:val="15"/>
                <w:color w:val="auto"/>
              </w:rPr>
            </w:pPr>
          </w:p>
        </w:tc>
        <w:tc>
          <w:tcPr>
            <w:tcW w:w="920" w:type="dxa"/>
            <w:vAlign w:val="bottom"/>
            <w:tcBorders>
              <w:bottom w:val="single" w:sz="8" w:color="231F20"/>
            </w:tcBorders>
            <w:shd w:val="clear" w:color="auto" w:fill="FDFDFC"/>
          </w:tcPr>
          <w:p>
            <w:pPr>
              <w:jc w:val="right"/>
              <w:ind w:right="327"/>
              <w:spacing w:after="0"/>
              <w:rPr>
                <w:sz w:val="20"/>
                <w:szCs w:val="20"/>
                <w:color w:val="auto"/>
              </w:rPr>
            </w:pPr>
            <w:r>
              <w:rPr>
                <w:rFonts w:ascii="Arial" w:cs="Arial" w:eastAsia="Arial" w:hAnsi="Arial"/>
                <w:sz w:val="15"/>
                <w:szCs w:val="15"/>
                <w:b w:val="1"/>
                <w:bCs w:val="1"/>
                <w:color w:val="231F20"/>
              </w:rPr>
              <w:t>2024</w:t>
            </w:r>
          </w:p>
        </w:tc>
        <w:tc>
          <w:tcPr>
            <w:tcW w:w="12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1060" w:type="dxa"/>
            <w:vAlign w:val="bottom"/>
            <w:tcBorders>
              <w:bottom w:val="single" w:sz="8" w:color="231F20"/>
            </w:tcBorders>
            <w:shd w:val="clear" w:color="auto" w:fill="FDFDFC"/>
          </w:tcPr>
          <w:p>
            <w:pPr>
              <w:jc w:val="center"/>
              <w:ind w:right="68"/>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47"/>
              <w:spacing w:after="0"/>
              <w:rPr>
                <w:sz w:val="20"/>
                <w:szCs w:val="20"/>
                <w:color w:val="auto"/>
              </w:rPr>
            </w:pPr>
            <w:r>
              <w:rPr>
                <w:rFonts w:ascii="Arial" w:cs="Arial" w:eastAsia="Arial" w:hAnsi="Arial"/>
                <w:sz w:val="15"/>
                <w:szCs w:val="15"/>
                <w:b w:val="1"/>
                <w:bCs w:val="1"/>
                <w:color w:val="231F20"/>
              </w:rPr>
              <w:t>2022</w:t>
            </w:r>
          </w:p>
        </w:tc>
        <w:tc>
          <w:tcPr>
            <w:tcW w:w="1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6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Net income (loss)</w:t>
            </w:r>
          </w:p>
        </w:tc>
        <w:tc>
          <w:tcPr>
            <w:tcW w:w="140" w:type="dxa"/>
            <w:vAlign w:val="bottom"/>
            <w:shd w:val="clear" w:color="auto" w:fill="D0EBF2"/>
          </w:tcPr>
          <w:p>
            <w:pPr>
              <w:spacing w:after="0"/>
              <w:rPr>
                <w:sz w:val="19"/>
                <w:szCs w:val="19"/>
                <w:color w:val="auto"/>
              </w:rPr>
            </w:pPr>
          </w:p>
        </w:tc>
        <w:tc>
          <w:tcPr>
            <w:tcW w:w="28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2.9</w:t>
            </w:r>
          </w:p>
        </w:tc>
        <w:tc>
          <w:tcPr>
            <w:tcW w:w="12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14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0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(8.6)</w:t>
            </w:r>
          </w:p>
        </w:tc>
        <w:tc>
          <w:tcPr>
            <w:tcW w:w="1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(39.3)</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FDFDFC"/>
          </w:tcPr>
          <w:p>
            <w:pPr>
              <w:spacing w:after="0"/>
              <w:rPr>
                <w:sz w:val="20"/>
                <w:szCs w:val="20"/>
                <w:color w:val="auto"/>
              </w:rPr>
            </w:pPr>
            <w:r>
              <w:rPr>
                <w:rFonts w:ascii="Arial" w:cs="Arial" w:eastAsia="Arial" w:hAnsi="Arial"/>
                <w:sz w:val="19"/>
                <w:szCs w:val="19"/>
                <w:color w:val="231F20"/>
              </w:rPr>
              <w:t>Interest expense</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9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0.5</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0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0.4</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1.2</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Interest income</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(21.4)</w:t>
            </w:r>
          </w:p>
        </w:tc>
        <w:tc>
          <w:tcPr>
            <w:tcW w:w="14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16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(13.3)</w:t>
            </w: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FDFDFC"/>
          </w:tcPr>
          <w:p>
            <w:pPr>
              <w:spacing w:after="0"/>
              <w:rPr>
                <w:sz w:val="20"/>
                <w:szCs w:val="20"/>
                <w:color w:val="auto"/>
              </w:rPr>
            </w:pPr>
            <w:r>
              <w:rPr>
                <w:rFonts w:ascii="Arial" w:cs="Arial" w:eastAsia="Arial" w:hAnsi="Arial"/>
                <w:sz w:val="19"/>
                <w:szCs w:val="19"/>
                <w:color w:val="231F20"/>
              </w:rPr>
              <w:t>(Benefit from) provision for income taxes</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(1.0)</w:t>
            </w:r>
          </w:p>
        </w:tc>
        <w:tc>
          <w:tcPr>
            <w:tcW w:w="14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0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4.2</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2.0</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Borders>
              <w:bottom w:val="single" w:sz="8" w:color="FDFDFC"/>
            </w:tcBorders>
            <w:gridSpan w:val="2"/>
            <w:shd w:val="clear" w:color="auto" w:fill="D0EBF2"/>
          </w:tcPr>
          <w:p>
            <w:pPr>
              <w:spacing w:after="0"/>
              <w:rPr>
                <w:sz w:val="20"/>
                <w:szCs w:val="20"/>
                <w:color w:val="auto"/>
              </w:rPr>
            </w:pPr>
            <w:r>
              <w:rPr>
                <w:rFonts w:ascii="Arial" w:cs="Arial" w:eastAsia="Arial" w:hAnsi="Arial"/>
                <w:sz w:val="19"/>
                <w:szCs w:val="19"/>
                <w:color w:val="231F20"/>
              </w:rPr>
              <w:t>Depreciation and amortization</w:t>
            </w:r>
          </w:p>
        </w:tc>
        <w:tc>
          <w:tcPr>
            <w:tcW w:w="140" w:type="dxa"/>
            <w:vAlign w:val="bottom"/>
            <w:tcBorders>
              <w:bottom w:val="single" w:sz="8" w:color="FDFDFC"/>
            </w:tcBorders>
            <w:shd w:val="clear" w:color="auto" w:fill="D0EBF2"/>
          </w:tcPr>
          <w:p>
            <w:pPr>
              <w:spacing w:after="0"/>
              <w:rPr>
                <w:sz w:val="20"/>
                <w:szCs w:val="20"/>
                <w:color w:val="auto"/>
              </w:rPr>
            </w:pPr>
          </w:p>
        </w:tc>
        <w:tc>
          <w:tcPr>
            <w:tcW w:w="280" w:type="dxa"/>
            <w:vAlign w:val="bottom"/>
            <w:tcBorders>
              <w:bottom w:val="single" w:sz="8" w:color="231F20"/>
            </w:tcBorders>
            <w:shd w:val="clear" w:color="auto" w:fill="D0EBF2"/>
          </w:tcPr>
          <w:p>
            <w:pPr>
              <w:spacing w:after="0"/>
              <w:rPr>
                <w:sz w:val="20"/>
                <w:szCs w:val="20"/>
                <w:color w:val="auto"/>
              </w:rPr>
            </w:pPr>
          </w:p>
        </w:tc>
        <w:tc>
          <w:tcPr>
            <w:tcW w:w="92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18.5</w:t>
            </w:r>
          </w:p>
        </w:tc>
        <w:tc>
          <w:tcPr>
            <w:tcW w:w="120" w:type="dxa"/>
            <w:vAlign w:val="bottom"/>
            <w:tcBorders>
              <w:bottom w:val="single" w:sz="8" w:color="FDFDFC"/>
            </w:tcBorders>
            <w:shd w:val="clear" w:color="auto" w:fill="D0EBF2"/>
          </w:tcPr>
          <w:p>
            <w:pPr>
              <w:spacing w:after="0"/>
              <w:rPr>
                <w:sz w:val="20"/>
                <w:szCs w:val="20"/>
                <w:color w:val="auto"/>
              </w:rPr>
            </w:pPr>
          </w:p>
        </w:tc>
        <w:tc>
          <w:tcPr>
            <w:tcW w:w="140" w:type="dxa"/>
            <w:vAlign w:val="bottom"/>
            <w:tcBorders>
              <w:bottom w:val="single" w:sz="8" w:color="FDFDFC"/>
            </w:tcBorders>
            <w:shd w:val="clear" w:color="auto" w:fill="D0EBF2"/>
          </w:tcPr>
          <w:p>
            <w:pPr>
              <w:spacing w:after="0"/>
              <w:rPr>
                <w:sz w:val="20"/>
                <w:szCs w:val="20"/>
                <w:color w:val="auto"/>
              </w:rPr>
            </w:pPr>
          </w:p>
        </w:tc>
        <w:tc>
          <w:tcPr>
            <w:tcW w:w="140" w:type="dxa"/>
            <w:vAlign w:val="bottom"/>
            <w:tcBorders>
              <w:bottom w:val="single" w:sz="8" w:color="231F20"/>
            </w:tcBorders>
            <w:shd w:val="clear" w:color="auto" w:fill="D0EBF2"/>
          </w:tcPr>
          <w:p>
            <w:pPr>
              <w:spacing w:after="0"/>
              <w:rPr>
                <w:sz w:val="20"/>
                <w:szCs w:val="20"/>
                <w:color w:val="auto"/>
              </w:rPr>
            </w:pPr>
          </w:p>
        </w:tc>
        <w:tc>
          <w:tcPr>
            <w:tcW w:w="106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16.4</w:t>
            </w:r>
          </w:p>
        </w:tc>
        <w:tc>
          <w:tcPr>
            <w:tcW w:w="100" w:type="dxa"/>
            <w:vAlign w:val="bottom"/>
            <w:tcBorders>
              <w:bottom w:val="single" w:sz="8" w:color="FDFDFC"/>
            </w:tcBorders>
            <w:shd w:val="clear" w:color="auto" w:fill="D0EBF2"/>
          </w:tcPr>
          <w:p>
            <w:pPr>
              <w:spacing w:after="0"/>
              <w:rPr>
                <w:sz w:val="20"/>
                <w:szCs w:val="20"/>
                <w:color w:val="auto"/>
              </w:rPr>
            </w:pPr>
          </w:p>
        </w:tc>
        <w:tc>
          <w:tcPr>
            <w:tcW w:w="140" w:type="dxa"/>
            <w:vAlign w:val="bottom"/>
            <w:tcBorders>
              <w:bottom w:val="single" w:sz="8" w:color="FDFDFC"/>
            </w:tcBorders>
            <w:shd w:val="clear" w:color="auto" w:fill="D0EBF2"/>
          </w:tcPr>
          <w:p>
            <w:pPr>
              <w:spacing w:after="0"/>
              <w:rPr>
                <w:sz w:val="20"/>
                <w:szCs w:val="20"/>
                <w:color w:val="auto"/>
              </w:rPr>
            </w:pPr>
          </w:p>
        </w:tc>
        <w:tc>
          <w:tcPr>
            <w:tcW w:w="260" w:type="dxa"/>
            <w:vAlign w:val="bottom"/>
            <w:tcBorders>
              <w:bottom w:val="single" w:sz="8" w:color="231F20"/>
            </w:tcBorders>
            <w:shd w:val="clear" w:color="auto" w:fill="D0EBF2"/>
          </w:tcPr>
          <w:p>
            <w:pPr>
              <w:spacing w:after="0"/>
              <w:rPr>
                <w:sz w:val="20"/>
                <w:szCs w:val="20"/>
                <w:color w:val="auto"/>
              </w:rPr>
            </w:pP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14.1</w:t>
            </w:r>
          </w:p>
        </w:tc>
        <w:tc>
          <w:tcPr>
            <w:tcW w:w="100" w:type="dxa"/>
            <w:vAlign w:val="bottom"/>
            <w:tcBorders>
              <w:bottom w:val="single" w:sz="8" w:color="FDFDFC"/>
            </w:tcBorders>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60" w:type="dxa"/>
            <w:vAlign w:val="bottom"/>
            <w:gridSpan w:val="2"/>
            <w:shd w:val="clear" w:color="auto" w:fill="FDFDFC"/>
          </w:tcPr>
          <w:p>
            <w:pPr>
              <w:spacing w:after="0"/>
              <w:rPr>
                <w:sz w:val="20"/>
                <w:szCs w:val="20"/>
                <w:color w:val="auto"/>
              </w:rPr>
            </w:pPr>
            <w:r>
              <w:rPr>
                <w:rFonts w:ascii="Arial" w:cs="Arial" w:eastAsia="Arial" w:hAnsi="Arial"/>
                <w:sz w:val="19"/>
                <w:szCs w:val="19"/>
                <w:color w:val="231F20"/>
              </w:rPr>
              <w:t>EBITDA</w:t>
            </w:r>
          </w:p>
        </w:tc>
        <w:tc>
          <w:tcPr>
            <w:tcW w:w="140" w:type="dxa"/>
            <w:vAlign w:val="bottom"/>
            <w:shd w:val="clear" w:color="auto" w:fill="FDFDFC"/>
          </w:tcPr>
          <w:p>
            <w:pPr>
              <w:spacing w:after="0"/>
              <w:rPr>
                <w:sz w:val="19"/>
                <w:szCs w:val="19"/>
                <w:color w:val="auto"/>
              </w:rPr>
            </w:pPr>
          </w:p>
        </w:tc>
        <w:tc>
          <w:tcPr>
            <w:tcW w:w="280" w:type="dxa"/>
            <w:vAlign w:val="bottom"/>
            <w:shd w:val="clear" w:color="auto" w:fill="FDFDFC"/>
          </w:tcPr>
          <w:p>
            <w:pPr>
              <w:spacing w:after="0"/>
              <w:rPr>
                <w:sz w:val="19"/>
                <w:szCs w:val="19"/>
                <w:color w:val="auto"/>
              </w:rPr>
            </w:pPr>
          </w:p>
        </w:tc>
        <w:tc>
          <w:tcPr>
            <w:tcW w:w="9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(0.5)</w:t>
            </w:r>
          </w:p>
        </w:tc>
        <w:tc>
          <w:tcPr>
            <w:tcW w:w="120" w:type="dxa"/>
            <w:vAlign w:val="bottom"/>
            <w:shd w:val="clear" w:color="auto" w:fill="FDFDFC"/>
          </w:tcPr>
          <w:p>
            <w:pPr>
              <w:spacing w:after="0"/>
              <w:rPr>
                <w:sz w:val="19"/>
                <w:szCs w:val="19"/>
                <w:color w:val="auto"/>
              </w:rPr>
            </w:pPr>
          </w:p>
        </w:tc>
        <w:tc>
          <w:tcPr>
            <w:tcW w:w="140" w:type="dxa"/>
            <w:vAlign w:val="bottom"/>
            <w:shd w:val="clear" w:color="auto" w:fill="FDFDFC"/>
          </w:tcPr>
          <w:p>
            <w:pPr>
              <w:spacing w:after="0"/>
              <w:rPr>
                <w:sz w:val="19"/>
                <w:szCs w:val="19"/>
                <w:color w:val="auto"/>
              </w:rPr>
            </w:pPr>
          </w:p>
        </w:tc>
        <w:tc>
          <w:tcPr>
            <w:tcW w:w="140" w:type="dxa"/>
            <w:vAlign w:val="bottom"/>
            <w:shd w:val="clear" w:color="auto" w:fill="FDFDFC"/>
          </w:tcPr>
          <w:p>
            <w:pPr>
              <w:spacing w:after="0"/>
              <w:rPr>
                <w:sz w:val="19"/>
                <w:szCs w:val="19"/>
                <w:color w:val="auto"/>
              </w:rPr>
            </w:pPr>
          </w:p>
        </w:tc>
        <w:tc>
          <w:tcPr>
            <w:tcW w:w="10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(0.9)</w:t>
            </w:r>
          </w:p>
        </w:tc>
        <w:tc>
          <w:tcPr>
            <w:tcW w:w="100" w:type="dxa"/>
            <w:vAlign w:val="bottom"/>
            <w:shd w:val="clear" w:color="auto" w:fill="FDFDFC"/>
          </w:tcPr>
          <w:p>
            <w:pPr>
              <w:spacing w:after="0"/>
              <w:rPr>
                <w:sz w:val="19"/>
                <w:szCs w:val="19"/>
                <w:color w:val="auto"/>
              </w:rPr>
            </w:pPr>
          </w:p>
        </w:tc>
        <w:tc>
          <w:tcPr>
            <w:tcW w:w="140" w:type="dxa"/>
            <w:vAlign w:val="bottom"/>
            <w:shd w:val="clear" w:color="auto" w:fill="FDFDFC"/>
          </w:tcPr>
          <w:p>
            <w:pPr>
              <w:spacing w:after="0"/>
              <w:rPr>
                <w:sz w:val="19"/>
                <w:szCs w:val="19"/>
                <w:color w:val="auto"/>
              </w:rPr>
            </w:pPr>
          </w:p>
        </w:tc>
        <w:tc>
          <w:tcPr>
            <w:tcW w:w="260" w:type="dxa"/>
            <w:vAlign w:val="bottom"/>
            <w:shd w:val="clear" w:color="auto" w:fill="FDFDFC"/>
          </w:tcPr>
          <w:p>
            <w:pPr>
              <w:spacing w:after="0"/>
              <w:rPr>
                <w:sz w:val="19"/>
                <w:szCs w:val="19"/>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(25.2)</w:t>
            </w:r>
          </w:p>
        </w:tc>
        <w:tc>
          <w:tcPr>
            <w:tcW w:w="100" w:type="dxa"/>
            <w:vAlign w:val="bottom"/>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Stock-based compensation expense and related taxes</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65.8</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0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45.2</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31.2</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FDFDFC"/>
          </w:tcPr>
          <w:p>
            <w:pPr>
              <w:spacing w:after="0"/>
              <w:rPr>
                <w:sz w:val="20"/>
                <w:szCs w:val="20"/>
                <w:color w:val="auto"/>
              </w:rPr>
            </w:pPr>
            <w:r>
              <w:rPr>
                <w:rFonts w:ascii="Arial" w:cs="Arial" w:eastAsia="Arial" w:hAnsi="Arial"/>
                <w:sz w:val="19"/>
                <w:szCs w:val="19"/>
                <w:color w:val="231F20"/>
              </w:rPr>
              <w:t>Change in fair value of contingent consideration</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(1.0)</w:t>
            </w:r>
          </w:p>
        </w:tc>
        <w:tc>
          <w:tcPr>
            <w:tcW w:w="14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0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0.4</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Loss (gain) from remeasurement of foreign currency</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11.8</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16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(4.2)</w:t>
            </w: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9.2</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FDFDFC"/>
          </w:tcPr>
          <w:p>
            <w:pPr>
              <w:spacing w:after="0"/>
              <w:rPr>
                <w:sz w:val="20"/>
                <w:szCs w:val="20"/>
                <w:color w:val="auto"/>
              </w:rPr>
            </w:pPr>
            <w:r>
              <w:rPr>
                <w:rFonts w:ascii="Arial" w:cs="Arial" w:eastAsia="Arial" w:hAnsi="Arial"/>
                <w:sz w:val="19"/>
                <w:szCs w:val="19"/>
                <w:color w:val="231F20"/>
              </w:rPr>
              <w:t>Indirect taxes related to intercompany activity</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9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0.7</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0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0.2</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0.4</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D0EBF2"/>
          </w:tcPr>
          <w:p>
            <w:pPr>
              <w:spacing w:after="0" w:line="230" w:lineRule="exact"/>
              <w:rPr>
                <w:sz w:val="20"/>
                <w:szCs w:val="20"/>
                <w:color w:val="auto"/>
              </w:rPr>
            </w:pPr>
            <w:r>
              <w:rPr>
                <w:rFonts w:ascii="Arial" w:cs="Arial" w:eastAsia="Arial" w:hAnsi="Arial"/>
                <w:sz w:val="19"/>
                <w:szCs w:val="19"/>
                <w:color w:val="231F20"/>
              </w:rPr>
              <w:t xml:space="preserve">Acquisition related transaction costs </w:t>
            </w:r>
            <w:r>
              <w:rPr>
                <w:rFonts w:ascii="Arial" w:cs="Arial" w:eastAsia="Arial" w:hAnsi="Arial"/>
                <w:sz w:val="24"/>
                <w:szCs w:val="24"/>
                <w:color w:val="231F20"/>
                <w:vertAlign w:val="superscript"/>
              </w:rPr>
              <w:t>(1)</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0.6</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0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0.4</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0.8</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Borders>
              <w:bottom w:val="single" w:sz="8" w:color="D0EBF2"/>
            </w:tcBorders>
            <w:gridSpan w:val="2"/>
            <w:shd w:val="clear" w:color="auto" w:fill="FDFDFC"/>
          </w:tcPr>
          <w:p>
            <w:pPr>
              <w:spacing w:after="0" w:line="230" w:lineRule="exact"/>
              <w:rPr>
                <w:sz w:val="20"/>
                <w:szCs w:val="20"/>
                <w:color w:val="auto"/>
              </w:rPr>
            </w:pPr>
            <w:r>
              <w:rPr>
                <w:rFonts w:ascii="Arial" w:cs="Arial" w:eastAsia="Arial" w:hAnsi="Arial"/>
                <w:sz w:val="19"/>
                <w:szCs w:val="19"/>
                <w:color w:val="231F20"/>
              </w:rPr>
              <w:t xml:space="preserve">Acquisition related employee retention costs </w:t>
            </w:r>
            <w:r>
              <w:rPr>
                <w:rFonts w:ascii="Arial" w:cs="Arial" w:eastAsia="Arial" w:hAnsi="Arial"/>
                <w:sz w:val="24"/>
                <w:szCs w:val="24"/>
                <w:color w:val="231F20"/>
                <w:vertAlign w:val="superscript"/>
              </w:rPr>
              <w:t>(2)</w:t>
            </w:r>
          </w:p>
        </w:tc>
        <w:tc>
          <w:tcPr>
            <w:tcW w:w="140" w:type="dxa"/>
            <w:vAlign w:val="bottom"/>
            <w:tcBorders>
              <w:bottom w:val="single" w:sz="8" w:color="D0EBF2"/>
            </w:tcBorders>
            <w:shd w:val="clear" w:color="auto" w:fill="FDFDFC"/>
          </w:tcPr>
          <w:p>
            <w:pPr>
              <w:spacing w:after="0"/>
              <w:rPr>
                <w:sz w:val="20"/>
                <w:szCs w:val="20"/>
                <w:color w:val="auto"/>
              </w:rPr>
            </w:pPr>
          </w:p>
        </w:tc>
        <w:tc>
          <w:tcPr>
            <w:tcW w:w="280" w:type="dxa"/>
            <w:vAlign w:val="bottom"/>
            <w:tcBorders>
              <w:bottom w:val="single" w:sz="8" w:color="231F20"/>
            </w:tcBorders>
            <w:shd w:val="clear" w:color="auto" w:fill="FDFDFC"/>
          </w:tcPr>
          <w:p>
            <w:pPr>
              <w:spacing w:after="0"/>
              <w:rPr>
                <w:sz w:val="20"/>
                <w:szCs w:val="20"/>
                <w:color w:val="auto"/>
              </w:rPr>
            </w:pPr>
          </w:p>
        </w:tc>
        <w:tc>
          <w:tcPr>
            <w:tcW w:w="9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0.5</w:t>
            </w:r>
          </w:p>
        </w:tc>
        <w:tc>
          <w:tcPr>
            <w:tcW w:w="120" w:type="dxa"/>
            <w:vAlign w:val="bottom"/>
            <w:tcBorders>
              <w:bottom w:val="single" w:sz="8" w:color="D0EBF2"/>
            </w:tcBorders>
            <w:shd w:val="clear" w:color="auto" w:fill="FDFDFC"/>
          </w:tcPr>
          <w:p>
            <w:pPr>
              <w:spacing w:after="0"/>
              <w:rPr>
                <w:sz w:val="20"/>
                <w:szCs w:val="20"/>
                <w:color w:val="auto"/>
              </w:rPr>
            </w:pPr>
          </w:p>
        </w:tc>
        <w:tc>
          <w:tcPr>
            <w:tcW w:w="140" w:type="dxa"/>
            <w:vAlign w:val="bottom"/>
            <w:tcBorders>
              <w:bottom w:val="single" w:sz="8" w:color="D0EBF2"/>
            </w:tcBorders>
            <w:shd w:val="clear" w:color="auto" w:fill="FDFDFC"/>
          </w:tcPr>
          <w:p>
            <w:pPr>
              <w:spacing w:after="0"/>
              <w:rPr>
                <w:sz w:val="20"/>
                <w:szCs w:val="20"/>
                <w:color w:val="auto"/>
              </w:rPr>
            </w:pPr>
          </w:p>
        </w:tc>
        <w:tc>
          <w:tcPr>
            <w:tcW w:w="140" w:type="dxa"/>
            <w:vAlign w:val="bottom"/>
            <w:tcBorders>
              <w:bottom w:val="single" w:sz="8" w:color="231F20"/>
            </w:tcBorders>
            <w:shd w:val="clear" w:color="auto" w:fill="FDFDFC"/>
          </w:tcPr>
          <w:p>
            <w:pPr>
              <w:spacing w:after="0"/>
              <w:rPr>
                <w:sz w:val="20"/>
                <w:szCs w:val="20"/>
                <w:color w:val="auto"/>
              </w:rPr>
            </w:pPr>
          </w:p>
        </w:tc>
        <w:tc>
          <w:tcPr>
            <w:tcW w:w="106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0.9</w:t>
            </w:r>
          </w:p>
        </w:tc>
        <w:tc>
          <w:tcPr>
            <w:tcW w:w="100" w:type="dxa"/>
            <w:vAlign w:val="bottom"/>
            <w:tcBorders>
              <w:bottom w:val="single" w:sz="8" w:color="D0EBF2"/>
            </w:tcBorders>
            <w:shd w:val="clear" w:color="auto" w:fill="FDFDFC"/>
          </w:tcPr>
          <w:p>
            <w:pPr>
              <w:spacing w:after="0"/>
              <w:rPr>
                <w:sz w:val="20"/>
                <w:szCs w:val="20"/>
                <w:color w:val="auto"/>
              </w:rPr>
            </w:pPr>
          </w:p>
        </w:tc>
        <w:tc>
          <w:tcPr>
            <w:tcW w:w="140" w:type="dxa"/>
            <w:vAlign w:val="bottom"/>
            <w:tcBorders>
              <w:bottom w:val="single" w:sz="8" w:color="D0EBF2"/>
            </w:tcBorders>
            <w:shd w:val="clear" w:color="auto" w:fill="FDFDFC"/>
          </w:tcPr>
          <w:p>
            <w:pPr>
              <w:spacing w:after="0"/>
              <w:rPr>
                <w:sz w:val="20"/>
                <w:szCs w:val="20"/>
                <w:color w:val="auto"/>
              </w:rPr>
            </w:pPr>
          </w:p>
        </w:tc>
        <w:tc>
          <w:tcPr>
            <w:tcW w:w="260" w:type="dxa"/>
            <w:vAlign w:val="bottom"/>
            <w:tcBorders>
              <w:bottom w:val="single" w:sz="8" w:color="231F20"/>
            </w:tcBorders>
            <w:shd w:val="clear" w:color="auto" w:fill="FDFDFC"/>
          </w:tcPr>
          <w:p>
            <w:pPr>
              <w:spacing w:after="0"/>
              <w:rPr>
                <w:sz w:val="20"/>
                <w:szCs w:val="20"/>
                <w:color w:val="auto"/>
              </w:rPr>
            </w:pP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1.4</w:t>
            </w:r>
          </w:p>
        </w:tc>
        <w:tc>
          <w:tcPr>
            <w:tcW w:w="10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6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Adjusted EBITDA</w:t>
            </w:r>
          </w:p>
        </w:tc>
        <w:tc>
          <w:tcPr>
            <w:tcW w:w="140" w:type="dxa"/>
            <w:vAlign w:val="bottom"/>
            <w:shd w:val="clear" w:color="auto" w:fill="D0EBF2"/>
          </w:tcPr>
          <w:p>
            <w:pPr>
              <w:spacing w:after="0"/>
              <w:rPr>
                <w:sz w:val="19"/>
                <w:szCs w:val="19"/>
                <w:color w:val="auto"/>
              </w:rPr>
            </w:pPr>
          </w:p>
        </w:tc>
        <w:tc>
          <w:tcPr>
            <w:tcW w:w="28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77.9</w:t>
            </w:r>
          </w:p>
        </w:tc>
        <w:tc>
          <w:tcPr>
            <w:tcW w:w="12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1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06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42.0</w:t>
            </w:r>
          </w:p>
        </w:tc>
        <w:tc>
          <w:tcPr>
            <w:tcW w:w="1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14.9</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Borders>
              <w:bottom w:val="single" w:sz="8" w:color="231F20"/>
            </w:tcBorders>
          </w:tcPr>
          <w:p>
            <w:pPr>
              <w:spacing w:after="0"/>
              <w:rPr>
                <w:sz w:val="9"/>
                <w:szCs w:val="9"/>
                <w:color w:val="auto"/>
              </w:rPr>
            </w:pPr>
          </w:p>
        </w:tc>
        <w:tc>
          <w:tcPr>
            <w:tcW w:w="3420" w:type="dxa"/>
            <w:vAlign w:val="bottom"/>
            <w:tcBorders>
              <w:bottom w:val="single" w:sz="8" w:color="231F20"/>
            </w:tcBorders>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80" w:right="420" w:hanging="337"/>
        <w:spacing w:after="0" w:line="255" w:lineRule="auto"/>
        <w:tabs>
          <w:tab w:leader="none" w:pos="480" w:val="left"/>
        </w:tabs>
        <w:numPr>
          <w:ilvl w:val="0"/>
          <w:numId w:val="49"/>
        </w:numPr>
        <w:rPr>
          <w:rFonts w:ascii="Arial" w:cs="Arial" w:eastAsia="Arial" w:hAnsi="Arial"/>
          <w:sz w:val="15"/>
          <w:szCs w:val="15"/>
          <w:color w:val="231F20"/>
        </w:rPr>
      </w:pPr>
      <w:r>
        <w:rPr>
          <w:rFonts w:ascii="Arial" w:cs="Arial" w:eastAsia="Arial" w:hAnsi="Arial"/>
          <w:sz w:val="15"/>
          <w:szCs w:val="15"/>
          <w:color w:val="231F20"/>
        </w:rPr>
        <w:t>Acquisition related transaction costs consisted of legal and advisory fees incurred in connection with the Invoiced, StudyLink and Cohort Go acquisitions.</w:t>
      </w:r>
    </w:p>
    <w:p>
      <w:pPr>
        <w:spacing w:after="0" w:line="1" w:lineRule="exact"/>
        <w:rPr>
          <w:rFonts w:ascii="Arial" w:cs="Arial" w:eastAsia="Arial" w:hAnsi="Arial"/>
          <w:sz w:val="15"/>
          <w:szCs w:val="15"/>
          <w:color w:val="231F20"/>
        </w:rPr>
      </w:pPr>
    </w:p>
    <w:p>
      <w:pPr>
        <w:ind w:left="480" w:right="380" w:hanging="337"/>
        <w:spacing w:after="0" w:line="258" w:lineRule="auto"/>
        <w:tabs>
          <w:tab w:leader="none" w:pos="480" w:val="left"/>
        </w:tabs>
        <w:numPr>
          <w:ilvl w:val="0"/>
          <w:numId w:val="49"/>
        </w:numPr>
        <w:rPr>
          <w:rFonts w:ascii="Arial" w:cs="Arial" w:eastAsia="Arial" w:hAnsi="Arial"/>
          <w:sz w:val="15"/>
          <w:szCs w:val="15"/>
          <w:color w:val="231F20"/>
        </w:rPr>
      </w:pPr>
      <w:r>
        <w:rPr>
          <w:rFonts w:ascii="Arial" w:cs="Arial" w:eastAsia="Arial" w:hAnsi="Arial"/>
          <w:sz w:val="15"/>
          <w:szCs w:val="15"/>
          <w:color w:val="231F20"/>
        </w:rPr>
        <w:t>Acquisition related employee retention costs consisted of costs incurred to retain and compensate Invoiced, StudyLink and WPM Group Ltd. (WPM) employees in connection with integration of the business. WPM was acquired on December 14, 2021.</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800" w:type="dxa"/>
            <w:vAlign w:val="bottom"/>
            <w:tcBorders>
              <w:bottom w:val="single" w:sz="8" w:color="FDFDFC"/>
            </w:tcBorders>
            <w:vMerge w:val="restart"/>
            <w:shd w:val="clear" w:color="auto" w:fill="FDFDFC"/>
          </w:tcPr>
          <w:p>
            <w:pPr>
              <w:spacing w:after="0"/>
              <w:rPr>
                <w:sz w:val="20"/>
                <w:szCs w:val="20"/>
                <w:color w:val="auto"/>
              </w:rPr>
            </w:pPr>
            <w:r>
              <w:rPr>
                <w:rFonts w:ascii="Arial" w:cs="Arial" w:eastAsia="Arial" w:hAnsi="Arial"/>
                <w:sz w:val="15"/>
                <w:szCs w:val="15"/>
                <w:b w:val="1"/>
                <w:bCs w:val="1"/>
                <w:color w:val="231F20"/>
              </w:rPr>
              <w:t>(in millions)</w:t>
            </w:r>
          </w:p>
        </w:tc>
        <w:tc>
          <w:tcPr>
            <w:tcW w:w="60" w:type="dxa"/>
            <w:vAlign w:val="bottom"/>
            <w:tcBorders>
              <w:bottom w:val="single" w:sz="8" w:color="FDFDFC"/>
            </w:tcBorders>
            <w:shd w:val="clear" w:color="auto" w:fill="FDFDFC"/>
          </w:tcPr>
          <w:p>
            <w:pPr>
              <w:spacing w:after="0"/>
              <w:rPr>
                <w:sz w:val="16"/>
                <w:szCs w:val="16"/>
                <w:color w:val="auto"/>
              </w:rPr>
            </w:pPr>
          </w:p>
        </w:tc>
        <w:tc>
          <w:tcPr>
            <w:tcW w:w="240" w:type="dxa"/>
            <w:vAlign w:val="bottom"/>
            <w:tcBorders>
              <w:bottom w:val="single" w:sz="8" w:color="231F20"/>
            </w:tcBorders>
            <w:shd w:val="clear" w:color="auto" w:fill="FDFDFC"/>
          </w:tcPr>
          <w:p>
            <w:pPr>
              <w:spacing w:after="0"/>
              <w:rPr>
                <w:sz w:val="16"/>
                <w:szCs w:val="16"/>
                <w:color w:val="auto"/>
              </w:rPr>
            </w:pPr>
          </w:p>
        </w:tc>
        <w:tc>
          <w:tcPr>
            <w:tcW w:w="920" w:type="dxa"/>
            <w:vAlign w:val="bottom"/>
            <w:tcBorders>
              <w:bottom w:val="single" w:sz="8" w:color="231F20"/>
            </w:tcBorders>
            <w:shd w:val="clear" w:color="auto" w:fill="FDFDFC"/>
          </w:tcPr>
          <w:p>
            <w:pPr>
              <w:spacing w:after="0"/>
              <w:rPr>
                <w:sz w:val="16"/>
                <w:szCs w:val="16"/>
                <w:color w:val="auto"/>
              </w:rPr>
            </w:pPr>
          </w:p>
        </w:tc>
        <w:tc>
          <w:tcPr>
            <w:tcW w:w="240" w:type="dxa"/>
            <w:vAlign w:val="bottom"/>
            <w:tcBorders>
              <w:bottom w:val="single" w:sz="8" w:color="231F20"/>
            </w:tcBorders>
            <w:shd w:val="clear" w:color="auto" w:fill="FDFDFC"/>
          </w:tcPr>
          <w:p>
            <w:pPr>
              <w:spacing w:after="0"/>
              <w:rPr>
                <w:sz w:val="16"/>
                <w:szCs w:val="16"/>
                <w:color w:val="auto"/>
              </w:rPr>
            </w:pPr>
          </w:p>
        </w:tc>
        <w:tc>
          <w:tcPr>
            <w:tcW w:w="60" w:type="dxa"/>
            <w:vAlign w:val="bottom"/>
            <w:tcBorders>
              <w:bottom w:val="single" w:sz="8" w:color="231F20"/>
            </w:tcBorders>
            <w:shd w:val="clear" w:color="auto" w:fill="FDFDFC"/>
          </w:tcPr>
          <w:p>
            <w:pPr>
              <w:spacing w:after="0"/>
              <w:rPr>
                <w:sz w:val="16"/>
                <w:szCs w:val="16"/>
                <w:color w:val="auto"/>
              </w:rPr>
            </w:pPr>
          </w:p>
        </w:tc>
        <w:tc>
          <w:tcPr>
            <w:tcW w:w="1420" w:type="dxa"/>
            <w:vAlign w:val="bottom"/>
            <w:tcBorders>
              <w:bottom w:val="single" w:sz="8" w:color="231F20"/>
            </w:tcBorders>
            <w:gridSpan w:val="3"/>
            <w:shd w:val="clear" w:color="auto" w:fill="FDFDFC"/>
          </w:tcPr>
          <w:p>
            <w:pPr>
              <w:jc w:val="right"/>
              <w:ind w:right="360"/>
              <w:spacing w:after="0"/>
              <w:rPr>
                <w:sz w:val="20"/>
                <w:szCs w:val="20"/>
                <w:color w:val="auto"/>
              </w:rPr>
            </w:pPr>
            <w:r>
              <w:rPr>
                <w:rFonts w:ascii="Arial" w:cs="Arial" w:eastAsia="Arial" w:hAnsi="Arial"/>
                <w:sz w:val="15"/>
                <w:szCs w:val="15"/>
                <w:b w:val="1"/>
                <w:bCs w:val="1"/>
                <w:color w:val="231F20"/>
              </w:rPr>
              <w:t>December 31,</w:t>
            </w:r>
          </w:p>
        </w:tc>
        <w:tc>
          <w:tcPr>
            <w:tcW w:w="40" w:type="dxa"/>
            <w:vAlign w:val="bottom"/>
            <w:tcBorders>
              <w:bottom w:val="single" w:sz="8" w:color="231F20"/>
            </w:tcBorders>
            <w:shd w:val="clear" w:color="auto" w:fill="FDFDFC"/>
          </w:tcPr>
          <w:p>
            <w:pPr>
              <w:spacing w:after="0"/>
              <w:rPr>
                <w:sz w:val="16"/>
                <w:szCs w:val="16"/>
                <w:color w:val="auto"/>
              </w:rPr>
            </w:pPr>
          </w:p>
        </w:tc>
        <w:tc>
          <w:tcPr>
            <w:tcW w:w="260" w:type="dxa"/>
            <w:vAlign w:val="bottom"/>
            <w:tcBorders>
              <w:bottom w:val="single" w:sz="8" w:color="231F20"/>
            </w:tcBorders>
            <w:shd w:val="clear" w:color="auto" w:fill="FDFDFC"/>
          </w:tcPr>
          <w:p>
            <w:pPr>
              <w:spacing w:after="0"/>
              <w:rPr>
                <w:sz w:val="16"/>
                <w:szCs w:val="16"/>
                <w:color w:val="auto"/>
              </w:rPr>
            </w:pPr>
          </w:p>
        </w:tc>
        <w:tc>
          <w:tcPr>
            <w:tcW w:w="920" w:type="dxa"/>
            <w:vAlign w:val="bottom"/>
            <w:tcBorders>
              <w:bottom w:val="single" w:sz="8" w:color="231F20"/>
            </w:tcBorders>
            <w:shd w:val="clear" w:color="auto" w:fill="FDFDFC"/>
          </w:tcPr>
          <w:p>
            <w:pPr>
              <w:spacing w:after="0"/>
              <w:rPr>
                <w:sz w:val="16"/>
                <w:szCs w:val="16"/>
                <w:color w:val="auto"/>
              </w:rPr>
            </w:pPr>
          </w:p>
        </w:tc>
        <w:tc>
          <w:tcPr>
            <w:tcW w:w="24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800" w:type="dxa"/>
            <w:vAlign w:val="bottom"/>
            <w:tcBorders>
              <w:bottom w:val="single" w:sz="8" w:color="D0EBF2"/>
            </w:tcBorders>
            <w:vMerge w:val="continue"/>
            <w:shd w:val="clear" w:color="auto" w:fill="FDFDFC"/>
          </w:tcPr>
          <w:p>
            <w:pPr>
              <w:spacing w:after="0"/>
              <w:rPr>
                <w:sz w:val="15"/>
                <w:szCs w:val="15"/>
                <w:color w:val="auto"/>
              </w:rPr>
            </w:pPr>
          </w:p>
        </w:tc>
        <w:tc>
          <w:tcPr>
            <w:tcW w:w="60" w:type="dxa"/>
            <w:vAlign w:val="bottom"/>
            <w:tcBorders>
              <w:bottom w:val="single" w:sz="8" w:color="D0EBF2"/>
            </w:tcBorders>
            <w:shd w:val="clear" w:color="auto" w:fill="FDFDFC"/>
          </w:tcPr>
          <w:p>
            <w:pPr>
              <w:spacing w:after="0"/>
              <w:rPr>
                <w:sz w:val="15"/>
                <w:szCs w:val="15"/>
                <w:color w:val="auto"/>
              </w:rPr>
            </w:pPr>
          </w:p>
        </w:tc>
        <w:tc>
          <w:tcPr>
            <w:tcW w:w="240" w:type="dxa"/>
            <w:vAlign w:val="bottom"/>
            <w:tcBorders>
              <w:bottom w:val="single" w:sz="8" w:color="231F20"/>
            </w:tcBorders>
            <w:shd w:val="clear" w:color="auto" w:fill="FDFDFC"/>
          </w:tcPr>
          <w:p>
            <w:pPr>
              <w:spacing w:after="0"/>
              <w:rPr>
                <w:sz w:val="15"/>
                <w:szCs w:val="15"/>
                <w:color w:val="auto"/>
              </w:rPr>
            </w:pPr>
          </w:p>
        </w:tc>
        <w:tc>
          <w:tcPr>
            <w:tcW w:w="920" w:type="dxa"/>
            <w:vAlign w:val="bottom"/>
            <w:tcBorders>
              <w:bottom w:val="single" w:sz="8" w:color="231F20"/>
            </w:tcBorders>
            <w:shd w:val="clear" w:color="auto" w:fill="FDFDFC"/>
          </w:tcPr>
          <w:p>
            <w:pPr>
              <w:jc w:val="right"/>
              <w:ind w:right="327"/>
              <w:spacing w:after="0"/>
              <w:rPr>
                <w:sz w:val="20"/>
                <w:szCs w:val="20"/>
                <w:color w:val="auto"/>
              </w:rPr>
            </w:pPr>
            <w:r>
              <w:rPr>
                <w:rFonts w:ascii="Arial" w:cs="Arial" w:eastAsia="Arial" w:hAnsi="Arial"/>
                <w:sz w:val="15"/>
                <w:szCs w:val="15"/>
                <w:b w:val="1"/>
                <w:bCs w:val="1"/>
                <w:color w:val="231F20"/>
              </w:rPr>
              <w:t>2024</w:t>
            </w:r>
          </w:p>
        </w:tc>
        <w:tc>
          <w:tcPr>
            <w:tcW w:w="240" w:type="dxa"/>
            <w:vAlign w:val="bottom"/>
            <w:tcBorders>
              <w:bottom w:val="single" w:sz="8" w:color="D0EBF2"/>
            </w:tcBorders>
            <w:shd w:val="clear" w:color="auto" w:fill="FDFDFC"/>
          </w:tcPr>
          <w:p>
            <w:pPr>
              <w:spacing w:after="0"/>
              <w:rPr>
                <w:sz w:val="15"/>
                <w:szCs w:val="15"/>
                <w:color w:val="auto"/>
              </w:rPr>
            </w:pPr>
          </w:p>
        </w:tc>
        <w:tc>
          <w:tcPr>
            <w:tcW w:w="6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00" w:type="dxa"/>
            <w:vAlign w:val="bottom"/>
            <w:tcBorders>
              <w:bottom w:val="single" w:sz="8" w:color="231F20"/>
            </w:tcBorders>
            <w:shd w:val="clear" w:color="auto" w:fill="FDFDFC"/>
          </w:tcPr>
          <w:p>
            <w:pPr>
              <w:jc w:val="right"/>
              <w:ind w:right="327"/>
              <w:spacing w:after="0"/>
              <w:rPr>
                <w:sz w:val="20"/>
                <w:szCs w:val="20"/>
                <w:color w:val="auto"/>
              </w:rPr>
            </w:pPr>
            <w:r>
              <w:rPr>
                <w:rFonts w:ascii="Arial" w:cs="Arial" w:eastAsia="Arial" w:hAnsi="Arial"/>
                <w:sz w:val="15"/>
                <w:szCs w:val="15"/>
                <w:b w:val="1"/>
                <w:bCs w:val="1"/>
                <w:color w:val="231F20"/>
              </w:rPr>
              <w:t>2023</w:t>
            </w:r>
          </w:p>
        </w:tc>
        <w:tc>
          <w:tcPr>
            <w:tcW w:w="260" w:type="dxa"/>
            <w:vAlign w:val="bottom"/>
            <w:tcBorders>
              <w:bottom w:val="single" w:sz="8" w:color="D0EBF2"/>
            </w:tcBorders>
            <w:shd w:val="clear" w:color="auto" w:fill="FDFDFC"/>
          </w:tcPr>
          <w:p>
            <w:pPr>
              <w:spacing w:after="0"/>
              <w:rPr>
                <w:sz w:val="15"/>
                <w:szCs w:val="15"/>
                <w:color w:val="auto"/>
              </w:rPr>
            </w:pPr>
          </w:p>
        </w:tc>
        <w:tc>
          <w:tcPr>
            <w:tcW w:w="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20" w:type="dxa"/>
            <w:vAlign w:val="bottom"/>
            <w:tcBorders>
              <w:bottom w:val="single" w:sz="8" w:color="231F20"/>
            </w:tcBorders>
            <w:shd w:val="clear" w:color="auto" w:fill="FDFDFC"/>
          </w:tcPr>
          <w:p>
            <w:pPr>
              <w:jc w:val="right"/>
              <w:ind w:right="327"/>
              <w:spacing w:after="0"/>
              <w:rPr>
                <w:sz w:val="20"/>
                <w:szCs w:val="20"/>
                <w:color w:val="auto"/>
              </w:rPr>
            </w:pPr>
            <w:r>
              <w:rPr>
                <w:rFonts w:ascii="Arial" w:cs="Arial" w:eastAsia="Arial" w:hAnsi="Arial"/>
                <w:sz w:val="15"/>
                <w:szCs w:val="15"/>
                <w:b w:val="1"/>
                <w:bCs w:val="1"/>
                <w:color w:val="231F20"/>
              </w:rPr>
              <w:t>2022</w:t>
            </w:r>
          </w:p>
        </w:tc>
        <w:tc>
          <w:tcPr>
            <w:tcW w:w="24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800" w:type="dxa"/>
            <w:vAlign w:val="bottom"/>
            <w:shd w:val="clear" w:color="auto" w:fill="D0EBF2"/>
          </w:tcPr>
          <w:p>
            <w:pPr>
              <w:spacing w:after="0"/>
              <w:rPr>
                <w:sz w:val="20"/>
                <w:szCs w:val="20"/>
                <w:color w:val="auto"/>
              </w:rPr>
            </w:pPr>
            <w:r>
              <w:rPr>
                <w:rFonts w:ascii="Arial" w:cs="Arial" w:eastAsia="Arial" w:hAnsi="Arial"/>
                <w:sz w:val="19"/>
                <w:szCs w:val="19"/>
                <w:color w:val="231F20"/>
              </w:rPr>
              <w:t>Revenue (A)</w:t>
            </w:r>
          </w:p>
        </w:tc>
        <w:tc>
          <w:tcPr>
            <w:tcW w:w="60" w:type="dxa"/>
            <w:vAlign w:val="bottom"/>
            <w:shd w:val="clear" w:color="auto" w:fill="D0EBF2"/>
          </w:tcPr>
          <w:p>
            <w:pPr>
              <w:spacing w:after="0"/>
              <w:rPr>
                <w:sz w:val="19"/>
                <w:szCs w:val="19"/>
                <w:color w:val="auto"/>
              </w:rPr>
            </w:pPr>
          </w:p>
        </w:tc>
        <w:tc>
          <w:tcPr>
            <w:tcW w:w="240" w:type="dxa"/>
            <w:vAlign w:val="bottom"/>
            <w:shd w:val="clear" w:color="auto" w:fill="D0EBF2"/>
          </w:tcPr>
          <w:p>
            <w:pPr>
              <w:jc w:val="right"/>
              <w:ind w:right="46"/>
              <w:spacing w:after="0"/>
              <w:rPr>
                <w:sz w:val="20"/>
                <w:szCs w:val="20"/>
                <w:color w:val="auto"/>
              </w:rPr>
            </w:pPr>
            <w:r>
              <w:rPr>
                <w:rFonts w:ascii="Arial" w:cs="Arial" w:eastAsia="Arial" w:hAnsi="Arial"/>
                <w:sz w:val="19"/>
                <w:szCs w:val="19"/>
                <w:color w:val="231F20"/>
                <w:w w:val="75"/>
              </w:rPr>
              <w:t>$</w:t>
            </w: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492.1</w:t>
            </w:r>
          </w:p>
        </w:tc>
        <w:tc>
          <w:tcPr>
            <w:tcW w:w="240" w:type="dxa"/>
            <w:vAlign w:val="bottom"/>
            <w:shd w:val="clear" w:color="auto" w:fill="D0EBF2"/>
          </w:tcPr>
          <w:p>
            <w:pPr>
              <w:spacing w:after="0"/>
              <w:rPr>
                <w:sz w:val="19"/>
                <w:szCs w:val="19"/>
                <w:color w:val="auto"/>
              </w:rPr>
            </w:pPr>
          </w:p>
        </w:tc>
        <w:tc>
          <w:tcPr>
            <w:tcW w:w="6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75"/>
              <w:spacing w:after="0"/>
              <w:rPr>
                <w:sz w:val="20"/>
                <w:szCs w:val="20"/>
                <w:color w:val="auto"/>
              </w:rPr>
            </w:pPr>
            <w:r>
              <w:rPr>
                <w:rFonts w:ascii="Arial" w:cs="Arial" w:eastAsia="Arial" w:hAnsi="Arial"/>
                <w:sz w:val="19"/>
                <w:szCs w:val="19"/>
                <w:color w:val="231F20"/>
                <w:w w:val="75"/>
              </w:rPr>
              <w:t>$</w:t>
            </w: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403.1</w:t>
            </w:r>
          </w:p>
        </w:tc>
        <w:tc>
          <w:tcPr>
            <w:tcW w:w="260" w:type="dxa"/>
            <w:vAlign w:val="bottom"/>
            <w:shd w:val="clear" w:color="auto" w:fill="D0EBF2"/>
          </w:tcPr>
          <w:p>
            <w:pPr>
              <w:spacing w:after="0"/>
              <w:rPr>
                <w:sz w:val="19"/>
                <w:szCs w:val="19"/>
                <w:color w:val="auto"/>
              </w:rPr>
            </w:pPr>
          </w:p>
        </w:tc>
        <w:tc>
          <w:tcPr>
            <w:tcW w:w="4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289.4</w:t>
            </w:r>
          </w:p>
        </w:tc>
        <w:tc>
          <w:tcPr>
            <w:tcW w:w="24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FDFDFC"/>
          </w:tcPr>
          <w:p>
            <w:pPr>
              <w:spacing w:after="0"/>
              <w:rPr>
                <w:sz w:val="20"/>
                <w:szCs w:val="20"/>
                <w:color w:val="auto"/>
              </w:rPr>
            </w:pPr>
            <w:r>
              <w:rPr>
                <w:rFonts w:ascii="Arial" w:cs="Arial" w:eastAsia="Arial" w:hAnsi="Arial"/>
                <w:sz w:val="19"/>
                <w:szCs w:val="19"/>
                <w:color w:val="231F20"/>
              </w:rPr>
              <w:t>Revenue less ancillary services (B)</w:t>
            </w:r>
          </w:p>
        </w:tc>
        <w:tc>
          <w:tcPr>
            <w:tcW w:w="6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9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474.2</w:t>
            </w:r>
          </w:p>
        </w:tc>
        <w:tc>
          <w:tcPr>
            <w:tcW w:w="24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381.5</w:t>
            </w:r>
          </w:p>
        </w:tc>
        <w:tc>
          <w:tcPr>
            <w:tcW w:w="260" w:type="dxa"/>
            <w:vAlign w:val="bottom"/>
            <w:shd w:val="clear" w:color="auto" w:fill="FDFDFC"/>
          </w:tcPr>
          <w:p>
            <w:pPr>
              <w:spacing w:after="0"/>
              <w:rPr>
                <w:sz w:val="20"/>
                <w:szCs w:val="20"/>
                <w:color w:val="auto"/>
              </w:rPr>
            </w:pPr>
          </w:p>
        </w:tc>
        <w:tc>
          <w:tcPr>
            <w:tcW w:w="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267.1</w:t>
            </w:r>
          </w:p>
        </w:tc>
        <w:tc>
          <w:tcPr>
            <w:tcW w:w="24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D0EBF2"/>
          </w:tcPr>
          <w:p>
            <w:pPr>
              <w:spacing w:after="0"/>
              <w:rPr>
                <w:sz w:val="20"/>
                <w:szCs w:val="20"/>
                <w:color w:val="auto"/>
              </w:rPr>
            </w:pPr>
            <w:r>
              <w:rPr>
                <w:rFonts w:ascii="Arial" w:cs="Arial" w:eastAsia="Arial" w:hAnsi="Arial"/>
                <w:sz w:val="19"/>
                <w:szCs w:val="19"/>
                <w:color w:val="231F20"/>
              </w:rPr>
              <w:t>Net loss (C)</w:t>
            </w:r>
          </w:p>
        </w:tc>
        <w:tc>
          <w:tcPr>
            <w:tcW w:w="6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2.9</w:t>
            </w:r>
          </w:p>
        </w:tc>
        <w:tc>
          <w:tcPr>
            <w:tcW w:w="24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160" w:type="dxa"/>
            <w:vAlign w:val="bottom"/>
            <w:gridSpan w:val="2"/>
            <w:shd w:val="clear" w:color="auto" w:fill="D0EBF2"/>
          </w:tcPr>
          <w:p>
            <w:pPr>
              <w:jc w:val="right"/>
              <w:ind w:right="180"/>
              <w:spacing w:after="0"/>
              <w:rPr>
                <w:sz w:val="20"/>
                <w:szCs w:val="20"/>
                <w:color w:val="auto"/>
              </w:rPr>
            </w:pPr>
            <w:r>
              <w:rPr>
                <w:rFonts w:ascii="Arial" w:cs="Arial" w:eastAsia="Arial" w:hAnsi="Arial"/>
                <w:sz w:val="19"/>
                <w:szCs w:val="19"/>
                <w:color w:val="231F20"/>
              </w:rPr>
              <w:t>(8.6)</w:t>
            </w:r>
          </w:p>
        </w:tc>
        <w:tc>
          <w:tcPr>
            <w:tcW w:w="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160" w:type="dxa"/>
            <w:vAlign w:val="bottom"/>
            <w:gridSpan w:val="2"/>
            <w:shd w:val="clear" w:color="auto" w:fill="D0EBF2"/>
          </w:tcPr>
          <w:p>
            <w:pPr>
              <w:jc w:val="right"/>
              <w:ind w:right="180"/>
              <w:spacing w:after="0"/>
              <w:rPr>
                <w:sz w:val="20"/>
                <w:szCs w:val="20"/>
                <w:color w:val="auto"/>
              </w:rPr>
            </w:pPr>
            <w:r>
              <w:rPr>
                <w:rFonts w:ascii="Arial" w:cs="Arial" w:eastAsia="Arial" w:hAnsi="Arial"/>
                <w:sz w:val="19"/>
                <w:szCs w:val="19"/>
                <w:color w:val="231F20"/>
              </w:rPr>
              <w:t>(39.3)</w:t>
            </w:r>
          </w:p>
        </w:tc>
        <w:tc>
          <w:tcPr>
            <w:tcW w:w="0" w:type="dxa"/>
            <w:vAlign w:val="bottom"/>
          </w:tcPr>
          <w:p>
            <w:pPr>
              <w:spacing w:after="0"/>
              <w:rPr>
                <w:sz w:val="1"/>
                <w:szCs w:val="1"/>
                <w:color w:val="auto"/>
              </w:rPr>
            </w:pPr>
          </w:p>
        </w:tc>
      </w:tr>
      <w:tr>
        <w:trPr>
          <w:trHeight w:val="230"/>
        </w:trPr>
        <w:tc>
          <w:tcPr>
            <w:tcW w:w="5800" w:type="dxa"/>
            <w:vAlign w:val="bottom"/>
            <w:shd w:val="clear" w:color="auto" w:fill="FDFDFC"/>
          </w:tcPr>
          <w:p>
            <w:pPr>
              <w:spacing w:after="0"/>
              <w:rPr>
                <w:sz w:val="20"/>
                <w:szCs w:val="20"/>
                <w:color w:val="auto"/>
              </w:rPr>
            </w:pPr>
            <w:r>
              <w:rPr>
                <w:rFonts w:ascii="Arial" w:cs="Arial" w:eastAsia="Arial" w:hAnsi="Arial"/>
                <w:sz w:val="19"/>
                <w:szCs w:val="19"/>
                <w:color w:val="231F20"/>
              </w:rPr>
              <w:t>EBITDA (D)</w:t>
            </w:r>
          </w:p>
        </w:tc>
        <w:tc>
          <w:tcPr>
            <w:tcW w:w="6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1160" w:type="dxa"/>
            <w:vAlign w:val="bottom"/>
            <w:gridSpan w:val="2"/>
            <w:shd w:val="clear" w:color="auto" w:fill="FDFDFC"/>
          </w:tcPr>
          <w:p>
            <w:pPr>
              <w:jc w:val="right"/>
              <w:ind w:right="180"/>
              <w:spacing w:after="0"/>
              <w:rPr>
                <w:sz w:val="20"/>
                <w:szCs w:val="20"/>
                <w:color w:val="auto"/>
              </w:rPr>
            </w:pPr>
            <w:r>
              <w:rPr>
                <w:rFonts w:ascii="Arial" w:cs="Arial" w:eastAsia="Arial" w:hAnsi="Arial"/>
                <w:sz w:val="19"/>
                <w:szCs w:val="19"/>
                <w:color w:val="231F20"/>
              </w:rPr>
              <w:t>(0.5)</w:t>
            </w:r>
          </w:p>
        </w:tc>
        <w:tc>
          <w:tcPr>
            <w:tcW w:w="6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160" w:type="dxa"/>
            <w:vAlign w:val="bottom"/>
            <w:gridSpan w:val="2"/>
            <w:shd w:val="clear" w:color="auto" w:fill="FDFDFC"/>
          </w:tcPr>
          <w:p>
            <w:pPr>
              <w:jc w:val="right"/>
              <w:ind w:right="180"/>
              <w:spacing w:after="0"/>
              <w:rPr>
                <w:sz w:val="20"/>
                <w:szCs w:val="20"/>
                <w:color w:val="auto"/>
              </w:rPr>
            </w:pPr>
            <w:r>
              <w:rPr>
                <w:rFonts w:ascii="Arial" w:cs="Arial" w:eastAsia="Arial" w:hAnsi="Arial"/>
                <w:sz w:val="19"/>
                <w:szCs w:val="19"/>
                <w:color w:val="231F20"/>
              </w:rPr>
              <w:t>(0.9)</w:t>
            </w:r>
          </w:p>
        </w:tc>
        <w:tc>
          <w:tcPr>
            <w:tcW w:w="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160" w:type="dxa"/>
            <w:vAlign w:val="bottom"/>
            <w:gridSpan w:val="2"/>
            <w:shd w:val="clear" w:color="auto" w:fill="FDFDFC"/>
          </w:tcPr>
          <w:p>
            <w:pPr>
              <w:jc w:val="right"/>
              <w:ind w:right="180"/>
              <w:spacing w:after="0"/>
              <w:rPr>
                <w:sz w:val="20"/>
                <w:szCs w:val="20"/>
                <w:color w:val="auto"/>
              </w:rPr>
            </w:pPr>
            <w:r>
              <w:rPr>
                <w:rFonts w:ascii="Arial" w:cs="Arial" w:eastAsia="Arial" w:hAnsi="Arial"/>
                <w:sz w:val="19"/>
                <w:szCs w:val="19"/>
                <w:color w:val="231F20"/>
              </w:rPr>
              <w:t>(25.2)</w:t>
            </w:r>
          </w:p>
        </w:tc>
        <w:tc>
          <w:tcPr>
            <w:tcW w:w="0" w:type="dxa"/>
            <w:vAlign w:val="bottom"/>
          </w:tcPr>
          <w:p>
            <w:pPr>
              <w:spacing w:after="0"/>
              <w:rPr>
                <w:sz w:val="1"/>
                <w:szCs w:val="1"/>
                <w:color w:val="auto"/>
              </w:rPr>
            </w:pPr>
          </w:p>
        </w:tc>
      </w:tr>
      <w:tr>
        <w:trPr>
          <w:trHeight w:val="230"/>
        </w:trPr>
        <w:tc>
          <w:tcPr>
            <w:tcW w:w="5800" w:type="dxa"/>
            <w:vAlign w:val="bottom"/>
            <w:shd w:val="clear" w:color="auto" w:fill="D0EBF2"/>
          </w:tcPr>
          <w:p>
            <w:pPr>
              <w:spacing w:after="0"/>
              <w:rPr>
                <w:sz w:val="20"/>
                <w:szCs w:val="20"/>
                <w:color w:val="auto"/>
              </w:rPr>
            </w:pPr>
            <w:r>
              <w:rPr>
                <w:rFonts w:ascii="Arial" w:cs="Arial" w:eastAsia="Arial" w:hAnsi="Arial"/>
                <w:sz w:val="19"/>
                <w:szCs w:val="19"/>
                <w:color w:val="231F20"/>
              </w:rPr>
              <w:t>Adjusted EBITDA (E)</w:t>
            </w:r>
          </w:p>
        </w:tc>
        <w:tc>
          <w:tcPr>
            <w:tcW w:w="6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77.9</w:t>
            </w:r>
          </w:p>
        </w:tc>
        <w:tc>
          <w:tcPr>
            <w:tcW w:w="24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42.0</w:t>
            </w:r>
          </w:p>
        </w:tc>
        <w:tc>
          <w:tcPr>
            <w:tcW w:w="260" w:type="dxa"/>
            <w:vAlign w:val="bottom"/>
            <w:shd w:val="clear" w:color="auto" w:fill="D0EBF2"/>
          </w:tcPr>
          <w:p>
            <w:pPr>
              <w:spacing w:after="0"/>
              <w:rPr>
                <w:sz w:val="20"/>
                <w:szCs w:val="20"/>
                <w:color w:val="auto"/>
              </w:rPr>
            </w:pPr>
          </w:p>
        </w:tc>
        <w:tc>
          <w:tcPr>
            <w:tcW w:w="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14.9</w:t>
            </w:r>
          </w:p>
        </w:tc>
        <w:tc>
          <w:tcPr>
            <w:tcW w:w="24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FDFDFC"/>
          </w:tcPr>
          <w:p>
            <w:pPr>
              <w:spacing w:after="0"/>
              <w:rPr>
                <w:sz w:val="20"/>
                <w:szCs w:val="20"/>
                <w:color w:val="auto"/>
              </w:rPr>
            </w:pPr>
            <w:r>
              <w:rPr>
                <w:rFonts w:ascii="Arial" w:cs="Arial" w:eastAsia="Arial" w:hAnsi="Arial"/>
                <w:sz w:val="19"/>
                <w:szCs w:val="19"/>
                <w:color w:val="231F20"/>
              </w:rPr>
              <w:t>Net margin (C/A)</w:t>
            </w:r>
          </w:p>
        </w:tc>
        <w:tc>
          <w:tcPr>
            <w:tcW w:w="6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1160" w:type="dxa"/>
            <w:vAlign w:val="bottom"/>
            <w:gridSpan w:val="2"/>
            <w:shd w:val="clear" w:color="auto" w:fill="FDFDFC"/>
          </w:tcPr>
          <w:p>
            <w:pPr>
              <w:jc w:val="right"/>
              <w:ind w:right="60"/>
              <w:spacing w:after="0"/>
              <w:rPr>
                <w:sz w:val="20"/>
                <w:szCs w:val="20"/>
                <w:color w:val="auto"/>
              </w:rPr>
            </w:pPr>
            <w:r>
              <w:rPr>
                <w:rFonts w:ascii="Arial" w:cs="Arial" w:eastAsia="Arial" w:hAnsi="Arial"/>
                <w:sz w:val="19"/>
                <w:szCs w:val="19"/>
                <w:color w:val="231F20"/>
              </w:rPr>
              <w:t>0.6%</w:t>
            </w:r>
          </w:p>
        </w:tc>
        <w:tc>
          <w:tcPr>
            <w:tcW w:w="6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16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(2.1)%</w:t>
            </w:r>
          </w:p>
        </w:tc>
        <w:tc>
          <w:tcPr>
            <w:tcW w:w="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16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(13.6)%</w:t>
            </w:r>
          </w:p>
        </w:tc>
        <w:tc>
          <w:tcPr>
            <w:tcW w:w="0" w:type="dxa"/>
            <w:vAlign w:val="bottom"/>
          </w:tcPr>
          <w:p>
            <w:pPr>
              <w:spacing w:after="0"/>
              <w:rPr>
                <w:sz w:val="1"/>
                <w:szCs w:val="1"/>
                <w:color w:val="auto"/>
              </w:rPr>
            </w:pPr>
          </w:p>
        </w:tc>
      </w:tr>
      <w:tr>
        <w:trPr>
          <w:trHeight w:val="230"/>
        </w:trPr>
        <w:tc>
          <w:tcPr>
            <w:tcW w:w="5800" w:type="dxa"/>
            <w:vAlign w:val="bottom"/>
            <w:shd w:val="clear" w:color="auto" w:fill="D0EBF2"/>
          </w:tcPr>
          <w:p>
            <w:pPr>
              <w:spacing w:after="0"/>
              <w:rPr>
                <w:sz w:val="20"/>
                <w:szCs w:val="20"/>
                <w:color w:val="auto"/>
              </w:rPr>
            </w:pPr>
            <w:r>
              <w:rPr>
                <w:rFonts w:ascii="Arial" w:cs="Arial" w:eastAsia="Arial" w:hAnsi="Arial"/>
                <w:sz w:val="19"/>
                <w:szCs w:val="19"/>
                <w:color w:val="231F20"/>
              </w:rPr>
              <w:t>Net margin using RLAS (C/B)</w:t>
            </w:r>
          </w:p>
        </w:tc>
        <w:tc>
          <w:tcPr>
            <w:tcW w:w="6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1160" w:type="dxa"/>
            <w:vAlign w:val="bottom"/>
            <w:gridSpan w:val="2"/>
            <w:shd w:val="clear" w:color="auto" w:fill="D0EBF2"/>
          </w:tcPr>
          <w:p>
            <w:pPr>
              <w:jc w:val="right"/>
              <w:ind w:right="60"/>
              <w:spacing w:after="0"/>
              <w:rPr>
                <w:sz w:val="20"/>
                <w:szCs w:val="20"/>
                <w:color w:val="auto"/>
              </w:rPr>
            </w:pPr>
            <w:r>
              <w:rPr>
                <w:rFonts w:ascii="Arial" w:cs="Arial" w:eastAsia="Arial" w:hAnsi="Arial"/>
                <w:sz w:val="19"/>
                <w:szCs w:val="19"/>
                <w:color w:val="231F20"/>
              </w:rPr>
              <w:t>0.6%</w:t>
            </w:r>
          </w:p>
        </w:tc>
        <w:tc>
          <w:tcPr>
            <w:tcW w:w="6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16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(2.3)%</w:t>
            </w:r>
          </w:p>
        </w:tc>
        <w:tc>
          <w:tcPr>
            <w:tcW w:w="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16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(14.7)%</w:t>
            </w:r>
          </w:p>
        </w:tc>
        <w:tc>
          <w:tcPr>
            <w:tcW w:w="0" w:type="dxa"/>
            <w:vAlign w:val="bottom"/>
          </w:tcPr>
          <w:p>
            <w:pPr>
              <w:spacing w:after="0"/>
              <w:rPr>
                <w:sz w:val="1"/>
                <w:szCs w:val="1"/>
                <w:color w:val="auto"/>
              </w:rPr>
            </w:pPr>
          </w:p>
        </w:tc>
      </w:tr>
      <w:tr>
        <w:trPr>
          <w:trHeight w:val="230"/>
        </w:trPr>
        <w:tc>
          <w:tcPr>
            <w:tcW w:w="5800" w:type="dxa"/>
            <w:vAlign w:val="bottom"/>
            <w:shd w:val="clear" w:color="auto" w:fill="FDFDFC"/>
          </w:tcPr>
          <w:p>
            <w:pPr>
              <w:spacing w:after="0"/>
              <w:rPr>
                <w:sz w:val="20"/>
                <w:szCs w:val="20"/>
                <w:color w:val="auto"/>
              </w:rPr>
            </w:pPr>
            <w:r>
              <w:rPr>
                <w:rFonts w:ascii="Arial" w:cs="Arial" w:eastAsia="Arial" w:hAnsi="Arial"/>
                <w:sz w:val="19"/>
                <w:szCs w:val="19"/>
                <w:color w:val="231F20"/>
              </w:rPr>
              <w:t>EBITDA Margin (D/A)</w:t>
            </w:r>
          </w:p>
        </w:tc>
        <w:tc>
          <w:tcPr>
            <w:tcW w:w="6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1160" w:type="dxa"/>
            <w:vAlign w:val="bottom"/>
            <w:gridSpan w:val="2"/>
            <w:shd w:val="clear" w:color="auto" w:fill="FDFDFC"/>
          </w:tcPr>
          <w:p>
            <w:pPr>
              <w:jc w:val="right"/>
              <w:spacing w:after="0"/>
              <w:rPr>
                <w:sz w:val="20"/>
                <w:szCs w:val="20"/>
                <w:color w:val="auto"/>
              </w:rPr>
            </w:pPr>
            <w:r>
              <w:rPr>
                <w:rFonts w:ascii="Arial" w:cs="Arial" w:eastAsia="Arial" w:hAnsi="Arial"/>
                <w:sz w:val="19"/>
                <w:szCs w:val="19"/>
                <w:color w:val="231F20"/>
              </w:rPr>
              <w:t>(0.1)%</w:t>
            </w:r>
          </w:p>
        </w:tc>
        <w:tc>
          <w:tcPr>
            <w:tcW w:w="6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16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(0.2)%</w:t>
            </w:r>
          </w:p>
        </w:tc>
        <w:tc>
          <w:tcPr>
            <w:tcW w:w="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16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(8.7)%</w:t>
            </w:r>
          </w:p>
        </w:tc>
        <w:tc>
          <w:tcPr>
            <w:tcW w:w="0" w:type="dxa"/>
            <w:vAlign w:val="bottom"/>
          </w:tcPr>
          <w:p>
            <w:pPr>
              <w:spacing w:after="0"/>
              <w:rPr>
                <w:sz w:val="1"/>
                <w:szCs w:val="1"/>
                <w:color w:val="auto"/>
              </w:rPr>
            </w:pPr>
          </w:p>
        </w:tc>
      </w:tr>
      <w:tr>
        <w:trPr>
          <w:trHeight w:val="230"/>
        </w:trPr>
        <w:tc>
          <w:tcPr>
            <w:tcW w:w="5800" w:type="dxa"/>
            <w:vAlign w:val="bottom"/>
            <w:shd w:val="clear" w:color="auto" w:fill="D0EBF2"/>
          </w:tcPr>
          <w:p>
            <w:pPr>
              <w:spacing w:after="0"/>
              <w:rPr>
                <w:sz w:val="20"/>
                <w:szCs w:val="20"/>
                <w:color w:val="auto"/>
              </w:rPr>
            </w:pPr>
            <w:r>
              <w:rPr>
                <w:rFonts w:ascii="Arial" w:cs="Arial" w:eastAsia="Arial" w:hAnsi="Arial"/>
                <w:sz w:val="19"/>
                <w:szCs w:val="19"/>
                <w:color w:val="231F20"/>
              </w:rPr>
              <w:t>Adjusted EBITDA Margin (E/A)</w:t>
            </w:r>
          </w:p>
        </w:tc>
        <w:tc>
          <w:tcPr>
            <w:tcW w:w="6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1160" w:type="dxa"/>
            <w:vAlign w:val="bottom"/>
            <w:gridSpan w:val="2"/>
            <w:shd w:val="clear" w:color="auto" w:fill="D0EBF2"/>
          </w:tcPr>
          <w:p>
            <w:pPr>
              <w:jc w:val="right"/>
              <w:ind w:right="60"/>
              <w:spacing w:after="0"/>
              <w:rPr>
                <w:sz w:val="20"/>
                <w:szCs w:val="20"/>
                <w:color w:val="auto"/>
              </w:rPr>
            </w:pPr>
            <w:r>
              <w:rPr>
                <w:rFonts w:ascii="Arial" w:cs="Arial" w:eastAsia="Arial" w:hAnsi="Arial"/>
                <w:sz w:val="19"/>
                <w:szCs w:val="19"/>
                <w:color w:val="231F20"/>
              </w:rPr>
              <w:t>15.8%</w:t>
            </w:r>
          </w:p>
        </w:tc>
        <w:tc>
          <w:tcPr>
            <w:tcW w:w="6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160" w:type="dxa"/>
            <w:vAlign w:val="bottom"/>
            <w:gridSpan w:val="2"/>
            <w:shd w:val="clear" w:color="auto" w:fill="D0EBF2"/>
          </w:tcPr>
          <w:p>
            <w:pPr>
              <w:jc w:val="right"/>
              <w:ind w:right="80"/>
              <w:spacing w:after="0"/>
              <w:rPr>
                <w:sz w:val="20"/>
                <w:szCs w:val="20"/>
                <w:color w:val="auto"/>
              </w:rPr>
            </w:pPr>
            <w:r>
              <w:rPr>
                <w:rFonts w:ascii="Arial" w:cs="Arial" w:eastAsia="Arial" w:hAnsi="Arial"/>
                <w:sz w:val="19"/>
                <w:szCs w:val="19"/>
                <w:color w:val="231F20"/>
              </w:rPr>
              <w:t>10.4%</w:t>
            </w:r>
          </w:p>
        </w:tc>
        <w:tc>
          <w:tcPr>
            <w:tcW w:w="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160" w:type="dxa"/>
            <w:vAlign w:val="bottom"/>
            <w:gridSpan w:val="2"/>
            <w:shd w:val="clear" w:color="auto" w:fill="D0EBF2"/>
          </w:tcPr>
          <w:p>
            <w:pPr>
              <w:jc w:val="right"/>
              <w:ind w:right="80"/>
              <w:spacing w:after="0"/>
              <w:rPr>
                <w:sz w:val="20"/>
                <w:szCs w:val="20"/>
                <w:color w:val="auto"/>
              </w:rPr>
            </w:pPr>
            <w:r>
              <w:rPr>
                <w:rFonts w:ascii="Arial" w:cs="Arial" w:eastAsia="Arial" w:hAnsi="Arial"/>
                <w:sz w:val="19"/>
                <w:szCs w:val="19"/>
                <w:color w:val="231F20"/>
              </w:rPr>
              <w:t>5.1%</w:t>
            </w:r>
          </w:p>
        </w:tc>
        <w:tc>
          <w:tcPr>
            <w:tcW w:w="0" w:type="dxa"/>
            <w:vAlign w:val="bottom"/>
          </w:tcPr>
          <w:p>
            <w:pPr>
              <w:spacing w:after="0"/>
              <w:rPr>
                <w:sz w:val="1"/>
                <w:szCs w:val="1"/>
                <w:color w:val="auto"/>
              </w:rPr>
            </w:pPr>
          </w:p>
        </w:tc>
      </w:tr>
      <w:tr>
        <w:trPr>
          <w:trHeight w:val="267"/>
        </w:trPr>
        <w:tc>
          <w:tcPr>
            <w:tcW w:w="5800" w:type="dxa"/>
            <w:vAlign w:val="bottom"/>
            <w:shd w:val="clear" w:color="auto" w:fill="FDFDFC"/>
          </w:tcPr>
          <w:p>
            <w:pPr>
              <w:spacing w:after="0"/>
              <w:rPr>
                <w:sz w:val="20"/>
                <w:szCs w:val="20"/>
                <w:color w:val="auto"/>
              </w:rPr>
            </w:pPr>
            <w:r>
              <w:rPr>
                <w:rFonts w:ascii="Arial" w:cs="Arial" w:eastAsia="Arial" w:hAnsi="Arial"/>
                <w:sz w:val="19"/>
                <w:szCs w:val="19"/>
                <w:color w:val="231F20"/>
              </w:rPr>
              <w:t>EBITDA Margin using RLAS (D/B)</w:t>
            </w:r>
          </w:p>
        </w:tc>
        <w:tc>
          <w:tcPr>
            <w:tcW w:w="60" w:type="dxa"/>
            <w:vAlign w:val="bottom"/>
            <w:shd w:val="clear" w:color="auto" w:fill="FDFDFC"/>
          </w:tcPr>
          <w:p>
            <w:pPr>
              <w:spacing w:after="0"/>
              <w:rPr>
                <w:sz w:val="23"/>
                <w:szCs w:val="23"/>
                <w:color w:val="auto"/>
              </w:rPr>
            </w:pPr>
          </w:p>
        </w:tc>
        <w:tc>
          <w:tcPr>
            <w:tcW w:w="240" w:type="dxa"/>
            <w:vAlign w:val="bottom"/>
            <w:shd w:val="clear" w:color="auto" w:fill="FDFDFC"/>
          </w:tcPr>
          <w:p>
            <w:pPr>
              <w:spacing w:after="0"/>
              <w:rPr>
                <w:sz w:val="23"/>
                <w:szCs w:val="23"/>
                <w:color w:val="auto"/>
              </w:rPr>
            </w:pPr>
          </w:p>
        </w:tc>
        <w:tc>
          <w:tcPr>
            <w:tcW w:w="1160" w:type="dxa"/>
            <w:vAlign w:val="bottom"/>
            <w:gridSpan w:val="2"/>
            <w:shd w:val="clear" w:color="auto" w:fill="FDFDFC"/>
          </w:tcPr>
          <w:p>
            <w:pPr>
              <w:jc w:val="right"/>
              <w:spacing w:after="0"/>
              <w:rPr>
                <w:sz w:val="20"/>
                <w:szCs w:val="20"/>
                <w:color w:val="auto"/>
              </w:rPr>
            </w:pPr>
            <w:r>
              <w:rPr>
                <w:rFonts w:ascii="Arial" w:cs="Arial" w:eastAsia="Arial" w:hAnsi="Arial"/>
                <w:sz w:val="19"/>
                <w:szCs w:val="19"/>
                <w:color w:val="231F20"/>
              </w:rPr>
              <w:t>(0.1)%</w:t>
            </w:r>
          </w:p>
        </w:tc>
        <w:tc>
          <w:tcPr>
            <w:tcW w:w="60" w:type="dxa"/>
            <w:vAlign w:val="bottom"/>
            <w:shd w:val="clear" w:color="auto" w:fill="FDFDFC"/>
          </w:tcPr>
          <w:p>
            <w:pPr>
              <w:spacing w:after="0"/>
              <w:rPr>
                <w:sz w:val="23"/>
                <w:szCs w:val="23"/>
                <w:color w:val="auto"/>
              </w:rPr>
            </w:pPr>
          </w:p>
        </w:tc>
        <w:tc>
          <w:tcPr>
            <w:tcW w:w="260" w:type="dxa"/>
            <w:vAlign w:val="bottom"/>
            <w:shd w:val="clear" w:color="auto" w:fill="FDFDFC"/>
          </w:tcPr>
          <w:p>
            <w:pPr>
              <w:spacing w:after="0"/>
              <w:rPr>
                <w:sz w:val="23"/>
                <w:szCs w:val="23"/>
                <w:color w:val="auto"/>
              </w:rPr>
            </w:pPr>
          </w:p>
        </w:tc>
        <w:tc>
          <w:tcPr>
            <w:tcW w:w="116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(0.2)%</w:t>
            </w:r>
          </w:p>
        </w:tc>
        <w:tc>
          <w:tcPr>
            <w:tcW w:w="40" w:type="dxa"/>
            <w:vAlign w:val="bottom"/>
            <w:shd w:val="clear" w:color="auto" w:fill="FDFDFC"/>
          </w:tcPr>
          <w:p>
            <w:pPr>
              <w:spacing w:after="0"/>
              <w:rPr>
                <w:sz w:val="23"/>
                <w:szCs w:val="23"/>
                <w:color w:val="auto"/>
              </w:rPr>
            </w:pPr>
          </w:p>
        </w:tc>
        <w:tc>
          <w:tcPr>
            <w:tcW w:w="260" w:type="dxa"/>
            <w:vAlign w:val="bottom"/>
            <w:shd w:val="clear" w:color="auto" w:fill="FDFDFC"/>
          </w:tcPr>
          <w:p>
            <w:pPr>
              <w:spacing w:after="0"/>
              <w:rPr>
                <w:sz w:val="23"/>
                <w:szCs w:val="23"/>
                <w:color w:val="auto"/>
              </w:rPr>
            </w:pPr>
          </w:p>
        </w:tc>
        <w:tc>
          <w:tcPr>
            <w:tcW w:w="116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(9.4)%</w:t>
            </w:r>
          </w:p>
        </w:tc>
        <w:tc>
          <w:tcPr>
            <w:tcW w:w="0" w:type="dxa"/>
            <w:vAlign w:val="bottom"/>
          </w:tcPr>
          <w:p>
            <w:pPr>
              <w:spacing w:after="0"/>
              <w:rPr>
                <w:sz w:val="1"/>
                <w:szCs w:val="1"/>
                <w:color w:val="auto"/>
              </w:rPr>
            </w:pPr>
          </w:p>
        </w:tc>
      </w:tr>
      <w:tr>
        <w:trPr>
          <w:trHeight w:val="230"/>
        </w:trPr>
        <w:tc>
          <w:tcPr>
            <w:tcW w:w="5800" w:type="dxa"/>
            <w:vAlign w:val="bottom"/>
            <w:shd w:val="clear" w:color="auto" w:fill="D0EBF2"/>
          </w:tcPr>
          <w:p>
            <w:pPr>
              <w:spacing w:after="0"/>
              <w:rPr>
                <w:sz w:val="20"/>
                <w:szCs w:val="20"/>
                <w:color w:val="auto"/>
              </w:rPr>
            </w:pPr>
            <w:r>
              <w:rPr>
                <w:rFonts w:ascii="Arial" w:cs="Arial" w:eastAsia="Arial" w:hAnsi="Arial"/>
                <w:sz w:val="19"/>
                <w:szCs w:val="19"/>
                <w:color w:val="231F20"/>
              </w:rPr>
              <w:t>Adjusted EBITDA Margin using RLAS (E/B)</w:t>
            </w:r>
          </w:p>
        </w:tc>
        <w:tc>
          <w:tcPr>
            <w:tcW w:w="6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1160" w:type="dxa"/>
            <w:vAlign w:val="bottom"/>
            <w:gridSpan w:val="2"/>
            <w:shd w:val="clear" w:color="auto" w:fill="D0EBF2"/>
          </w:tcPr>
          <w:p>
            <w:pPr>
              <w:jc w:val="right"/>
              <w:ind w:right="60"/>
              <w:spacing w:after="0"/>
              <w:rPr>
                <w:sz w:val="20"/>
                <w:szCs w:val="20"/>
                <w:color w:val="auto"/>
              </w:rPr>
            </w:pPr>
            <w:r>
              <w:rPr>
                <w:rFonts w:ascii="Arial" w:cs="Arial" w:eastAsia="Arial" w:hAnsi="Arial"/>
                <w:sz w:val="19"/>
                <w:szCs w:val="19"/>
                <w:color w:val="231F20"/>
              </w:rPr>
              <w:t>16.4%</w:t>
            </w:r>
          </w:p>
        </w:tc>
        <w:tc>
          <w:tcPr>
            <w:tcW w:w="6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160" w:type="dxa"/>
            <w:vAlign w:val="bottom"/>
            <w:gridSpan w:val="2"/>
            <w:shd w:val="clear" w:color="auto" w:fill="D0EBF2"/>
          </w:tcPr>
          <w:p>
            <w:pPr>
              <w:jc w:val="right"/>
              <w:ind w:right="80"/>
              <w:spacing w:after="0"/>
              <w:rPr>
                <w:sz w:val="20"/>
                <w:szCs w:val="20"/>
                <w:color w:val="auto"/>
              </w:rPr>
            </w:pPr>
            <w:r>
              <w:rPr>
                <w:rFonts w:ascii="Arial" w:cs="Arial" w:eastAsia="Arial" w:hAnsi="Arial"/>
                <w:sz w:val="19"/>
                <w:szCs w:val="19"/>
                <w:color w:val="231F20"/>
              </w:rPr>
              <w:t>11.0%</w:t>
            </w:r>
          </w:p>
        </w:tc>
        <w:tc>
          <w:tcPr>
            <w:tcW w:w="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160" w:type="dxa"/>
            <w:vAlign w:val="bottom"/>
            <w:gridSpan w:val="2"/>
            <w:shd w:val="clear" w:color="auto" w:fill="D0EBF2"/>
          </w:tcPr>
          <w:p>
            <w:pPr>
              <w:jc w:val="right"/>
              <w:ind w:right="80"/>
              <w:spacing w:after="0"/>
              <w:rPr>
                <w:sz w:val="20"/>
                <w:szCs w:val="20"/>
                <w:color w:val="auto"/>
              </w:rPr>
            </w:pPr>
            <w:r>
              <w:rPr>
                <w:rFonts w:ascii="Arial" w:cs="Arial" w:eastAsia="Arial" w:hAnsi="Arial"/>
                <w:sz w:val="19"/>
                <w:szCs w:val="19"/>
                <w:color w:val="231F20"/>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20"/>
          </w:cols>
          <w:pgMar w:left="1000" w:top="1440" w:right="1020"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96</w:t>
      </w:r>
    </w:p>
    <w:p>
      <w:pPr>
        <w:sectPr>
          <w:pgSz w:w="12240" w:h="15840" w:orient="portrait"/>
          <w:cols w:equalWidth="0" w:num="1">
            <w:col w:w="10220"/>
          </w:cols>
          <w:pgMar w:left="1000" w:top="1440" w:right="1020" w:bottom="595" w:gutter="0" w:footer="0" w:header="0"/>
          <w:type w:val="continuous"/>
        </w:sectPr>
      </w:pPr>
    </w:p>
    <w:bookmarkStart w:id="97" w:name="page98"/>
    <w:bookmarkEnd w:id="97"/>
    <w:p>
      <w:pPr>
        <w:spacing w:after="0" w:line="105"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Reconciliation of GAAP Operating Expenses to Non-GAAP Operating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820" w:type="dxa"/>
            <w:vAlign w:val="bottom"/>
            <w:tcBorders>
              <w:bottom w:val="single" w:sz="8" w:color="FDFDFC"/>
            </w:tcBorders>
            <w:vMerge w:val="restart"/>
            <w:shd w:val="clear" w:color="auto" w:fill="FDFDFC"/>
          </w:tcPr>
          <w:p>
            <w:pPr>
              <w:spacing w:after="0"/>
              <w:rPr>
                <w:sz w:val="20"/>
                <w:szCs w:val="20"/>
                <w:color w:val="auto"/>
              </w:rPr>
            </w:pPr>
            <w:r>
              <w:rPr>
                <w:rFonts w:ascii="Arial" w:cs="Arial" w:eastAsia="Arial" w:hAnsi="Arial"/>
                <w:sz w:val="15"/>
                <w:szCs w:val="15"/>
                <w:b w:val="1"/>
                <w:bCs w:val="1"/>
                <w:color w:val="231F20"/>
              </w:rPr>
              <w:t>(in millions)</w:t>
            </w:r>
          </w:p>
        </w:tc>
        <w:tc>
          <w:tcPr>
            <w:tcW w:w="120" w:type="dxa"/>
            <w:vAlign w:val="bottom"/>
            <w:tcBorders>
              <w:bottom w:val="single" w:sz="8" w:color="FDFDFC"/>
            </w:tcBorders>
            <w:shd w:val="clear" w:color="auto" w:fill="FDFDFC"/>
          </w:tcPr>
          <w:p>
            <w:pPr>
              <w:spacing w:after="0"/>
              <w:rPr>
                <w:sz w:val="23"/>
                <w:szCs w:val="23"/>
                <w:color w:val="auto"/>
              </w:rPr>
            </w:pPr>
          </w:p>
        </w:tc>
        <w:tc>
          <w:tcPr>
            <w:tcW w:w="360" w:type="dxa"/>
            <w:vAlign w:val="bottom"/>
            <w:tcBorders>
              <w:bottom w:val="single" w:sz="8" w:color="231F20"/>
            </w:tcBorders>
            <w:shd w:val="clear" w:color="auto" w:fill="FDFDFC"/>
          </w:tcPr>
          <w:p>
            <w:pPr>
              <w:spacing w:after="0"/>
              <w:rPr>
                <w:sz w:val="23"/>
                <w:szCs w:val="23"/>
                <w:color w:val="auto"/>
              </w:rPr>
            </w:pPr>
          </w:p>
        </w:tc>
        <w:tc>
          <w:tcPr>
            <w:tcW w:w="1200" w:type="dxa"/>
            <w:vAlign w:val="bottom"/>
            <w:tcBorders>
              <w:bottom w:val="single" w:sz="8" w:color="231F20"/>
            </w:tcBorders>
            <w:shd w:val="clear" w:color="auto" w:fill="FDFDFC"/>
          </w:tcPr>
          <w:p>
            <w:pPr>
              <w:spacing w:after="0"/>
              <w:rPr>
                <w:sz w:val="23"/>
                <w:szCs w:val="23"/>
                <w:color w:val="auto"/>
              </w:rPr>
            </w:pPr>
          </w:p>
        </w:tc>
        <w:tc>
          <w:tcPr>
            <w:tcW w:w="120" w:type="dxa"/>
            <w:vAlign w:val="bottom"/>
            <w:tcBorders>
              <w:bottom w:val="single" w:sz="8" w:color="231F20"/>
            </w:tcBorders>
            <w:shd w:val="clear" w:color="auto" w:fill="FDFDFC"/>
          </w:tcPr>
          <w:p>
            <w:pPr>
              <w:spacing w:after="0"/>
              <w:rPr>
                <w:sz w:val="23"/>
                <w:szCs w:val="23"/>
                <w:color w:val="auto"/>
              </w:rPr>
            </w:pPr>
          </w:p>
        </w:tc>
        <w:tc>
          <w:tcPr>
            <w:tcW w:w="100" w:type="dxa"/>
            <w:vAlign w:val="bottom"/>
            <w:tcBorders>
              <w:bottom w:val="single" w:sz="8" w:color="231F20"/>
            </w:tcBorders>
            <w:shd w:val="clear" w:color="auto" w:fill="FDFDFC"/>
          </w:tcPr>
          <w:p>
            <w:pPr>
              <w:spacing w:after="0"/>
              <w:rPr>
                <w:sz w:val="23"/>
                <w:szCs w:val="23"/>
                <w:color w:val="auto"/>
              </w:rPr>
            </w:pPr>
          </w:p>
        </w:tc>
        <w:tc>
          <w:tcPr>
            <w:tcW w:w="200" w:type="dxa"/>
            <w:vAlign w:val="bottom"/>
            <w:tcBorders>
              <w:bottom w:val="single" w:sz="8" w:color="231F20"/>
            </w:tcBorders>
            <w:shd w:val="clear" w:color="auto" w:fill="FDFDFC"/>
          </w:tcPr>
          <w:p>
            <w:pPr>
              <w:spacing w:after="0"/>
              <w:rPr>
                <w:sz w:val="23"/>
                <w:szCs w:val="23"/>
                <w:color w:val="auto"/>
              </w:rPr>
            </w:pPr>
          </w:p>
        </w:tc>
        <w:tc>
          <w:tcPr>
            <w:tcW w:w="1480" w:type="dxa"/>
            <w:vAlign w:val="bottom"/>
            <w:tcBorders>
              <w:bottom w:val="single" w:sz="8" w:color="231F20"/>
            </w:tcBorders>
            <w:gridSpan w:val="2"/>
            <w:shd w:val="clear" w:color="auto" w:fill="FDFDFC"/>
          </w:tcPr>
          <w:p>
            <w:pPr>
              <w:jc w:val="right"/>
              <w:ind w:right="400"/>
              <w:spacing w:after="0"/>
              <w:rPr>
                <w:sz w:val="20"/>
                <w:szCs w:val="20"/>
                <w:color w:val="auto"/>
              </w:rPr>
            </w:pPr>
            <w:r>
              <w:rPr>
                <w:rFonts w:ascii="Arial" w:cs="Arial" w:eastAsia="Arial" w:hAnsi="Arial"/>
                <w:sz w:val="15"/>
                <w:szCs w:val="15"/>
                <w:b w:val="1"/>
                <w:bCs w:val="1"/>
                <w:color w:val="231F20"/>
              </w:rPr>
              <w:t>December 31,</w:t>
            </w:r>
          </w:p>
        </w:tc>
        <w:tc>
          <w:tcPr>
            <w:tcW w:w="120" w:type="dxa"/>
            <w:vAlign w:val="bottom"/>
            <w:tcBorders>
              <w:bottom w:val="single" w:sz="8" w:color="231F20"/>
            </w:tcBorders>
            <w:shd w:val="clear" w:color="auto" w:fill="FDFDFC"/>
          </w:tcPr>
          <w:p>
            <w:pPr>
              <w:spacing w:after="0"/>
              <w:rPr>
                <w:sz w:val="23"/>
                <w:szCs w:val="23"/>
                <w:color w:val="auto"/>
              </w:rPr>
            </w:pPr>
          </w:p>
        </w:tc>
        <w:tc>
          <w:tcPr>
            <w:tcW w:w="360" w:type="dxa"/>
            <w:vAlign w:val="bottom"/>
            <w:tcBorders>
              <w:bottom w:val="single" w:sz="8" w:color="231F20"/>
            </w:tcBorders>
            <w:shd w:val="clear" w:color="auto" w:fill="FDFDFC"/>
          </w:tcPr>
          <w:p>
            <w:pPr>
              <w:spacing w:after="0"/>
              <w:rPr>
                <w:sz w:val="23"/>
                <w:szCs w:val="23"/>
                <w:color w:val="auto"/>
              </w:rPr>
            </w:pPr>
          </w:p>
        </w:tc>
        <w:tc>
          <w:tcPr>
            <w:tcW w:w="1240" w:type="dxa"/>
            <w:vAlign w:val="bottom"/>
            <w:tcBorders>
              <w:bottom w:val="single" w:sz="8" w:color="231F20"/>
              <w:right w:val="single" w:sz="8" w:color="FDFDFC"/>
            </w:tcBorders>
            <w:shd w:val="clear" w:color="auto" w:fill="FDFDFC"/>
          </w:tcPr>
          <w:p>
            <w:pPr>
              <w:spacing w:after="0"/>
              <w:rPr>
                <w:sz w:val="23"/>
                <w:szCs w:val="23"/>
                <w:color w:val="auto"/>
              </w:rPr>
            </w:pPr>
          </w:p>
        </w:tc>
        <w:tc>
          <w:tcPr>
            <w:tcW w:w="80" w:type="dxa"/>
            <w:vAlign w:val="bottom"/>
            <w:tcBorders>
              <w:bottom w:val="single" w:sz="8" w:color="FDFDFC"/>
            </w:tcBorders>
            <w:shd w:val="clear" w:color="auto" w:fill="FDFDFC"/>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820" w:type="dxa"/>
            <w:vAlign w:val="bottom"/>
            <w:tcBorders>
              <w:bottom w:val="single" w:sz="8" w:color="231F20"/>
            </w:tcBorders>
            <w:vMerge w:val="continue"/>
            <w:shd w:val="clear" w:color="auto" w:fill="FDFDFC"/>
          </w:tcPr>
          <w:p>
            <w:pPr>
              <w:spacing w:after="0"/>
              <w:rPr>
                <w:sz w:val="15"/>
                <w:szCs w:val="15"/>
                <w:color w:val="auto"/>
              </w:rPr>
            </w:pPr>
          </w:p>
        </w:tc>
        <w:tc>
          <w:tcPr>
            <w:tcW w:w="120" w:type="dxa"/>
            <w:vAlign w:val="bottom"/>
            <w:tcBorders>
              <w:bottom w:val="single" w:sz="8" w:color="D0EBF2"/>
            </w:tcBorders>
            <w:shd w:val="clear" w:color="auto" w:fill="FDFDFC"/>
          </w:tcPr>
          <w:p>
            <w:pPr>
              <w:spacing w:after="0"/>
              <w:rPr>
                <w:sz w:val="15"/>
                <w:szCs w:val="15"/>
                <w:color w:val="auto"/>
              </w:rPr>
            </w:pPr>
          </w:p>
        </w:tc>
        <w:tc>
          <w:tcPr>
            <w:tcW w:w="360" w:type="dxa"/>
            <w:vAlign w:val="bottom"/>
            <w:tcBorders>
              <w:bottom w:val="single" w:sz="8" w:color="231F20"/>
            </w:tcBorders>
            <w:shd w:val="clear" w:color="auto" w:fill="FDFDFC"/>
          </w:tcPr>
          <w:p>
            <w:pPr>
              <w:spacing w:after="0"/>
              <w:rPr>
                <w:sz w:val="15"/>
                <w:szCs w:val="15"/>
                <w:color w:val="auto"/>
              </w:rPr>
            </w:pPr>
          </w:p>
        </w:tc>
        <w:tc>
          <w:tcPr>
            <w:tcW w:w="1200" w:type="dxa"/>
            <w:vAlign w:val="bottom"/>
            <w:tcBorders>
              <w:bottom w:val="single" w:sz="8" w:color="231F20"/>
            </w:tcBorders>
            <w:shd w:val="clear" w:color="auto" w:fill="FDFDFC"/>
          </w:tcPr>
          <w:p>
            <w:pPr>
              <w:jc w:val="right"/>
              <w:ind w:right="527"/>
              <w:spacing w:after="0"/>
              <w:rPr>
                <w:sz w:val="20"/>
                <w:szCs w:val="20"/>
                <w:color w:val="auto"/>
              </w:rPr>
            </w:pPr>
            <w:r>
              <w:rPr>
                <w:rFonts w:ascii="Arial" w:cs="Arial" w:eastAsia="Arial" w:hAnsi="Arial"/>
                <w:sz w:val="15"/>
                <w:szCs w:val="15"/>
                <w:b w:val="1"/>
                <w:bCs w:val="1"/>
                <w:color w:val="231F20"/>
              </w:rPr>
              <w:t>2024</w:t>
            </w:r>
          </w:p>
        </w:tc>
        <w:tc>
          <w:tcPr>
            <w:tcW w:w="12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200" w:type="dxa"/>
            <w:vAlign w:val="bottom"/>
            <w:tcBorders>
              <w:bottom w:val="single" w:sz="8" w:color="231F20"/>
            </w:tcBorders>
            <w:shd w:val="clear" w:color="auto" w:fill="FDFDFC"/>
          </w:tcPr>
          <w:p>
            <w:pPr>
              <w:spacing w:after="0"/>
              <w:rPr>
                <w:sz w:val="15"/>
                <w:szCs w:val="15"/>
                <w:color w:val="auto"/>
              </w:rPr>
            </w:pPr>
          </w:p>
        </w:tc>
        <w:tc>
          <w:tcPr>
            <w:tcW w:w="1380" w:type="dxa"/>
            <w:vAlign w:val="bottom"/>
            <w:tcBorders>
              <w:bottom w:val="single" w:sz="8" w:color="231F20"/>
            </w:tcBorders>
            <w:shd w:val="clear" w:color="auto" w:fill="FDFDFC"/>
          </w:tcPr>
          <w:p>
            <w:pPr>
              <w:jc w:val="right"/>
              <w:ind w:right="528"/>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D0EBF2"/>
            </w:tcBorders>
            <w:shd w:val="clear" w:color="auto" w:fill="FDFDFC"/>
          </w:tcPr>
          <w:p>
            <w:pPr>
              <w:spacing w:after="0"/>
              <w:rPr>
                <w:sz w:val="15"/>
                <w:szCs w:val="15"/>
                <w:color w:val="auto"/>
              </w:rPr>
            </w:pPr>
          </w:p>
        </w:tc>
        <w:tc>
          <w:tcPr>
            <w:tcW w:w="360" w:type="dxa"/>
            <w:vAlign w:val="bottom"/>
            <w:tcBorders>
              <w:bottom w:val="single" w:sz="8" w:color="231F20"/>
            </w:tcBorders>
            <w:shd w:val="clear" w:color="auto" w:fill="FDFDFC"/>
          </w:tcPr>
          <w:p>
            <w:pPr>
              <w:spacing w:after="0"/>
              <w:rPr>
                <w:sz w:val="15"/>
                <w:szCs w:val="15"/>
                <w:color w:val="auto"/>
              </w:rPr>
            </w:pPr>
          </w:p>
        </w:tc>
        <w:tc>
          <w:tcPr>
            <w:tcW w:w="1240" w:type="dxa"/>
            <w:vAlign w:val="bottom"/>
            <w:tcBorders>
              <w:bottom w:val="single" w:sz="8" w:color="231F20"/>
              <w:right w:val="single" w:sz="8" w:color="FDFDFC"/>
            </w:tcBorders>
            <w:shd w:val="clear" w:color="auto" w:fill="FDFDFC"/>
          </w:tcPr>
          <w:p>
            <w:pPr>
              <w:jc w:val="right"/>
              <w:ind w:right="547"/>
              <w:spacing w:after="0"/>
              <w:rPr>
                <w:sz w:val="20"/>
                <w:szCs w:val="20"/>
                <w:color w:val="auto"/>
              </w:rPr>
            </w:pPr>
            <w:r>
              <w:rPr>
                <w:rFonts w:ascii="Arial" w:cs="Arial" w:eastAsia="Arial" w:hAnsi="Arial"/>
                <w:sz w:val="15"/>
                <w:szCs w:val="15"/>
                <w:b w:val="1"/>
                <w:bCs w:val="1"/>
                <w:color w:val="231F20"/>
              </w:rPr>
              <w:t>2022</w:t>
            </w:r>
          </w:p>
        </w:tc>
        <w:tc>
          <w:tcPr>
            <w:tcW w:w="8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D0EBF2"/>
          </w:tcPr>
          <w:p>
            <w:pPr>
              <w:spacing w:after="0"/>
              <w:rPr>
                <w:sz w:val="20"/>
                <w:szCs w:val="20"/>
                <w:color w:val="auto"/>
              </w:rPr>
            </w:pPr>
            <w:r>
              <w:rPr>
                <w:rFonts w:ascii="Arial" w:cs="Arial" w:eastAsia="Arial" w:hAnsi="Arial"/>
                <w:sz w:val="19"/>
                <w:szCs w:val="19"/>
                <w:color w:val="231F20"/>
              </w:rPr>
              <w:t>GAAP Technology and development</w:t>
            </w:r>
          </w:p>
        </w:tc>
        <w:tc>
          <w:tcPr>
            <w:tcW w:w="120" w:type="dxa"/>
            <w:vAlign w:val="bottom"/>
            <w:shd w:val="clear" w:color="auto" w:fill="D0EBF2"/>
          </w:tcPr>
          <w:p>
            <w:pPr>
              <w:spacing w:after="0"/>
              <w:rPr>
                <w:sz w:val="19"/>
                <w:szCs w:val="19"/>
                <w:color w:val="auto"/>
              </w:rPr>
            </w:pPr>
          </w:p>
        </w:tc>
        <w:tc>
          <w:tcPr>
            <w:tcW w:w="360" w:type="dxa"/>
            <w:vAlign w:val="bottom"/>
            <w:shd w:val="clear" w:color="auto" w:fill="D0EBF2"/>
          </w:tcPr>
          <w:p>
            <w:pPr>
              <w:jc w:val="right"/>
              <w:ind w:right="166"/>
              <w:spacing w:after="0"/>
              <w:rPr>
                <w:sz w:val="20"/>
                <w:szCs w:val="20"/>
                <w:color w:val="auto"/>
              </w:rPr>
            </w:pPr>
            <w:r>
              <w:rPr>
                <w:rFonts w:ascii="Arial" w:cs="Arial" w:eastAsia="Arial" w:hAnsi="Arial"/>
                <w:sz w:val="19"/>
                <w:szCs w:val="19"/>
                <w:color w:val="231F20"/>
                <w:w w:val="75"/>
              </w:rPr>
              <w:t>$</w:t>
            </w:r>
          </w:p>
        </w:tc>
        <w:tc>
          <w:tcPr>
            <w:tcW w:w="12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66.6</w:t>
            </w:r>
          </w:p>
        </w:tc>
        <w:tc>
          <w:tcPr>
            <w:tcW w:w="12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20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94"/>
              </w:rPr>
              <w:t>$</w:t>
            </w:r>
          </w:p>
        </w:tc>
        <w:tc>
          <w:tcPr>
            <w:tcW w:w="13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62.0</w:t>
            </w:r>
          </w:p>
        </w:tc>
        <w:tc>
          <w:tcPr>
            <w:tcW w:w="10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360" w:type="dxa"/>
            <w:vAlign w:val="bottom"/>
            <w:shd w:val="clear" w:color="auto" w:fill="D0EBF2"/>
          </w:tcPr>
          <w:p>
            <w:pPr>
              <w:jc w:val="right"/>
              <w:ind w:right="166"/>
              <w:spacing w:after="0"/>
              <w:rPr>
                <w:sz w:val="20"/>
                <w:szCs w:val="20"/>
                <w:color w:val="auto"/>
              </w:rPr>
            </w:pPr>
            <w:r>
              <w:rPr>
                <w:rFonts w:ascii="Arial" w:cs="Arial" w:eastAsia="Arial" w:hAnsi="Arial"/>
                <w:sz w:val="19"/>
                <w:szCs w:val="19"/>
                <w:color w:val="231F20"/>
                <w:w w:val="75"/>
              </w:rPr>
              <w:t>$</w:t>
            </w:r>
          </w:p>
        </w:tc>
        <w:tc>
          <w:tcPr>
            <w:tcW w:w="1240" w:type="dxa"/>
            <w:vAlign w:val="bottom"/>
            <w:tcBorders>
              <w:right w:val="single" w:sz="8" w:color="D0EBF2"/>
            </w:tcBorders>
            <w:shd w:val="clear" w:color="auto" w:fill="D0EBF2"/>
          </w:tcPr>
          <w:p>
            <w:pPr>
              <w:jc w:val="right"/>
              <w:spacing w:after="0"/>
              <w:rPr>
                <w:sz w:val="20"/>
                <w:szCs w:val="20"/>
                <w:color w:val="auto"/>
              </w:rPr>
            </w:pPr>
            <w:r>
              <w:rPr>
                <w:rFonts w:ascii="Arial" w:cs="Arial" w:eastAsia="Arial" w:hAnsi="Arial"/>
                <w:sz w:val="19"/>
                <w:szCs w:val="19"/>
                <w:color w:val="231F20"/>
              </w:rPr>
              <w:t>50.3</w:t>
            </w:r>
          </w:p>
        </w:tc>
        <w:tc>
          <w:tcPr>
            <w:tcW w:w="8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shd w:val="clear" w:color="auto" w:fill="FDFDFC"/>
          </w:tcPr>
          <w:p>
            <w:pPr>
              <w:ind w:left="140"/>
              <w:spacing w:after="0" w:line="213" w:lineRule="exact"/>
              <w:rPr>
                <w:sz w:val="20"/>
                <w:szCs w:val="20"/>
                <w:color w:val="auto"/>
              </w:rPr>
            </w:pPr>
            <w:r>
              <w:rPr>
                <w:rFonts w:ascii="Arial" w:cs="Arial" w:eastAsia="Arial" w:hAnsi="Arial"/>
                <w:sz w:val="19"/>
                <w:szCs w:val="19"/>
                <w:color w:val="231F20"/>
              </w:rPr>
              <w:t>(-) Stock-based compensation expense and</w:t>
            </w:r>
          </w:p>
        </w:tc>
        <w:tc>
          <w:tcPr>
            <w:tcW w:w="120" w:type="dxa"/>
            <w:vAlign w:val="bottom"/>
            <w:shd w:val="clear" w:color="auto" w:fill="FDFDFC"/>
          </w:tcPr>
          <w:p>
            <w:pPr>
              <w:spacing w:after="0"/>
              <w:rPr>
                <w:sz w:val="18"/>
                <w:szCs w:val="18"/>
                <w:color w:val="auto"/>
              </w:rPr>
            </w:pPr>
          </w:p>
        </w:tc>
        <w:tc>
          <w:tcPr>
            <w:tcW w:w="360" w:type="dxa"/>
            <w:vAlign w:val="bottom"/>
            <w:shd w:val="clear" w:color="auto" w:fill="FDFDFC"/>
          </w:tcPr>
          <w:p>
            <w:pPr>
              <w:spacing w:after="0"/>
              <w:rPr>
                <w:sz w:val="18"/>
                <w:szCs w:val="18"/>
                <w:color w:val="auto"/>
              </w:rPr>
            </w:pPr>
          </w:p>
        </w:tc>
        <w:tc>
          <w:tcPr>
            <w:tcW w:w="1320" w:type="dxa"/>
            <w:vAlign w:val="bottom"/>
            <w:gridSpan w:val="2"/>
            <w:vMerge w:val="restart"/>
            <w:shd w:val="clear" w:color="auto" w:fill="FDFDFC"/>
          </w:tcPr>
          <w:p>
            <w:pPr>
              <w:jc w:val="right"/>
              <w:ind w:right="40"/>
              <w:spacing w:after="0"/>
              <w:rPr>
                <w:sz w:val="20"/>
                <w:szCs w:val="20"/>
                <w:color w:val="auto"/>
              </w:rPr>
            </w:pPr>
            <w:r>
              <w:rPr>
                <w:rFonts w:ascii="Arial" w:cs="Arial" w:eastAsia="Arial" w:hAnsi="Arial"/>
                <w:sz w:val="19"/>
                <w:szCs w:val="19"/>
                <w:color w:val="231F20"/>
              </w:rPr>
              <w:t>(11.8)</w:t>
            </w:r>
          </w:p>
        </w:tc>
        <w:tc>
          <w:tcPr>
            <w:tcW w:w="100" w:type="dxa"/>
            <w:vAlign w:val="bottom"/>
            <w:shd w:val="clear" w:color="auto" w:fill="FDFDFC"/>
          </w:tcPr>
          <w:p>
            <w:pPr>
              <w:spacing w:after="0"/>
              <w:rPr>
                <w:sz w:val="18"/>
                <w:szCs w:val="18"/>
                <w:color w:val="auto"/>
              </w:rPr>
            </w:pPr>
          </w:p>
        </w:tc>
        <w:tc>
          <w:tcPr>
            <w:tcW w:w="200" w:type="dxa"/>
            <w:vAlign w:val="bottom"/>
            <w:shd w:val="clear" w:color="auto" w:fill="FDFDFC"/>
          </w:tcPr>
          <w:p>
            <w:pPr>
              <w:spacing w:after="0"/>
              <w:rPr>
                <w:sz w:val="18"/>
                <w:szCs w:val="18"/>
                <w:color w:val="auto"/>
              </w:rPr>
            </w:pPr>
          </w:p>
        </w:tc>
        <w:tc>
          <w:tcPr>
            <w:tcW w:w="1480" w:type="dxa"/>
            <w:vAlign w:val="bottom"/>
            <w:gridSpan w:val="2"/>
            <w:vMerge w:val="restart"/>
            <w:shd w:val="clear" w:color="auto" w:fill="FDFDFC"/>
          </w:tcPr>
          <w:p>
            <w:pPr>
              <w:jc w:val="right"/>
              <w:ind w:right="40"/>
              <w:spacing w:after="0"/>
              <w:rPr>
                <w:sz w:val="20"/>
                <w:szCs w:val="20"/>
                <w:color w:val="auto"/>
              </w:rPr>
            </w:pPr>
            <w:r>
              <w:rPr>
                <w:rFonts w:ascii="Arial" w:cs="Arial" w:eastAsia="Arial" w:hAnsi="Arial"/>
                <w:sz w:val="19"/>
                <w:szCs w:val="19"/>
                <w:color w:val="231F20"/>
              </w:rPr>
              <w:t>(9.2)</w:t>
            </w:r>
          </w:p>
        </w:tc>
        <w:tc>
          <w:tcPr>
            <w:tcW w:w="120" w:type="dxa"/>
            <w:vAlign w:val="bottom"/>
            <w:shd w:val="clear" w:color="auto" w:fill="FDFDFC"/>
          </w:tcPr>
          <w:p>
            <w:pPr>
              <w:spacing w:after="0"/>
              <w:rPr>
                <w:sz w:val="18"/>
                <w:szCs w:val="18"/>
                <w:color w:val="auto"/>
              </w:rPr>
            </w:pPr>
          </w:p>
        </w:tc>
        <w:tc>
          <w:tcPr>
            <w:tcW w:w="360" w:type="dxa"/>
            <w:vAlign w:val="bottom"/>
            <w:shd w:val="clear" w:color="auto" w:fill="FDFDFC"/>
          </w:tcPr>
          <w:p>
            <w:pPr>
              <w:spacing w:after="0"/>
              <w:rPr>
                <w:sz w:val="18"/>
                <w:szCs w:val="18"/>
                <w:color w:val="auto"/>
              </w:rPr>
            </w:pPr>
          </w:p>
        </w:tc>
        <w:tc>
          <w:tcPr>
            <w:tcW w:w="1320" w:type="dxa"/>
            <w:vAlign w:val="bottom"/>
            <w:gridSpan w:val="2"/>
            <w:vMerge w:val="restart"/>
            <w:shd w:val="clear" w:color="auto" w:fill="FDFDFC"/>
          </w:tcPr>
          <w:p>
            <w:pPr>
              <w:jc w:val="right"/>
              <w:ind w:right="40"/>
              <w:spacing w:after="0"/>
              <w:rPr>
                <w:sz w:val="20"/>
                <w:szCs w:val="20"/>
                <w:color w:val="auto"/>
              </w:rPr>
            </w:pPr>
            <w:r>
              <w:rPr>
                <w:rFonts w:ascii="Arial" w:cs="Arial" w:eastAsia="Arial" w:hAnsi="Arial"/>
                <w:sz w:val="19"/>
                <w:szCs w:val="19"/>
                <w:color w:val="231F20"/>
              </w:rPr>
              <w:t>(4.9)</w:t>
            </w:r>
          </w:p>
        </w:tc>
        <w:tc>
          <w:tcPr>
            <w:tcW w:w="0" w:type="dxa"/>
            <w:vAlign w:val="bottom"/>
          </w:tcPr>
          <w:p>
            <w:pPr>
              <w:spacing w:after="0"/>
              <w:rPr>
                <w:sz w:val="1"/>
                <w:szCs w:val="1"/>
                <w:color w:val="auto"/>
              </w:rPr>
            </w:pPr>
          </w:p>
        </w:tc>
      </w:tr>
      <w:tr>
        <w:trPr>
          <w:trHeight w:val="235"/>
        </w:trPr>
        <w:tc>
          <w:tcPr>
            <w:tcW w:w="4820" w:type="dxa"/>
            <w:vAlign w:val="bottom"/>
            <w:shd w:val="clear" w:color="auto" w:fill="FDFDFC"/>
          </w:tcPr>
          <w:p>
            <w:pPr>
              <w:ind w:left="400"/>
              <w:spacing w:after="0"/>
              <w:rPr>
                <w:sz w:val="20"/>
                <w:szCs w:val="20"/>
                <w:color w:val="auto"/>
              </w:rPr>
            </w:pPr>
            <w:r>
              <w:rPr>
                <w:rFonts w:ascii="Arial" w:cs="Arial" w:eastAsia="Arial" w:hAnsi="Arial"/>
                <w:sz w:val="19"/>
                <w:szCs w:val="19"/>
                <w:color w:val="231F20"/>
              </w:rPr>
              <w:t>related taxes</w:t>
            </w:r>
          </w:p>
        </w:tc>
        <w:tc>
          <w:tcPr>
            <w:tcW w:w="120" w:type="dxa"/>
            <w:vAlign w:val="bottom"/>
            <w:shd w:val="clear" w:color="auto" w:fill="FDFDFC"/>
          </w:tcPr>
          <w:p>
            <w:pPr>
              <w:spacing w:after="0"/>
              <w:rPr>
                <w:sz w:val="20"/>
                <w:szCs w:val="20"/>
                <w:color w:val="auto"/>
              </w:rPr>
            </w:pPr>
          </w:p>
        </w:tc>
        <w:tc>
          <w:tcPr>
            <w:tcW w:w="360" w:type="dxa"/>
            <w:vAlign w:val="bottom"/>
            <w:shd w:val="clear" w:color="auto" w:fill="FDFDFC"/>
          </w:tcPr>
          <w:p>
            <w:pPr>
              <w:spacing w:after="0"/>
              <w:rPr>
                <w:sz w:val="20"/>
                <w:szCs w:val="20"/>
                <w:color w:val="auto"/>
              </w:rPr>
            </w:pPr>
          </w:p>
        </w:tc>
        <w:tc>
          <w:tcPr>
            <w:tcW w:w="1320" w:type="dxa"/>
            <w:vAlign w:val="bottom"/>
            <w:gridSpan w:val="2"/>
            <w:vMerge w:val="continue"/>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480" w:type="dxa"/>
            <w:vAlign w:val="bottom"/>
            <w:gridSpan w:val="2"/>
            <w:vMerge w:val="continue"/>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360" w:type="dxa"/>
            <w:vAlign w:val="bottom"/>
            <w:shd w:val="clear" w:color="auto" w:fill="FDFDFC"/>
          </w:tcPr>
          <w:p>
            <w:pPr>
              <w:spacing w:after="0"/>
              <w:rPr>
                <w:sz w:val="20"/>
                <w:szCs w:val="20"/>
                <w:color w:val="auto"/>
              </w:rPr>
            </w:pPr>
          </w:p>
        </w:tc>
        <w:tc>
          <w:tcPr>
            <w:tcW w:w="1320" w:type="dxa"/>
            <w:vAlign w:val="bottom"/>
            <w:gridSpan w:val="2"/>
            <w:vMerge w:val="continue"/>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 Depreciation and amortization</w:t>
            </w:r>
          </w:p>
        </w:tc>
        <w:tc>
          <w:tcPr>
            <w:tcW w:w="120" w:type="dxa"/>
            <w:vAlign w:val="bottom"/>
            <w:shd w:val="clear" w:color="auto" w:fill="D0EBF2"/>
          </w:tcPr>
          <w:p>
            <w:pPr>
              <w:spacing w:after="0"/>
              <w:rPr>
                <w:sz w:val="20"/>
                <w:szCs w:val="20"/>
                <w:color w:val="auto"/>
              </w:rPr>
            </w:pPr>
          </w:p>
        </w:tc>
        <w:tc>
          <w:tcPr>
            <w:tcW w:w="360" w:type="dxa"/>
            <w:vAlign w:val="bottom"/>
            <w:shd w:val="clear" w:color="auto" w:fill="D0EBF2"/>
          </w:tcPr>
          <w:p>
            <w:pPr>
              <w:spacing w:after="0"/>
              <w:rPr>
                <w:sz w:val="20"/>
                <w:szCs w:val="20"/>
                <w:color w:val="auto"/>
              </w:rPr>
            </w:pPr>
          </w:p>
        </w:tc>
        <w:tc>
          <w:tcPr>
            <w:tcW w:w="132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(7.4)</w:t>
            </w:r>
          </w:p>
        </w:tc>
        <w:tc>
          <w:tcPr>
            <w:tcW w:w="10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48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(8.4)</w:t>
            </w:r>
          </w:p>
        </w:tc>
        <w:tc>
          <w:tcPr>
            <w:tcW w:w="120" w:type="dxa"/>
            <w:vAlign w:val="bottom"/>
            <w:shd w:val="clear" w:color="auto" w:fill="D0EBF2"/>
          </w:tcPr>
          <w:p>
            <w:pPr>
              <w:spacing w:after="0"/>
              <w:rPr>
                <w:sz w:val="20"/>
                <w:szCs w:val="20"/>
                <w:color w:val="auto"/>
              </w:rPr>
            </w:pPr>
          </w:p>
        </w:tc>
        <w:tc>
          <w:tcPr>
            <w:tcW w:w="360" w:type="dxa"/>
            <w:vAlign w:val="bottom"/>
            <w:shd w:val="clear" w:color="auto" w:fill="D0EBF2"/>
          </w:tcPr>
          <w:p>
            <w:pPr>
              <w:spacing w:after="0"/>
              <w:rPr>
                <w:sz w:val="20"/>
                <w:szCs w:val="20"/>
                <w:color w:val="auto"/>
              </w:rPr>
            </w:pPr>
          </w:p>
        </w:tc>
        <w:tc>
          <w:tcPr>
            <w:tcW w:w="132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(7.8)</w:t>
            </w:r>
          </w:p>
        </w:tc>
        <w:tc>
          <w:tcPr>
            <w:tcW w:w="0" w:type="dxa"/>
            <w:vAlign w:val="bottom"/>
          </w:tcPr>
          <w:p>
            <w:pPr>
              <w:spacing w:after="0"/>
              <w:rPr>
                <w:sz w:val="1"/>
                <w:szCs w:val="1"/>
                <w:color w:val="auto"/>
              </w:rPr>
            </w:pPr>
          </w:p>
        </w:tc>
      </w:tr>
      <w:tr>
        <w:trPr>
          <w:trHeight w:val="230"/>
        </w:trPr>
        <w:tc>
          <w:tcPr>
            <w:tcW w:w="482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 Acquisition related employee retention costs</w:t>
            </w:r>
          </w:p>
        </w:tc>
        <w:tc>
          <w:tcPr>
            <w:tcW w:w="120" w:type="dxa"/>
            <w:vAlign w:val="bottom"/>
            <w:shd w:val="clear" w:color="auto" w:fill="FDFDFC"/>
          </w:tcPr>
          <w:p>
            <w:pPr>
              <w:spacing w:after="0"/>
              <w:rPr>
                <w:sz w:val="20"/>
                <w:szCs w:val="20"/>
                <w:color w:val="auto"/>
              </w:rPr>
            </w:pPr>
          </w:p>
        </w:tc>
        <w:tc>
          <w:tcPr>
            <w:tcW w:w="360" w:type="dxa"/>
            <w:vAlign w:val="bottom"/>
            <w:shd w:val="clear" w:color="auto" w:fill="FDFDFC"/>
          </w:tcPr>
          <w:p>
            <w:pPr>
              <w:spacing w:after="0"/>
              <w:rPr>
                <w:sz w:val="20"/>
                <w:szCs w:val="20"/>
                <w:color w:val="auto"/>
              </w:rPr>
            </w:pPr>
          </w:p>
        </w:tc>
        <w:tc>
          <w:tcPr>
            <w:tcW w:w="1320" w:type="dxa"/>
            <w:vAlign w:val="bottom"/>
            <w:gridSpan w:val="2"/>
            <w:shd w:val="clear" w:color="auto" w:fill="FDFDFC"/>
          </w:tcPr>
          <w:p>
            <w:pPr>
              <w:jc w:val="right"/>
              <w:ind w:right="120"/>
              <w:spacing w:after="0"/>
              <w:rPr>
                <w:sz w:val="20"/>
                <w:szCs w:val="20"/>
                <w:color w:val="auto"/>
              </w:rPr>
            </w:pPr>
            <w:r>
              <w:rPr>
                <w:rFonts w:ascii="Arial" w:cs="Arial" w:eastAsia="Arial" w:hAnsi="Arial"/>
                <w:sz w:val="19"/>
                <w:szCs w:val="19"/>
                <w:color w:val="231F20"/>
              </w:rPr>
              <w:t>—</w:t>
            </w: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48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(0.5)</w:t>
            </w:r>
          </w:p>
        </w:tc>
        <w:tc>
          <w:tcPr>
            <w:tcW w:w="120" w:type="dxa"/>
            <w:vAlign w:val="bottom"/>
            <w:shd w:val="clear" w:color="auto" w:fill="FDFDFC"/>
          </w:tcPr>
          <w:p>
            <w:pPr>
              <w:spacing w:after="0"/>
              <w:rPr>
                <w:sz w:val="20"/>
                <w:szCs w:val="20"/>
                <w:color w:val="auto"/>
              </w:rPr>
            </w:pPr>
          </w:p>
        </w:tc>
        <w:tc>
          <w:tcPr>
            <w:tcW w:w="360" w:type="dxa"/>
            <w:vAlign w:val="bottom"/>
            <w:shd w:val="clear" w:color="auto" w:fill="FDFDFC"/>
          </w:tcPr>
          <w:p>
            <w:pPr>
              <w:spacing w:after="0"/>
              <w:rPr>
                <w:sz w:val="20"/>
                <w:szCs w:val="20"/>
                <w:color w:val="auto"/>
              </w:rPr>
            </w:pPr>
          </w:p>
        </w:tc>
        <w:tc>
          <w:tcPr>
            <w:tcW w:w="132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(1.1)</w:t>
            </w:r>
          </w:p>
        </w:tc>
        <w:tc>
          <w:tcPr>
            <w:tcW w:w="0" w:type="dxa"/>
            <w:vAlign w:val="bottom"/>
          </w:tcPr>
          <w:p>
            <w:pPr>
              <w:spacing w:after="0"/>
              <w:rPr>
                <w:sz w:val="1"/>
                <w:szCs w:val="1"/>
                <w:color w:val="auto"/>
              </w:rPr>
            </w:pPr>
          </w:p>
        </w:tc>
      </w:tr>
      <w:tr>
        <w:trPr>
          <w:trHeight w:val="260"/>
        </w:trPr>
        <w:tc>
          <w:tcPr>
            <w:tcW w:w="4820" w:type="dxa"/>
            <w:vAlign w:val="bottom"/>
            <w:tcBorders>
              <w:top w:val="single" w:sz="8" w:color="D0EBF2"/>
              <w:bottom w:val="single" w:sz="8" w:color="FDFDFC"/>
            </w:tcBorders>
            <w:shd w:val="clear" w:color="auto" w:fill="D0EBF2"/>
          </w:tcPr>
          <w:p>
            <w:pPr>
              <w:spacing w:after="0"/>
              <w:rPr>
                <w:sz w:val="20"/>
                <w:szCs w:val="20"/>
                <w:color w:val="auto"/>
              </w:rPr>
            </w:pPr>
            <w:r>
              <w:rPr>
                <w:rFonts w:ascii="Arial" w:cs="Arial" w:eastAsia="Arial" w:hAnsi="Arial"/>
                <w:sz w:val="19"/>
                <w:szCs w:val="19"/>
                <w:color w:val="231F20"/>
              </w:rPr>
              <w:t>Non-GAAP Technology and development</w:t>
            </w:r>
          </w:p>
        </w:tc>
        <w:tc>
          <w:tcPr>
            <w:tcW w:w="120" w:type="dxa"/>
            <w:vAlign w:val="bottom"/>
            <w:tcBorders>
              <w:top w:val="single" w:sz="8" w:color="D0EBF2"/>
              <w:bottom w:val="single" w:sz="8" w:color="FDFDFC"/>
            </w:tcBorders>
            <w:shd w:val="clear" w:color="auto" w:fill="D0EBF2"/>
          </w:tcPr>
          <w:p>
            <w:pPr>
              <w:spacing w:after="0"/>
              <w:rPr>
                <w:sz w:val="22"/>
                <w:szCs w:val="22"/>
                <w:color w:val="auto"/>
              </w:rPr>
            </w:pPr>
          </w:p>
        </w:tc>
        <w:tc>
          <w:tcPr>
            <w:tcW w:w="360" w:type="dxa"/>
            <w:vAlign w:val="bottom"/>
            <w:tcBorders>
              <w:top w:val="single" w:sz="8" w:color="231F20"/>
              <w:bottom w:val="single" w:sz="8" w:color="231F20"/>
            </w:tcBorders>
            <w:shd w:val="clear" w:color="auto" w:fill="D0EBF2"/>
          </w:tcPr>
          <w:p>
            <w:pPr>
              <w:jc w:val="right"/>
              <w:ind w:right="166"/>
              <w:spacing w:after="0"/>
              <w:rPr>
                <w:sz w:val="20"/>
                <w:szCs w:val="20"/>
                <w:color w:val="auto"/>
              </w:rPr>
            </w:pPr>
            <w:r>
              <w:rPr>
                <w:rFonts w:ascii="Arial" w:cs="Arial" w:eastAsia="Arial" w:hAnsi="Arial"/>
                <w:sz w:val="19"/>
                <w:szCs w:val="19"/>
                <w:color w:val="231F20"/>
                <w:w w:val="75"/>
              </w:rPr>
              <w:t>$</w:t>
            </w:r>
          </w:p>
        </w:tc>
        <w:tc>
          <w:tcPr>
            <w:tcW w:w="12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47.4</w:t>
            </w:r>
          </w:p>
        </w:tc>
        <w:tc>
          <w:tcPr>
            <w:tcW w:w="120" w:type="dxa"/>
            <w:vAlign w:val="bottom"/>
            <w:tcBorders>
              <w:top w:val="single" w:sz="8" w:color="D0EBF2"/>
              <w:bottom w:val="single" w:sz="8" w:color="FDFDFC"/>
            </w:tcBorders>
            <w:shd w:val="clear" w:color="auto" w:fill="D0EBF2"/>
          </w:tcPr>
          <w:p>
            <w:pPr>
              <w:spacing w:after="0"/>
              <w:rPr>
                <w:sz w:val="22"/>
                <w:szCs w:val="22"/>
                <w:color w:val="auto"/>
              </w:rPr>
            </w:pPr>
          </w:p>
        </w:tc>
        <w:tc>
          <w:tcPr>
            <w:tcW w:w="100" w:type="dxa"/>
            <w:vAlign w:val="bottom"/>
            <w:tcBorders>
              <w:top w:val="single" w:sz="8" w:color="D0EBF2"/>
              <w:bottom w:val="single" w:sz="8" w:color="FDFDFC"/>
            </w:tcBorders>
            <w:shd w:val="clear" w:color="auto" w:fill="D0EBF2"/>
          </w:tcPr>
          <w:p>
            <w:pPr>
              <w:spacing w:after="0"/>
              <w:rPr>
                <w:sz w:val="22"/>
                <w:szCs w:val="22"/>
                <w:color w:val="auto"/>
              </w:rPr>
            </w:pPr>
          </w:p>
        </w:tc>
        <w:tc>
          <w:tcPr>
            <w:tcW w:w="2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94"/>
              </w:rPr>
              <w:t>$</w:t>
            </w:r>
          </w:p>
        </w:tc>
        <w:tc>
          <w:tcPr>
            <w:tcW w:w="13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43.9</w:t>
            </w:r>
          </w:p>
        </w:tc>
        <w:tc>
          <w:tcPr>
            <w:tcW w:w="100" w:type="dxa"/>
            <w:vAlign w:val="bottom"/>
            <w:tcBorders>
              <w:top w:val="single" w:sz="8" w:color="D0EBF2"/>
              <w:bottom w:val="single" w:sz="8" w:color="FDFDFC"/>
            </w:tcBorders>
            <w:shd w:val="clear" w:color="auto" w:fill="D0EBF2"/>
          </w:tcPr>
          <w:p>
            <w:pPr>
              <w:spacing w:after="0"/>
              <w:rPr>
                <w:sz w:val="22"/>
                <w:szCs w:val="22"/>
                <w:color w:val="auto"/>
              </w:rPr>
            </w:pPr>
          </w:p>
        </w:tc>
        <w:tc>
          <w:tcPr>
            <w:tcW w:w="120" w:type="dxa"/>
            <w:vAlign w:val="bottom"/>
            <w:tcBorders>
              <w:top w:val="single" w:sz="8" w:color="D0EBF2"/>
              <w:bottom w:val="single" w:sz="8" w:color="FDFDFC"/>
            </w:tcBorders>
            <w:shd w:val="clear" w:color="auto" w:fill="D0EBF2"/>
          </w:tcPr>
          <w:p>
            <w:pPr>
              <w:spacing w:after="0"/>
              <w:rPr>
                <w:sz w:val="22"/>
                <w:szCs w:val="22"/>
                <w:color w:val="auto"/>
              </w:rPr>
            </w:pPr>
          </w:p>
        </w:tc>
        <w:tc>
          <w:tcPr>
            <w:tcW w:w="360" w:type="dxa"/>
            <w:vAlign w:val="bottom"/>
            <w:tcBorders>
              <w:top w:val="single" w:sz="8" w:color="231F20"/>
              <w:bottom w:val="single" w:sz="8" w:color="231F20"/>
            </w:tcBorders>
            <w:shd w:val="clear" w:color="auto" w:fill="D0EBF2"/>
          </w:tcPr>
          <w:p>
            <w:pPr>
              <w:jc w:val="right"/>
              <w:ind w:right="166"/>
              <w:spacing w:after="0"/>
              <w:rPr>
                <w:sz w:val="20"/>
                <w:szCs w:val="20"/>
                <w:color w:val="auto"/>
              </w:rPr>
            </w:pPr>
            <w:r>
              <w:rPr>
                <w:rFonts w:ascii="Arial" w:cs="Arial" w:eastAsia="Arial" w:hAnsi="Arial"/>
                <w:sz w:val="19"/>
                <w:szCs w:val="19"/>
                <w:color w:val="231F20"/>
                <w:w w:val="75"/>
              </w:rPr>
              <w:t>$</w:t>
            </w:r>
          </w:p>
        </w:tc>
        <w:tc>
          <w:tcPr>
            <w:tcW w:w="1240" w:type="dxa"/>
            <w:vAlign w:val="bottom"/>
            <w:tcBorders>
              <w:top w:val="single" w:sz="8" w:color="231F20"/>
              <w:bottom w:val="single" w:sz="8" w:color="231F20"/>
              <w:right w:val="single" w:sz="8" w:color="D0EBF2"/>
            </w:tcBorders>
            <w:shd w:val="clear" w:color="auto" w:fill="D0EBF2"/>
          </w:tcPr>
          <w:p>
            <w:pPr>
              <w:jc w:val="right"/>
              <w:spacing w:after="0"/>
              <w:rPr>
                <w:sz w:val="20"/>
                <w:szCs w:val="20"/>
                <w:color w:val="auto"/>
              </w:rPr>
            </w:pPr>
            <w:r>
              <w:rPr>
                <w:rFonts w:ascii="Arial" w:cs="Arial" w:eastAsia="Arial" w:hAnsi="Arial"/>
                <w:sz w:val="19"/>
                <w:szCs w:val="19"/>
                <w:color w:val="231F20"/>
              </w:rPr>
              <w:t>36.5</w:t>
            </w:r>
          </w:p>
        </w:tc>
        <w:tc>
          <w:tcPr>
            <w:tcW w:w="80" w:type="dxa"/>
            <w:vAlign w:val="bottom"/>
            <w:tcBorders>
              <w:top w:val="single" w:sz="8" w:color="D0EBF2"/>
              <w:bottom w:val="single" w:sz="8" w:color="FDFDFC"/>
            </w:tcBorders>
            <w:shd w:val="clear" w:color="auto" w:fill="D0EBF2"/>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820" w:type="dxa"/>
            <w:vAlign w:val="bottom"/>
            <w:vMerge w:val="restart"/>
            <w:shd w:val="clear" w:color="auto" w:fill="FDFDFC"/>
          </w:tcPr>
          <w:p>
            <w:pPr>
              <w:spacing w:after="0"/>
              <w:rPr>
                <w:sz w:val="20"/>
                <w:szCs w:val="20"/>
                <w:color w:val="auto"/>
              </w:rPr>
            </w:pPr>
            <w:r>
              <w:rPr>
                <w:rFonts w:ascii="Arial" w:cs="Arial" w:eastAsia="Arial" w:hAnsi="Arial"/>
                <w:sz w:val="19"/>
                <w:szCs w:val="19"/>
                <w:color w:val="231F20"/>
              </w:rPr>
              <w:t>GAAP Selling and marketing</w:t>
            </w:r>
          </w:p>
        </w:tc>
        <w:tc>
          <w:tcPr>
            <w:tcW w:w="120" w:type="dxa"/>
            <w:vAlign w:val="bottom"/>
            <w:shd w:val="clear" w:color="auto" w:fill="FDFDFC"/>
          </w:tcPr>
          <w:p>
            <w:pPr>
              <w:spacing w:after="0"/>
              <w:rPr>
                <w:sz w:val="21"/>
                <w:szCs w:val="21"/>
                <w:color w:val="auto"/>
              </w:rPr>
            </w:pPr>
          </w:p>
        </w:tc>
        <w:tc>
          <w:tcPr>
            <w:tcW w:w="360" w:type="dxa"/>
            <w:vAlign w:val="bottom"/>
            <w:vMerge w:val="restart"/>
            <w:shd w:val="clear" w:color="auto" w:fill="FDFDFC"/>
          </w:tcPr>
          <w:p>
            <w:pPr>
              <w:jc w:val="right"/>
              <w:ind w:right="166"/>
              <w:spacing w:after="0"/>
              <w:rPr>
                <w:sz w:val="20"/>
                <w:szCs w:val="20"/>
                <w:color w:val="auto"/>
              </w:rPr>
            </w:pPr>
            <w:r>
              <w:rPr>
                <w:rFonts w:ascii="Arial" w:cs="Arial" w:eastAsia="Arial" w:hAnsi="Arial"/>
                <w:sz w:val="19"/>
                <w:szCs w:val="19"/>
                <w:color w:val="231F20"/>
                <w:w w:val="75"/>
              </w:rPr>
              <w:t>$</w:t>
            </w:r>
          </w:p>
        </w:tc>
        <w:tc>
          <w:tcPr>
            <w:tcW w:w="120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129.4</w:t>
            </w:r>
          </w:p>
        </w:tc>
        <w:tc>
          <w:tcPr>
            <w:tcW w:w="120" w:type="dxa"/>
            <w:vAlign w:val="bottom"/>
            <w:shd w:val="clear" w:color="auto" w:fill="FDFDFC"/>
          </w:tcPr>
          <w:p>
            <w:pPr>
              <w:spacing w:after="0"/>
              <w:rPr>
                <w:sz w:val="21"/>
                <w:szCs w:val="21"/>
                <w:color w:val="auto"/>
              </w:rPr>
            </w:pPr>
          </w:p>
        </w:tc>
        <w:tc>
          <w:tcPr>
            <w:tcW w:w="100" w:type="dxa"/>
            <w:vAlign w:val="bottom"/>
            <w:shd w:val="clear" w:color="auto" w:fill="FDFDFC"/>
          </w:tcPr>
          <w:p>
            <w:pPr>
              <w:spacing w:after="0"/>
              <w:rPr>
                <w:sz w:val="21"/>
                <w:szCs w:val="21"/>
                <w:color w:val="auto"/>
              </w:rPr>
            </w:pPr>
          </w:p>
        </w:tc>
        <w:tc>
          <w:tcPr>
            <w:tcW w:w="20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w w:val="94"/>
              </w:rPr>
              <w:t>$</w:t>
            </w:r>
          </w:p>
        </w:tc>
        <w:tc>
          <w:tcPr>
            <w:tcW w:w="138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107.6</w:t>
            </w:r>
          </w:p>
        </w:tc>
        <w:tc>
          <w:tcPr>
            <w:tcW w:w="100" w:type="dxa"/>
            <w:vAlign w:val="bottom"/>
            <w:shd w:val="clear" w:color="auto" w:fill="FDFDFC"/>
          </w:tcPr>
          <w:p>
            <w:pPr>
              <w:spacing w:after="0"/>
              <w:rPr>
                <w:sz w:val="21"/>
                <w:szCs w:val="21"/>
                <w:color w:val="auto"/>
              </w:rPr>
            </w:pPr>
          </w:p>
        </w:tc>
        <w:tc>
          <w:tcPr>
            <w:tcW w:w="120" w:type="dxa"/>
            <w:vAlign w:val="bottom"/>
            <w:shd w:val="clear" w:color="auto" w:fill="FDFDFC"/>
          </w:tcPr>
          <w:p>
            <w:pPr>
              <w:spacing w:after="0"/>
              <w:rPr>
                <w:sz w:val="21"/>
                <w:szCs w:val="21"/>
                <w:color w:val="auto"/>
              </w:rPr>
            </w:pPr>
          </w:p>
        </w:tc>
        <w:tc>
          <w:tcPr>
            <w:tcW w:w="360" w:type="dxa"/>
            <w:vAlign w:val="bottom"/>
            <w:vMerge w:val="restart"/>
            <w:shd w:val="clear" w:color="auto" w:fill="FDFDFC"/>
          </w:tcPr>
          <w:p>
            <w:pPr>
              <w:jc w:val="right"/>
              <w:ind w:right="166"/>
              <w:spacing w:after="0"/>
              <w:rPr>
                <w:sz w:val="20"/>
                <w:szCs w:val="20"/>
                <w:color w:val="auto"/>
              </w:rPr>
            </w:pPr>
            <w:r>
              <w:rPr>
                <w:rFonts w:ascii="Arial" w:cs="Arial" w:eastAsia="Arial" w:hAnsi="Arial"/>
                <w:sz w:val="19"/>
                <w:szCs w:val="19"/>
                <w:color w:val="231F20"/>
                <w:w w:val="75"/>
              </w:rPr>
              <w:t>$</w:t>
            </w:r>
          </w:p>
        </w:tc>
        <w:tc>
          <w:tcPr>
            <w:tcW w:w="1240" w:type="dxa"/>
            <w:vAlign w:val="bottom"/>
            <w:tcBorders>
              <w:right w:val="single" w:sz="8" w:color="FDFDFC"/>
            </w:tcBorders>
            <w:vMerge w:val="restart"/>
            <w:shd w:val="clear" w:color="auto" w:fill="FDFDFC"/>
          </w:tcPr>
          <w:p>
            <w:pPr>
              <w:jc w:val="right"/>
              <w:spacing w:after="0"/>
              <w:rPr>
                <w:sz w:val="20"/>
                <w:szCs w:val="20"/>
                <w:color w:val="auto"/>
              </w:rPr>
            </w:pPr>
            <w:r>
              <w:rPr>
                <w:rFonts w:ascii="Arial" w:cs="Arial" w:eastAsia="Arial" w:hAnsi="Arial"/>
                <w:sz w:val="19"/>
                <w:szCs w:val="19"/>
                <w:color w:val="231F20"/>
              </w:rPr>
              <w:t>78.5</w:t>
            </w:r>
          </w:p>
        </w:tc>
        <w:tc>
          <w:tcPr>
            <w:tcW w:w="80" w:type="dxa"/>
            <w:vAlign w:val="bottom"/>
            <w:shd w:val="clear" w:color="auto" w:fill="FDFD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vMerge w:val="continue"/>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360" w:type="dxa"/>
            <w:vAlign w:val="bottom"/>
            <w:vMerge w:val="continue"/>
            <w:shd w:val="clear" w:color="auto" w:fill="FDFDFC"/>
          </w:tcPr>
          <w:p>
            <w:pPr>
              <w:spacing w:after="0"/>
              <w:rPr>
                <w:sz w:val="20"/>
                <w:szCs w:val="20"/>
                <w:color w:val="auto"/>
              </w:rPr>
            </w:pPr>
          </w:p>
        </w:tc>
        <w:tc>
          <w:tcPr>
            <w:tcW w:w="1200" w:type="dxa"/>
            <w:vAlign w:val="bottom"/>
            <w:vMerge w:val="continue"/>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200" w:type="dxa"/>
            <w:vAlign w:val="bottom"/>
            <w:vMerge w:val="continue"/>
            <w:shd w:val="clear" w:color="auto" w:fill="FDFDFC"/>
          </w:tcPr>
          <w:p>
            <w:pPr>
              <w:spacing w:after="0"/>
              <w:rPr>
                <w:sz w:val="20"/>
                <w:szCs w:val="20"/>
                <w:color w:val="auto"/>
              </w:rPr>
            </w:pPr>
          </w:p>
        </w:tc>
        <w:tc>
          <w:tcPr>
            <w:tcW w:w="1380" w:type="dxa"/>
            <w:vAlign w:val="bottom"/>
            <w:vMerge w:val="continue"/>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360" w:type="dxa"/>
            <w:vAlign w:val="bottom"/>
            <w:vMerge w:val="continue"/>
            <w:shd w:val="clear" w:color="auto" w:fill="FDFDFC"/>
          </w:tcPr>
          <w:p>
            <w:pPr>
              <w:spacing w:after="0"/>
              <w:rPr>
                <w:sz w:val="20"/>
                <w:szCs w:val="20"/>
                <w:color w:val="auto"/>
              </w:rPr>
            </w:pPr>
          </w:p>
        </w:tc>
        <w:tc>
          <w:tcPr>
            <w:tcW w:w="1240" w:type="dxa"/>
            <w:vAlign w:val="bottom"/>
            <w:tcBorders>
              <w:right w:val="single" w:sz="8" w:color="FDFDFC"/>
            </w:tcBorders>
            <w:vMerge w:val="continue"/>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20" w:type="dxa"/>
            <w:vAlign w:val="bottom"/>
            <w:shd w:val="clear" w:color="auto" w:fill="D0EBF2"/>
          </w:tcPr>
          <w:p>
            <w:pPr>
              <w:ind w:left="140"/>
              <w:spacing w:after="0" w:line="213" w:lineRule="exact"/>
              <w:rPr>
                <w:sz w:val="20"/>
                <w:szCs w:val="20"/>
                <w:color w:val="auto"/>
              </w:rPr>
            </w:pPr>
            <w:r>
              <w:rPr>
                <w:rFonts w:ascii="Arial" w:cs="Arial" w:eastAsia="Arial" w:hAnsi="Arial"/>
                <w:sz w:val="19"/>
                <w:szCs w:val="19"/>
                <w:color w:val="231F20"/>
              </w:rPr>
              <w:t>(-) Stock-based compensation expense and</w:t>
            </w:r>
          </w:p>
        </w:tc>
        <w:tc>
          <w:tcPr>
            <w:tcW w:w="120" w:type="dxa"/>
            <w:vAlign w:val="bottom"/>
            <w:shd w:val="clear" w:color="auto" w:fill="D0EBF2"/>
          </w:tcPr>
          <w:p>
            <w:pPr>
              <w:spacing w:after="0"/>
              <w:rPr>
                <w:sz w:val="18"/>
                <w:szCs w:val="18"/>
                <w:color w:val="auto"/>
              </w:rPr>
            </w:pPr>
          </w:p>
        </w:tc>
        <w:tc>
          <w:tcPr>
            <w:tcW w:w="360" w:type="dxa"/>
            <w:vAlign w:val="bottom"/>
            <w:shd w:val="clear" w:color="auto" w:fill="D0EBF2"/>
          </w:tcPr>
          <w:p>
            <w:pPr>
              <w:spacing w:after="0"/>
              <w:rPr>
                <w:sz w:val="18"/>
                <w:szCs w:val="18"/>
                <w:color w:val="auto"/>
              </w:rPr>
            </w:pPr>
          </w:p>
        </w:tc>
        <w:tc>
          <w:tcPr>
            <w:tcW w:w="1320" w:type="dxa"/>
            <w:vAlign w:val="bottom"/>
            <w:gridSpan w:val="2"/>
            <w:vMerge w:val="restart"/>
            <w:shd w:val="clear" w:color="auto" w:fill="D0EBF2"/>
          </w:tcPr>
          <w:p>
            <w:pPr>
              <w:jc w:val="right"/>
              <w:ind w:right="40"/>
              <w:spacing w:after="0"/>
              <w:rPr>
                <w:sz w:val="20"/>
                <w:szCs w:val="20"/>
                <w:color w:val="auto"/>
              </w:rPr>
            </w:pPr>
            <w:r>
              <w:rPr>
                <w:rFonts w:ascii="Arial" w:cs="Arial" w:eastAsia="Arial" w:hAnsi="Arial"/>
                <w:sz w:val="19"/>
                <w:szCs w:val="19"/>
                <w:color w:val="231F20"/>
              </w:rPr>
              <w:t>(18.3)</w:t>
            </w:r>
          </w:p>
        </w:tc>
        <w:tc>
          <w:tcPr>
            <w:tcW w:w="100" w:type="dxa"/>
            <w:vAlign w:val="bottom"/>
            <w:shd w:val="clear" w:color="auto" w:fill="D0EBF2"/>
          </w:tcPr>
          <w:p>
            <w:pPr>
              <w:spacing w:after="0"/>
              <w:rPr>
                <w:sz w:val="18"/>
                <w:szCs w:val="18"/>
                <w:color w:val="auto"/>
              </w:rPr>
            </w:pPr>
          </w:p>
        </w:tc>
        <w:tc>
          <w:tcPr>
            <w:tcW w:w="200" w:type="dxa"/>
            <w:vAlign w:val="bottom"/>
            <w:shd w:val="clear" w:color="auto" w:fill="D0EBF2"/>
          </w:tcPr>
          <w:p>
            <w:pPr>
              <w:spacing w:after="0"/>
              <w:rPr>
                <w:sz w:val="18"/>
                <w:szCs w:val="18"/>
                <w:color w:val="auto"/>
              </w:rPr>
            </w:pPr>
          </w:p>
        </w:tc>
        <w:tc>
          <w:tcPr>
            <w:tcW w:w="1480" w:type="dxa"/>
            <w:vAlign w:val="bottom"/>
            <w:gridSpan w:val="2"/>
            <w:vMerge w:val="restart"/>
            <w:shd w:val="clear" w:color="auto" w:fill="D0EBF2"/>
          </w:tcPr>
          <w:p>
            <w:pPr>
              <w:jc w:val="right"/>
              <w:ind w:right="40"/>
              <w:spacing w:after="0"/>
              <w:rPr>
                <w:sz w:val="20"/>
                <w:szCs w:val="20"/>
                <w:color w:val="auto"/>
              </w:rPr>
            </w:pPr>
            <w:r>
              <w:rPr>
                <w:rFonts w:ascii="Arial" w:cs="Arial" w:eastAsia="Arial" w:hAnsi="Arial"/>
                <w:sz w:val="19"/>
                <w:szCs w:val="19"/>
                <w:color w:val="231F20"/>
              </w:rPr>
              <w:t>(12.4)</w:t>
            </w:r>
          </w:p>
        </w:tc>
        <w:tc>
          <w:tcPr>
            <w:tcW w:w="120" w:type="dxa"/>
            <w:vAlign w:val="bottom"/>
            <w:shd w:val="clear" w:color="auto" w:fill="D0EBF2"/>
          </w:tcPr>
          <w:p>
            <w:pPr>
              <w:spacing w:after="0"/>
              <w:rPr>
                <w:sz w:val="18"/>
                <w:szCs w:val="18"/>
                <w:color w:val="auto"/>
              </w:rPr>
            </w:pPr>
          </w:p>
        </w:tc>
        <w:tc>
          <w:tcPr>
            <w:tcW w:w="360" w:type="dxa"/>
            <w:vAlign w:val="bottom"/>
            <w:shd w:val="clear" w:color="auto" w:fill="D0EBF2"/>
          </w:tcPr>
          <w:p>
            <w:pPr>
              <w:spacing w:after="0"/>
              <w:rPr>
                <w:sz w:val="18"/>
                <w:szCs w:val="18"/>
                <w:color w:val="auto"/>
              </w:rPr>
            </w:pPr>
          </w:p>
        </w:tc>
        <w:tc>
          <w:tcPr>
            <w:tcW w:w="1320" w:type="dxa"/>
            <w:vAlign w:val="bottom"/>
            <w:gridSpan w:val="2"/>
            <w:vMerge w:val="restart"/>
            <w:shd w:val="clear" w:color="auto" w:fill="D0EBF2"/>
          </w:tcPr>
          <w:p>
            <w:pPr>
              <w:jc w:val="right"/>
              <w:ind w:right="40"/>
              <w:spacing w:after="0"/>
              <w:rPr>
                <w:sz w:val="20"/>
                <w:szCs w:val="20"/>
                <w:color w:val="auto"/>
              </w:rPr>
            </w:pPr>
            <w:r>
              <w:rPr>
                <w:rFonts w:ascii="Arial" w:cs="Arial" w:eastAsia="Arial" w:hAnsi="Arial"/>
                <w:sz w:val="19"/>
                <w:szCs w:val="19"/>
                <w:color w:val="231F20"/>
              </w:rPr>
              <w:t>(7.9)</w:t>
            </w:r>
          </w:p>
        </w:tc>
        <w:tc>
          <w:tcPr>
            <w:tcW w:w="0" w:type="dxa"/>
            <w:vAlign w:val="bottom"/>
          </w:tcPr>
          <w:p>
            <w:pPr>
              <w:spacing w:after="0"/>
              <w:rPr>
                <w:sz w:val="1"/>
                <w:szCs w:val="1"/>
                <w:color w:val="auto"/>
              </w:rPr>
            </w:pPr>
          </w:p>
        </w:tc>
      </w:tr>
      <w:tr>
        <w:trPr>
          <w:trHeight w:val="235"/>
        </w:trPr>
        <w:tc>
          <w:tcPr>
            <w:tcW w:w="4820" w:type="dxa"/>
            <w:vAlign w:val="bottom"/>
            <w:shd w:val="clear" w:color="auto" w:fill="D0EBF2"/>
          </w:tcPr>
          <w:p>
            <w:pPr>
              <w:ind w:left="400"/>
              <w:spacing w:after="0"/>
              <w:rPr>
                <w:sz w:val="20"/>
                <w:szCs w:val="20"/>
                <w:color w:val="auto"/>
              </w:rPr>
            </w:pPr>
            <w:r>
              <w:rPr>
                <w:rFonts w:ascii="Arial" w:cs="Arial" w:eastAsia="Arial" w:hAnsi="Arial"/>
                <w:sz w:val="19"/>
                <w:szCs w:val="19"/>
                <w:color w:val="231F20"/>
              </w:rPr>
              <w:t>related taxes</w:t>
            </w:r>
          </w:p>
        </w:tc>
        <w:tc>
          <w:tcPr>
            <w:tcW w:w="120" w:type="dxa"/>
            <w:vAlign w:val="bottom"/>
            <w:shd w:val="clear" w:color="auto" w:fill="D0EBF2"/>
          </w:tcPr>
          <w:p>
            <w:pPr>
              <w:spacing w:after="0"/>
              <w:rPr>
                <w:sz w:val="20"/>
                <w:szCs w:val="20"/>
                <w:color w:val="auto"/>
              </w:rPr>
            </w:pPr>
          </w:p>
        </w:tc>
        <w:tc>
          <w:tcPr>
            <w:tcW w:w="360" w:type="dxa"/>
            <w:vAlign w:val="bottom"/>
            <w:shd w:val="clear" w:color="auto" w:fill="D0EBF2"/>
          </w:tcPr>
          <w:p>
            <w:pPr>
              <w:spacing w:after="0"/>
              <w:rPr>
                <w:sz w:val="20"/>
                <w:szCs w:val="20"/>
                <w:color w:val="auto"/>
              </w:rPr>
            </w:pPr>
          </w:p>
        </w:tc>
        <w:tc>
          <w:tcPr>
            <w:tcW w:w="1320" w:type="dxa"/>
            <w:vAlign w:val="bottom"/>
            <w:gridSpan w:val="2"/>
            <w:vMerge w:val="continue"/>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480" w:type="dxa"/>
            <w:vAlign w:val="bottom"/>
            <w:gridSpan w:val="2"/>
            <w:vMerge w:val="continue"/>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360" w:type="dxa"/>
            <w:vAlign w:val="bottom"/>
            <w:shd w:val="clear" w:color="auto" w:fill="D0EBF2"/>
          </w:tcPr>
          <w:p>
            <w:pPr>
              <w:spacing w:after="0"/>
              <w:rPr>
                <w:sz w:val="20"/>
                <w:szCs w:val="20"/>
                <w:color w:val="auto"/>
              </w:rPr>
            </w:pPr>
          </w:p>
        </w:tc>
        <w:tc>
          <w:tcPr>
            <w:tcW w:w="1320" w:type="dxa"/>
            <w:vAlign w:val="bottom"/>
            <w:gridSpan w:val="2"/>
            <w:vMerge w:val="continue"/>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 Depreciation and amortization</w:t>
            </w:r>
          </w:p>
        </w:tc>
        <w:tc>
          <w:tcPr>
            <w:tcW w:w="120" w:type="dxa"/>
            <w:vAlign w:val="bottom"/>
            <w:shd w:val="clear" w:color="auto" w:fill="FDFDFC"/>
          </w:tcPr>
          <w:p>
            <w:pPr>
              <w:spacing w:after="0"/>
              <w:rPr>
                <w:sz w:val="20"/>
                <w:szCs w:val="20"/>
                <w:color w:val="auto"/>
              </w:rPr>
            </w:pPr>
          </w:p>
        </w:tc>
        <w:tc>
          <w:tcPr>
            <w:tcW w:w="360" w:type="dxa"/>
            <w:vAlign w:val="bottom"/>
            <w:shd w:val="clear" w:color="auto" w:fill="FDFDFC"/>
          </w:tcPr>
          <w:p>
            <w:pPr>
              <w:spacing w:after="0"/>
              <w:rPr>
                <w:sz w:val="20"/>
                <w:szCs w:val="20"/>
                <w:color w:val="auto"/>
              </w:rPr>
            </w:pPr>
          </w:p>
        </w:tc>
        <w:tc>
          <w:tcPr>
            <w:tcW w:w="132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(8.2)</w:t>
            </w: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48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(5.2)</w:t>
            </w:r>
          </w:p>
        </w:tc>
        <w:tc>
          <w:tcPr>
            <w:tcW w:w="120" w:type="dxa"/>
            <w:vAlign w:val="bottom"/>
            <w:shd w:val="clear" w:color="auto" w:fill="FDFDFC"/>
          </w:tcPr>
          <w:p>
            <w:pPr>
              <w:spacing w:after="0"/>
              <w:rPr>
                <w:sz w:val="20"/>
                <w:szCs w:val="20"/>
                <w:color w:val="auto"/>
              </w:rPr>
            </w:pPr>
          </w:p>
        </w:tc>
        <w:tc>
          <w:tcPr>
            <w:tcW w:w="360" w:type="dxa"/>
            <w:vAlign w:val="bottom"/>
            <w:shd w:val="clear" w:color="auto" w:fill="FDFDFC"/>
          </w:tcPr>
          <w:p>
            <w:pPr>
              <w:spacing w:after="0"/>
              <w:rPr>
                <w:sz w:val="20"/>
                <w:szCs w:val="20"/>
                <w:color w:val="auto"/>
              </w:rPr>
            </w:pPr>
          </w:p>
        </w:tc>
        <w:tc>
          <w:tcPr>
            <w:tcW w:w="132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(3.9)</w:t>
            </w:r>
          </w:p>
        </w:tc>
        <w:tc>
          <w:tcPr>
            <w:tcW w:w="0" w:type="dxa"/>
            <w:vAlign w:val="bottom"/>
          </w:tcPr>
          <w:p>
            <w:pPr>
              <w:spacing w:after="0"/>
              <w:rPr>
                <w:sz w:val="1"/>
                <w:szCs w:val="1"/>
                <w:color w:val="auto"/>
              </w:rPr>
            </w:pPr>
          </w:p>
        </w:tc>
      </w:tr>
      <w:tr>
        <w:trPr>
          <w:trHeight w:val="250"/>
        </w:trPr>
        <w:tc>
          <w:tcPr>
            <w:tcW w:w="482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 Acquisition related employee retention costs</w:t>
            </w:r>
          </w:p>
        </w:tc>
        <w:tc>
          <w:tcPr>
            <w:tcW w:w="120" w:type="dxa"/>
            <w:vAlign w:val="bottom"/>
            <w:shd w:val="clear" w:color="auto" w:fill="D0EBF2"/>
          </w:tcPr>
          <w:p>
            <w:pPr>
              <w:spacing w:after="0"/>
              <w:rPr>
                <w:sz w:val="21"/>
                <w:szCs w:val="21"/>
                <w:color w:val="auto"/>
              </w:rPr>
            </w:pPr>
          </w:p>
        </w:tc>
        <w:tc>
          <w:tcPr>
            <w:tcW w:w="360" w:type="dxa"/>
            <w:vAlign w:val="bottom"/>
            <w:shd w:val="clear" w:color="auto" w:fill="D0EBF2"/>
          </w:tcPr>
          <w:p>
            <w:pPr>
              <w:spacing w:after="0"/>
              <w:rPr>
                <w:sz w:val="21"/>
                <w:szCs w:val="21"/>
                <w:color w:val="auto"/>
              </w:rPr>
            </w:pPr>
          </w:p>
        </w:tc>
        <w:tc>
          <w:tcPr>
            <w:tcW w:w="132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(0.5)</w:t>
            </w:r>
          </w:p>
        </w:tc>
        <w:tc>
          <w:tcPr>
            <w:tcW w:w="100" w:type="dxa"/>
            <w:vAlign w:val="bottom"/>
            <w:shd w:val="clear" w:color="auto" w:fill="D0EBF2"/>
          </w:tcPr>
          <w:p>
            <w:pPr>
              <w:spacing w:after="0"/>
              <w:rPr>
                <w:sz w:val="21"/>
                <w:szCs w:val="21"/>
                <w:color w:val="auto"/>
              </w:rPr>
            </w:pPr>
          </w:p>
        </w:tc>
        <w:tc>
          <w:tcPr>
            <w:tcW w:w="200" w:type="dxa"/>
            <w:vAlign w:val="bottom"/>
            <w:shd w:val="clear" w:color="auto" w:fill="D0EBF2"/>
          </w:tcPr>
          <w:p>
            <w:pPr>
              <w:spacing w:after="0"/>
              <w:rPr>
                <w:sz w:val="21"/>
                <w:szCs w:val="21"/>
                <w:color w:val="auto"/>
              </w:rPr>
            </w:pPr>
          </w:p>
        </w:tc>
        <w:tc>
          <w:tcPr>
            <w:tcW w:w="148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(0.4)</w:t>
            </w:r>
          </w:p>
        </w:tc>
        <w:tc>
          <w:tcPr>
            <w:tcW w:w="120" w:type="dxa"/>
            <w:vAlign w:val="bottom"/>
            <w:shd w:val="clear" w:color="auto" w:fill="D0EBF2"/>
          </w:tcPr>
          <w:p>
            <w:pPr>
              <w:spacing w:after="0"/>
              <w:rPr>
                <w:sz w:val="21"/>
                <w:szCs w:val="21"/>
                <w:color w:val="auto"/>
              </w:rPr>
            </w:pPr>
          </w:p>
        </w:tc>
        <w:tc>
          <w:tcPr>
            <w:tcW w:w="360" w:type="dxa"/>
            <w:vAlign w:val="bottom"/>
            <w:shd w:val="clear" w:color="auto" w:fill="D0EBF2"/>
          </w:tcPr>
          <w:p>
            <w:pPr>
              <w:spacing w:after="0"/>
              <w:rPr>
                <w:sz w:val="21"/>
                <w:szCs w:val="21"/>
                <w:color w:val="auto"/>
              </w:rPr>
            </w:pPr>
          </w:p>
        </w:tc>
        <w:tc>
          <w:tcPr>
            <w:tcW w:w="132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(0.3)</w:t>
            </w:r>
          </w:p>
        </w:tc>
        <w:tc>
          <w:tcPr>
            <w:tcW w:w="0" w:type="dxa"/>
            <w:vAlign w:val="bottom"/>
          </w:tcPr>
          <w:p>
            <w:pPr>
              <w:spacing w:after="0"/>
              <w:rPr>
                <w:sz w:val="1"/>
                <w:szCs w:val="1"/>
                <w:color w:val="auto"/>
              </w:rPr>
            </w:pPr>
          </w:p>
        </w:tc>
      </w:tr>
      <w:tr>
        <w:trPr>
          <w:trHeight w:val="200"/>
        </w:trPr>
        <w:tc>
          <w:tcPr>
            <w:tcW w:w="4820" w:type="dxa"/>
            <w:vAlign w:val="bottom"/>
            <w:tcBorders>
              <w:top w:val="single" w:sz="8" w:color="D0EBF2"/>
              <w:bottom w:val="single" w:sz="8" w:color="FDFDFC"/>
            </w:tcBorders>
            <w:shd w:val="clear" w:color="auto" w:fill="FDFDFC"/>
          </w:tcPr>
          <w:p>
            <w:pPr>
              <w:spacing w:after="0" w:line="200" w:lineRule="exact"/>
              <w:rPr>
                <w:sz w:val="20"/>
                <w:szCs w:val="20"/>
                <w:color w:val="auto"/>
              </w:rPr>
            </w:pPr>
            <w:r>
              <w:rPr>
                <w:rFonts w:ascii="Arial" w:cs="Arial" w:eastAsia="Arial" w:hAnsi="Arial"/>
                <w:sz w:val="19"/>
                <w:szCs w:val="19"/>
                <w:color w:val="231F20"/>
              </w:rPr>
              <w:t>Non-GAAP Selling and marketing</w:t>
            </w:r>
          </w:p>
        </w:tc>
        <w:tc>
          <w:tcPr>
            <w:tcW w:w="120" w:type="dxa"/>
            <w:vAlign w:val="bottom"/>
            <w:tcBorders>
              <w:top w:val="single" w:sz="8" w:color="D0EBF2"/>
              <w:bottom w:val="single" w:sz="8" w:color="FDFDFC"/>
            </w:tcBorders>
            <w:shd w:val="clear" w:color="auto" w:fill="FDFDFC"/>
          </w:tcPr>
          <w:p>
            <w:pPr>
              <w:spacing w:after="0"/>
              <w:rPr>
                <w:sz w:val="17"/>
                <w:szCs w:val="17"/>
                <w:color w:val="auto"/>
              </w:rPr>
            </w:pPr>
          </w:p>
        </w:tc>
        <w:tc>
          <w:tcPr>
            <w:tcW w:w="360" w:type="dxa"/>
            <w:vAlign w:val="bottom"/>
            <w:tcBorders>
              <w:top w:val="single" w:sz="8" w:color="231F20"/>
              <w:bottom w:val="single" w:sz="8" w:color="231F20"/>
            </w:tcBorders>
            <w:shd w:val="clear" w:color="auto" w:fill="FDFDFC"/>
          </w:tcPr>
          <w:p>
            <w:pPr>
              <w:jc w:val="right"/>
              <w:ind w:right="166"/>
              <w:spacing w:after="0" w:line="200" w:lineRule="exact"/>
              <w:rPr>
                <w:sz w:val="20"/>
                <w:szCs w:val="20"/>
                <w:color w:val="auto"/>
              </w:rPr>
            </w:pPr>
            <w:r>
              <w:rPr>
                <w:rFonts w:ascii="Arial" w:cs="Arial" w:eastAsia="Arial" w:hAnsi="Arial"/>
                <w:sz w:val="19"/>
                <w:szCs w:val="19"/>
                <w:color w:val="231F20"/>
                <w:w w:val="75"/>
              </w:rPr>
              <w:t>$</w:t>
            </w:r>
          </w:p>
        </w:tc>
        <w:tc>
          <w:tcPr>
            <w:tcW w:w="120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rPr>
              <w:t>102.4</w:t>
            </w:r>
          </w:p>
        </w:tc>
        <w:tc>
          <w:tcPr>
            <w:tcW w:w="120" w:type="dxa"/>
            <w:vAlign w:val="bottom"/>
            <w:tcBorders>
              <w:top w:val="single" w:sz="8" w:color="D0EBF2"/>
              <w:bottom w:val="single" w:sz="8" w:color="FDFDFC"/>
            </w:tcBorders>
            <w:shd w:val="clear" w:color="auto" w:fill="FDFDFC"/>
          </w:tcPr>
          <w:p>
            <w:pPr>
              <w:spacing w:after="0"/>
              <w:rPr>
                <w:sz w:val="17"/>
                <w:szCs w:val="17"/>
                <w:color w:val="auto"/>
              </w:rPr>
            </w:pPr>
          </w:p>
        </w:tc>
        <w:tc>
          <w:tcPr>
            <w:tcW w:w="100" w:type="dxa"/>
            <w:vAlign w:val="bottom"/>
            <w:tcBorders>
              <w:top w:val="single" w:sz="8" w:color="D0EBF2"/>
              <w:bottom w:val="single" w:sz="8" w:color="FDFDFC"/>
            </w:tcBorders>
            <w:shd w:val="clear" w:color="auto" w:fill="FDFDFC"/>
          </w:tcPr>
          <w:p>
            <w:pPr>
              <w:spacing w:after="0"/>
              <w:rPr>
                <w:sz w:val="17"/>
                <w:szCs w:val="17"/>
                <w:color w:val="auto"/>
              </w:rPr>
            </w:pPr>
          </w:p>
        </w:tc>
        <w:tc>
          <w:tcPr>
            <w:tcW w:w="20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w w:val="94"/>
              </w:rPr>
              <w:t>$</w:t>
            </w:r>
          </w:p>
        </w:tc>
        <w:tc>
          <w:tcPr>
            <w:tcW w:w="138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rPr>
              <w:t>89.6</w:t>
            </w:r>
          </w:p>
        </w:tc>
        <w:tc>
          <w:tcPr>
            <w:tcW w:w="100" w:type="dxa"/>
            <w:vAlign w:val="bottom"/>
            <w:tcBorders>
              <w:top w:val="single" w:sz="8" w:color="D0EBF2"/>
              <w:bottom w:val="single" w:sz="8" w:color="FDFDFC"/>
            </w:tcBorders>
            <w:shd w:val="clear" w:color="auto" w:fill="FDFDFC"/>
          </w:tcPr>
          <w:p>
            <w:pPr>
              <w:spacing w:after="0"/>
              <w:rPr>
                <w:sz w:val="17"/>
                <w:szCs w:val="17"/>
                <w:color w:val="auto"/>
              </w:rPr>
            </w:pPr>
          </w:p>
        </w:tc>
        <w:tc>
          <w:tcPr>
            <w:tcW w:w="120" w:type="dxa"/>
            <w:vAlign w:val="bottom"/>
            <w:tcBorders>
              <w:top w:val="single" w:sz="8" w:color="D0EBF2"/>
              <w:bottom w:val="single" w:sz="8" w:color="FDFDFC"/>
            </w:tcBorders>
            <w:shd w:val="clear" w:color="auto" w:fill="FDFDFC"/>
          </w:tcPr>
          <w:p>
            <w:pPr>
              <w:spacing w:after="0"/>
              <w:rPr>
                <w:sz w:val="17"/>
                <w:szCs w:val="17"/>
                <w:color w:val="auto"/>
              </w:rPr>
            </w:pPr>
          </w:p>
        </w:tc>
        <w:tc>
          <w:tcPr>
            <w:tcW w:w="360" w:type="dxa"/>
            <w:vAlign w:val="bottom"/>
            <w:tcBorders>
              <w:top w:val="single" w:sz="8" w:color="231F20"/>
              <w:bottom w:val="single" w:sz="8" w:color="231F20"/>
            </w:tcBorders>
            <w:shd w:val="clear" w:color="auto" w:fill="FDFDFC"/>
          </w:tcPr>
          <w:p>
            <w:pPr>
              <w:jc w:val="right"/>
              <w:ind w:right="166"/>
              <w:spacing w:after="0" w:line="200" w:lineRule="exact"/>
              <w:rPr>
                <w:sz w:val="20"/>
                <w:szCs w:val="20"/>
                <w:color w:val="auto"/>
              </w:rPr>
            </w:pPr>
            <w:r>
              <w:rPr>
                <w:rFonts w:ascii="Arial" w:cs="Arial" w:eastAsia="Arial" w:hAnsi="Arial"/>
                <w:sz w:val="19"/>
                <w:szCs w:val="19"/>
                <w:color w:val="231F20"/>
                <w:w w:val="75"/>
              </w:rPr>
              <w:t>$</w:t>
            </w:r>
          </w:p>
        </w:tc>
        <w:tc>
          <w:tcPr>
            <w:tcW w:w="1240" w:type="dxa"/>
            <w:vAlign w:val="bottom"/>
            <w:tcBorders>
              <w:top w:val="single" w:sz="8" w:color="231F20"/>
              <w:bottom w:val="single" w:sz="8" w:color="231F20"/>
              <w:right w:val="single" w:sz="8" w:color="FDFDFC"/>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rPr>
              <w:t>66.4</w:t>
            </w:r>
          </w:p>
        </w:tc>
        <w:tc>
          <w:tcPr>
            <w:tcW w:w="80" w:type="dxa"/>
            <w:vAlign w:val="bottom"/>
            <w:tcBorders>
              <w:top w:val="single" w:sz="8" w:color="D0EBF2"/>
              <w:bottom w:val="single" w:sz="8" w:color="FDFDFC"/>
            </w:tcBorders>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FDFDFC"/>
            </w:tcBorders>
            <w:shd w:val="clear" w:color="auto" w:fill="FDFDFC"/>
          </w:tcPr>
          <w:p>
            <w:pPr>
              <w:spacing w:after="0" w:line="20" w:lineRule="exact"/>
              <w:rPr>
                <w:sz w:val="1"/>
                <w:szCs w:val="1"/>
                <w:color w:val="auto"/>
              </w:rPr>
            </w:pPr>
          </w:p>
        </w:tc>
        <w:tc>
          <w:tcPr>
            <w:tcW w:w="120" w:type="dxa"/>
            <w:vAlign w:val="bottom"/>
            <w:tcBorders>
              <w:bottom w:val="single" w:sz="8" w:color="FDFDFC"/>
            </w:tcBorders>
            <w:shd w:val="clear" w:color="auto" w:fill="FDFDFC"/>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FDFDFC"/>
            </w:tcBorders>
            <w:shd w:val="clear" w:color="auto" w:fill="FDFDFC"/>
          </w:tcPr>
          <w:p>
            <w:pPr>
              <w:spacing w:after="0" w:line="20" w:lineRule="exact"/>
              <w:rPr>
                <w:sz w:val="1"/>
                <w:szCs w:val="1"/>
                <w:color w:val="auto"/>
              </w:rPr>
            </w:pPr>
          </w:p>
        </w:tc>
        <w:tc>
          <w:tcPr>
            <w:tcW w:w="100" w:type="dxa"/>
            <w:vAlign w:val="bottom"/>
            <w:tcBorders>
              <w:bottom w:val="single" w:sz="8" w:color="FDFDFC"/>
            </w:tcBorders>
            <w:shd w:val="clear" w:color="auto" w:fill="FDFDFC"/>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FDFDFC"/>
            </w:tcBorders>
            <w:shd w:val="clear" w:color="auto" w:fill="FDFDFC"/>
          </w:tcPr>
          <w:p>
            <w:pPr>
              <w:spacing w:after="0" w:line="20" w:lineRule="exact"/>
              <w:rPr>
                <w:sz w:val="1"/>
                <w:szCs w:val="1"/>
                <w:color w:val="auto"/>
              </w:rPr>
            </w:pPr>
          </w:p>
        </w:tc>
        <w:tc>
          <w:tcPr>
            <w:tcW w:w="120" w:type="dxa"/>
            <w:vAlign w:val="bottom"/>
            <w:tcBorders>
              <w:bottom w:val="single" w:sz="8" w:color="FDFDFC"/>
            </w:tcBorders>
            <w:shd w:val="clear" w:color="auto" w:fill="FDFDFC"/>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right w:val="single" w:sz="8" w:color="FDFDFC"/>
            </w:tcBorders>
          </w:tcPr>
          <w:p>
            <w:pPr>
              <w:spacing w:after="0" w:line="20" w:lineRule="exact"/>
              <w:rPr>
                <w:sz w:val="1"/>
                <w:szCs w:val="1"/>
                <w:color w:val="auto"/>
              </w:rPr>
            </w:pPr>
          </w:p>
        </w:tc>
        <w:tc>
          <w:tcPr>
            <w:tcW w:w="80" w:type="dxa"/>
            <w:vAlign w:val="bottom"/>
            <w:tcBorders>
              <w:bottom w:val="single" w:sz="8" w:color="FDFDFC"/>
            </w:tcBorders>
            <w:shd w:val="clear" w:color="auto" w:fill="FDFD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20" w:type="dxa"/>
            <w:vAlign w:val="bottom"/>
            <w:shd w:val="clear" w:color="auto" w:fill="FDFDFC"/>
          </w:tcPr>
          <w:p>
            <w:pPr>
              <w:spacing w:after="0"/>
              <w:rPr>
                <w:sz w:val="21"/>
                <w:szCs w:val="21"/>
                <w:color w:val="auto"/>
              </w:rPr>
            </w:pPr>
          </w:p>
        </w:tc>
        <w:tc>
          <w:tcPr>
            <w:tcW w:w="120" w:type="dxa"/>
            <w:vAlign w:val="bottom"/>
            <w:shd w:val="clear" w:color="auto" w:fill="FDFDFC"/>
          </w:tcPr>
          <w:p>
            <w:pPr>
              <w:spacing w:after="0"/>
              <w:rPr>
                <w:sz w:val="21"/>
                <w:szCs w:val="21"/>
                <w:color w:val="auto"/>
              </w:rPr>
            </w:pPr>
          </w:p>
        </w:tc>
        <w:tc>
          <w:tcPr>
            <w:tcW w:w="360" w:type="dxa"/>
            <w:vAlign w:val="bottom"/>
            <w:shd w:val="clear" w:color="auto" w:fill="FDFDFC"/>
          </w:tcPr>
          <w:p>
            <w:pPr>
              <w:spacing w:after="0"/>
              <w:rPr>
                <w:sz w:val="21"/>
                <w:szCs w:val="21"/>
                <w:color w:val="auto"/>
              </w:rPr>
            </w:pPr>
          </w:p>
        </w:tc>
        <w:tc>
          <w:tcPr>
            <w:tcW w:w="1200" w:type="dxa"/>
            <w:vAlign w:val="bottom"/>
            <w:shd w:val="clear" w:color="auto" w:fill="FDFDFC"/>
          </w:tcPr>
          <w:p>
            <w:pPr>
              <w:spacing w:after="0"/>
              <w:rPr>
                <w:sz w:val="21"/>
                <w:szCs w:val="21"/>
                <w:color w:val="auto"/>
              </w:rPr>
            </w:pPr>
          </w:p>
        </w:tc>
        <w:tc>
          <w:tcPr>
            <w:tcW w:w="120" w:type="dxa"/>
            <w:vAlign w:val="bottom"/>
            <w:shd w:val="clear" w:color="auto" w:fill="FDFDFC"/>
          </w:tcPr>
          <w:p>
            <w:pPr>
              <w:spacing w:after="0"/>
              <w:rPr>
                <w:sz w:val="21"/>
                <w:szCs w:val="21"/>
                <w:color w:val="auto"/>
              </w:rPr>
            </w:pPr>
          </w:p>
        </w:tc>
        <w:tc>
          <w:tcPr>
            <w:tcW w:w="100" w:type="dxa"/>
            <w:vAlign w:val="bottom"/>
            <w:shd w:val="clear" w:color="auto" w:fill="FDFDFC"/>
          </w:tcPr>
          <w:p>
            <w:pPr>
              <w:spacing w:after="0"/>
              <w:rPr>
                <w:sz w:val="21"/>
                <w:szCs w:val="21"/>
                <w:color w:val="auto"/>
              </w:rPr>
            </w:pPr>
          </w:p>
        </w:tc>
        <w:tc>
          <w:tcPr>
            <w:tcW w:w="200" w:type="dxa"/>
            <w:vAlign w:val="bottom"/>
            <w:shd w:val="clear" w:color="auto" w:fill="FDFDFC"/>
          </w:tcPr>
          <w:p>
            <w:pPr>
              <w:spacing w:after="0"/>
              <w:rPr>
                <w:sz w:val="21"/>
                <w:szCs w:val="21"/>
                <w:color w:val="auto"/>
              </w:rPr>
            </w:pPr>
          </w:p>
        </w:tc>
        <w:tc>
          <w:tcPr>
            <w:tcW w:w="1380" w:type="dxa"/>
            <w:vAlign w:val="bottom"/>
            <w:shd w:val="clear" w:color="auto" w:fill="FDFDFC"/>
          </w:tcPr>
          <w:p>
            <w:pPr>
              <w:spacing w:after="0"/>
              <w:rPr>
                <w:sz w:val="21"/>
                <w:szCs w:val="21"/>
                <w:color w:val="auto"/>
              </w:rPr>
            </w:pPr>
          </w:p>
        </w:tc>
        <w:tc>
          <w:tcPr>
            <w:tcW w:w="100" w:type="dxa"/>
            <w:vAlign w:val="bottom"/>
            <w:shd w:val="clear" w:color="auto" w:fill="FDFDFC"/>
          </w:tcPr>
          <w:p>
            <w:pPr>
              <w:spacing w:after="0"/>
              <w:rPr>
                <w:sz w:val="21"/>
                <w:szCs w:val="21"/>
                <w:color w:val="auto"/>
              </w:rPr>
            </w:pPr>
          </w:p>
        </w:tc>
        <w:tc>
          <w:tcPr>
            <w:tcW w:w="120" w:type="dxa"/>
            <w:vAlign w:val="bottom"/>
            <w:shd w:val="clear" w:color="auto" w:fill="FDFDFC"/>
          </w:tcPr>
          <w:p>
            <w:pPr>
              <w:spacing w:after="0"/>
              <w:rPr>
                <w:sz w:val="21"/>
                <w:szCs w:val="21"/>
                <w:color w:val="auto"/>
              </w:rPr>
            </w:pPr>
          </w:p>
        </w:tc>
        <w:tc>
          <w:tcPr>
            <w:tcW w:w="360" w:type="dxa"/>
            <w:vAlign w:val="bottom"/>
            <w:shd w:val="clear" w:color="auto" w:fill="FDFDFC"/>
          </w:tcPr>
          <w:p>
            <w:pPr>
              <w:spacing w:after="0"/>
              <w:rPr>
                <w:sz w:val="21"/>
                <w:szCs w:val="21"/>
                <w:color w:val="auto"/>
              </w:rPr>
            </w:pPr>
          </w:p>
        </w:tc>
        <w:tc>
          <w:tcPr>
            <w:tcW w:w="1240" w:type="dxa"/>
            <w:vAlign w:val="bottom"/>
            <w:tcBorders>
              <w:right w:val="single" w:sz="8" w:color="FDFDFC"/>
            </w:tcBorders>
            <w:shd w:val="clear" w:color="auto" w:fill="FDFDFC"/>
          </w:tcPr>
          <w:p>
            <w:pPr>
              <w:spacing w:after="0"/>
              <w:rPr>
                <w:sz w:val="21"/>
                <w:szCs w:val="21"/>
                <w:color w:val="auto"/>
              </w:rPr>
            </w:pPr>
          </w:p>
        </w:tc>
        <w:tc>
          <w:tcPr>
            <w:tcW w:w="80" w:type="dxa"/>
            <w:vAlign w:val="bottom"/>
            <w:shd w:val="clear" w:color="auto" w:fill="FDFD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D0EBF2"/>
          </w:tcPr>
          <w:p>
            <w:pPr>
              <w:spacing w:after="0"/>
              <w:rPr>
                <w:sz w:val="20"/>
                <w:szCs w:val="20"/>
                <w:color w:val="auto"/>
              </w:rPr>
            </w:pPr>
            <w:r>
              <w:rPr>
                <w:rFonts w:ascii="Arial" w:cs="Arial" w:eastAsia="Arial" w:hAnsi="Arial"/>
                <w:sz w:val="19"/>
                <w:szCs w:val="19"/>
                <w:color w:val="231F20"/>
              </w:rPr>
              <w:t>GAAP General and administrative</w:t>
            </w:r>
          </w:p>
        </w:tc>
        <w:tc>
          <w:tcPr>
            <w:tcW w:w="120" w:type="dxa"/>
            <w:vAlign w:val="bottom"/>
            <w:shd w:val="clear" w:color="auto" w:fill="D0EBF2"/>
          </w:tcPr>
          <w:p>
            <w:pPr>
              <w:spacing w:after="0"/>
              <w:rPr>
                <w:sz w:val="20"/>
                <w:szCs w:val="20"/>
                <w:color w:val="auto"/>
              </w:rPr>
            </w:pPr>
          </w:p>
        </w:tc>
        <w:tc>
          <w:tcPr>
            <w:tcW w:w="360" w:type="dxa"/>
            <w:vAlign w:val="bottom"/>
            <w:shd w:val="clear" w:color="auto" w:fill="D0EBF2"/>
          </w:tcPr>
          <w:p>
            <w:pPr>
              <w:jc w:val="right"/>
              <w:ind w:right="166"/>
              <w:spacing w:after="0"/>
              <w:rPr>
                <w:sz w:val="20"/>
                <w:szCs w:val="20"/>
                <w:color w:val="auto"/>
              </w:rPr>
            </w:pPr>
            <w:r>
              <w:rPr>
                <w:rFonts w:ascii="Arial" w:cs="Arial" w:eastAsia="Arial" w:hAnsi="Arial"/>
                <w:sz w:val="19"/>
                <w:szCs w:val="19"/>
                <w:color w:val="231F20"/>
                <w:w w:val="75"/>
              </w:rPr>
              <w:t>$</w:t>
            </w:r>
          </w:p>
        </w:tc>
        <w:tc>
          <w:tcPr>
            <w:tcW w:w="12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125.8</w:t>
            </w:r>
          </w:p>
        </w:tc>
        <w:tc>
          <w:tcPr>
            <w:tcW w:w="1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20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94"/>
              </w:rPr>
              <w:t>$</w:t>
            </w:r>
          </w:p>
        </w:tc>
        <w:tc>
          <w:tcPr>
            <w:tcW w:w="13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107.6</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360" w:type="dxa"/>
            <w:vAlign w:val="bottom"/>
            <w:shd w:val="clear" w:color="auto" w:fill="D0EBF2"/>
          </w:tcPr>
          <w:p>
            <w:pPr>
              <w:jc w:val="right"/>
              <w:ind w:right="166"/>
              <w:spacing w:after="0"/>
              <w:rPr>
                <w:sz w:val="20"/>
                <w:szCs w:val="20"/>
                <w:color w:val="auto"/>
              </w:rPr>
            </w:pPr>
            <w:r>
              <w:rPr>
                <w:rFonts w:ascii="Arial" w:cs="Arial" w:eastAsia="Arial" w:hAnsi="Arial"/>
                <w:sz w:val="19"/>
                <w:szCs w:val="19"/>
                <w:color w:val="231F20"/>
                <w:w w:val="75"/>
              </w:rPr>
              <w:t>$</w:t>
            </w:r>
          </w:p>
        </w:tc>
        <w:tc>
          <w:tcPr>
            <w:tcW w:w="1240" w:type="dxa"/>
            <w:vAlign w:val="bottom"/>
            <w:tcBorders>
              <w:right w:val="single" w:sz="8" w:color="D0EBF2"/>
            </w:tcBorders>
            <w:shd w:val="clear" w:color="auto" w:fill="D0EBF2"/>
          </w:tcPr>
          <w:p>
            <w:pPr>
              <w:jc w:val="right"/>
              <w:spacing w:after="0"/>
              <w:rPr>
                <w:sz w:val="20"/>
                <w:szCs w:val="20"/>
                <w:color w:val="auto"/>
              </w:rPr>
            </w:pPr>
            <w:r>
              <w:rPr>
                <w:rFonts w:ascii="Arial" w:cs="Arial" w:eastAsia="Arial" w:hAnsi="Arial"/>
                <w:sz w:val="19"/>
                <w:szCs w:val="19"/>
                <w:color w:val="231F20"/>
              </w:rPr>
              <w:t>82.9</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20" w:type="dxa"/>
            <w:vAlign w:val="bottom"/>
            <w:shd w:val="clear" w:color="auto" w:fill="FDFDFC"/>
          </w:tcPr>
          <w:p>
            <w:pPr>
              <w:ind w:left="140"/>
              <w:spacing w:after="0" w:line="213" w:lineRule="exact"/>
              <w:rPr>
                <w:sz w:val="20"/>
                <w:szCs w:val="20"/>
                <w:color w:val="auto"/>
              </w:rPr>
            </w:pPr>
            <w:r>
              <w:rPr>
                <w:rFonts w:ascii="Arial" w:cs="Arial" w:eastAsia="Arial" w:hAnsi="Arial"/>
                <w:sz w:val="19"/>
                <w:szCs w:val="19"/>
                <w:color w:val="231F20"/>
              </w:rPr>
              <w:t>(-) Stock-based compensation expense and</w:t>
            </w:r>
          </w:p>
        </w:tc>
        <w:tc>
          <w:tcPr>
            <w:tcW w:w="120" w:type="dxa"/>
            <w:vAlign w:val="bottom"/>
            <w:shd w:val="clear" w:color="auto" w:fill="FDFDFC"/>
          </w:tcPr>
          <w:p>
            <w:pPr>
              <w:spacing w:after="0"/>
              <w:rPr>
                <w:sz w:val="18"/>
                <w:szCs w:val="18"/>
                <w:color w:val="auto"/>
              </w:rPr>
            </w:pPr>
          </w:p>
        </w:tc>
        <w:tc>
          <w:tcPr>
            <w:tcW w:w="360" w:type="dxa"/>
            <w:vAlign w:val="bottom"/>
            <w:shd w:val="clear" w:color="auto" w:fill="FDFDFC"/>
          </w:tcPr>
          <w:p>
            <w:pPr>
              <w:spacing w:after="0"/>
              <w:rPr>
                <w:sz w:val="18"/>
                <w:szCs w:val="18"/>
                <w:color w:val="auto"/>
              </w:rPr>
            </w:pPr>
          </w:p>
        </w:tc>
        <w:tc>
          <w:tcPr>
            <w:tcW w:w="1320" w:type="dxa"/>
            <w:vAlign w:val="bottom"/>
            <w:gridSpan w:val="2"/>
            <w:vMerge w:val="restart"/>
            <w:shd w:val="clear" w:color="auto" w:fill="FDFDFC"/>
          </w:tcPr>
          <w:p>
            <w:pPr>
              <w:jc w:val="right"/>
              <w:ind w:right="40"/>
              <w:spacing w:after="0"/>
              <w:rPr>
                <w:sz w:val="20"/>
                <w:szCs w:val="20"/>
                <w:color w:val="auto"/>
              </w:rPr>
            </w:pPr>
            <w:r>
              <w:rPr>
                <w:rFonts w:ascii="Arial" w:cs="Arial" w:eastAsia="Arial" w:hAnsi="Arial"/>
                <w:sz w:val="19"/>
                <w:szCs w:val="19"/>
                <w:color w:val="231F20"/>
              </w:rPr>
              <w:t>(35.7)</w:t>
            </w:r>
          </w:p>
        </w:tc>
        <w:tc>
          <w:tcPr>
            <w:tcW w:w="100" w:type="dxa"/>
            <w:vAlign w:val="bottom"/>
            <w:shd w:val="clear" w:color="auto" w:fill="FDFDFC"/>
          </w:tcPr>
          <w:p>
            <w:pPr>
              <w:spacing w:after="0"/>
              <w:rPr>
                <w:sz w:val="18"/>
                <w:szCs w:val="18"/>
                <w:color w:val="auto"/>
              </w:rPr>
            </w:pPr>
          </w:p>
        </w:tc>
        <w:tc>
          <w:tcPr>
            <w:tcW w:w="200" w:type="dxa"/>
            <w:vAlign w:val="bottom"/>
            <w:shd w:val="clear" w:color="auto" w:fill="FDFDFC"/>
          </w:tcPr>
          <w:p>
            <w:pPr>
              <w:spacing w:after="0"/>
              <w:rPr>
                <w:sz w:val="18"/>
                <w:szCs w:val="18"/>
                <w:color w:val="auto"/>
              </w:rPr>
            </w:pPr>
          </w:p>
        </w:tc>
        <w:tc>
          <w:tcPr>
            <w:tcW w:w="1480" w:type="dxa"/>
            <w:vAlign w:val="bottom"/>
            <w:gridSpan w:val="2"/>
            <w:vMerge w:val="restart"/>
            <w:shd w:val="clear" w:color="auto" w:fill="FDFDFC"/>
          </w:tcPr>
          <w:p>
            <w:pPr>
              <w:jc w:val="right"/>
              <w:ind w:right="40"/>
              <w:spacing w:after="0"/>
              <w:rPr>
                <w:sz w:val="20"/>
                <w:szCs w:val="20"/>
                <w:color w:val="auto"/>
              </w:rPr>
            </w:pPr>
            <w:r>
              <w:rPr>
                <w:rFonts w:ascii="Arial" w:cs="Arial" w:eastAsia="Arial" w:hAnsi="Arial"/>
                <w:sz w:val="19"/>
                <w:szCs w:val="19"/>
                <w:color w:val="231F20"/>
              </w:rPr>
              <w:t>(23.6)</w:t>
            </w:r>
          </w:p>
        </w:tc>
        <w:tc>
          <w:tcPr>
            <w:tcW w:w="120" w:type="dxa"/>
            <w:vAlign w:val="bottom"/>
            <w:shd w:val="clear" w:color="auto" w:fill="FDFDFC"/>
          </w:tcPr>
          <w:p>
            <w:pPr>
              <w:spacing w:after="0"/>
              <w:rPr>
                <w:sz w:val="18"/>
                <w:szCs w:val="18"/>
                <w:color w:val="auto"/>
              </w:rPr>
            </w:pPr>
          </w:p>
        </w:tc>
        <w:tc>
          <w:tcPr>
            <w:tcW w:w="360" w:type="dxa"/>
            <w:vAlign w:val="bottom"/>
            <w:shd w:val="clear" w:color="auto" w:fill="FDFDFC"/>
          </w:tcPr>
          <w:p>
            <w:pPr>
              <w:spacing w:after="0"/>
              <w:rPr>
                <w:sz w:val="18"/>
                <w:szCs w:val="18"/>
                <w:color w:val="auto"/>
              </w:rPr>
            </w:pPr>
          </w:p>
        </w:tc>
        <w:tc>
          <w:tcPr>
            <w:tcW w:w="1320" w:type="dxa"/>
            <w:vAlign w:val="bottom"/>
            <w:gridSpan w:val="2"/>
            <w:vMerge w:val="restart"/>
            <w:shd w:val="clear" w:color="auto" w:fill="FDFDFC"/>
          </w:tcPr>
          <w:p>
            <w:pPr>
              <w:jc w:val="right"/>
              <w:ind w:right="40"/>
              <w:spacing w:after="0"/>
              <w:rPr>
                <w:sz w:val="20"/>
                <w:szCs w:val="20"/>
                <w:color w:val="auto"/>
              </w:rPr>
            </w:pPr>
            <w:r>
              <w:rPr>
                <w:rFonts w:ascii="Arial" w:cs="Arial" w:eastAsia="Arial" w:hAnsi="Arial"/>
                <w:sz w:val="19"/>
                <w:szCs w:val="19"/>
                <w:color w:val="231F20"/>
              </w:rPr>
              <w:t>(18.4)</w:t>
            </w:r>
          </w:p>
        </w:tc>
        <w:tc>
          <w:tcPr>
            <w:tcW w:w="0" w:type="dxa"/>
            <w:vAlign w:val="bottom"/>
          </w:tcPr>
          <w:p>
            <w:pPr>
              <w:spacing w:after="0"/>
              <w:rPr>
                <w:sz w:val="1"/>
                <w:szCs w:val="1"/>
                <w:color w:val="auto"/>
              </w:rPr>
            </w:pPr>
          </w:p>
        </w:tc>
      </w:tr>
      <w:tr>
        <w:trPr>
          <w:trHeight w:val="235"/>
        </w:trPr>
        <w:tc>
          <w:tcPr>
            <w:tcW w:w="4820" w:type="dxa"/>
            <w:vAlign w:val="bottom"/>
            <w:shd w:val="clear" w:color="auto" w:fill="FDFDFC"/>
          </w:tcPr>
          <w:p>
            <w:pPr>
              <w:ind w:left="400"/>
              <w:spacing w:after="0"/>
              <w:rPr>
                <w:sz w:val="20"/>
                <w:szCs w:val="20"/>
                <w:color w:val="auto"/>
              </w:rPr>
            </w:pPr>
            <w:r>
              <w:rPr>
                <w:rFonts w:ascii="Arial" w:cs="Arial" w:eastAsia="Arial" w:hAnsi="Arial"/>
                <w:sz w:val="19"/>
                <w:szCs w:val="19"/>
                <w:color w:val="231F20"/>
              </w:rPr>
              <w:t>related taxes</w:t>
            </w:r>
          </w:p>
        </w:tc>
        <w:tc>
          <w:tcPr>
            <w:tcW w:w="120" w:type="dxa"/>
            <w:vAlign w:val="bottom"/>
            <w:shd w:val="clear" w:color="auto" w:fill="FDFDFC"/>
          </w:tcPr>
          <w:p>
            <w:pPr>
              <w:spacing w:after="0"/>
              <w:rPr>
                <w:sz w:val="20"/>
                <w:szCs w:val="20"/>
                <w:color w:val="auto"/>
              </w:rPr>
            </w:pPr>
          </w:p>
        </w:tc>
        <w:tc>
          <w:tcPr>
            <w:tcW w:w="360" w:type="dxa"/>
            <w:vAlign w:val="bottom"/>
            <w:shd w:val="clear" w:color="auto" w:fill="FDFDFC"/>
          </w:tcPr>
          <w:p>
            <w:pPr>
              <w:spacing w:after="0"/>
              <w:rPr>
                <w:sz w:val="20"/>
                <w:szCs w:val="20"/>
                <w:color w:val="auto"/>
              </w:rPr>
            </w:pPr>
          </w:p>
        </w:tc>
        <w:tc>
          <w:tcPr>
            <w:tcW w:w="1320" w:type="dxa"/>
            <w:vAlign w:val="bottom"/>
            <w:gridSpan w:val="2"/>
            <w:vMerge w:val="continue"/>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480" w:type="dxa"/>
            <w:vAlign w:val="bottom"/>
            <w:gridSpan w:val="2"/>
            <w:vMerge w:val="continue"/>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360" w:type="dxa"/>
            <w:vAlign w:val="bottom"/>
            <w:shd w:val="clear" w:color="auto" w:fill="FDFDFC"/>
          </w:tcPr>
          <w:p>
            <w:pPr>
              <w:spacing w:after="0"/>
              <w:rPr>
                <w:sz w:val="20"/>
                <w:szCs w:val="20"/>
                <w:color w:val="auto"/>
              </w:rPr>
            </w:pPr>
          </w:p>
        </w:tc>
        <w:tc>
          <w:tcPr>
            <w:tcW w:w="1320" w:type="dxa"/>
            <w:vAlign w:val="bottom"/>
            <w:gridSpan w:val="2"/>
            <w:vMerge w:val="continue"/>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 Depreciation and amortization</w:t>
            </w:r>
          </w:p>
        </w:tc>
        <w:tc>
          <w:tcPr>
            <w:tcW w:w="120" w:type="dxa"/>
            <w:vAlign w:val="bottom"/>
            <w:shd w:val="clear" w:color="auto" w:fill="D0EBF2"/>
          </w:tcPr>
          <w:p>
            <w:pPr>
              <w:spacing w:after="0"/>
              <w:rPr>
                <w:sz w:val="20"/>
                <w:szCs w:val="20"/>
                <w:color w:val="auto"/>
              </w:rPr>
            </w:pPr>
          </w:p>
        </w:tc>
        <w:tc>
          <w:tcPr>
            <w:tcW w:w="360" w:type="dxa"/>
            <w:vAlign w:val="bottom"/>
            <w:shd w:val="clear" w:color="auto" w:fill="D0EBF2"/>
          </w:tcPr>
          <w:p>
            <w:pPr>
              <w:spacing w:after="0"/>
              <w:rPr>
                <w:sz w:val="20"/>
                <w:szCs w:val="20"/>
                <w:color w:val="auto"/>
              </w:rPr>
            </w:pPr>
          </w:p>
        </w:tc>
        <w:tc>
          <w:tcPr>
            <w:tcW w:w="132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(3.0)</w:t>
            </w:r>
          </w:p>
        </w:tc>
        <w:tc>
          <w:tcPr>
            <w:tcW w:w="10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48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(2.8)</w:t>
            </w:r>
          </w:p>
        </w:tc>
        <w:tc>
          <w:tcPr>
            <w:tcW w:w="120" w:type="dxa"/>
            <w:vAlign w:val="bottom"/>
            <w:shd w:val="clear" w:color="auto" w:fill="D0EBF2"/>
          </w:tcPr>
          <w:p>
            <w:pPr>
              <w:spacing w:after="0"/>
              <w:rPr>
                <w:sz w:val="20"/>
                <w:szCs w:val="20"/>
                <w:color w:val="auto"/>
              </w:rPr>
            </w:pPr>
          </w:p>
        </w:tc>
        <w:tc>
          <w:tcPr>
            <w:tcW w:w="360" w:type="dxa"/>
            <w:vAlign w:val="bottom"/>
            <w:shd w:val="clear" w:color="auto" w:fill="D0EBF2"/>
          </w:tcPr>
          <w:p>
            <w:pPr>
              <w:spacing w:after="0"/>
              <w:rPr>
                <w:sz w:val="20"/>
                <w:szCs w:val="20"/>
                <w:color w:val="auto"/>
              </w:rPr>
            </w:pPr>
          </w:p>
        </w:tc>
        <w:tc>
          <w:tcPr>
            <w:tcW w:w="132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(2.4)</w:t>
            </w:r>
          </w:p>
        </w:tc>
        <w:tc>
          <w:tcPr>
            <w:tcW w:w="0" w:type="dxa"/>
            <w:vAlign w:val="bottom"/>
          </w:tcPr>
          <w:p>
            <w:pPr>
              <w:spacing w:after="0"/>
              <w:rPr>
                <w:sz w:val="1"/>
                <w:szCs w:val="1"/>
                <w:color w:val="auto"/>
              </w:rPr>
            </w:pPr>
          </w:p>
        </w:tc>
      </w:tr>
      <w:tr>
        <w:trPr>
          <w:trHeight w:val="230"/>
        </w:trPr>
        <w:tc>
          <w:tcPr>
            <w:tcW w:w="482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 Acquisition related transaction costs</w:t>
            </w:r>
          </w:p>
        </w:tc>
        <w:tc>
          <w:tcPr>
            <w:tcW w:w="120" w:type="dxa"/>
            <w:vAlign w:val="bottom"/>
            <w:shd w:val="clear" w:color="auto" w:fill="FDFDFC"/>
          </w:tcPr>
          <w:p>
            <w:pPr>
              <w:spacing w:after="0"/>
              <w:rPr>
                <w:sz w:val="20"/>
                <w:szCs w:val="20"/>
                <w:color w:val="auto"/>
              </w:rPr>
            </w:pPr>
          </w:p>
        </w:tc>
        <w:tc>
          <w:tcPr>
            <w:tcW w:w="360" w:type="dxa"/>
            <w:vAlign w:val="bottom"/>
            <w:shd w:val="clear" w:color="auto" w:fill="FDFDFC"/>
          </w:tcPr>
          <w:p>
            <w:pPr>
              <w:spacing w:after="0"/>
              <w:rPr>
                <w:sz w:val="20"/>
                <w:szCs w:val="20"/>
                <w:color w:val="auto"/>
              </w:rPr>
            </w:pPr>
          </w:p>
        </w:tc>
        <w:tc>
          <w:tcPr>
            <w:tcW w:w="132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(0.6)</w:t>
            </w: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48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(0.4)</w:t>
            </w:r>
          </w:p>
        </w:tc>
        <w:tc>
          <w:tcPr>
            <w:tcW w:w="120" w:type="dxa"/>
            <w:vAlign w:val="bottom"/>
            <w:shd w:val="clear" w:color="auto" w:fill="FDFDFC"/>
          </w:tcPr>
          <w:p>
            <w:pPr>
              <w:spacing w:after="0"/>
              <w:rPr>
                <w:sz w:val="20"/>
                <w:szCs w:val="20"/>
                <w:color w:val="auto"/>
              </w:rPr>
            </w:pPr>
          </w:p>
        </w:tc>
        <w:tc>
          <w:tcPr>
            <w:tcW w:w="360" w:type="dxa"/>
            <w:vAlign w:val="bottom"/>
            <w:shd w:val="clear" w:color="auto" w:fill="FDFDFC"/>
          </w:tcPr>
          <w:p>
            <w:pPr>
              <w:spacing w:after="0"/>
              <w:rPr>
                <w:sz w:val="20"/>
                <w:szCs w:val="20"/>
                <w:color w:val="auto"/>
              </w:rPr>
            </w:pPr>
          </w:p>
        </w:tc>
        <w:tc>
          <w:tcPr>
            <w:tcW w:w="132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(0.8)</w:t>
            </w:r>
          </w:p>
        </w:tc>
        <w:tc>
          <w:tcPr>
            <w:tcW w:w="0" w:type="dxa"/>
            <w:vAlign w:val="bottom"/>
          </w:tcPr>
          <w:p>
            <w:pPr>
              <w:spacing w:after="0"/>
              <w:rPr>
                <w:sz w:val="1"/>
                <w:szCs w:val="1"/>
                <w:color w:val="auto"/>
              </w:rPr>
            </w:pPr>
          </w:p>
        </w:tc>
      </w:tr>
      <w:tr>
        <w:trPr>
          <w:trHeight w:val="230"/>
        </w:trPr>
        <w:tc>
          <w:tcPr>
            <w:tcW w:w="482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 Acquisition related employee retention costs</w:t>
            </w:r>
          </w:p>
        </w:tc>
        <w:tc>
          <w:tcPr>
            <w:tcW w:w="120" w:type="dxa"/>
            <w:vAlign w:val="bottom"/>
            <w:shd w:val="clear" w:color="auto" w:fill="D0EBF2"/>
          </w:tcPr>
          <w:p>
            <w:pPr>
              <w:spacing w:after="0"/>
              <w:rPr>
                <w:sz w:val="20"/>
                <w:szCs w:val="20"/>
                <w:color w:val="auto"/>
              </w:rPr>
            </w:pPr>
          </w:p>
        </w:tc>
        <w:tc>
          <w:tcPr>
            <w:tcW w:w="360" w:type="dxa"/>
            <w:vAlign w:val="bottom"/>
            <w:shd w:val="clear" w:color="auto" w:fill="D0EBF2"/>
          </w:tcPr>
          <w:p>
            <w:pPr>
              <w:spacing w:after="0"/>
              <w:rPr>
                <w:sz w:val="20"/>
                <w:szCs w:val="20"/>
                <w:color w:val="auto"/>
              </w:rPr>
            </w:pPr>
          </w:p>
        </w:tc>
        <w:tc>
          <w:tcPr>
            <w:tcW w:w="1320" w:type="dxa"/>
            <w:vAlign w:val="bottom"/>
            <w:gridSpan w:val="2"/>
            <w:shd w:val="clear" w:color="auto" w:fill="D0EBF2"/>
          </w:tcPr>
          <w:p>
            <w:pPr>
              <w:jc w:val="right"/>
              <w:ind w:right="120"/>
              <w:spacing w:after="0"/>
              <w:rPr>
                <w:sz w:val="20"/>
                <w:szCs w:val="20"/>
                <w:color w:val="auto"/>
              </w:rPr>
            </w:pPr>
            <w:r>
              <w:rPr>
                <w:rFonts w:ascii="Arial" w:cs="Arial" w:eastAsia="Arial" w:hAnsi="Arial"/>
                <w:sz w:val="19"/>
                <w:szCs w:val="19"/>
                <w:color w:val="231F20"/>
              </w:rPr>
              <w:t>—</w:t>
            </w:r>
          </w:p>
        </w:tc>
        <w:tc>
          <w:tcPr>
            <w:tcW w:w="10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480" w:type="dxa"/>
            <w:vAlign w:val="bottom"/>
            <w:gridSpan w:val="2"/>
            <w:shd w:val="clear" w:color="auto" w:fill="D0EBF2"/>
          </w:tcPr>
          <w:p>
            <w:pPr>
              <w:jc w:val="right"/>
              <w:ind w:right="10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D0EBF2"/>
          </w:tcPr>
          <w:p>
            <w:pPr>
              <w:spacing w:after="0"/>
              <w:rPr>
                <w:sz w:val="20"/>
                <w:szCs w:val="20"/>
                <w:color w:val="auto"/>
              </w:rPr>
            </w:pPr>
          </w:p>
        </w:tc>
        <w:tc>
          <w:tcPr>
            <w:tcW w:w="360" w:type="dxa"/>
            <w:vAlign w:val="bottom"/>
            <w:shd w:val="clear" w:color="auto" w:fill="D0EBF2"/>
          </w:tcPr>
          <w:p>
            <w:pPr>
              <w:spacing w:after="0"/>
              <w:rPr>
                <w:sz w:val="20"/>
                <w:szCs w:val="20"/>
                <w:color w:val="auto"/>
              </w:rPr>
            </w:pPr>
          </w:p>
        </w:tc>
        <w:tc>
          <w:tcPr>
            <w:tcW w:w="132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(0.1)</w:t>
            </w:r>
          </w:p>
        </w:tc>
        <w:tc>
          <w:tcPr>
            <w:tcW w:w="0" w:type="dxa"/>
            <w:vAlign w:val="bottom"/>
          </w:tcPr>
          <w:p>
            <w:pPr>
              <w:spacing w:after="0"/>
              <w:rPr>
                <w:sz w:val="1"/>
                <w:szCs w:val="1"/>
                <w:color w:val="auto"/>
              </w:rPr>
            </w:pPr>
          </w:p>
        </w:tc>
      </w:tr>
      <w:tr>
        <w:trPr>
          <w:trHeight w:val="230"/>
        </w:trPr>
        <w:tc>
          <w:tcPr>
            <w:tcW w:w="482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 Change in fair value of contingent consideration</w:t>
            </w:r>
          </w:p>
        </w:tc>
        <w:tc>
          <w:tcPr>
            <w:tcW w:w="120" w:type="dxa"/>
            <w:vAlign w:val="bottom"/>
            <w:shd w:val="clear" w:color="auto" w:fill="FDFDFC"/>
          </w:tcPr>
          <w:p>
            <w:pPr>
              <w:spacing w:after="0"/>
              <w:rPr>
                <w:sz w:val="20"/>
                <w:szCs w:val="20"/>
                <w:color w:val="auto"/>
              </w:rPr>
            </w:pPr>
          </w:p>
        </w:tc>
        <w:tc>
          <w:tcPr>
            <w:tcW w:w="360" w:type="dxa"/>
            <w:vAlign w:val="bottom"/>
            <w:shd w:val="clear" w:color="auto" w:fill="FDFDFC"/>
          </w:tcPr>
          <w:p>
            <w:pPr>
              <w:spacing w:after="0"/>
              <w:rPr>
                <w:sz w:val="20"/>
                <w:szCs w:val="20"/>
                <w:color w:val="auto"/>
              </w:rPr>
            </w:pPr>
          </w:p>
        </w:tc>
        <w:tc>
          <w:tcPr>
            <w:tcW w:w="12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1.0</w:t>
            </w:r>
          </w:p>
        </w:tc>
        <w:tc>
          <w:tcPr>
            <w:tcW w:w="1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48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(0.4)</w:t>
            </w:r>
          </w:p>
        </w:tc>
        <w:tc>
          <w:tcPr>
            <w:tcW w:w="120" w:type="dxa"/>
            <w:vAlign w:val="bottom"/>
            <w:shd w:val="clear" w:color="auto" w:fill="FDFDFC"/>
          </w:tcPr>
          <w:p>
            <w:pPr>
              <w:spacing w:after="0"/>
              <w:rPr>
                <w:sz w:val="20"/>
                <w:szCs w:val="20"/>
                <w:color w:val="auto"/>
              </w:rPr>
            </w:pPr>
          </w:p>
        </w:tc>
        <w:tc>
          <w:tcPr>
            <w:tcW w:w="360" w:type="dxa"/>
            <w:vAlign w:val="bottom"/>
            <w:shd w:val="clear" w:color="auto" w:fill="FDFDFC"/>
          </w:tcPr>
          <w:p>
            <w:pPr>
              <w:spacing w:after="0"/>
              <w:rPr>
                <w:sz w:val="20"/>
                <w:szCs w:val="20"/>
                <w:color w:val="auto"/>
              </w:rPr>
            </w:pPr>
          </w:p>
        </w:tc>
        <w:tc>
          <w:tcPr>
            <w:tcW w:w="1240" w:type="dxa"/>
            <w:vAlign w:val="bottom"/>
            <w:tcBorders>
              <w:right w:val="single" w:sz="8" w:color="FDFDFC"/>
            </w:tcBorders>
            <w:shd w:val="clear" w:color="auto" w:fill="FDFDFC"/>
          </w:tcPr>
          <w:p>
            <w:pPr>
              <w:jc w:val="right"/>
              <w:spacing w:after="0"/>
              <w:rPr>
                <w:sz w:val="20"/>
                <w:szCs w:val="20"/>
                <w:color w:val="auto"/>
              </w:rPr>
            </w:pPr>
            <w:r>
              <w:rPr>
                <w:rFonts w:ascii="Arial" w:cs="Arial" w:eastAsia="Arial" w:hAnsi="Arial"/>
                <w:sz w:val="19"/>
                <w:szCs w:val="19"/>
                <w:color w:val="231F20"/>
              </w:rPr>
              <w:t>2.8</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20" w:type="dxa"/>
            <w:vAlign w:val="bottom"/>
            <w:tcBorders>
              <w:top w:val="single" w:sz="8" w:color="D0EBF2"/>
            </w:tcBorders>
            <w:shd w:val="clear" w:color="auto" w:fill="D0EBF2"/>
          </w:tcPr>
          <w:p>
            <w:pPr>
              <w:spacing w:after="0"/>
              <w:rPr>
                <w:sz w:val="20"/>
                <w:szCs w:val="20"/>
                <w:color w:val="auto"/>
              </w:rPr>
            </w:pPr>
            <w:r>
              <w:rPr>
                <w:rFonts w:ascii="Arial" w:cs="Arial" w:eastAsia="Arial" w:hAnsi="Arial"/>
                <w:sz w:val="19"/>
                <w:szCs w:val="19"/>
                <w:color w:val="231F20"/>
              </w:rPr>
              <w:t>Non-GAAP General and administrative</w:t>
            </w:r>
          </w:p>
        </w:tc>
        <w:tc>
          <w:tcPr>
            <w:tcW w:w="120" w:type="dxa"/>
            <w:vAlign w:val="bottom"/>
            <w:tcBorders>
              <w:top w:val="single" w:sz="8" w:color="D0EBF2"/>
            </w:tcBorders>
            <w:shd w:val="clear" w:color="auto" w:fill="D0EBF2"/>
          </w:tcPr>
          <w:p>
            <w:pPr>
              <w:spacing w:after="0"/>
              <w:rPr>
                <w:sz w:val="19"/>
                <w:szCs w:val="19"/>
                <w:color w:val="auto"/>
              </w:rPr>
            </w:pPr>
          </w:p>
        </w:tc>
        <w:tc>
          <w:tcPr>
            <w:tcW w:w="360" w:type="dxa"/>
            <w:vAlign w:val="bottom"/>
            <w:tcBorders>
              <w:top w:val="single" w:sz="8" w:color="231F20"/>
              <w:bottom w:val="single" w:sz="8" w:color="231F20"/>
            </w:tcBorders>
            <w:shd w:val="clear" w:color="auto" w:fill="D0EBF2"/>
          </w:tcPr>
          <w:p>
            <w:pPr>
              <w:jc w:val="right"/>
              <w:ind w:right="166"/>
              <w:spacing w:after="0"/>
              <w:rPr>
                <w:sz w:val="20"/>
                <w:szCs w:val="20"/>
                <w:color w:val="auto"/>
              </w:rPr>
            </w:pPr>
            <w:r>
              <w:rPr>
                <w:rFonts w:ascii="Arial" w:cs="Arial" w:eastAsia="Arial" w:hAnsi="Arial"/>
                <w:sz w:val="19"/>
                <w:szCs w:val="19"/>
                <w:color w:val="231F20"/>
                <w:w w:val="75"/>
              </w:rPr>
              <w:t>$</w:t>
            </w:r>
          </w:p>
        </w:tc>
        <w:tc>
          <w:tcPr>
            <w:tcW w:w="12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87.5</w:t>
            </w:r>
          </w:p>
        </w:tc>
        <w:tc>
          <w:tcPr>
            <w:tcW w:w="120" w:type="dxa"/>
            <w:vAlign w:val="bottom"/>
            <w:tcBorders>
              <w:top w:val="single" w:sz="8" w:color="D0EBF2"/>
            </w:tcBorders>
            <w:shd w:val="clear" w:color="auto" w:fill="D0EBF2"/>
          </w:tcPr>
          <w:p>
            <w:pPr>
              <w:spacing w:after="0"/>
              <w:rPr>
                <w:sz w:val="19"/>
                <w:szCs w:val="19"/>
                <w:color w:val="auto"/>
              </w:rPr>
            </w:pPr>
          </w:p>
        </w:tc>
        <w:tc>
          <w:tcPr>
            <w:tcW w:w="100" w:type="dxa"/>
            <w:vAlign w:val="bottom"/>
            <w:tcBorders>
              <w:top w:val="single" w:sz="8" w:color="D0EBF2"/>
            </w:tcBorders>
            <w:shd w:val="clear" w:color="auto" w:fill="D0EBF2"/>
          </w:tcPr>
          <w:p>
            <w:pPr>
              <w:spacing w:after="0"/>
              <w:rPr>
                <w:sz w:val="19"/>
                <w:szCs w:val="19"/>
                <w:color w:val="auto"/>
              </w:rPr>
            </w:pPr>
          </w:p>
        </w:tc>
        <w:tc>
          <w:tcPr>
            <w:tcW w:w="2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94"/>
              </w:rPr>
              <w:t>$</w:t>
            </w:r>
          </w:p>
        </w:tc>
        <w:tc>
          <w:tcPr>
            <w:tcW w:w="13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80.4</w:t>
            </w:r>
          </w:p>
        </w:tc>
        <w:tc>
          <w:tcPr>
            <w:tcW w:w="10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D0EBF2"/>
            </w:tcBorders>
            <w:shd w:val="clear" w:color="auto" w:fill="D0EBF2"/>
          </w:tcPr>
          <w:p>
            <w:pPr>
              <w:spacing w:after="0"/>
              <w:rPr>
                <w:sz w:val="19"/>
                <w:szCs w:val="19"/>
                <w:color w:val="auto"/>
              </w:rPr>
            </w:pPr>
          </w:p>
        </w:tc>
        <w:tc>
          <w:tcPr>
            <w:tcW w:w="360" w:type="dxa"/>
            <w:vAlign w:val="bottom"/>
            <w:tcBorders>
              <w:top w:val="single" w:sz="8" w:color="231F20"/>
              <w:bottom w:val="single" w:sz="8" w:color="231F20"/>
            </w:tcBorders>
            <w:shd w:val="clear" w:color="auto" w:fill="D0EBF2"/>
          </w:tcPr>
          <w:p>
            <w:pPr>
              <w:jc w:val="right"/>
              <w:ind w:right="166"/>
              <w:spacing w:after="0"/>
              <w:rPr>
                <w:sz w:val="20"/>
                <w:szCs w:val="20"/>
                <w:color w:val="auto"/>
              </w:rPr>
            </w:pPr>
            <w:r>
              <w:rPr>
                <w:rFonts w:ascii="Arial" w:cs="Arial" w:eastAsia="Arial" w:hAnsi="Arial"/>
                <w:sz w:val="19"/>
                <w:szCs w:val="19"/>
                <w:color w:val="231F20"/>
                <w:w w:val="75"/>
              </w:rPr>
              <w:t>$</w:t>
            </w:r>
          </w:p>
        </w:tc>
        <w:tc>
          <w:tcPr>
            <w:tcW w:w="1240" w:type="dxa"/>
            <w:vAlign w:val="bottom"/>
            <w:tcBorders>
              <w:top w:val="single" w:sz="8" w:color="231F20"/>
              <w:bottom w:val="single" w:sz="8" w:color="231F20"/>
              <w:right w:val="single" w:sz="8" w:color="D0EBF2"/>
            </w:tcBorders>
            <w:shd w:val="clear" w:color="auto" w:fill="D0EBF2"/>
          </w:tcPr>
          <w:p>
            <w:pPr>
              <w:jc w:val="right"/>
              <w:spacing w:after="0"/>
              <w:rPr>
                <w:sz w:val="20"/>
                <w:szCs w:val="20"/>
                <w:color w:val="auto"/>
              </w:rPr>
            </w:pPr>
            <w:r>
              <w:rPr>
                <w:rFonts w:ascii="Arial" w:cs="Arial" w:eastAsia="Arial" w:hAnsi="Arial"/>
                <w:sz w:val="19"/>
                <w:szCs w:val="19"/>
                <w:color w:val="231F20"/>
              </w:rPr>
              <w:t>64.0</w:t>
            </w:r>
          </w:p>
        </w:tc>
        <w:tc>
          <w:tcPr>
            <w:tcW w:w="8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Liquidity and Capital Resources</w:t>
      </w:r>
    </w:p>
    <w:p>
      <w:pPr>
        <w:spacing w:after="0" w:line="192" w:lineRule="exact"/>
        <w:rPr>
          <w:sz w:val="20"/>
          <w:szCs w:val="20"/>
          <w:color w:val="auto"/>
        </w:rPr>
      </w:pPr>
    </w:p>
    <w:p>
      <w:pPr>
        <w:ind w:right="80" w:firstLine="463"/>
        <w:spacing w:after="0" w:line="248" w:lineRule="auto"/>
        <w:rPr>
          <w:sz w:val="20"/>
          <w:szCs w:val="20"/>
          <w:color w:val="auto"/>
        </w:rPr>
      </w:pPr>
      <w:r>
        <w:rPr>
          <w:rFonts w:ascii="Arial" w:cs="Arial" w:eastAsia="Arial" w:hAnsi="Arial"/>
          <w:sz w:val="19"/>
          <w:szCs w:val="19"/>
          <w:color w:val="231F20"/>
        </w:rPr>
        <w:t>As of December 31, 2024, our principal source of liquidity is cash and cash equivalents of $495.2 million, short-term available-for-sale debt securities of $115.8 million and the available undrawn balance under our 2024 Revolving Credit Facility of $125.0 million. Cash equivalents is comprised primarily of money market funds and bank deposits. Our short-term available-for-sale debt securities are comprised of corporate bonds, U.S. Government obligations, treasury bills, foreign agency securities and commercial paper.</w:t>
      </w:r>
    </w:p>
    <w:p>
      <w:pPr>
        <w:spacing w:after="0" w:line="146" w:lineRule="exact"/>
        <w:rPr>
          <w:sz w:val="20"/>
          <w:szCs w:val="20"/>
          <w:color w:val="auto"/>
        </w:rPr>
      </w:pPr>
    </w:p>
    <w:p>
      <w:pPr>
        <w:ind w:right="120" w:firstLine="463"/>
        <w:spacing w:after="0" w:line="243" w:lineRule="auto"/>
        <w:rPr>
          <w:sz w:val="20"/>
          <w:szCs w:val="20"/>
          <w:color w:val="auto"/>
        </w:rPr>
      </w:pPr>
      <w:r>
        <w:rPr>
          <w:rFonts w:ascii="Arial" w:cs="Arial" w:eastAsia="Arial" w:hAnsi="Arial"/>
          <w:sz w:val="19"/>
          <w:szCs w:val="19"/>
          <w:color w:val="231F20"/>
        </w:rPr>
        <w:t xml:space="preserve">On August 6, 2024, the Company announced a share repurchase program of up to $150 million of outstanding voting and non-voting common stock for an indefinite period as part of the Company’s Repurchase Program. For additional information on our Repurchase Program, see </w:t>
      </w:r>
      <w:r>
        <w:rPr>
          <w:rFonts w:ascii="Arial" w:cs="Arial" w:eastAsia="Arial" w:hAnsi="Arial"/>
          <w:sz w:val="19"/>
          <w:szCs w:val="19"/>
          <w:i w:val="1"/>
          <w:iCs w:val="1"/>
          <w:color w:val="231F20"/>
        </w:rPr>
        <w:t>Note 12 - Stockholders’ Equity</w:t>
      </w:r>
      <w:r>
        <w:rPr>
          <w:rFonts w:ascii="Arial" w:cs="Arial" w:eastAsia="Arial" w:hAnsi="Arial"/>
          <w:sz w:val="19"/>
          <w:szCs w:val="19"/>
          <w:color w:val="231F20"/>
        </w:rPr>
        <w:t xml:space="preserve"> in our consolidated financial statements included elsewhere in this Annual Report on Form 10-K. During the year ended December 31, 2024, the Company repurchased 2,386,856 shares of its common stock for an aggregate amount of $45.6 million under the Repurchase Program, which includes commissions, $1.4 million of common stock repurchase and $0.5 million of excise tax recorded in accrued expense as of December 31, 2024. The repurchased shares are currently being held as treasury stock. As of December 31, 2024, approximately $104.9 million of the originally authorized amount under the Repurchase Program remained available for future repurchases.</w:t>
      </w:r>
    </w:p>
    <w:p>
      <w:pPr>
        <w:spacing w:after="0" w:line="153" w:lineRule="exact"/>
        <w:rPr>
          <w:sz w:val="20"/>
          <w:szCs w:val="20"/>
          <w:color w:val="auto"/>
        </w:rPr>
      </w:pPr>
    </w:p>
    <w:p>
      <w:pPr>
        <w:ind w:right="160" w:firstLine="463"/>
        <w:spacing w:after="0" w:line="258" w:lineRule="auto"/>
        <w:rPr>
          <w:sz w:val="20"/>
          <w:szCs w:val="20"/>
          <w:color w:val="auto"/>
        </w:rPr>
      </w:pPr>
      <w:r>
        <w:rPr>
          <w:rFonts w:ascii="Arial" w:cs="Arial" w:eastAsia="Arial" w:hAnsi="Arial"/>
          <w:sz w:val="19"/>
          <w:szCs w:val="19"/>
          <w:color w:val="231F20"/>
        </w:rPr>
        <w:t>On February 23, 2024, we entered into an Amended and Restated Credit Agreement for a five-year senior secured revolving credit syndication loan with four banks for a total commitment of $125.0 million, which replaced the Revolving Credit Facility of $50.0 that was in effect as of December 31, 2023.</w:t>
      </w:r>
    </w:p>
    <w:p>
      <w:pPr>
        <w:spacing w:after="0" w:line="136" w:lineRule="exact"/>
        <w:rPr>
          <w:sz w:val="20"/>
          <w:szCs w:val="20"/>
          <w:color w:val="auto"/>
        </w:rPr>
      </w:pPr>
    </w:p>
    <w:p>
      <w:pPr>
        <w:ind w:right="220" w:firstLine="463"/>
        <w:spacing w:after="0" w:line="258" w:lineRule="auto"/>
        <w:rPr>
          <w:sz w:val="20"/>
          <w:szCs w:val="20"/>
          <w:color w:val="auto"/>
        </w:rPr>
      </w:pPr>
      <w:r>
        <w:rPr>
          <w:rFonts w:ascii="Arial" w:cs="Arial" w:eastAsia="Arial" w:hAnsi="Arial"/>
          <w:sz w:val="19"/>
          <w:szCs w:val="19"/>
          <w:color w:val="231F20"/>
        </w:rPr>
        <w:t>On August 14, 2023 and September 12, 2023, we completed our Primary Offering which resulted in aggregate net proceeds of $260.1 million, after underwriting discounts and commissions of $10.9 million and other issuance costs of $1.1 million.</w:t>
      </w:r>
    </w:p>
    <w:p>
      <w:pPr>
        <w:spacing w:after="0" w:line="136" w:lineRule="exact"/>
        <w:rPr>
          <w:sz w:val="20"/>
          <w:szCs w:val="20"/>
          <w:color w:val="auto"/>
        </w:rPr>
      </w:pPr>
    </w:p>
    <w:p>
      <w:pPr>
        <w:ind w:right="260" w:firstLine="463"/>
        <w:spacing w:after="0" w:line="270" w:lineRule="auto"/>
        <w:rPr>
          <w:sz w:val="20"/>
          <w:szCs w:val="20"/>
          <w:color w:val="auto"/>
        </w:rPr>
      </w:pPr>
      <w:r>
        <w:rPr>
          <w:rFonts w:ascii="Arial" w:cs="Arial" w:eastAsia="Arial" w:hAnsi="Arial"/>
          <w:sz w:val="18"/>
          <w:szCs w:val="18"/>
          <w:color w:val="231F20"/>
        </w:rPr>
        <w:t>We believe that our existing cash and cash equivalents will be sufficient to support our expected working capital needs and material cash requirements for at least the next 12 months from the issuance of these consolidated financial statements. Our future capital requirements will depend on many factors, including our revenue growth rate, the timing and the amount of cash received from clients, the expansion of sales and marketing activities, the timing and extent of</w:t>
      </w:r>
    </w:p>
    <w:p>
      <w:pPr>
        <w:sectPr>
          <w:pgSz w:w="12240" w:h="15840" w:orient="portrait"/>
          <w:cols w:equalWidth="0" w:num="1">
            <w:col w:w="10200"/>
          </w:cols>
          <w:pgMar w:left="1020" w:top="1440" w:right="1020" w:bottom="595"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97</w:t>
      </w:r>
    </w:p>
    <w:p>
      <w:pPr>
        <w:sectPr>
          <w:pgSz w:w="12240" w:h="15840" w:orient="portrait"/>
          <w:cols w:equalWidth="0" w:num="1">
            <w:col w:w="10200"/>
          </w:cols>
          <w:pgMar w:left="1020" w:top="1440" w:right="1020" w:bottom="595" w:gutter="0" w:footer="0" w:header="0"/>
          <w:type w:val="continuous"/>
        </w:sectPr>
      </w:pPr>
    </w:p>
    <w:bookmarkStart w:id="98" w:name="page99"/>
    <w:bookmarkEnd w:id="98"/>
    <w:p>
      <w:pPr>
        <w:spacing w:after="0" w:line="97" w:lineRule="exact"/>
        <w:rPr>
          <w:sz w:val="20"/>
          <w:szCs w:val="20"/>
          <w:color w:val="auto"/>
        </w:rPr>
      </w:pPr>
    </w:p>
    <w:p>
      <w:pPr>
        <w:ind w:right="40"/>
        <w:spacing w:after="0" w:line="243" w:lineRule="auto"/>
        <w:rPr>
          <w:sz w:val="20"/>
          <w:szCs w:val="20"/>
          <w:color w:val="auto"/>
        </w:rPr>
      </w:pPr>
      <w:r>
        <w:rPr>
          <w:rFonts w:ascii="Arial" w:cs="Arial" w:eastAsia="Arial" w:hAnsi="Arial"/>
          <w:sz w:val="19"/>
          <w:szCs w:val="19"/>
          <w:color w:val="231F20"/>
        </w:rPr>
        <w:t>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In addition, we have, and may in the future, repurchase shares of our voting and non-voting common stock from time to time under our Repurchase Program.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Contractual Obligations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Contractual obligations consist of operating leases that relate to real estate for our primary facilities.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The following table summarizes our contractual obligations as of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Borders>
              <w:bottom w:val="single" w:sz="8" w:color="FDFDFC"/>
            </w:tcBorders>
            <w:shd w:val="clear" w:color="auto" w:fill="FDFDFC"/>
          </w:tcPr>
          <w:p>
            <w:pPr>
              <w:spacing w:after="0"/>
              <w:rPr>
                <w:sz w:val="15"/>
                <w:szCs w:val="15"/>
                <w:color w:val="auto"/>
              </w:rPr>
            </w:pPr>
          </w:p>
        </w:tc>
        <w:tc>
          <w:tcPr>
            <w:tcW w:w="4560" w:type="dxa"/>
            <w:vAlign w:val="bottom"/>
            <w:tcBorders>
              <w:bottom w:val="single" w:sz="8" w:color="FDFDFC"/>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200" w:type="dxa"/>
            <w:vAlign w:val="bottom"/>
            <w:tcBorders>
              <w:bottom w:val="single" w:sz="8" w:color="231F20"/>
            </w:tcBorders>
            <w:shd w:val="clear" w:color="auto" w:fill="FDFDFC"/>
          </w:tcPr>
          <w:p>
            <w:pPr>
              <w:spacing w:after="0"/>
              <w:rPr>
                <w:sz w:val="15"/>
                <w:szCs w:val="15"/>
                <w:color w:val="auto"/>
              </w:rPr>
            </w:pPr>
          </w:p>
        </w:tc>
        <w:tc>
          <w:tcPr>
            <w:tcW w:w="720" w:type="dxa"/>
            <w:vAlign w:val="bottom"/>
            <w:tcBorders>
              <w:bottom w:val="single" w:sz="8" w:color="231F20"/>
            </w:tcBorders>
            <w:shd w:val="clear" w:color="auto" w:fill="FDFDFC"/>
          </w:tcPr>
          <w:p>
            <w:pPr>
              <w:spacing w:after="0"/>
              <w:rPr>
                <w:sz w:val="15"/>
                <w:szCs w:val="15"/>
                <w:color w:val="auto"/>
              </w:rPr>
            </w:pPr>
          </w:p>
        </w:tc>
        <w:tc>
          <w:tcPr>
            <w:tcW w:w="200" w:type="dxa"/>
            <w:vAlign w:val="bottom"/>
            <w:tcBorders>
              <w:bottom w:val="single" w:sz="8" w:color="231F20"/>
            </w:tcBorders>
            <w:shd w:val="clear" w:color="auto" w:fill="FDFDFC"/>
          </w:tcPr>
          <w:p>
            <w:pPr>
              <w:spacing w:after="0"/>
              <w:rPr>
                <w:sz w:val="15"/>
                <w:szCs w:val="15"/>
                <w:color w:val="auto"/>
              </w:rPr>
            </w:pPr>
          </w:p>
        </w:tc>
        <w:tc>
          <w:tcPr>
            <w:tcW w:w="180" w:type="dxa"/>
            <w:vAlign w:val="bottom"/>
            <w:tcBorders>
              <w:bottom w:val="single" w:sz="8" w:color="231F20"/>
            </w:tcBorders>
            <w:shd w:val="clear" w:color="auto" w:fill="FDFDFC"/>
          </w:tcPr>
          <w:p>
            <w:pPr>
              <w:spacing w:after="0"/>
              <w:rPr>
                <w:sz w:val="15"/>
                <w:szCs w:val="15"/>
                <w:color w:val="auto"/>
              </w:rPr>
            </w:pPr>
          </w:p>
        </w:tc>
        <w:tc>
          <w:tcPr>
            <w:tcW w:w="2280" w:type="dxa"/>
            <w:vAlign w:val="bottom"/>
            <w:tcBorders>
              <w:bottom w:val="single" w:sz="8" w:color="231F20"/>
            </w:tcBorders>
            <w:gridSpan w:val="6"/>
            <w:shd w:val="clear" w:color="auto" w:fill="FDFDFC"/>
          </w:tcPr>
          <w:p>
            <w:pPr>
              <w:jc w:val="center"/>
              <w:ind w:left="455"/>
              <w:spacing w:after="0"/>
              <w:rPr>
                <w:sz w:val="20"/>
                <w:szCs w:val="20"/>
                <w:color w:val="auto"/>
              </w:rPr>
            </w:pPr>
            <w:r>
              <w:rPr>
                <w:rFonts w:ascii="Arial" w:cs="Arial" w:eastAsia="Arial" w:hAnsi="Arial"/>
                <w:sz w:val="15"/>
                <w:szCs w:val="15"/>
                <w:b w:val="1"/>
                <w:bCs w:val="1"/>
                <w:color w:val="231F20"/>
              </w:rPr>
              <w:t>Payments Due by Year</w:t>
            </w:r>
          </w:p>
        </w:tc>
        <w:tc>
          <w:tcPr>
            <w:tcW w:w="720" w:type="dxa"/>
            <w:vAlign w:val="bottom"/>
            <w:tcBorders>
              <w:bottom w:val="single" w:sz="8" w:color="231F20"/>
            </w:tcBorders>
            <w:shd w:val="clear" w:color="auto" w:fill="FDFDFC"/>
          </w:tcPr>
          <w:p>
            <w:pPr>
              <w:spacing w:after="0"/>
              <w:rPr>
                <w:sz w:val="15"/>
                <w:szCs w:val="15"/>
                <w:color w:val="auto"/>
              </w:rPr>
            </w:pPr>
          </w:p>
        </w:tc>
        <w:tc>
          <w:tcPr>
            <w:tcW w:w="200" w:type="dxa"/>
            <w:vAlign w:val="bottom"/>
            <w:tcBorders>
              <w:bottom w:val="single" w:sz="8" w:color="231F20"/>
            </w:tcBorders>
            <w:shd w:val="clear" w:color="auto" w:fill="FDFDFC"/>
          </w:tcPr>
          <w:p>
            <w:pPr>
              <w:spacing w:after="0"/>
              <w:rPr>
                <w:sz w:val="15"/>
                <w:szCs w:val="15"/>
                <w:color w:val="auto"/>
              </w:rPr>
            </w:pPr>
          </w:p>
        </w:tc>
        <w:tc>
          <w:tcPr>
            <w:tcW w:w="160" w:type="dxa"/>
            <w:vAlign w:val="bottom"/>
            <w:tcBorders>
              <w:bottom w:val="single" w:sz="8" w:color="231F20"/>
            </w:tcBorders>
            <w:shd w:val="clear" w:color="auto" w:fill="FDFDFC"/>
          </w:tcPr>
          <w:p>
            <w:pPr>
              <w:spacing w:after="0"/>
              <w:rPr>
                <w:sz w:val="15"/>
                <w:szCs w:val="15"/>
                <w:color w:val="auto"/>
              </w:rPr>
            </w:pPr>
          </w:p>
        </w:tc>
        <w:tc>
          <w:tcPr>
            <w:tcW w:w="76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580" w:type="dxa"/>
            <w:vAlign w:val="bottom"/>
            <w:gridSpan w:val="2"/>
            <w:vMerge w:val="restart"/>
            <w:shd w:val="clear" w:color="auto" w:fill="FDFDFC"/>
          </w:tcPr>
          <w:p>
            <w:pPr>
              <w:spacing w:after="0"/>
              <w:rPr>
                <w:sz w:val="20"/>
                <w:szCs w:val="20"/>
                <w:color w:val="auto"/>
              </w:rPr>
            </w:pPr>
            <w:r>
              <w:rPr>
                <w:rFonts w:ascii="Arial" w:cs="Arial" w:eastAsia="Arial" w:hAnsi="Arial"/>
                <w:sz w:val="15"/>
                <w:szCs w:val="15"/>
                <w:b w:val="1"/>
                <w:bCs w:val="1"/>
                <w:color w:val="231F20"/>
              </w:rPr>
              <w:t>(in thousands)</w:t>
            </w:r>
          </w:p>
        </w:tc>
        <w:tc>
          <w:tcPr>
            <w:tcW w:w="100" w:type="dxa"/>
            <w:vAlign w:val="bottom"/>
            <w:shd w:val="clear" w:color="auto" w:fill="FDFDFC"/>
          </w:tcPr>
          <w:p>
            <w:pPr>
              <w:spacing w:after="0"/>
              <w:rPr>
                <w:sz w:val="12"/>
                <w:szCs w:val="12"/>
                <w:color w:val="auto"/>
              </w:rPr>
            </w:pPr>
          </w:p>
        </w:tc>
        <w:tc>
          <w:tcPr>
            <w:tcW w:w="200" w:type="dxa"/>
            <w:vAlign w:val="bottom"/>
            <w:shd w:val="clear" w:color="auto" w:fill="FDFDFC"/>
          </w:tcPr>
          <w:p>
            <w:pPr>
              <w:spacing w:after="0"/>
              <w:rPr>
                <w:sz w:val="12"/>
                <w:szCs w:val="12"/>
                <w:color w:val="auto"/>
              </w:rPr>
            </w:pPr>
          </w:p>
        </w:tc>
        <w:tc>
          <w:tcPr>
            <w:tcW w:w="720" w:type="dxa"/>
            <w:vAlign w:val="bottom"/>
            <w:vMerge w:val="restart"/>
            <w:shd w:val="clear" w:color="auto" w:fill="FDFDFC"/>
          </w:tcPr>
          <w:p>
            <w:pPr>
              <w:jc w:val="right"/>
              <w:ind w:right="192"/>
              <w:spacing w:after="0"/>
              <w:rPr>
                <w:sz w:val="20"/>
                <w:szCs w:val="20"/>
                <w:color w:val="auto"/>
              </w:rPr>
            </w:pPr>
            <w:r>
              <w:rPr>
                <w:rFonts w:ascii="Arial" w:cs="Arial" w:eastAsia="Arial" w:hAnsi="Arial"/>
                <w:sz w:val="15"/>
                <w:szCs w:val="15"/>
                <w:b w:val="1"/>
                <w:bCs w:val="1"/>
                <w:color w:val="231F20"/>
              </w:rPr>
              <w:t>Total</w:t>
            </w:r>
          </w:p>
        </w:tc>
        <w:tc>
          <w:tcPr>
            <w:tcW w:w="200" w:type="dxa"/>
            <w:vAlign w:val="bottom"/>
            <w:shd w:val="clear" w:color="auto" w:fill="FDFDFC"/>
          </w:tcPr>
          <w:p>
            <w:pPr>
              <w:spacing w:after="0"/>
              <w:rPr>
                <w:sz w:val="12"/>
                <w:szCs w:val="12"/>
                <w:color w:val="auto"/>
              </w:rPr>
            </w:pPr>
          </w:p>
        </w:tc>
        <w:tc>
          <w:tcPr>
            <w:tcW w:w="920" w:type="dxa"/>
            <w:vAlign w:val="bottom"/>
            <w:gridSpan w:val="2"/>
            <w:shd w:val="clear" w:color="auto" w:fill="FDFDFC"/>
          </w:tcPr>
          <w:p>
            <w:pPr>
              <w:jc w:val="right"/>
              <w:spacing w:after="0" w:line="146" w:lineRule="exact"/>
              <w:rPr>
                <w:sz w:val="20"/>
                <w:szCs w:val="20"/>
                <w:color w:val="auto"/>
              </w:rPr>
            </w:pPr>
            <w:r>
              <w:rPr>
                <w:rFonts w:ascii="Arial" w:cs="Arial" w:eastAsia="Arial" w:hAnsi="Arial"/>
                <w:sz w:val="15"/>
                <w:szCs w:val="15"/>
                <w:b w:val="1"/>
                <w:bCs w:val="1"/>
                <w:color w:val="231F20"/>
              </w:rPr>
              <w:t>Less Than</w:t>
            </w:r>
          </w:p>
        </w:tc>
        <w:tc>
          <w:tcPr>
            <w:tcW w:w="220" w:type="dxa"/>
            <w:vAlign w:val="bottom"/>
            <w:shd w:val="clear" w:color="auto" w:fill="FDFDFC"/>
          </w:tcPr>
          <w:p>
            <w:pPr>
              <w:spacing w:after="0"/>
              <w:rPr>
                <w:sz w:val="12"/>
                <w:szCs w:val="12"/>
                <w:color w:val="auto"/>
              </w:rPr>
            </w:pPr>
          </w:p>
        </w:tc>
        <w:tc>
          <w:tcPr>
            <w:tcW w:w="180" w:type="dxa"/>
            <w:vAlign w:val="bottom"/>
            <w:shd w:val="clear" w:color="auto" w:fill="FDFDFC"/>
          </w:tcPr>
          <w:p>
            <w:pPr>
              <w:spacing w:after="0"/>
              <w:rPr>
                <w:sz w:val="12"/>
                <w:szCs w:val="12"/>
                <w:color w:val="auto"/>
              </w:rPr>
            </w:pPr>
          </w:p>
        </w:tc>
        <w:tc>
          <w:tcPr>
            <w:tcW w:w="720" w:type="dxa"/>
            <w:vAlign w:val="bottom"/>
            <w:shd w:val="clear" w:color="auto" w:fill="FDFDFC"/>
          </w:tcPr>
          <w:p>
            <w:pPr>
              <w:jc w:val="center"/>
              <w:ind w:right="95"/>
              <w:spacing w:after="0" w:line="146" w:lineRule="exact"/>
              <w:rPr>
                <w:sz w:val="20"/>
                <w:szCs w:val="20"/>
                <w:color w:val="auto"/>
              </w:rPr>
            </w:pPr>
            <w:r>
              <w:rPr>
                <w:rFonts w:ascii="Arial" w:cs="Arial" w:eastAsia="Arial" w:hAnsi="Arial"/>
                <w:sz w:val="15"/>
                <w:szCs w:val="15"/>
                <w:b w:val="1"/>
                <w:bCs w:val="1"/>
                <w:color w:val="231F20"/>
                <w:w w:val="96"/>
              </w:rPr>
              <w:t>1 to 3</w:t>
            </w:r>
          </w:p>
        </w:tc>
        <w:tc>
          <w:tcPr>
            <w:tcW w:w="220" w:type="dxa"/>
            <w:vAlign w:val="bottom"/>
            <w:shd w:val="clear" w:color="auto" w:fill="FDFDFC"/>
          </w:tcPr>
          <w:p>
            <w:pPr>
              <w:spacing w:after="0"/>
              <w:rPr>
                <w:sz w:val="12"/>
                <w:szCs w:val="12"/>
                <w:color w:val="auto"/>
              </w:rPr>
            </w:pPr>
          </w:p>
        </w:tc>
        <w:tc>
          <w:tcPr>
            <w:tcW w:w="200" w:type="dxa"/>
            <w:vAlign w:val="bottom"/>
            <w:shd w:val="clear" w:color="auto" w:fill="FDFDFC"/>
          </w:tcPr>
          <w:p>
            <w:pPr>
              <w:spacing w:after="0"/>
              <w:rPr>
                <w:sz w:val="12"/>
                <w:szCs w:val="12"/>
                <w:color w:val="auto"/>
              </w:rPr>
            </w:pPr>
          </w:p>
        </w:tc>
        <w:tc>
          <w:tcPr>
            <w:tcW w:w="720" w:type="dxa"/>
            <w:vAlign w:val="bottom"/>
            <w:shd w:val="clear" w:color="auto" w:fill="FDFDFC"/>
          </w:tcPr>
          <w:p>
            <w:pPr>
              <w:jc w:val="right"/>
              <w:ind w:right="175"/>
              <w:spacing w:after="0" w:line="146" w:lineRule="exact"/>
              <w:rPr>
                <w:sz w:val="20"/>
                <w:szCs w:val="20"/>
                <w:color w:val="auto"/>
              </w:rPr>
            </w:pPr>
            <w:r>
              <w:rPr>
                <w:rFonts w:ascii="Arial" w:cs="Arial" w:eastAsia="Arial" w:hAnsi="Arial"/>
                <w:sz w:val="15"/>
                <w:szCs w:val="15"/>
                <w:b w:val="1"/>
                <w:bCs w:val="1"/>
                <w:color w:val="231F20"/>
              </w:rPr>
              <w:t>4 to 5</w:t>
            </w:r>
          </w:p>
        </w:tc>
        <w:tc>
          <w:tcPr>
            <w:tcW w:w="200" w:type="dxa"/>
            <w:vAlign w:val="bottom"/>
            <w:shd w:val="clear" w:color="auto" w:fill="FDFDFC"/>
          </w:tcPr>
          <w:p>
            <w:pPr>
              <w:spacing w:after="0"/>
              <w:rPr>
                <w:sz w:val="12"/>
                <w:szCs w:val="12"/>
                <w:color w:val="auto"/>
              </w:rPr>
            </w:pPr>
          </w:p>
        </w:tc>
        <w:tc>
          <w:tcPr>
            <w:tcW w:w="920" w:type="dxa"/>
            <w:vAlign w:val="bottom"/>
            <w:gridSpan w:val="2"/>
            <w:shd w:val="clear" w:color="auto" w:fill="FDFDFC"/>
          </w:tcPr>
          <w:p>
            <w:pPr>
              <w:jc w:val="center"/>
              <w:spacing w:after="0" w:line="146" w:lineRule="exact"/>
              <w:rPr>
                <w:sz w:val="20"/>
                <w:szCs w:val="20"/>
                <w:color w:val="auto"/>
              </w:rPr>
            </w:pPr>
            <w:r>
              <w:rPr>
                <w:rFonts w:ascii="Arial" w:cs="Arial" w:eastAsia="Arial" w:hAnsi="Arial"/>
                <w:sz w:val="15"/>
                <w:szCs w:val="15"/>
                <w:b w:val="1"/>
                <w:bCs w:val="1"/>
                <w:color w:val="231F20"/>
              </w:rPr>
              <w:t>More Than</w:t>
            </w:r>
          </w:p>
        </w:tc>
        <w:tc>
          <w:tcPr>
            <w:tcW w:w="100" w:type="dxa"/>
            <w:vAlign w:val="bottom"/>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580" w:type="dxa"/>
            <w:vAlign w:val="bottom"/>
            <w:gridSpan w:val="2"/>
            <w:vMerge w:val="continue"/>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720" w:type="dxa"/>
            <w:vAlign w:val="bottom"/>
            <w:vMerge w:val="continue"/>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740" w:type="dxa"/>
            <w:vAlign w:val="bottom"/>
            <w:shd w:val="clear" w:color="auto" w:fill="FDFDFC"/>
          </w:tcPr>
          <w:p>
            <w:pPr>
              <w:jc w:val="right"/>
              <w:ind w:right="135"/>
              <w:spacing w:after="0"/>
              <w:rPr>
                <w:sz w:val="20"/>
                <w:szCs w:val="20"/>
                <w:color w:val="auto"/>
              </w:rPr>
            </w:pPr>
            <w:r>
              <w:rPr>
                <w:rFonts w:ascii="Arial" w:cs="Arial" w:eastAsia="Arial" w:hAnsi="Arial"/>
                <w:sz w:val="15"/>
                <w:szCs w:val="15"/>
                <w:b w:val="1"/>
                <w:bCs w:val="1"/>
                <w:color w:val="231F20"/>
              </w:rPr>
              <w:t>1 Year</w:t>
            </w:r>
          </w:p>
        </w:tc>
        <w:tc>
          <w:tcPr>
            <w:tcW w:w="22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720" w:type="dxa"/>
            <w:vAlign w:val="bottom"/>
            <w:shd w:val="clear" w:color="auto" w:fill="FDFDFC"/>
          </w:tcPr>
          <w:p>
            <w:pPr>
              <w:jc w:val="center"/>
              <w:ind w:right="95"/>
              <w:spacing w:after="0"/>
              <w:rPr>
                <w:sz w:val="20"/>
                <w:szCs w:val="20"/>
                <w:color w:val="auto"/>
              </w:rPr>
            </w:pPr>
            <w:r>
              <w:rPr>
                <w:rFonts w:ascii="Arial" w:cs="Arial" w:eastAsia="Arial" w:hAnsi="Arial"/>
                <w:sz w:val="15"/>
                <w:szCs w:val="15"/>
                <w:b w:val="1"/>
                <w:bCs w:val="1"/>
                <w:color w:val="231F20"/>
              </w:rPr>
              <w:t>Years</w:t>
            </w:r>
          </w:p>
        </w:tc>
        <w:tc>
          <w:tcPr>
            <w:tcW w:w="22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720" w:type="dxa"/>
            <w:vAlign w:val="bottom"/>
            <w:shd w:val="clear" w:color="auto" w:fill="FDFDFC"/>
          </w:tcPr>
          <w:p>
            <w:pPr>
              <w:jc w:val="right"/>
              <w:ind w:right="175"/>
              <w:spacing w:after="0"/>
              <w:rPr>
                <w:sz w:val="20"/>
                <w:szCs w:val="20"/>
                <w:color w:val="auto"/>
              </w:rPr>
            </w:pPr>
            <w:r>
              <w:rPr>
                <w:rFonts w:ascii="Arial" w:cs="Arial" w:eastAsia="Arial" w:hAnsi="Arial"/>
                <w:sz w:val="15"/>
                <w:szCs w:val="15"/>
                <w:b w:val="1"/>
                <w:bCs w:val="1"/>
                <w:color w:val="231F20"/>
              </w:rPr>
              <w:t>Years</w:t>
            </w:r>
          </w:p>
        </w:tc>
        <w:tc>
          <w:tcPr>
            <w:tcW w:w="20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760" w:type="dxa"/>
            <w:vAlign w:val="bottom"/>
            <w:shd w:val="clear" w:color="auto" w:fill="FDFDFC"/>
          </w:tcPr>
          <w:p>
            <w:pPr>
              <w:jc w:val="center"/>
              <w:ind w:right="52"/>
              <w:spacing w:after="0"/>
              <w:rPr>
                <w:sz w:val="20"/>
                <w:szCs w:val="20"/>
                <w:color w:val="auto"/>
              </w:rPr>
            </w:pPr>
            <w:r>
              <w:rPr>
                <w:rFonts w:ascii="Arial" w:cs="Arial" w:eastAsia="Arial" w:hAnsi="Arial"/>
                <w:sz w:val="15"/>
                <w:szCs w:val="15"/>
                <w:b w:val="1"/>
                <w:bCs w:val="1"/>
                <w:color w:val="231F20"/>
              </w:rPr>
              <w:t>5 Years</w:t>
            </w:r>
          </w:p>
        </w:tc>
        <w:tc>
          <w:tcPr>
            <w:tcW w:w="1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D0EBF2"/>
              <w:bottom w:val="single" w:sz="8" w:color="FDFDFC"/>
            </w:tcBorders>
            <w:shd w:val="clear" w:color="auto" w:fill="D0EBF2"/>
          </w:tcPr>
          <w:p>
            <w:pPr>
              <w:spacing w:after="0"/>
              <w:rPr>
                <w:sz w:val="17"/>
                <w:szCs w:val="17"/>
                <w:color w:val="auto"/>
              </w:rPr>
            </w:pPr>
          </w:p>
        </w:tc>
        <w:tc>
          <w:tcPr>
            <w:tcW w:w="4560" w:type="dxa"/>
            <w:vAlign w:val="bottom"/>
            <w:tcBorders>
              <w:top w:val="single" w:sz="8" w:color="231F20"/>
              <w:bottom w:val="single" w:sz="8" w:color="FDFDFC"/>
            </w:tcBorders>
            <w:shd w:val="clear" w:color="auto" w:fill="D0EBF2"/>
          </w:tcPr>
          <w:p>
            <w:pPr>
              <w:spacing w:after="0" w:line="207" w:lineRule="exact"/>
              <w:rPr>
                <w:sz w:val="20"/>
                <w:szCs w:val="20"/>
                <w:color w:val="auto"/>
              </w:rPr>
            </w:pPr>
            <w:r>
              <w:rPr>
                <w:rFonts w:ascii="Arial" w:cs="Arial" w:eastAsia="Arial" w:hAnsi="Arial"/>
                <w:sz w:val="19"/>
                <w:szCs w:val="19"/>
                <w:color w:val="231F20"/>
              </w:rPr>
              <w:t>Operating lease obligations</w:t>
            </w:r>
          </w:p>
        </w:tc>
        <w:tc>
          <w:tcPr>
            <w:tcW w:w="100" w:type="dxa"/>
            <w:vAlign w:val="bottom"/>
            <w:tcBorders>
              <w:top w:val="single" w:sz="8" w:color="D0EBF2"/>
              <w:bottom w:val="single" w:sz="8" w:color="FDFDFC"/>
            </w:tcBorders>
            <w:shd w:val="clear" w:color="auto" w:fill="D0EBF2"/>
          </w:tcPr>
          <w:p>
            <w:pPr>
              <w:spacing w:after="0"/>
              <w:rPr>
                <w:sz w:val="17"/>
                <w:szCs w:val="17"/>
                <w:color w:val="auto"/>
              </w:rPr>
            </w:pPr>
          </w:p>
        </w:tc>
        <w:tc>
          <w:tcPr>
            <w:tcW w:w="200" w:type="dxa"/>
            <w:vAlign w:val="bottom"/>
            <w:tcBorders>
              <w:top w:val="single" w:sz="8" w:color="231F20"/>
              <w:bottom w:val="single" w:sz="8" w:color="231F20"/>
            </w:tcBorders>
            <w:shd w:val="clear" w:color="auto" w:fill="D0EBF2"/>
          </w:tcPr>
          <w:p>
            <w:pPr>
              <w:jc w:val="right"/>
              <w:ind w:right="6"/>
              <w:spacing w:after="0" w:line="207" w:lineRule="exact"/>
              <w:rPr>
                <w:sz w:val="20"/>
                <w:szCs w:val="20"/>
                <w:color w:val="auto"/>
              </w:rPr>
            </w:pPr>
            <w:r>
              <w:rPr>
                <w:rFonts w:ascii="Arial" w:cs="Arial" w:eastAsia="Arial" w:hAnsi="Arial"/>
                <w:sz w:val="19"/>
                <w:szCs w:val="19"/>
                <w:color w:val="231F20"/>
                <w:w w:val="75"/>
                <w:shd w:val="clear" w:color="auto" w:fill="D0EBF2"/>
              </w:rPr>
              <w:t>$</w:t>
            </w:r>
          </w:p>
        </w:tc>
        <w:tc>
          <w:tcPr>
            <w:tcW w:w="72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shd w:val="clear" w:color="auto" w:fill="D0EBF2"/>
              </w:rPr>
              <w:t>3,877</w:t>
            </w:r>
          </w:p>
        </w:tc>
        <w:tc>
          <w:tcPr>
            <w:tcW w:w="200" w:type="dxa"/>
            <w:vAlign w:val="bottom"/>
            <w:tcBorders>
              <w:top w:val="single" w:sz="8" w:color="D0EBF2"/>
              <w:bottom w:val="single" w:sz="8" w:color="FDFDFC"/>
            </w:tcBorders>
            <w:shd w:val="clear" w:color="auto" w:fill="D0EBF2"/>
          </w:tcPr>
          <w:p>
            <w:pPr>
              <w:spacing w:after="0"/>
              <w:rPr>
                <w:sz w:val="17"/>
                <w:szCs w:val="17"/>
                <w:color w:val="auto"/>
              </w:rPr>
            </w:pPr>
          </w:p>
        </w:tc>
        <w:tc>
          <w:tcPr>
            <w:tcW w:w="18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w w:val="94"/>
                <w:shd w:val="clear" w:color="auto" w:fill="D0EBF2"/>
              </w:rPr>
              <w:t>$</w:t>
            </w:r>
          </w:p>
        </w:tc>
        <w:tc>
          <w:tcPr>
            <w:tcW w:w="74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shd w:val="clear" w:color="auto" w:fill="D0EBF2"/>
              </w:rPr>
              <w:t>1,904</w:t>
            </w:r>
          </w:p>
        </w:tc>
        <w:tc>
          <w:tcPr>
            <w:tcW w:w="220" w:type="dxa"/>
            <w:vAlign w:val="bottom"/>
            <w:tcBorders>
              <w:top w:val="single" w:sz="8" w:color="D0EBF2"/>
              <w:bottom w:val="single" w:sz="8" w:color="FDFDFC"/>
            </w:tcBorders>
            <w:shd w:val="clear" w:color="auto" w:fill="D0EBF2"/>
          </w:tcPr>
          <w:p>
            <w:pPr>
              <w:spacing w:after="0"/>
              <w:rPr>
                <w:sz w:val="17"/>
                <w:szCs w:val="17"/>
                <w:color w:val="auto"/>
              </w:rPr>
            </w:pPr>
          </w:p>
        </w:tc>
        <w:tc>
          <w:tcPr>
            <w:tcW w:w="18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w w:val="75"/>
                <w:shd w:val="clear" w:color="auto" w:fill="D0EBF2"/>
              </w:rPr>
              <w:t>$</w:t>
            </w:r>
          </w:p>
        </w:tc>
        <w:tc>
          <w:tcPr>
            <w:tcW w:w="72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shd w:val="clear" w:color="auto" w:fill="D0EBF2"/>
              </w:rPr>
              <w:t>1,899</w:t>
            </w:r>
          </w:p>
        </w:tc>
        <w:tc>
          <w:tcPr>
            <w:tcW w:w="220" w:type="dxa"/>
            <w:vAlign w:val="bottom"/>
            <w:tcBorders>
              <w:top w:val="single" w:sz="8" w:color="D0EBF2"/>
              <w:bottom w:val="single" w:sz="8" w:color="FDFDFC"/>
            </w:tcBorders>
            <w:shd w:val="clear" w:color="auto" w:fill="D0EBF2"/>
          </w:tcPr>
          <w:p>
            <w:pPr>
              <w:spacing w:after="0"/>
              <w:rPr>
                <w:sz w:val="17"/>
                <w:szCs w:val="17"/>
                <w:color w:val="auto"/>
              </w:rPr>
            </w:pPr>
          </w:p>
        </w:tc>
        <w:tc>
          <w:tcPr>
            <w:tcW w:w="200" w:type="dxa"/>
            <w:vAlign w:val="bottom"/>
            <w:tcBorders>
              <w:top w:val="single" w:sz="8" w:color="231F20"/>
              <w:bottom w:val="single" w:sz="8" w:color="231F20"/>
            </w:tcBorders>
            <w:shd w:val="clear" w:color="auto" w:fill="D0EBF2"/>
          </w:tcPr>
          <w:p>
            <w:pPr>
              <w:jc w:val="right"/>
              <w:ind w:right="6"/>
              <w:spacing w:after="0" w:line="207" w:lineRule="exact"/>
              <w:rPr>
                <w:sz w:val="20"/>
                <w:szCs w:val="20"/>
                <w:color w:val="auto"/>
              </w:rPr>
            </w:pPr>
            <w:r>
              <w:rPr>
                <w:rFonts w:ascii="Arial" w:cs="Arial" w:eastAsia="Arial" w:hAnsi="Arial"/>
                <w:sz w:val="19"/>
                <w:szCs w:val="19"/>
                <w:color w:val="231F20"/>
                <w:w w:val="75"/>
              </w:rPr>
              <w:t>$</w:t>
            </w:r>
          </w:p>
        </w:tc>
        <w:tc>
          <w:tcPr>
            <w:tcW w:w="72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74</w:t>
            </w:r>
          </w:p>
        </w:tc>
        <w:tc>
          <w:tcPr>
            <w:tcW w:w="200" w:type="dxa"/>
            <w:vAlign w:val="bottom"/>
            <w:tcBorders>
              <w:top w:val="single" w:sz="8" w:color="D0EBF2"/>
              <w:bottom w:val="single" w:sz="8" w:color="FDFDFC"/>
            </w:tcBorders>
            <w:shd w:val="clear" w:color="auto" w:fill="D0EBF2"/>
          </w:tcPr>
          <w:p>
            <w:pPr>
              <w:spacing w:after="0"/>
              <w:rPr>
                <w:sz w:val="17"/>
                <w:szCs w:val="17"/>
                <w:color w:val="auto"/>
              </w:rPr>
            </w:pPr>
          </w:p>
        </w:tc>
        <w:tc>
          <w:tcPr>
            <w:tcW w:w="16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w w:val="75"/>
              </w:rPr>
              <w:t>$</w:t>
            </w:r>
          </w:p>
        </w:tc>
        <w:tc>
          <w:tcPr>
            <w:tcW w:w="760" w:type="dxa"/>
            <w:vAlign w:val="bottom"/>
            <w:tcBorders>
              <w:top w:val="single" w:sz="8" w:color="231F20"/>
              <w:bottom w:val="single" w:sz="8" w:color="231F20"/>
            </w:tcBorders>
            <w:shd w:val="clear" w:color="auto" w:fill="D0EBF2"/>
          </w:tcPr>
          <w:p>
            <w:pPr>
              <w:ind w:left="560"/>
              <w:spacing w:after="0" w:line="207" w:lineRule="exact"/>
              <w:rPr>
                <w:sz w:val="20"/>
                <w:szCs w:val="20"/>
                <w:color w:val="auto"/>
              </w:rPr>
            </w:pPr>
            <w:r>
              <w:rPr>
                <w:rFonts w:ascii="Arial" w:cs="Arial" w:eastAsia="Arial" w:hAnsi="Arial"/>
                <w:sz w:val="19"/>
                <w:szCs w:val="19"/>
                <w:color w:val="231F20"/>
                <w:w w:val="94"/>
              </w:rPr>
              <w:t>—</w:t>
            </w:r>
          </w:p>
        </w:tc>
        <w:tc>
          <w:tcPr>
            <w:tcW w:w="100" w:type="dxa"/>
            <w:vAlign w:val="bottom"/>
            <w:tcBorders>
              <w:top w:val="single" w:sz="8" w:color="D0EBF2"/>
              <w:bottom w:val="single" w:sz="8" w:color="FDFDFC"/>
            </w:tcBorders>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FDFDFC"/>
          </w:tcPr>
          <w:p>
            <w:pPr>
              <w:spacing w:after="0"/>
              <w:rPr>
                <w:sz w:val="17"/>
                <w:szCs w:val="17"/>
                <w:color w:val="auto"/>
              </w:rPr>
            </w:pPr>
          </w:p>
        </w:tc>
        <w:tc>
          <w:tcPr>
            <w:tcW w:w="4560" w:type="dxa"/>
            <w:vAlign w:val="bottom"/>
            <w:shd w:val="clear" w:color="auto" w:fill="FDFDFC"/>
          </w:tcPr>
          <w:p>
            <w:pPr>
              <w:ind w:left="240"/>
              <w:spacing w:after="0" w:line="206" w:lineRule="exact"/>
              <w:rPr>
                <w:sz w:val="20"/>
                <w:szCs w:val="20"/>
                <w:color w:val="auto"/>
              </w:rPr>
            </w:pPr>
            <w:r>
              <w:rPr>
                <w:rFonts w:ascii="Arial" w:cs="Arial" w:eastAsia="Arial" w:hAnsi="Arial"/>
                <w:sz w:val="19"/>
                <w:szCs w:val="19"/>
                <w:color w:val="231F20"/>
              </w:rPr>
              <w:t>Total</w:t>
            </w:r>
          </w:p>
        </w:tc>
        <w:tc>
          <w:tcPr>
            <w:tcW w:w="100" w:type="dxa"/>
            <w:vAlign w:val="bottom"/>
            <w:shd w:val="clear" w:color="auto" w:fill="FDFDFC"/>
          </w:tcPr>
          <w:p>
            <w:pPr>
              <w:spacing w:after="0"/>
              <w:rPr>
                <w:sz w:val="17"/>
                <w:szCs w:val="17"/>
                <w:color w:val="auto"/>
              </w:rPr>
            </w:pPr>
          </w:p>
        </w:tc>
        <w:tc>
          <w:tcPr>
            <w:tcW w:w="200" w:type="dxa"/>
            <w:vAlign w:val="bottom"/>
            <w:tcBorders>
              <w:bottom w:val="single" w:sz="8" w:color="231F20"/>
            </w:tcBorders>
            <w:shd w:val="clear" w:color="auto" w:fill="FDFDFC"/>
          </w:tcPr>
          <w:p>
            <w:pPr>
              <w:jc w:val="right"/>
              <w:ind w:right="6"/>
              <w:spacing w:after="0" w:line="206" w:lineRule="exact"/>
              <w:rPr>
                <w:sz w:val="20"/>
                <w:szCs w:val="20"/>
                <w:color w:val="auto"/>
              </w:rPr>
            </w:pPr>
            <w:r>
              <w:rPr>
                <w:rFonts w:ascii="Arial" w:cs="Arial" w:eastAsia="Arial" w:hAnsi="Arial"/>
                <w:sz w:val="19"/>
                <w:szCs w:val="19"/>
                <w:color w:val="231F20"/>
                <w:highlight w:val="white"/>
                <w:w w:val="75"/>
              </w:rPr>
              <w:t>$</w:t>
            </w:r>
          </w:p>
        </w:tc>
        <w:tc>
          <w:tcPr>
            <w:tcW w:w="720" w:type="dxa"/>
            <w:vAlign w:val="bottom"/>
            <w:tcBorders>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highlight w:val="white"/>
              </w:rPr>
              <w:t>3,877</w:t>
            </w:r>
          </w:p>
        </w:tc>
        <w:tc>
          <w:tcPr>
            <w:tcW w:w="200" w:type="dxa"/>
            <w:vAlign w:val="bottom"/>
            <w:shd w:val="clear" w:color="auto" w:fill="FDFDFC"/>
          </w:tcPr>
          <w:p>
            <w:pPr>
              <w:spacing w:after="0"/>
              <w:rPr>
                <w:sz w:val="17"/>
                <w:szCs w:val="17"/>
                <w:color w:val="auto"/>
              </w:rPr>
            </w:pPr>
          </w:p>
        </w:tc>
        <w:tc>
          <w:tcPr>
            <w:tcW w:w="180" w:type="dxa"/>
            <w:vAlign w:val="bottom"/>
            <w:tcBorders>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highlight w:val="white"/>
                <w:w w:val="94"/>
              </w:rPr>
              <w:t>$</w:t>
            </w:r>
          </w:p>
        </w:tc>
        <w:tc>
          <w:tcPr>
            <w:tcW w:w="740" w:type="dxa"/>
            <w:vAlign w:val="bottom"/>
            <w:tcBorders>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highlight w:val="white"/>
              </w:rPr>
              <w:t>1,904</w:t>
            </w:r>
          </w:p>
        </w:tc>
        <w:tc>
          <w:tcPr>
            <w:tcW w:w="220" w:type="dxa"/>
            <w:vAlign w:val="bottom"/>
            <w:shd w:val="clear" w:color="auto" w:fill="FDFDFC"/>
          </w:tcPr>
          <w:p>
            <w:pPr>
              <w:spacing w:after="0"/>
              <w:rPr>
                <w:sz w:val="17"/>
                <w:szCs w:val="17"/>
                <w:color w:val="auto"/>
              </w:rPr>
            </w:pPr>
          </w:p>
        </w:tc>
        <w:tc>
          <w:tcPr>
            <w:tcW w:w="180" w:type="dxa"/>
            <w:vAlign w:val="bottom"/>
            <w:tcBorders>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highlight w:val="white"/>
                <w:w w:val="75"/>
              </w:rPr>
              <w:t>$</w:t>
            </w:r>
          </w:p>
        </w:tc>
        <w:tc>
          <w:tcPr>
            <w:tcW w:w="720" w:type="dxa"/>
            <w:vAlign w:val="bottom"/>
            <w:tcBorders>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highlight w:val="white"/>
              </w:rPr>
              <w:t>1,899</w:t>
            </w:r>
          </w:p>
        </w:tc>
        <w:tc>
          <w:tcPr>
            <w:tcW w:w="220" w:type="dxa"/>
            <w:vAlign w:val="bottom"/>
            <w:shd w:val="clear" w:color="auto" w:fill="FDFDFC"/>
          </w:tcPr>
          <w:p>
            <w:pPr>
              <w:spacing w:after="0"/>
              <w:rPr>
                <w:sz w:val="17"/>
                <w:szCs w:val="17"/>
                <w:color w:val="auto"/>
              </w:rPr>
            </w:pPr>
          </w:p>
        </w:tc>
        <w:tc>
          <w:tcPr>
            <w:tcW w:w="200" w:type="dxa"/>
            <w:vAlign w:val="bottom"/>
            <w:tcBorders>
              <w:bottom w:val="single" w:sz="8" w:color="231F20"/>
            </w:tcBorders>
            <w:shd w:val="clear" w:color="auto" w:fill="FDFDFC"/>
          </w:tcPr>
          <w:p>
            <w:pPr>
              <w:jc w:val="right"/>
              <w:ind w:right="6"/>
              <w:spacing w:after="0" w:line="206" w:lineRule="exact"/>
              <w:rPr>
                <w:sz w:val="20"/>
                <w:szCs w:val="20"/>
                <w:color w:val="auto"/>
              </w:rPr>
            </w:pPr>
            <w:r>
              <w:rPr>
                <w:rFonts w:ascii="Arial" w:cs="Arial" w:eastAsia="Arial" w:hAnsi="Arial"/>
                <w:sz w:val="19"/>
                <w:szCs w:val="19"/>
                <w:color w:val="231F20"/>
                <w:w w:val="75"/>
              </w:rPr>
              <w:t>$</w:t>
            </w:r>
          </w:p>
        </w:tc>
        <w:tc>
          <w:tcPr>
            <w:tcW w:w="720" w:type="dxa"/>
            <w:vAlign w:val="bottom"/>
            <w:tcBorders>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rPr>
              <w:t>74</w:t>
            </w:r>
          </w:p>
        </w:tc>
        <w:tc>
          <w:tcPr>
            <w:tcW w:w="200" w:type="dxa"/>
            <w:vAlign w:val="bottom"/>
            <w:shd w:val="clear" w:color="auto" w:fill="FDFDFC"/>
          </w:tcPr>
          <w:p>
            <w:pPr>
              <w:spacing w:after="0"/>
              <w:rPr>
                <w:sz w:val="17"/>
                <w:szCs w:val="17"/>
                <w:color w:val="auto"/>
              </w:rPr>
            </w:pPr>
          </w:p>
        </w:tc>
        <w:tc>
          <w:tcPr>
            <w:tcW w:w="160" w:type="dxa"/>
            <w:vAlign w:val="bottom"/>
            <w:tcBorders>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w w:val="75"/>
              </w:rPr>
              <w:t>$</w:t>
            </w:r>
          </w:p>
        </w:tc>
        <w:tc>
          <w:tcPr>
            <w:tcW w:w="760" w:type="dxa"/>
            <w:vAlign w:val="bottom"/>
            <w:tcBorders>
              <w:bottom w:val="single" w:sz="8" w:color="231F20"/>
            </w:tcBorders>
            <w:shd w:val="clear" w:color="auto" w:fill="FDFDFC"/>
          </w:tcPr>
          <w:p>
            <w:pPr>
              <w:ind w:left="560"/>
              <w:spacing w:after="0" w:line="206" w:lineRule="exact"/>
              <w:rPr>
                <w:sz w:val="20"/>
                <w:szCs w:val="20"/>
                <w:color w:val="auto"/>
              </w:rPr>
            </w:pPr>
            <w:r>
              <w:rPr>
                <w:rFonts w:ascii="Arial" w:cs="Arial" w:eastAsia="Arial" w:hAnsi="Arial"/>
                <w:sz w:val="19"/>
                <w:szCs w:val="19"/>
                <w:color w:val="231F20"/>
                <w:w w:val="94"/>
              </w:rPr>
              <w:t>—</w:t>
            </w:r>
          </w:p>
        </w:tc>
        <w:tc>
          <w:tcPr>
            <w:tcW w:w="100" w:type="dxa"/>
            <w:vAlign w:val="bottom"/>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Cash Flows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The following table sets forth a summary of our cash flow information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280" w:type="dxa"/>
            <w:vAlign w:val="bottom"/>
            <w:shd w:val="clear" w:color="auto" w:fill="FDFDFC"/>
          </w:tcPr>
          <w:p>
            <w:pPr>
              <w:spacing w:after="0"/>
              <w:rPr>
                <w:sz w:val="15"/>
                <w:szCs w:val="15"/>
                <w:color w:val="auto"/>
              </w:rPr>
            </w:pPr>
          </w:p>
        </w:tc>
        <w:tc>
          <w:tcPr>
            <w:tcW w:w="9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0" w:type="dxa"/>
            <w:vAlign w:val="bottom"/>
            <w:gridSpan w:val="2"/>
            <w:shd w:val="clear" w:color="auto" w:fill="FDFDFC"/>
          </w:tcPr>
          <w:p>
            <w:pPr>
              <w:jc w:val="center"/>
              <w:ind w:right="200"/>
              <w:spacing w:after="0"/>
              <w:rPr>
                <w:sz w:val="20"/>
                <w:szCs w:val="20"/>
                <w:color w:val="auto"/>
              </w:rPr>
            </w:pPr>
            <w:r>
              <w:rPr>
                <w:rFonts w:ascii="Arial" w:cs="Arial" w:eastAsia="Arial" w:hAnsi="Arial"/>
                <w:sz w:val="15"/>
                <w:szCs w:val="15"/>
                <w:b w:val="1"/>
                <w:bCs w:val="1"/>
                <w:color w:val="231F20"/>
              </w:rPr>
              <w:t>Year Ended</w:t>
            </w:r>
          </w:p>
        </w:tc>
        <w:tc>
          <w:tcPr>
            <w:tcW w:w="140" w:type="dxa"/>
            <w:vAlign w:val="bottom"/>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94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860" w:type="dxa"/>
            <w:vAlign w:val="bottom"/>
            <w:tcBorders>
              <w:bottom w:val="single" w:sz="8" w:color="FDFDFC"/>
            </w:tcBorders>
            <w:vMerge w:val="restart"/>
            <w:shd w:val="clear" w:color="auto" w:fill="FDFDFC"/>
          </w:tcPr>
          <w:p>
            <w:pPr>
              <w:spacing w:after="0"/>
              <w:rPr>
                <w:sz w:val="20"/>
                <w:szCs w:val="20"/>
                <w:color w:val="auto"/>
              </w:rPr>
            </w:pPr>
            <w:r>
              <w:rPr>
                <w:rFonts w:ascii="Arial" w:cs="Arial" w:eastAsia="Arial" w:hAnsi="Arial"/>
                <w:sz w:val="15"/>
                <w:szCs w:val="15"/>
                <w:b w:val="1"/>
                <w:bCs w:val="1"/>
                <w:color w:val="231F20"/>
              </w:rPr>
              <w:t>(in millions)</w:t>
            </w:r>
          </w:p>
        </w:tc>
        <w:tc>
          <w:tcPr>
            <w:tcW w:w="140" w:type="dxa"/>
            <w:vAlign w:val="bottom"/>
            <w:tcBorders>
              <w:bottom w:val="single" w:sz="8" w:color="FDFDFC"/>
            </w:tcBorders>
            <w:shd w:val="clear" w:color="auto" w:fill="FDFDFC"/>
          </w:tcPr>
          <w:p>
            <w:pPr>
              <w:spacing w:after="0"/>
              <w:rPr>
                <w:sz w:val="16"/>
                <w:szCs w:val="16"/>
                <w:color w:val="auto"/>
              </w:rPr>
            </w:pPr>
          </w:p>
        </w:tc>
        <w:tc>
          <w:tcPr>
            <w:tcW w:w="280" w:type="dxa"/>
            <w:vAlign w:val="bottom"/>
            <w:tcBorders>
              <w:bottom w:val="single" w:sz="8" w:color="231F20"/>
            </w:tcBorders>
            <w:shd w:val="clear" w:color="auto" w:fill="FDFDFC"/>
          </w:tcPr>
          <w:p>
            <w:pPr>
              <w:spacing w:after="0"/>
              <w:rPr>
                <w:sz w:val="16"/>
                <w:szCs w:val="16"/>
                <w:color w:val="auto"/>
              </w:rPr>
            </w:pPr>
          </w:p>
        </w:tc>
        <w:tc>
          <w:tcPr>
            <w:tcW w:w="92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1200" w:type="dxa"/>
            <w:vAlign w:val="bottom"/>
            <w:tcBorders>
              <w:bottom w:val="single" w:sz="8" w:color="231F20"/>
            </w:tcBorders>
            <w:gridSpan w:val="2"/>
            <w:shd w:val="clear" w:color="auto" w:fill="FDFDFC"/>
          </w:tcPr>
          <w:p>
            <w:pPr>
              <w:jc w:val="center"/>
              <w:ind w:right="220"/>
              <w:spacing w:after="0"/>
              <w:rPr>
                <w:sz w:val="20"/>
                <w:szCs w:val="20"/>
                <w:color w:val="auto"/>
              </w:rPr>
            </w:pPr>
            <w:r>
              <w:rPr>
                <w:rFonts w:ascii="Arial" w:cs="Arial" w:eastAsia="Arial" w:hAnsi="Arial"/>
                <w:sz w:val="15"/>
                <w:szCs w:val="15"/>
                <w:b w:val="1"/>
                <w:bCs w:val="1"/>
                <w:color w:val="231F20"/>
              </w:rPr>
              <w:t>December 31,</w:t>
            </w:r>
          </w:p>
        </w:tc>
        <w:tc>
          <w:tcPr>
            <w:tcW w:w="140" w:type="dxa"/>
            <w:vAlign w:val="bottom"/>
            <w:tcBorders>
              <w:bottom w:val="single" w:sz="8" w:color="231F20"/>
            </w:tcBorders>
            <w:shd w:val="clear" w:color="auto" w:fill="FDFDFC"/>
          </w:tcPr>
          <w:p>
            <w:pPr>
              <w:spacing w:after="0"/>
              <w:rPr>
                <w:sz w:val="16"/>
                <w:szCs w:val="16"/>
                <w:color w:val="auto"/>
              </w:rPr>
            </w:pPr>
          </w:p>
        </w:tc>
        <w:tc>
          <w:tcPr>
            <w:tcW w:w="260" w:type="dxa"/>
            <w:vAlign w:val="bottom"/>
            <w:tcBorders>
              <w:bottom w:val="single" w:sz="8" w:color="231F20"/>
            </w:tcBorders>
            <w:shd w:val="clear" w:color="auto" w:fill="FDFDFC"/>
          </w:tcPr>
          <w:p>
            <w:pPr>
              <w:spacing w:after="0"/>
              <w:rPr>
                <w:sz w:val="16"/>
                <w:szCs w:val="16"/>
                <w:color w:val="auto"/>
              </w:rPr>
            </w:pPr>
          </w:p>
        </w:tc>
        <w:tc>
          <w:tcPr>
            <w:tcW w:w="9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860" w:type="dxa"/>
            <w:vAlign w:val="bottom"/>
            <w:tcBorders>
              <w:bottom w:val="single" w:sz="8" w:color="231F20"/>
            </w:tcBorders>
            <w:vMerge w:val="continue"/>
            <w:shd w:val="clear" w:color="auto" w:fill="FDFDFC"/>
          </w:tcPr>
          <w:p>
            <w:pPr>
              <w:spacing w:after="0"/>
              <w:rPr>
                <w:sz w:val="14"/>
                <w:szCs w:val="14"/>
                <w:color w:val="auto"/>
              </w:rPr>
            </w:pPr>
          </w:p>
        </w:tc>
        <w:tc>
          <w:tcPr>
            <w:tcW w:w="140" w:type="dxa"/>
            <w:vAlign w:val="bottom"/>
            <w:tcBorders>
              <w:bottom w:val="single" w:sz="8" w:color="D0EBF2"/>
            </w:tcBorders>
            <w:shd w:val="clear" w:color="auto" w:fill="FDFDFC"/>
          </w:tcPr>
          <w:p>
            <w:pPr>
              <w:spacing w:after="0"/>
              <w:rPr>
                <w:sz w:val="14"/>
                <w:szCs w:val="14"/>
                <w:color w:val="auto"/>
              </w:rPr>
            </w:pPr>
          </w:p>
        </w:tc>
        <w:tc>
          <w:tcPr>
            <w:tcW w:w="280" w:type="dxa"/>
            <w:vAlign w:val="bottom"/>
            <w:tcBorders>
              <w:bottom w:val="single" w:sz="8" w:color="231F20"/>
            </w:tcBorders>
            <w:shd w:val="clear" w:color="auto" w:fill="FDFDFC"/>
          </w:tcPr>
          <w:p>
            <w:pPr>
              <w:spacing w:after="0"/>
              <w:rPr>
                <w:sz w:val="14"/>
                <w:szCs w:val="14"/>
                <w:color w:val="auto"/>
              </w:rPr>
            </w:pPr>
          </w:p>
        </w:tc>
        <w:tc>
          <w:tcPr>
            <w:tcW w:w="920" w:type="dxa"/>
            <w:vAlign w:val="bottom"/>
            <w:tcBorders>
              <w:bottom w:val="single" w:sz="8" w:color="231F20"/>
            </w:tcBorders>
            <w:shd w:val="clear" w:color="auto" w:fill="FDFDFC"/>
          </w:tcPr>
          <w:p>
            <w:pPr>
              <w:jc w:val="right"/>
              <w:ind w:right="329"/>
              <w:spacing w:after="0" w:line="164" w:lineRule="exact"/>
              <w:rPr>
                <w:sz w:val="20"/>
                <w:szCs w:val="20"/>
                <w:color w:val="auto"/>
              </w:rPr>
            </w:pPr>
            <w:r>
              <w:rPr>
                <w:rFonts w:ascii="Arial" w:cs="Arial" w:eastAsia="Arial" w:hAnsi="Arial"/>
                <w:sz w:val="15"/>
                <w:szCs w:val="15"/>
                <w:b w:val="1"/>
                <w:bCs w:val="1"/>
                <w:color w:val="231F20"/>
              </w:rPr>
              <w:t>2024</w:t>
            </w:r>
          </w:p>
        </w:tc>
        <w:tc>
          <w:tcPr>
            <w:tcW w:w="120" w:type="dxa"/>
            <w:vAlign w:val="bottom"/>
            <w:tcBorders>
              <w:bottom w:val="single" w:sz="8" w:color="D0EBF2"/>
            </w:tcBorders>
            <w:shd w:val="clear" w:color="auto" w:fill="FDFDFC"/>
          </w:tcPr>
          <w:p>
            <w:pPr>
              <w:spacing w:after="0"/>
              <w:rPr>
                <w:sz w:val="14"/>
                <w:szCs w:val="14"/>
                <w:color w:val="auto"/>
              </w:rPr>
            </w:pPr>
          </w:p>
        </w:tc>
        <w:tc>
          <w:tcPr>
            <w:tcW w:w="140" w:type="dxa"/>
            <w:vAlign w:val="bottom"/>
            <w:tcBorders>
              <w:bottom w:val="single" w:sz="8" w:color="D0EBF2"/>
            </w:tcBorders>
            <w:shd w:val="clear" w:color="auto" w:fill="FDFDFC"/>
          </w:tcPr>
          <w:p>
            <w:pPr>
              <w:spacing w:after="0"/>
              <w:rPr>
                <w:sz w:val="14"/>
                <w:szCs w:val="14"/>
                <w:color w:val="auto"/>
              </w:rPr>
            </w:pPr>
          </w:p>
        </w:tc>
        <w:tc>
          <w:tcPr>
            <w:tcW w:w="100" w:type="dxa"/>
            <w:vAlign w:val="bottom"/>
            <w:tcBorders>
              <w:bottom w:val="single" w:sz="8" w:color="231F20"/>
            </w:tcBorders>
            <w:shd w:val="clear" w:color="auto" w:fill="FDFDFC"/>
          </w:tcPr>
          <w:p>
            <w:pPr>
              <w:spacing w:after="0"/>
              <w:rPr>
                <w:sz w:val="14"/>
                <w:szCs w:val="14"/>
                <w:color w:val="auto"/>
              </w:rPr>
            </w:pPr>
          </w:p>
        </w:tc>
        <w:tc>
          <w:tcPr>
            <w:tcW w:w="1100" w:type="dxa"/>
            <w:vAlign w:val="bottom"/>
            <w:tcBorders>
              <w:bottom w:val="single" w:sz="8" w:color="231F20"/>
            </w:tcBorders>
            <w:shd w:val="clear" w:color="auto" w:fill="FDFDFC"/>
          </w:tcPr>
          <w:p>
            <w:pPr>
              <w:jc w:val="center"/>
              <w:ind w:right="33"/>
              <w:spacing w:after="0" w:line="164" w:lineRule="exact"/>
              <w:rPr>
                <w:sz w:val="20"/>
                <w:szCs w:val="20"/>
                <w:color w:val="auto"/>
              </w:rPr>
            </w:pPr>
            <w:r>
              <w:rPr>
                <w:rFonts w:ascii="Arial" w:cs="Arial" w:eastAsia="Arial" w:hAnsi="Arial"/>
                <w:sz w:val="15"/>
                <w:szCs w:val="15"/>
                <w:b w:val="1"/>
                <w:bCs w:val="1"/>
                <w:color w:val="231F20"/>
              </w:rPr>
              <w:t>2023</w:t>
            </w:r>
          </w:p>
        </w:tc>
        <w:tc>
          <w:tcPr>
            <w:tcW w:w="100" w:type="dxa"/>
            <w:vAlign w:val="bottom"/>
            <w:tcBorders>
              <w:bottom w:val="single" w:sz="8" w:color="D0EBF2"/>
            </w:tcBorders>
            <w:shd w:val="clear" w:color="auto" w:fill="FDFDFC"/>
          </w:tcPr>
          <w:p>
            <w:pPr>
              <w:spacing w:after="0"/>
              <w:rPr>
                <w:sz w:val="14"/>
                <w:szCs w:val="14"/>
                <w:color w:val="auto"/>
              </w:rPr>
            </w:pPr>
          </w:p>
        </w:tc>
        <w:tc>
          <w:tcPr>
            <w:tcW w:w="140" w:type="dxa"/>
            <w:vAlign w:val="bottom"/>
            <w:tcBorders>
              <w:bottom w:val="single" w:sz="8" w:color="D0EBF2"/>
            </w:tcBorders>
            <w:shd w:val="clear" w:color="auto" w:fill="FDFDFC"/>
          </w:tcPr>
          <w:p>
            <w:pPr>
              <w:spacing w:after="0"/>
              <w:rPr>
                <w:sz w:val="14"/>
                <w:szCs w:val="14"/>
                <w:color w:val="auto"/>
              </w:rPr>
            </w:pPr>
          </w:p>
        </w:tc>
        <w:tc>
          <w:tcPr>
            <w:tcW w:w="260" w:type="dxa"/>
            <w:vAlign w:val="bottom"/>
            <w:tcBorders>
              <w:bottom w:val="single" w:sz="8" w:color="231F20"/>
            </w:tcBorders>
            <w:shd w:val="clear" w:color="auto" w:fill="FDFDFC"/>
          </w:tcPr>
          <w:p>
            <w:pPr>
              <w:spacing w:after="0"/>
              <w:rPr>
                <w:sz w:val="14"/>
                <w:szCs w:val="14"/>
                <w:color w:val="auto"/>
              </w:rPr>
            </w:pPr>
          </w:p>
        </w:tc>
        <w:tc>
          <w:tcPr>
            <w:tcW w:w="940" w:type="dxa"/>
            <w:vAlign w:val="bottom"/>
            <w:tcBorders>
              <w:bottom w:val="single" w:sz="8" w:color="231F20"/>
            </w:tcBorders>
            <w:shd w:val="clear" w:color="auto" w:fill="FDFDFC"/>
          </w:tcPr>
          <w:p>
            <w:pPr>
              <w:jc w:val="right"/>
              <w:ind w:right="349"/>
              <w:spacing w:after="0" w:line="164" w:lineRule="exact"/>
              <w:rPr>
                <w:sz w:val="20"/>
                <w:szCs w:val="20"/>
                <w:color w:val="auto"/>
              </w:rPr>
            </w:pPr>
            <w:r>
              <w:rPr>
                <w:rFonts w:ascii="Arial" w:cs="Arial" w:eastAsia="Arial" w:hAnsi="Arial"/>
                <w:sz w:val="15"/>
                <w:szCs w:val="15"/>
                <w:b w:val="1"/>
                <w:bCs w:val="1"/>
                <w:color w:val="231F20"/>
              </w:rPr>
              <w:t>2022</w:t>
            </w:r>
          </w:p>
        </w:tc>
        <w:tc>
          <w:tcPr>
            <w:tcW w:w="100" w:type="dxa"/>
            <w:vAlign w:val="bottom"/>
            <w:tcBorders>
              <w:bottom w:val="single" w:sz="8" w:color="D0EBF2"/>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60" w:type="dxa"/>
            <w:vAlign w:val="bottom"/>
            <w:shd w:val="clear" w:color="auto" w:fill="D0EBF2"/>
          </w:tcPr>
          <w:p>
            <w:pPr>
              <w:spacing w:after="0" w:line="206" w:lineRule="exact"/>
              <w:rPr>
                <w:sz w:val="20"/>
                <w:szCs w:val="20"/>
                <w:color w:val="auto"/>
              </w:rPr>
            </w:pPr>
            <w:r>
              <w:rPr>
                <w:rFonts w:ascii="Arial" w:cs="Arial" w:eastAsia="Arial" w:hAnsi="Arial"/>
                <w:sz w:val="19"/>
                <w:szCs w:val="19"/>
                <w:color w:val="231F20"/>
              </w:rPr>
              <w:t>Net cash provided by operating activities</w:t>
            </w:r>
          </w:p>
        </w:tc>
        <w:tc>
          <w:tcPr>
            <w:tcW w:w="140" w:type="dxa"/>
            <w:vAlign w:val="bottom"/>
            <w:shd w:val="clear" w:color="auto" w:fill="D0EBF2"/>
          </w:tcPr>
          <w:p>
            <w:pPr>
              <w:spacing w:after="0"/>
              <w:rPr>
                <w:sz w:val="17"/>
                <w:szCs w:val="17"/>
                <w:color w:val="auto"/>
              </w:rPr>
            </w:pPr>
          </w:p>
        </w:tc>
        <w:tc>
          <w:tcPr>
            <w:tcW w:w="280" w:type="dxa"/>
            <w:vAlign w:val="bottom"/>
            <w:shd w:val="clear" w:color="auto" w:fill="D0EBF2"/>
          </w:tcPr>
          <w:p>
            <w:pPr>
              <w:jc w:val="right"/>
              <w:ind w:right="66"/>
              <w:spacing w:after="0" w:line="206" w:lineRule="exact"/>
              <w:rPr>
                <w:sz w:val="20"/>
                <w:szCs w:val="20"/>
                <w:color w:val="auto"/>
              </w:rPr>
            </w:pPr>
            <w:r>
              <w:rPr>
                <w:rFonts w:ascii="Arial" w:cs="Arial" w:eastAsia="Arial" w:hAnsi="Arial"/>
                <w:sz w:val="19"/>
                <w:szCs w:val="19"/>
                <w:color w:val="231F20"/>
                <w:w w:val="94"/>
              </w:rPr>
              <w:t>$</w:t>
            </w:r>
          </w:p>
        </w:tc>
        <w:tc>
          <w:tcPr>
            <w:tcW w:w="92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91.5</w:t>
            </w:r>
          </w:p>
        </w:tc>
        <w:tc>
          <w:tcPr>
            <w:tcW w:w="12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10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w w:val="75"/>
              </w:rPr>
              <w:t>$</w:t>
            </w:r>
          </w:p>
        </w:tc>
        <w:tc>
          <w:tcPr>
            <w:tcW w:w="110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80.6</w:t>
            </w:r>
          </w:p>
        </w:tc>
        <w:tc>
          <w:tcPr>
            <w:tcW w:w="10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260" w:type="dxa"/>
            <w:vAlign w:val="bottom"/>
            <w:shd w:val="clear" w:color="auto" w:fill="D0EBF2"/>
          </w:tcPr>
          <w:p>
            <w:pPr>
              <w:jc w:val="right"/>
              <w:ind w:right="66"/>
              <w:spacing w:after="0" w:line="206" w:lineRule="exact"/>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5.4</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Net cash used in investing activities</w:t>
            </w:r>
          </w:p>
        </w:tc>
        <w:tc>
          <w:tcPr>
            <w:tcW w:w="140" w:type="dxa"/>
            <w:vAlign w:val="bottom"/>
            <w:shd w:val="clear" w:color="auto" w:fill="FDFDFC"/>
          </w:tcPr>
          <w:p>
            <w:pPr>
              <w:spacing w:after="0"/>
              <w:rPr>
                <w:sz w:val="18"/>
                <w:szCs w:val="18"/>
                <w:color w:val="auto"/>
              </w:rPr>
            </w:pPr>
          </w:p>
        </w:tc>
        <w:tc>
          <w:tcPr>
            <w:tcW w:w="280" w:type="dxa"/>
            <w:vAlign w:val="bottom"/>
            <w:shd w:val="clear" w:color="auto" w:fill="FDFDFC"/>
          </w:tcPr>
          <w:p>
            <w:pPr>
              <w:spacing w:after="0"/>
              <w:rPr>
                <w:sz w:val="18"/>
                <w:szCs w:val="18"/>
                <w:color w:val="auto"/>
              </w:rPr>
            </w:pPr>
          </w:p>
        </w:tc>
        <w:tc>
          <w:tcPr>
            <w:tcW w:w="92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(215.8)</w:t>
            </w:r>
          </w:p>
        </w:tc>
        <w:tc>
          <w:tcPr>
            <w:tcW w:w="12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(38.8)</w:t>
            </w: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(24.7)</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Net cash (used in) provided by financing activities</w:t>
            </w:r>
          </w:p>
        </w:tc>
        <w:tc>
          <w:tcPr>
            <w:tcW w:w="140" w:type="dxa"/>
            <w:vAlign w:val="bottom"/>
            <w:shd w:val="clear" w:color="auto" w:fill="D0EBF2"/>
          </w:tcPr>
          <w:p>
            <w:pPr>
              <w:spacing w:after="0"/>
              <w:rPr>
                <w:sz w:val="18"/>
                <w:szCs w:val="18"/>
                <w:color w:val="auto"/>
              </w:rPr>
            </w:pPr>
          </w:p>
        </w:tc>
        <w:tc>
          <w:tcPr>
            <w:tcW w:w="28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line="217" w:lineRule="exact"/>
              <w:rPr>
                <w:sz w:val="20"/>
                <w:szCs w:val="20"/>
                <w:color w:val="auto"/>
              </w:rPr>
            </w:pPr>
            <w:r>
              <w:rPr>
                <w:rFonts w:ascii="Arial" w:cs="Arial" w:eastAsia="Arial" w:hAnsi="Arial"/>
                <w:sz w:val="19"/>
                <w:szCs w:val="19"/>
                <w:color w:val="231F20"/>
              </w:rPr>
              <w:t>(37.6)</w:t>
            </w:r>
          </w:p>
        </w:tc>
        <w:tc>
          <w:tcPr>
            <w:tcW w:w="1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263.4</w:t>
            </w: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line="217" w:lineRule="exact"/>
              <w:rPr>
                <w:sz w:val="20"/>
                <w:szCs w:val="20"/>
                <w:color w:val="auto"/>
              </w:rPr>
            </w:pPr>
            <w:r>
              <w:rPr>
                <w:rFonts w:ascii="Arial" w:cs="Arial" w:eastAsia="Arial" w:hAnsi="Arial"/>
                <w:sz w:val="19"/>
                <w:szCs w:val="19"/>
                <w:color w:val="231F20"/>
              </w:rPr>
              <w:t>(24.0)</w:t>
            </w:r>
          </w:p>
        </w:tc>
        <w:tc>
          <w:tcPr>
            <w:tcW w:w="0" w:type="dxa"/>
            <w:vAlign w:val="bottom"/>
          </w:tcPr>
          <w:p>
            <w:pPr>
              <w:spacing w:after="0"/>
              <w:rPr>
                <w:sz w:val="1"/>
                <w:szCs w:val="1"/>
                <w:color w:val="auto"/>
              </w:rPr>
            </w:pPr>
          </w:p>
        </w:tc>
      </w:tr>
      <w:tr>
        <w:trPr>
          <w:trHeight w:val="217"/>
        </w:trPr>
        <w:tc>
          <w:tcPr>
            <w:tcW w:w="586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Effect of exchange rate changes on cash and cash equivalents</w:t>
            </w:r>
          </w:p>
        </w:tc>
        <w:tc>
          <w:tcPr>
            <w:tcW w:w="140" w:type="dxa"/>
            <w:vAlign w:val="bottom"/>
            <w:shd w:val="clear" w:color="auto" w:fill="FDFDFC"/>
          </w:tcPr>
          <w:p>
            <w:pPr>
              <w:spacing w:after="0"/>
              <w:rPr>
                <w:sz w:val="18"/>
                <w:szCs w:val="18"/>
                <w:color w:val="auto"/>
              </w:rPr>
            </w:pPr>
          </w:p>
        </w:tc>
        <w:tc>
          <w:tcPr>
            <w:tcW w:w="280" w:type="dxa"/>
            <w:vAlign w:val="bottom"/>
            <w:shd w:val="clear" w:color="auto" w:fill="FDFDFC"/>
          </w:tcPr>
          <w:p>
            <w:pPr>
              <w:spacing w:after="0"/>
              <w:rPr>
                <w:sz w:val="18"/>
                <w:szCs w:val="18"/>
                <w:color w:val="auto"/>
              </w:rPr>
            </w:pPr>
          </w:p>
        </w:tc>
        <w:tc>
          <w:tcPr>
            <w:tcW w:w="92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2.6</w:t>
            </w:r>
          </w:p>
        </w:tc>
        <w:tc>
          <w:tcPr>
            <w:tcW w:w="12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00" w:type="dxa"/>
            <w:vAlign w:val="bottom"/>
            <w:gridSpan w:val="2"/>
            <w:shd w:val="clear" w:color="auto" w:fill="FDFDFC"/>
          </w:tcPr>
          <w:p>
            <w:pPr>
              <w:jc w:val="right"/>
              <w:ind w:right="40"/>
              <w:spacing w:after="0" w:line="217" w:lineRule="exact"/>
              <w:rPr>
                <w:sz w:val="20"/>
                <w:szCs w:val="20"/>
                <w:color w:val="auto"/>
              </w:rPr>
            </w:pPr>
            <w:r>
              <w:rPr>
                <w:rFonts w:ascii="Arial" w:cs="Arial" w:eastAsia="Arial" w:hAnsi="Arial"/>
                <w:sz w:val="19"/>
                <w:szCs w:val="19"/>
                <w:color w:val="231F20"/>
              </w:rPr>
              <w:t>(1.8)</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5.0</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60" w:type="dxa"/>
            <w:vAlign w:val="bottom"/>
            <w:tcBorders>
              <w:top w:val="single" w:sz="8" w:color="D0EBF2"/>
            </w:tcBorders>
            <w:shd w:val="clear" w:color="auto" w:fill="D0EBF2"/>
          </w:tcPr>
          <w:p>
            <w:pPr>
              <w:ind w:left="260"/>
              <w:spacing w:after="0" w:line="189" w:lineRule="exact"/>
              <w:rPr>
                <w:sz w:val="20"/>
                <w:szCs w:val="20"/>
                <w:color w:val="auto"/>
              </w:rPr>
            </w:pPr>
            <w:r>
              <w:rPr>
                <w:rFonts w:ascii="Arial" w:cs="Arial" w:eastAsia="Arial" w:hAnsi="Arial"/>
                <w:sz w:val="19"/>
                <w:szCs w:val="19"/>
                <w:color w:val="231F20"/>
              </w:rPr>
              <w:t>Net (decrease) increase in cash, cash equivalents and</w:t>
            </w:r>
          </w:p>
        </w:tc>
        <w:tc>
          <w:tcPr>
            <w:tcW w:w="140" w:type="dxa"/>
            <w:vAlign w:val="bottom"/>
            <w:tcBorders>
              <w:top w:val="single" w:sz="8" w:color="D0EBF2"/>
            </w:tcBorders>
            <w:shd w:val="clear" w:color="auto" w:fill="D0EBF2"/>
          </w:tcPr>
          <w:p>
            <w:pPr>
              <w:spacing w:after="0"/>
              <w:rPr>
                <w:sz w:val="16"/>
                <w:szCs w:val="16"/>
                <w:color w:val="auto"/>
              </w:rPr>
            </w:pPr>
          </w:p>
        </w:tc>
        <w:tc>
          <w:tcPr>
            <w:tcW w:w="280" w:type="dxa"/>
            <w:vAlign w:val="bottom"/>
            <w:tcBorders>
              <w:top w:val="single" w:sz="8" w:color="231F20"/>
            </w:tcBorders>
            <w:vMerge w:val="restart"/>
            <w:shd w:val="clear" w:color="auto" w:fill="D0EBF2"/>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tcBorders>
              <w:top w:val="single" w:sz="8" w:color="231F20"/>
            </w:tcBorders>
            <w:vMerge w:val="restart"/>
            <w:shd w:val="clear" w:color="auto" w:fill="D0EBF2"/>
          </w:tcPr>
          <w:p>
            <w:pPr>
              <w:jc w:val="right"/>
              <w:spacing w:after="0"/>
              <w:rPr>
                <w:sz w:val="20"/>
                <w:szCs w:val="20"/>
                <w:color w:val="auto"/>
              </w:rPr>
            </w:pPr>
            <w:r>
              <w:rPr>
                <w:rFonts w:ascii="Arial" w:cs="Arial" w:eastAsia="Arial" w:hAnsi="Arial"/>
                <w:sz w:val="19"/>
                <w:szCs w:val="19"/>
                <w:color w:val="231F20"/>
              </w:rPr>
              <w:t>(159.4)</w:t>
            </w:r>
          </w:p>
        </w:tc>
        <w:tc>
          <w:tcPr>
            <w:tcW w:w="120" w:type="dxa"/>
            <w:vAlign w:val="bottom"/>
            <w:tcBorders>
              <w:top w:val="single" w:sz="8" w:color="D0EBF2"/>
            </w:tcBorders>
            <w:shd w:val="clear" w:color="auto" w:fill="D0EBF2"/>
          </w:tcPr>
          <w:p>
            <w:pPr>
              <w:spacing w:after="0"/>
              <w:rPr>
                <w:sz w:val="16"/>
                <w:szCs w:val="16"/>
                <w:color w:val="auto"/>
              </w:rPr>
            </w:pPr>
          </w:p>
        </w:tc>
        <w:tc>
          <w:tcPr>
            <w:tcW w:w="140" w:type="dxa"/>
            <w:vAlign w:val="bottom"/>
            <w:tcBorders>
              <w:top w:val="single" w:sz="8" w:color="D0EBF2"/>
            </w:tcBorders>
            <w:shd w:val="clear" w:color="auto" w:fill="D0EBF2"/>
          </w:tcPr>
          <w:p>
            <w:pPr>
              <w:spacing w:after="0"/>
              <w:rPr>
                <w:sz w:val="16"/>
                <w:szCs w:val="16"/>
                <w:color w:val="auto"/>
              </w:rPr>
            </w:pPr>
          </w:p>
        </w:tc>
        <w:tc>
          <w:tcPr>
            <w:tcW w:w="100" w:type="dxa"/>
            <w:vAlign w:val="bottom"/>
            <w:tcBorders>
              <w:top w:val="single" w:sz="8" w:color="231F20"/>
            </w:tcBorders>
            <w:vMerge w:val="restart"/>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100" w:type="dxa"/>
            <w:vAlign w:val="bottom"/>
            <w:tcBorders>
              <w:top w:val="single" w:sz="8" w:color="231F20"/>
            </w:tcBorders>
            <w:vMerge w:val="restart"/>
            <w:shd w:val="clear" w:color="auto" w:fill="D0EBF2"/>
          </w:tcPr>
          <w:p>
            <w:pPr>
              <w:jc w:val="right"/>
              <w:spacing w:after="0"/>
              <w:rPr>
                <w:sz w:val="20"/>
                <w:szCs w:val="20"/>
                <w:color w:val="auto"/>
              </w:rPr>
            </w:pPr>
            <w:r>
              <w:rPr>
                <w:rFonts w:ascii="Arial" w:cs="Arial" w:eastAsia="Arial" w:hAnsi="Arial"/>
                <w:sz w:val="19"/>
                <w:szCs w:val="19"/>
                <w:color w:val="231F20"/>
              </w:rPr>
              <w:t>303.4</w:t>
            </w:r>
          </w:p>
        </w:tc>
        <w:tc>
          <w:tcPr>
            <w:tcW w:w="100" w:type="dxa"/>
            <w:vAlign w:val="bottom"/>
            <w:tcBorders>
              <w:top w:val="single" w:sz="8" w:color="D0EBF2"/>
            </w:tcBorders>
            <w:shd w:val="clear" w:color="auto" w:fill="D0EBF2"/>
          </w:tcPr>
          <w:p>
            <w:pPr>
              <w:spacing w:after="0"/>
              <w:rPr>
                <w:sz w:val="16"/>
                <w:szCs w:val="16"/>
                <w:color w:val="auto"/>
              </w:rPr>
            </w:pPr>
          </w:p>
        </w:tc>
        <w:tc>
          <w:tcPr>
            <w:tcW w:w="140" w:type="dxa"/>
            <w:vAlign w:val="bottom"/>
            <w:tcBorders>
              <w:top w:val="single" w:sz="8" w:color="D0EBF2"/>
            </w:tcBorders>
            <w:shd w:val="clear" w:color="auto" w:fill="D0EBF2"/>
          </w:tcPr>
          <w:p>
            <w:pPr>
              <w:spacing w:after="0"/>
              <w:rPr>
                <w:sz w:val="16"/>
                <w:szCs w:val="16"/>
                <w:color w:val="auto"/>
              </w:rPr>
            </w:pPr>
          </w:p>
        </w:tc>
        <w:tc>
          <w:tcPr>
            <w:tcW w:w="260" w:type="dxa"/>
            <w:vAlign w:val="bottom"/>
            <w:tcBorders>
              <w:top w:val="single" w:sz="8" w:color="231F20"/>
            </w:tcBorders>
            <w:vMerge w:val="restart"/>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top w:val="single" w:sz="8" w:color="231F20"/>
            </w:tcBorders>
            <w:vMerge w:val="restart"/>
            <w:shd w:val="clear" w:color="auto" w:fill="D0EBF2"/>
          </w:tcPr>
          <w:p>
            <w:pPr>
              <w:jc w:val="right"/>
              <w:spacing w:after="0"/>
              <w:rPr>
                <w:sz w:val="20"/>
                <w:szCs w:val="20"/>
                <w:color w:val="auto"/>
              </w:rPr>
            </w:pPr>
            <w:r>
              <w:rPr>
                <w:rFonts w:ascii="Arial" w:cs="Arial" w:eastAsia="Arial" w:hAnsi="Arial"/>
                <w:sz w:val="19"/>
                <w:szCs w:val="19"/>
                <w:color w:val="231F20"/>
              </w:rPr>
              <w:t>(38.2)</w:t>
            </w:r>
          </w:p>
        </w:tc>
        <w:tc>
          <w:tcPr>
            <w:tcW w:w="100" w:type="dxa"/>
            <w:vAlign w:val="bottom"/>
            <w:tcBorders>
              <w:top w:val="single" w:sz="8" w:color="D0EBF2"/>
            </w:tcBorders>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860" w:type="dxa"/>
            <w:vAlign w:val="bottom"/>
            <w:shd w:val="clear" w:color="auto" w:fill="D0EBF2"/>
          </w:tcPr>
          <w:p>
            <w:pPr>
              <w:ind w:left="420"/>
              <w:spacing w:after="0"/>
              <w:rPr>
                <w:sz w:val="20"/>
                <w:szCs w:val="20"/>
                <w:color w:val="auto"/>
              </w:rPr>
            </w:pPr>
            <w:r>
              <w:rPr>
                <w:rFonts w:ascii="Arial" w:cs="Arial" w:eastAsia="Arial" w:hAnsi="Arial"/>
                <w:sz w:val="19"/>
                <w:szCs w:val="19"/>
                <w:color w:val="231F20"/>
              </w:rPr>
              <w:t>restricted cash</w:t>
            </w:r>
          </w:p>
        </w:tc>
        <w:tc>
          <w:tcPr>
            <w:tcW w:w="140" w:type="dxa"/>
            <w:vAlign w:val="bottom"/>
            <w:shd w:val="clear" w:color="auto" w:fill="D0EBF2"/>
          </w:tcPr>
          <w:p>
            <w:pPr>
              <w:spacing w:after="0"/>
              <w:rPr>
                <w:sz w:val="20"/>
                <w:szCs w:val="20"/>
                <w:color w:val="auto"/>
              </w:rPr>
            </w:pPr>
          </w:p>
        </w:tc>
        <w:tc>
          <w:tcPr>
            <w:tcW w:w="280" w:type="dxa"/>
            <w:vAlign w:val="bottom"/>
            <w:tcBorders>
              <w:bottom w:val="single" w:sz="8" w:color="231F20"/>
            </w:tcBorders>
            <w:vMerge w:val="continue"/>
            <w:shd w:val="clear" w:color="auto" w:fill="D0EBF2"/>
          </w:tcPr>
          <w:p>
            <w:pPr>
              <w:spacing w:after="0"/>
              <w:rPr>
                <w:sz w:val="20"/>
                <w:szCs w:val="20"/>
                <w:color w:val="auto"/>
              </w:rPr>
            </w:pPr>
          </w:p>
        </w:tc>
        <w:tc>
          <w:tcPr>
            <w:tcW w:w="920" w:type="dxa"/>
            <w:vAlign w:val="bottom"/>
            <w:tcBorders>
              <w:bottom w:val="single" w:sz="8" w:color="231F20"/>
            </w:tcBorders>
            <w:vMerge w:val="continue"/>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00" w:type="dxa"/>
            <w:vAlign w:val="bottom"/>
            <w:tcBorders>
              <w:bottom w:val="single" w:sz="8" w:color="231F20"/>
            </w:tcBorders>
            <w:vMerge w:val="continue"/>
            <w:shd w:val="clear" w:color="auto" w:fill="D0EBF2"/>
          </w:tcPr>
          <w:p>
            <w:pPr>
              <w:spacing w:after="0"/>
              <w:rPr>
                <w:sz w:val="20"/>
                <w:szCs w:val="20"/>
                <w:color w:val="auto"/>
              </w:rPr>
            </w:pPr>
          </w:p>
        </w:tc>
        <w:tc>
          <w:tcPr>
            <w:tcW w:w="1100" w:type="dxa"/>
            <w:vAlign w:val="bottom"/>
            <w:tcBorders>
              <w:bottom w:val="single" w:sz="8" w:color="231F20"/>
            </w:tcBorders>
            <w:vMerge w:val="continue"/>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tcBorders>
              <w:bottom w:val="single" w:sz="8" w:color="231F20"/>
            </w:tcBorders>
            <w:vMerge w:val="continue"/>
            <w:shd w:val="clear" w:color="auto" w:fill="D0EBF2"/>
          </w:tcPr>
          <w:p>
            <w:pPr>
              <w:spacing w:after="0"/>
              <w:rPr>
                <w:sz w:val="20"/>
                <w:szCs w:val="20"/>
                <w:color w:val="auto"/>
              </w:rPr>
            </w:pPr>
          </w:p>
        </w:tc>
        <w:tc>
          <w:tcPr>
            <w:tcW w:w="940" w:type="dxa"/>
            <w:vAlign w:val="bottom"/>
            <w:tcBorders>
              <w:bottom w:val="single" w:sz="8" w:color="231F20"/>
            </w:tcBorders>
            <w:vMerge w:val="continue"/>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Operating Activities</w:t>
      </w:r>
    </w:p>
    <w:p>
      <w:pPr>
        <w:spacing w:after="0" w:line="180" w:lineRule="exact"/>
        <w:rPr>
          <w:sz w:val="20"/>
          <w:szCs w:val="20"/>
          <w:color w:val="auto"/>
        </w:rPr>
      </w:pPr>
    </w:p>
    <w:p>
      <w:pPr>
        <w:ind w:right="560" w:firstLine="463"/>
        <w:spacing w:after="0" w:line="278" w:lineRule="auto"/>
        <w:rPr>
          <w:sz w:val="20"/>
          <w:szCs w:val="20"/>
          <w:color w:val="auto"/>
        </w:rPr>
      </w:pPr>
      <w:r>
        <w:rPr>
          <w:rFonts w:ascii="Arial" w:cs="Arial" w:eastAsia="Arial" w:hAnsi="Arial"/>
          <w:sz w:val="19"/>
          <w:szCs w:val="19"/>
          <w:color w:val="231F20"/>
        </w:rPr>
        <w:t>Net cash provided by operating activities consists of net income (loss) adjusted for certain non-cash items and changes in other assets and liabilities.</w:t>
      </w:r>
    </w:p>
    <w:p>
      <w:pPr>
        <w:spacing w:after="0" w:line="117" w:lineRule="exact"/>
        <w:rPr>
          <w:sz w:val="20"/>
          <w:szCs w:val="20"/>
          <w:color w:val="auto"/>
        </w:rPr>
      </w:pPr>
    </w:p>
    <w:p>
      <w:pPr>
        <w:ind w:right="120" w:firstLine="463"/>
        <w:spacing w:after="0" w:line="251" w:lineRule="auto"/>
        <w:rPr>
          <w:sz w:val="20"/>
          <w:szCs w:val="20"/>
          <w:color w:val="auto"/>
        </w:rPr>
      </w:pPr>
      <w:r>
        <w:rPr>
          <w:rFonts w:ascii="Arial" w:cs="Arial" w:eastAsia="Arial" w:hAnsi="Arial"/>
          <w:sz w:val="19"/>
          <w:szCs w:val="19"/>
          <w:color w:val="231F20"/>
        </w:rPr>
        <w:t>During 2024, net cash provided by operating activities of $91.5 million was primarily the result of net income of $2.9 million adjusted for non-cash expenses of $72.2 million, which primarily consisted of stock-based compensation expense of $64.9 million and depreciation and amortization of $17.4 million, and the benefit of changes in operating assets and liabilities, net of acquisitions of $16.4 million.</w:t>
      </w:r>
    </w:p>
    <w:p>
      <w:pPr>
        <w:spacing w:after="0" w:line="144" w:lineRule="exact"/>
        <w:rPr>
          <w:sz w:val="20"/>
          <w:szCs w:val="20"/>
          <w:color w:val="auto"/>
        </w:rPr>
      </w:pPr>
    </w:p>
    <w:p>
      <w:pPr>
        <w:ind w:right="140" w:firstLine="463"/>
        <w:spacing w:after="0" w:line="251" w:lineRule="auto"/>
        <w:rPr>
          <w:sz w:val="20"/>
          <w:szCs w:val="20"/>
          <w:color w:val="auto"/>
        </w:rPr>
      </w:pPr>
      <w:r>
        <w:rPr>
          <w:rFonts w:ascii="Arial" w:cs="Arial" w:eastAsia="Arial" w:hAnsi="Arial"/>
          <w:sz w:val="19"/>
          <w:szCs w:val="19"/>
          <w:color w:val="231F20"/>
        </w:rPr>
        <w:t>During 2023, net cash provided by operating activities of $80.6 million was primarily the result of net loss of $8.6 million adjusted for non-cash expenses of $62.4 million, which primarily consisted of stock-based compensation expense of$43.7 million and depreciation and amortization of $15.8 million, and the benefit of changes in operating assets and liabilities, net of acquisitions of $26.8 million.</w:t>
      </w:r>
    </w:p>
    <w:p>
      <w:pPr>
        <w:spacing w:after="0" w:line="144" w:lineRule="exact"/>
        <w:rPr>
          <w:sz w:val="20"/>
          <w:szCs w:val="20"/>
          <w:color w:val="auto"/>
        </w:rPr>
      </w:pPr>
    </w:p>
    <w:p>
      <w:pPr>
        <w:jc w:val="both"/>
        <w:ind w:right="320" w:firstLine="463"/>
        <w:spacing w:after="0" w:line="248" w:lineRule="auto"/>
        <w:rPr>
          <w:sz w:val="20"/>
          <w:szCs w:val="20"/>
          <w:color w:val="auto"/>
        </w:rPr>
      </w:pPr>
      <w:r>
        <w:rPr>
          <w:rFonts w:ascii="Arial" w:cs="Arial" w:eastAsia="Arial" w:hAnsi="Arial"/>
          <w:sz w:val="19"/>
          <w:szCs w:val="19"/>
          <w:color w:val="231F20"/>
        </w:rPr>
        <w:t>During 2022, net cash provided by operating activities of $5.4 million was primarily the result of net loss of $39.3 million adjusted for noncash expenses of $40.3 million, which primarily include stock-based compensation expense of $30.3 million, depreciation and amortization of $12.3 million and amortization of contract costs of $1.8 million, offset by change in fair value of contingent consideration of $(2.8) million and deferred tax benefit of $(1.7) million, benefited by changes in operating assets and liabilities, net of acquisitions of $4.4 million.</w:t>
      </w:r>
    </w:p>
    <w:p>
      <w:pPr>
        <w:spacing w:after="0" w:line="146" w:lineRule="exact"/>
        <w:rPr>
          <w:sz w:val="20"/>
          <w:szCs w:val="20"/>
          <w:color w:val="auto"/>
        </w:rPr>
      </w:pPr>
    </w:p>
    <w:p>
      <w:pPr>
        <w:ind w:right="80" w:firstLine="463"/>
        <w:spacing w:after="0" w:line="251" w:lineRule="auto"/>
        <w:rPr>
          <w:sz w:val="20"/>
          <w:szCs w:val="20"/>
          <w:color w:val="auto"/>
        </w:rPr>
      </w:pPr>
      <w:r>
        <w:rPr>
          <w:rFonts w:ascii="Arial" w:cs="Arial" w:eastAsia="Arial" w:hAnsi="Arial"/>
          <w:sz w:val="19"/>
          <w:szCs w:val="19"/>
          <w:color w:val="231F20"/>
        </w:rPr>
        <w:t>Net cash provided by operating activities was $91.5 million during the year ended December 31, 2024, compared to $80.6 million during the year ended December 31, 2023. The increase of $10.8 million in our net cash provided by operating activities was primarily related to a net increase in our operating assets and liabilities, net of acquisitions of $16.4 million during the year ended December 31, 2024, compared to a net increase of $26.8 million during the year</w:t>
      </w:r>
    </w:p>
    <w:p>
      <w:pPr>
        <w:sectPr>
          <w:pgSz w:w="12240" w:h="15840" w:orient="portrait"/>
          <w:cols w:equalWidth="0" w:num="1">
            <w:col w:w="10200"/>
          </w:cols>
          <w:pgMar w:left="1020" w:top="1440" w:right="1020" w:bottom="595"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98</w:t>
      </w:r>
    </w:p>
    <w:p>
      <w:pPr>
        <w:sectPr>
          <w:pgSz w:w="12240" w:h="15840" w:orient="portrait"/>
          <w:cols w:equalWidth="0" w:num="1">
            <w:col w:w="10200"/>
          </w:cols>
          <w:pgMar w:left="1020" w:top="1440" w:right="1020" w:bottom="595" w:gutter="0" w:footer="0" w:header="0"/>
          <w:type w:val="continuous"/>
        </w:sectPr>
      </w:pPr>
    </w:p>
    <w:bookmarkStart w:id="99" w:name="page100"/>
    <w:bookmarkEnd w:id="99"/>
    <w:p>
      <w:pPr>
        <w:spacing w:after="0" w:line="97"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231F20"/>
        </w:rPr>
        <w:t>ended December 31, 2023. This increase was driven by an increase in funds receivable from payment partners of $74.8 million, as a result of the timing of collections from our partners in the applicable period, partially offset by a decrease in funds payable to clients of $79.7 million compared to the prior year as a result of the timing of payments to our clients in the applicable period. The timing of collections from our partners will vary from period to period based on when our clients’ customer payment for a particular transaction is made, as well as the customer’s payment method which impacts the timing of settlement of the payment. The timing of payments to our clients will vary from period to period based on when our client’s customer payment for a particular transaction is made and when we are contractually required to remit such payment to our client. This net increase in cash provided by operating activities was also impacted by our operating cash flows from our net income (after adjustments for an increase in non-cash expenses of $9.9 million) which increased by $21.3 million for the year ended December 31, 2024, compared to the prior period, reflective of the growth in transaction payment volumes, from both our existing clients and new clients, an increase in interest income as a result of our higher cash balances and higher market interest rates, offset by increases in our costs and operating expenses, the largest of which was our payment processing services costs and an increase in losses from the remeasurement of foreign currency due to foreign currency intercompany loans and impact of fluctuations in exchange rates during respective remeasurement periods.</w:t>
      </w:r>
    </w:p>
    <w:p>
      <w:pPr>
        <w:spacing w:after="0" w:line="156" w:lineRule="exact"/>
        <w:rPr>
          <w:sz w:val="20"/>
          <w:szCs w:val="20"/>
          <w:color w:val="auto"/>
        </w:rPr>
      </w:pPr>
    </w:p>
    <w:p>
      <w:pPr>
        <w:ind w:firstLine="463"/>
        <w:spacing w:after="0"/>
        <w:rPr>
          <w:sz w:val="20"/>
          <w:szCs w:val="20"/>
          <w:color w:val="auto"/>
        </w:rPr>
      </w:pPr>
      <w:r>
        <w:rPr>
          <w:rFonts w:ascii="Arial" w:cs="Arial" w:eastAsia="Arial" w:hAnsi="Arial"/>
          <w:sz w:val="19"/>
          <w:szCs w:val="19"/>
          <w:color w:val="231F20"/>
        </w:rPr>
        <w:t>Net cash provided by operating activities was $80.6 million during the year ended December 31, 2023, compared to $5.4 million during the year ended December 31, 2022. The increase of $75.2 million in our net cash provided by operating activities was primarily related to a net increase in our operating assets and liabilities, net of acquisitions of $26.8 million during the year ended December 31, 2023, compared to a net increase of $4.4 million during the year ended December 31, 2022. This increase was driven by an increase in funds payable to clients of $37.7 million compared to the prior year primarily as a result of the timing of payments to our clients in the applicable period, partially offset by a decrease in funds receivable from payment partners of $20.1 million, as a result of the timing of collections from our partners in the applicable period. The timing of payments to our clients will vary from period to period based on when our client’s customer payment for a particular transaction is made and when we are contractually required to remit such payment to our client. The timing of collections from our partners will vary from period to period based on when our clients’ customer payment for a particular transaction is made, as well as the customer’s payment method which impacts the timing of settlement of the payment. This net increase in cash provided by operating activities was also impacted by our operating cash flows from our net loss (after adjustments for an increase in non-cash expenses of $22.0 million) which increased by $52.8 million for the year ended December 31, 2023, compared to the prior period, reflective of the growth in transaction payment volumes, from both our existing clients and new clients, an increase in gains from the remeasurement of foreign currency due to foreign currency intercompany loans and impact of fluctuations in exchange rates during respective remeasurement periods and an increase in interest income as a result of our higher cash balances and higher market interest rates, offset by increases in our costs and operating expenses, the largest of which was our payment processing services costs.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Investing Activities</w:t>
      </w:r>
    </w:p>
    <w:p>
      <w:pPr>
        <w:spacing w:after="0" w:line="180" w:lineRule="exact"/>
        <w:rPr>
          <w:sz w:val="20"/>
          <w:szCs w:val="20"/>
          <w:color w:val="auto"/>
        </w:rPr>
      </w:pPr>
    </w:p>
    <w:p>
      <w:pPr>
        <w:ind w:right="20" w:firstLine="463"/>
        <w:spacing w:after="0" w:line="251" w:lineRule="auto"/>
        <w:rPr>
          <w:sz w:val="20"/>
          <w:szCs w:val="20"/>
          <w:color w:val="auto"/>
        </w:rPr>
      </w:pPr>
      <w:r>
        <w:rPr>
          <w:rFonts w:ascii="Arial" w:cs="Arial" w:eastAsia="Arial" w:hAnsi="Arial"/>
          <w:sz w:val="19"/>
          <w:szCs w:val="19"/>
          <w:color w:val="231F20"/>
        </w:rPr>
        <w:t>During 2024, cash used in investing activities of $215.8 million was primarily the result of purchase of short-term and long-term investments for $193.9 million, our acquisition of Invoiced for a purchase consideration of $45.2 million, net of cash acquired and capitalization of internally developed software costs of $5.3 million, offset primarily by the proceeds from the maturity and sale of short and long-term investments of $29.6 million.</w:t>
      </w:r>
    </w:p>
    <w:p>
      <w:pPr>
        <w:spacing w:after="0" w:line="144" w:lineRule="exact"/>
        <w:rPr>
          <w:sz w:val="20"/>
          <w:szCs w:val="20"/>
          <w:color w:val="auto"/>
        </w:rPr>
      </w:pPr>
    </w:p>
    <w:p>
      <w:pPr>
        <w:jc w:val="both"/>
        <w:ind w:right="420" w:firstLine="463"/>
        <w:spacing w:after="0" w:line="258" w:lineRule="auto"/>
        <w:rPr>
          <w:sz w:val="20"/>
          <w:szCs w:val="20"/>
          <w:color w:val="auto"/>
        </w:rPr>
      </w:pPr>
      <w:r>
        <w:rPr>
          <w:rFonts w:ascii="Arial" w:cs="Arial" w:eastAsia="Arial" w:hAnsi="Arial"/>
          <w:sz w:val="19"/>
          <w:szCs w:val="19"/>
          <w:color w:val="231F20"/>
        </w:rPr>
        <w:t>During 2023, cash used in investing activities of $38.8 million was the result of our acquisition of StudyLink for a purchase consideration of $32.8 million, net of cash acquired, capitalization of internally developed software costs of $5.0million and purchase of property and equipment for $1.0 million.</w:t>
      </w:r>
    </w:p>
    <w:p>
      <w:pPr>
        <w:spacing w:after="0" w:line="136" w:lineRule="exact"/>
        <w:rPr>
          <w:sz w:val="20"/>
          <w:szCs w:val="20"/>
          <w:color w:val="auto"/>
        </w:rPr>
      </w:pPr>
    </w:p>
    <w:p>
      <w:pPr>
        <w:ind w:right="40" w:firstLine="463"/>
        <w:spacing w:after="0" w:line="258" w:lineRule="auto"/>
        <w:rPr>
          <w:sz w:val="20"/>
          <w:szCs w:val="20"/>
          <w:color w:val="auto"/>
        </w:rPr>
      </w:pPr>
      <w:r>
        <w:rPr>
          <w:rFonts w:ascii="Arial" w:cs="Arial" w:eastAsia="Arial" w:hAnsi="Arial"/>
          <w:sz w:val="19"/>
          <w:szCs w:val="19"/>
          <w:color w:val="231F20"/>
        </w:rPr>
        <w:t>During 2022, cash used in investing activities of $24.7 million was primarily the result of our acquisition of Cohort Go for a purchase consideration of $17.1 million, capitalization of internally developed software costs of $5.7 million and purchase of property and equipment for $1.4 million.</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Financing Activities</w:t>
      </w:r>
    </w:p>
    <w:p>
      <w:pPr>
        <w:spacing w:after="0" w:line="180" w:lineRule="exact"/>
        <w:rPr>
          <w:sz w:val="20"/>
          <w:szCs w:val="20"/>
          <w:color w:val="auto"/>
        </w:rPr>
      </w:pPr>
    </w:p>
    <w:p>
      <w:pPr>
        <w:ind w:right="180" w:firstLine="463"/>
        <w:spacing w:after="0" w:line="258" w:lineRule="auto"/>
        <w:rPr>
          <w:sz w:val="20"/>
          <w:szCs w:val="20"/>
          <w:color w:val="auto"/>
        </w:rPr>
      </w:pPr>
      <w:r>
        <w:rPr>
          <w:rFonts w:ascii="Arial" w:cs="Arial" w:eastAsia="Arial" w:hAnsi="Arial"/>
          <w:sz w:val="19"/>
          <w:szCs w:val="19"/>
          <w:color w:val="231F20"/>
        </w:rPr>
        <w:t>During 2024, cash used in financing activities of $37.6 million was primarily driven by common stock repurchase of $43.7 million, offset primarily by proceeds from the exercise of stock options of $5.6 million and proceeds from the issuance of stock under the ESPP of $3.1 million.</w:t>
      </w:r>
    </w:p>
    <w:p>
      <w:pPr>
        <w:spacing w:after="0" w:line="136" w:lineRule="exact"/>
        <w:rPr>
          <w:sz w:val="20"/>
          <w:szCs w:val="20"/>
          <w:color w:val="auto"/>
        </w:rPr>
      </w:pPr>
    </w:p>
    <w:p>
      <w:pPr>
        <w:ind w:right="60" w:firstLine="463"/>
        <w:spacing w:after="0" w:line="279" w:lineRule="auto"/>
        <w:rPr>
          <w:sz w:val="20"/>
          <w:szCs w:val="20"/>
          <w:color w:val="auto"/>
        </w:rPr>
      </w:pPr>
      <w:r>
        <w:rPr>
          <w:rFonts w:ascii="Arial" w:cs="Arial" w:eastAsia="Arial" w:hAnsi="Arial"/>
          <w:sz w:val="18"/>
          <w:szCs w:val="18"/>
          <w:color w:val="231F20"/>
        </w:rPr>
        <w:t>During 2023, cash provided by financing activities of $263.4 million was driven by the proceeds from issuance of common stock in our Primary Offering of $261.1 million, proceeds from the exercise of stock options of $10.4million and proceeds from the issuance of stock under the ESPP of $2.7 million, offset by payments of tax withholdings for net settled</w:t>
      </w:r>
    </w:p>
    <w:p>
      <w:pPr>
        <w:sectPr>
          <w:pgSz w:w="12240" w:h="15840" w:orient="portrait"/>
          <w:cols w:equalWidth="0" w:num="1">
            <w:col w:w="10200"/>
          </w:cols>
          <w:pgMar w:left="1020" w:top="1440" w:right="1020" w:bottom="595"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99</w:t>
      </w:r>
    </w:p>
    <w:p>
      <w:pPr>
        <w:sectPr>
          <w:pgSz w:w="12240" w:h="15840" w:orient="portrait"/>
          <w:cols w:equalWidth="0" w:num="1">
            <w:col w:w="10200"/>
          </w:cols>
          <w:pgMar w:left="1020" w:top="1440" w:right="1020" w:bottom="595" w:gutter="0" w:footer="0" w:header="0"/>
          <w:type w:val="continuous"/>
        </w:sectPr>
      </w:pPr>
    </w:p>
    <w:bookmarkStart w:id="100" w:name="page101"/>
    <w:bookmarkEnd w:id="100"/>
    <w:p>
      <w:pPr>
        <w:spacing w:after="0" w:line="97" w:lineRule="exact"/>
        <w:rPr>
          <w:sz w:val="20"/>
          <w:szCs w:val="20"/>
          <w:color w:val="auto"/>
        </w:rPr>
      </w:pPr>
    </w:p>
    <w:p>
      <w:pPr>
        <w:spacing w:after="0" w:line="278" w:lineRule="auto"/>
        <w:rPr>
          <w:sz w:val="20"/>
          <w:szCs w:val="20"/>
          <w:color w:val="auto"/>
        </w:rPr>
      </w:pPr>
      <w:r>
        <w:rPr>
          <w:rFonts w:ascii="Arial" w:cs="Arial" w:eastAsia="Arial" w:hAnsi="Arial"/>
          <w:sz w:val="19"/>
          <w:szCs w:val="19"/>
          <w:color w:val="231F20"/>
        </w:rPr>
        <w:t>option exercises of $8.5 million, payments for contingent consideration of $1.2 million and payments of costs related to the Primary Offering of $1.1 million.</w:t>
      </w:r>
    </w:p>
    <w:p>
      <w:pPr>
        <w:spacing w:after="0" w:line="117" w:lineRule="exact"/>
        <w:rPr>
          <w:sz w:val="20"/>
          <w:szCs w:val="20"/>
          <w:color w:val="auto"/>
        </w:rPr>
      </w:pPr>
    </w:p>
    <w:p>
      <w:pPr>
        <w:ind w:firstLine="463"/>
        <w:spacing w:after="0" w:line="251" w:lineRule="auto"/>
        <w:rPr>
          <w:sz w:val="20"/>
          <w:szCs w:val="20"/>
          <w:color w:val="auto"/>
        </w:rPr>
      </w:pPr>
      <w:r>
        <w:rPr>
          <w:rFonts w:ascii="Arial" w:cs="Arial" w:eastAsia="Arial" w:hAnsi="Arial"/>
          <w:sz w:val="19"/>
          <w:szCs w:val="19"/>
          <w:color w:val="231F20"/>
        </w:rPr>
        <w:t>During 2022, cash used in financing activities of $24.0 million was driven by the repayment of our Revolving Credit Facility of $25.9 million, payments for contingent consideration of $3.7 million primarily related to the acquisition of Simplee, payments of tax withholdings of $2.6 million for net settled option exercises, offset by proceeds from the exercise of stock options of $7.0 million and proceeds from the issuance of stock under the ESPP of $1.3 million.</w:t>
      </w:r>
    </w:p>
    <w:p>
      <w:pPr>
        <w:spacing w:after="0" w:line="144" w:lineRule="exact"/>
        <w:rPr>
          <w:sz w:val="20"/>
          <w:szCs w:val="20"/>
          <w:color w:val="auto"/>
        </w:rPr>
      </w:pPr>
    </w:p>
    <w:p>
      <w:pPr>
        <w:ind w:right="600" w:firstLine="463"/>
        <w:spacing w:after="0" w:line="278" w:lineRule="auto"/>
        <w:rPr>
          <w:sz w:val="20"/>
          <w:szCs w:val="20"/>
          <w:color w:val="auto"/>
        </w:rPr>
      </w:pPr>
      <w:r>
        <w:rPr>
          <w:rFonts w:ascii="Arial" w:cs="Arial" w:eastAsia="Arial" w:hAnsi="Arial"/>
          <w:sz w:val="19"/>
          <w:szCs w:val="19"/>
          <w:color w:val="231F20"/>
        </w:rPr>
        <w:t>As of December 31, 2024 and 2023, there was no outstanding indebtedness under the 2024 Revolving Credit Facility and the 2021 Revolving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Critical Accounting Policies</w:t>
      </w:r>
    </w:p>
    <w:p>
      <w:pPr>
        <w:spacing w:after="0" w:line="192" w:lineRule="exact"/>
        <w:rPr>
          <w:sz w:val="20"/>
          <w:szCs w:val="20"/>
          <w:color w:val="auto"/>
        </w:rPr>
      </w:pPr>
    </w:p>
    <w:p>
      <w:pPr>
        <w:ind w:right="180" w:firstLine="463"/>
        <w:spacing w:after="0" w:line="244" w:lineRule="auto"/>
        <w:rPr>
          <w:sz w:val="20"/>
          <w:szCs w:val="20"/>
          <w:color w:val="auto"/>
        </w:rPr>
      </w:pPr>
      <w:r>
        <w:rPr>
          <w:rFonts w:ascii="Arial" w:cs="Arial" w:eastAsia="Arial" w:hAnsi="Arial"/>
          <w:sz w:val="19"/>
          <w:szCs w:val="19"/>
          <w:color w:val="231F20"/>
        </w:rPr>
        <w:t>Our consolidated financial statements and the related notes thereto included elsewhere in this Annual Report on Form 10-K are prepared in accordance with GAAP. The preparation of our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0" w:lineRule="exact"/>
        <w:rPr>
          <w:sz w:val="20"/>
          <w:szCs w:val="20"/>
          <w:color w:val="auto"/>
        </w:rPr>
      </w:pPr>
    </w:p>
    <w:p>
      <w:pPr>
        <w:ind w:right="120" w:firstLine="463"/>
        <w:spacing w:after="0" w:line="251" w:lineRule="auto"/>
        <w:rPr>
          <w:sz w:val="20"/>
          <w:szCs w:val="20"/>
          <w:color w:val="auto"/>
        </w:rPr>
      </w:pPr>
      <w:r>
        <w:rPr>
          <w:rFonts w:ascii="Arial" w:cs="Arial" w:eastAsia="Arial" w:hAnsi="Arial"/>
          <w:sz w:val="19"/>
          <w:szCs w:val="19"/>
          <w:color w:val="231F20"/>
        </w:rPr>
        <w:t xml:space="preserve">Our significant accounting policies are described in </w:t>
      </w:r>
      <w:r>
        <w:rPr>
          <w:rFonts w:ascii="Arial" w:cs="Arial" w:eastAsia="Arial" w:hAnsi="Arial"/>
          <w:sz w:val="19"/>
          <w:szCs w:val="19"/>
          <w:i w:val="1"/>
          <w:iCs w:val="1"/>
          <w:color w:val="231F20"/>
        </w:rPr>
        <w:t>Note 1 - Business Overview and Summary of Significant</w:t>
      </w:r>
      <w:r>
        <w:rPr>
          <w:rFonts w:ascii="Arial" w:cs="Arial" w:eastAsia="Arial" w:hAnsi="Arial"/>
          <w:sz w:val="19"/>
          <w:szCs w:val="19"/>
          <w:color w:val="231F20"/>
        </w:rPr>
        <w:t xml:space="preserve"> </w:t>
      </w:r>
      <w:r>
        <w:rPr>
          <w:rFonts w:ascii="Arial" w:cs="Arial" w:eastAsia="Arial" w:hAnsi="Arial"/>
          <w:sz w:val="19"/>
          <w:szCs w:val="19"/>
          <w:i w:val="1"/>
          <w:iCs w:val="1"/>
          <w:color w:val="231F20"/>
        </w:rPr>
        <w:t xml:space="preserve">Accounting Policies </w:t>
      </w:r>
      <w:r>
        <w:rPr>
          <w:rFonts w:ascii="Arial" w:cs="Arial" w:eastAsia="Arial" w:hAnsi="Arial"/>
          <w:sz w:val="19"/>
          <w:szCs w:val="19"/>
          <w:color w:val="231F20"/>
        </w:rPr>
        <w:t>to our consolidated financial statements included elsewhere in this Annual Report on Form 10-K. We</w:t>
      </w:r>
      <w:r>
        <w:rPr>
          <w:rFonts w:ascii="Arial" w:cs="Arial" w:eastAsia="Arial" w:hAnsi="Arial"/>
          <w:sz w:val="19"/>
          <w:szCs w:val="19"/>
          <w:i w:val="1"/>
          <w:iCs w:val="1"/>
          <w:color w:val="231F20"/>
        </w:rPr>
        <w:t xml:space="preserve"> </w:t>
      </w:r>
      <w:r>
        <w:rPr>
          <w:rFonts w:ascii="Arial" w:cs="Arial" w:eastAsia="Arial" w:hAnsi="Arial"/>
          <w:sz w:val="19"/>
          <w:szCs w:val="19"/>
          <w:color w:val="231F20"/>
        </w:rPr>
        <w:t>believe that the following critical accounting policies are most important to the judgments and estimates used in the preparation of our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Intangible Assets, net</w:t>
      </w:r>
    </w:p>
    <w:p>
      <w:pPr>
        <w:spacing w:after="0" w:line="184" w:lineRule="exact"/>
        <w:rPr>
          <w:sz w:val="20"/>
          <w:szCs w:val="20"/>
          <w:color w:val="auto"/>
        </w:rPr>
      </w:pPr>
    </w:p>
    <w:p>
      <w:pPr>
        <w:ind w:right="60" w:firstLine="463"/>
        <w:spacing w:after="0" w:line="251" w:lineRule="auto"/>
        <w:rPr>
          <w:sz w:val="20"/>
          <w:szCs w:val="20"/>
          <w:color w:val="auto"/>
        </w:rPr>
      </w:pPr>
      <w:r>
        <w:rPr>
          <w:rFonts w:ascii="Arial" w:cs="Arial" w:eastAsia="Arial" w:hAnsi="Arial"/>
          <w:sz w:val="19"/>
          <w:szCs w:val="19"/>
          <w:color w:val="231F20"/>
        </w:rPr>
        <w:t>Intangible assets consist of acquired developed technology, acquired relationships and trade names and associated trademarks. Intangible assets are recognized at fair value using generally accepted valuation methods deemed appropriate for the type of intangible asset acquired, and reported net of accumulated amortization, separately from goodwill.</w:t>
      </w:r>
    </w:p>
    <w:p>
      <w:pPr>
        <w:spacing w:after="0" w:line="144" w:lineRule="exact"/>
        <w:rPr>
          <w:sz w:val="20"/>
          <w:szCs w:val="20"/>
          <w:color w:val="auto"/>
        </w:rPr>
      </w:pPr>
    </w:p>
    <w:p>
      <w:pPr>
        <w:ind w:right="160" w:firstLine="463"/>
        <w:spacing w:after="0" w:line="242" w:lineRule="auto"/>
        <w:rPr>
          <w:sz w:val="20"/>
          <w:szCs w:val="20"/>
          <w:color w:val="auto"/>
        </w:rPr>
      </w:pPr>
      <w:r>
        <w:rPr>
          <w:rFonts w:ascii="Arial" w:cs="Arial" w:eastAsia="Arial" w:hAnsi="Arial"/>
          <w:sz w:val="19"/>
          <w:szCs w:val="19"/>
          <w:color w:val="231F20"/>
        </w:rPr>
        <w:t>We estimate the fair value of acquired developed technology using the relief-from-royalty method, a form of the income approach, which estimates the cost savings that accrue to the owner of an intangible asset who would otherwise have to pay royalties or license fees on revenues earned through the use of the asset. The royalty rate used is based on an analysis of empirical, market-derived royalty rates for similar technology. The fair value of acquired relationships is estimated using the multi-period excess earnings method under the income approach, which represents the total income to be generated by the asset. Under this method, the value of an intangible asset is equal to the present value of the incremental after-tax cash flows attributable solely to the intangible asset. We value trade names and trademarks using the relief from royalty method. The relief-from-royalty method determines the present value of the economic royalty savings associated with the ownership or possession of the trade name or trademark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or trademark.</w:t>
      </w:r>
    </w:p>
    <w:p>
      <w:pPr>
        <w:spacing w:after="0" w:line="152" w:lineRule="exact"/>
        <w:rPr>
          <w:sz w:val="20"/>
          <w:szCs w:val="20"/>
          <w:color w:val="auto"/>
        </w:rPr>
      </w:pPr>
    </w:p>
    <w:p>
      <w:pPr>
        <w:ind w:right="60" w:firstLine="463"/>
        <w:spacing w:after="0" w:line="248" w:lineRule="auto"/>
        <w:rPr>
          <w:sz w:val="20"/>
          <w:szCs w:val="20"/>
          <w:color w:val="auto"/>
        </w:rPr>
      </w:pPr>
      <w:r>
        <w:rPr>
          <w:rFonts w:ascii="Arial" w:cs="Arial" w:eastAsia="Arial" w:hAnsi="Arial"/>
          <w:sz w:val="19"/>
          <w:szCs w:val="19"/>
          <w:color w:val="231F20"/>
        </w:rPr>
        <w:t>The useful lives for developed technology are determined based on expectations regarding the evolution of existing technology and future investments. The useful lives for acquired related intangible assets are determined based primarily on forecasted cash flows, which include estimates for the revenues, expenses and customer attrition associated with the assets. The useful lives of definite-lived trademarks and trade names are based on our plans to phase out the trademarks and trade names in the applicable markets.</w:t>
      </w:r>
    </w:p>
    <w:p>
      <w:pPr>
        <w:spacing w:after="0" w:line="146" w:lineRule="exact"/>
        <w:rPr>
          <w:sz w:val="20"/>
          <w:szCs w:val="20"/>
          <w:color w:val="auto"/>
        </w:rPr>
      </w:pPr>
    </w:p>
    <w:p>
      <w:pPr>
        <w:ind w:right="640" w:firstLine="463"/>
        <w:spacing w:after="0" w:line="258" w:lineRule="auto"/>
        <w:rPr>
          <w:sz w:val="20"/>
          <w:szCs w:val="20"/>
          <w:color w:val="auto"/>
        </w:rPr>
      </w:pPr>
      <w:r>
        <w:rPr>
          <w:rFonts w:ascii="Arial" w:cs="Arial" w:eastAsia="Arial" w:hAnsi="Arial"/>
          <w:sz w:val="19"/>
          <w:szCs w:val="19"/>
          <w:color w:val="3A3D3D"/>
        </w:rPr>
        <w:t>In</w:t>
      </w:r>
      <w:r>
        <w:rPr>
          <w:rFonts w:ascii="Arial" w:cs="Arial" w:eastAsia="Arial" w:hAnsi="Arial"/>
          <w:sz w:val="19"/>
          <w:szCs w:val="19"/>
          <w:color w:val="231F20"/>
        </w:rPr>
        <w:t>tangible assets are amortized using a method that reflects the pattern in which the economic benefits of the</w:t>
      </w:r>
      <w:r>
        <w:rPr>
          <w:rFonts w:ascii="Arial" w:cs="Arial" w:eastAsia="Arial" w:hAnsi="Arial"/>
          <w:sz w:val="19"/>
          <w:szCs w:val="19"/>
          <w:color w:val="3A3D3D"/>
        </w:rPr>
        <w:t xml:space="preserve"> </w:t>
      </w:r>
      <w:r>
        <w:rPr>
          <w:rFonts w:ascii="Arial" w:cs="Arial" w:eastAsia="Arial" w:hAnsi="Arial"/>
          <w:sz w:val="19"/>
          <w:szCs w:val="19"/>
          <w:color w:val="231F20"/>
        </w:rPr>
        <w:t>intangible asset are expected to be realized over their estimated useful lives ranging from one to fifteen years. No significant residual value is estimated for intangible assets.</w:t>
      </w:r>
    </w:p>
    <w:p>
      <w:pPr>
        <w:spacing w:after="0" w:line="136" w:lineRule="exact"/>
        <w:rPr>
          <w:sz w:val="20"/>
          <w:szCs w:val="20"/>
          <w:color w:val="auto"/>
        </w:rPr>
      </w:pPr>
    </w:p>
    <w:p>
      <w:pPr>
        <w:ind w:right="280" w:firstLine="463"/>
        <w:spacing w:after="0" w:line="307" w:lineRule="auto"/>
        <w:rPr>
          <w:sz w:val="20"/>
          <w:szCs w:val="20"/>
          <w:color w:val="auto"/>
        </w:rPr>
      </w:pPr>
      <w:r>
        <w:rPr>
          <w:rFonts w:ascii="Arial" w:cs="Arial" w:eastAsia="Arial" w:hAnsi="Arial"/>
          <w:sz w:val="18"/>
          <w:szCs w:val="18"/>
          <w:color w:val="231F20"/>
        </w:rPr>
        <w:t>The estimated fair values of these intangible assets reflect various assumptions including discount rates, revenue growth rates, operating margins, terminal values, attrition, useful lives and other prospective financial information.</w:t>
      </w:r>
    </w:p>
    <w:p>
      <w:pPr>
        <w:sectPr>
          <w:pgSz w:w="12240" w:h="15840" w:orient="portrait"/>
          <w:cols w:equalWidth="0" w:num="1">
            <w:col w:w="10200"/>
          </w:cols>
          <w:pgMar w:left="1020" w:top="1440" w:right="1020" w:bottom="572"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100</w:t>
      </w:r>
    </w:p>
    <w:p>
      <w:pPr>
        <w:sectPr>
          <w:pgSz w:w="12240" w:h="15840" w:orient="portrait"/>
          <w:cols w:equalWidth="0" w:num="1">
            <w:col w:w="10200"/>
          </w:cols>
          <w:pgMar w:left="1020" w:top="1440" w:right="1020" w:bottom="572" w:gutter="0" w:footer="0" w:header="0"/>
          <w:type w:val="continuous"/>
        </w:sectPr>
      </w:pPr>
    </w:p>
    <w:bookmarkStart w:id="101" w:name="page102"/>
    <w:bookmarkEnd w:id="101"/>
    <w:p>
      <w:pPr>
        <w:spacing w:after="0" w:line="97" w:lineRule="exact"/>
        <w:rPr>
          <w:sz w:val="20"/>
          <w:szCs w:val="20"/>
          <w:color w:val="auto"/>
        </w:rPr>
      </w:pPr>
    </w:p>
    <w:p>
      <w:pPr>
        <w:ind w:right="180" w:firstLine="463"/>
        <w:spacing w:after="0" w:line="258" w:lineRule="auto"/>
        <w:rPr>
          <w:sz w:val="20"/>
          <w:szCs w:val="20"/>
          <w:color w:val="auto"/>
        </w:rPr>
      </w:pPr>
      <w:r>
        <w:rPr>
          <w:rFonts w:ascii="Arial" w:cs="Arial" w:eastAsia="Arial" w:hAnsi="Arial"/>
          <w:sz w:val="19"/>
          <w:szCs w:val="19"/>
          <w:color w:val="231F20"/>
        </w:rPr>
        <w:t>The judgments made in determining the estimated fair value of intangibles as well as the estimated lives, can materially impact net income or loss in periods subsequent to the acquisition through depreciation and amortization, and in certain instances through impairment charges, if the assets become impaired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Software Developed for Internal-Use</w:t>
      </w:r>
    </w:p>
    <w:p>
      <w:pPr>
        <w:spacing w:after="0" w:line="184" w:lineRule="exact"/>
        <w:rPr>
          <w:sz w:val="20"/>
          <w:szCs w:val="20"/>
          <w:color w:val="auto"/>
        </w:rPr>
      </w:pPr>
    </w:p>
    <w:p>
      <w:pPr>
        <w:ind w:right="120" w:firstLine="463"/>
        <w:spacing w:after="0" w:line="248" w:lineRule="auto"/>
        <w:rPr>
          <w:sz w:val="20"/>
          <w:szCs w:val="20"/>
          <w:color w:val="auto"/>
        </w:rPr>
      </w:pPr>
      <w:r>
        <w:rPr>
          <w:rFonts w:ascii="Arial" w:cs="Arial" w:eastAsia="Arial" w:hAnsi="Arial"/>
          <w:sz w:val="19"/>
          <w:szCs w:val="19"/>
          <w:color w:val="231F20"/>
        </w:rPr>
        <w:t>We capitalize costs incurred in the development of internal-use software during the application development stage including third-party consulting costs and compensation expenses related to FlyMates who devote time to the development of the projects. We also capitalize costs related to specific upgrades and enhancements when it is probable the expenditures will result in additional functionality. Once the additional functionality is available for general use, capitalization ceases and the asset begins being amortized.</w:t>
      </w:r>
    </w:p>
    <w:p>
      <w:pPr>
        <w:spacing w:after="0" w:line="146" w:lineRule="exact"/>
        <w:rPr>
          <w:sz w:val="20"/>
          <w:szCs w:val="20"/>
          <w:color w:val="auto"/>
        </w:rPr>
      </w:pPr>
    </w:p>
    <w:p>
      <w:pPr>
        <w:ind w:right="20" w:firstLine="463"/>
        <w:spacing w:after="0" w:line="248" w:lineRule="auto"/>
        <w:rPr>
          <w:sz w:val="20"/>
          <w:szCs w:val="20"/>
          <w:color w:val="auto"/>
        </w:rPr>
      </w:pPr>
      <w:r>
        <w:rPr>
          <w:rFonts w:ascii="Arial" w:cs="Arial" w:eastAsia="Arial" w:hAnsi="Arial"/>
          <w:sz w:val="19"/>
          <w:szCs w:val="19"/>
          <w:color w:val="231F20"/>
        </w:rPr>
        <w:t>We evaluate the useful lives of internal-use software whenever changes in circumstances occur that could impact the recoverability of these assets. Unforeseen circumstances in software development, such as a significant change in the manner in which the software is intended to be used, obsolescence or a significant reduction in revenues due to attrition, could require us to implement alternative plans with respect to a particular effort, which could result in the impairment of previously capitalized software development costs.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Contingent Consideration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Contingent consideration in business combinations is recognized at fair value on the acquisition date.</w:t>
      </w:r>
    </w:p>
    <w:p>
      <w:pPr>
        <w:spacing w:after="0" w:line="188" w:lineRule="exact"/>
        <w:rPr>
          <w:sz w:val="20"/>
          <w:szCs w:val="20"/>
          <w:color w:val="auto"/>
        </w:rPr>
      </w:pPr>
    </w:p>
    <w:p>
      <w:pPr>
        <w:ind w:right="20" w:firstLine="463"/>
        <w:spacing w:after="0" w:line="242" w:lineRule="auto"/>
        <w:rPr>
          <w:sz w:val="20"/>
          <w:szCs w:val="20"/>
          <w:color w:val="auto"/>
        </w:rPr>
      </w:pPr>
      <w:r>
        <w:rPr>
          <w:rFonts w:ascii="Arial" w:cs="Arial" w:eastAsia="Arial" w:hAnsi="Arial"/>
          <w:sz w:val="19"/>
          <w:szCs w:val="19"/>
          <w:color w:val="231F20"/>
        </w:rPr>
        <w:t>In connection with the acquisition of Invoiced, we entered into an agreement to make certain earn-out payments based on Invoiced's achievement of certain targets related to revenue, cross-selling, product and security and IT milestones established through a period ending December 31, 2025. The fair value of the contingent consideration related to the revenue milestones was determined using an option pricing model and the fair value of the contingent consideration related to the cross-selling, product and security and IT milestones was determined using a scenario-based method that reflect our expectation about the probability of payment based on facts and circumstances that existed at the acquisition closing date. The option pricing model includes significant unobservable inputs such as probability of achieving earn-out revenue thresholds and discount rates. The scenario-based method includes significant unobservable inputs such as the probability of achieving earn-out targets and discount rates. Increases or decreases in any of the probabilities of success in which the revenue, cross-selling, product and security and IT milestones are expected to be achieved would result in higher or lower fair value measurement, respectively. Increases or decreases in the discount rate would result in a lower or higher fair value measurement, respectively.</w:t>
      </w:r>
    </w:p>
    <w:p>
      <w:pPr>
        <w:spacing w:after="0" w:line="152" w:lineRule="exact"/>
        <w:rPr>
          <w:sz w:val="20"/>
          <w:szCs w:val="20"/>
          <w:color w:val="auto"/>
        </w:rPr>
      </w:pPr>
    </w:p>
    <w:p>
      <w:pPr>
        <w:ind w:firstLine="463"/>
        <w:spacing w:after="0" w:line="256" w:lineRule="auto"/>
        <w:rPr>
          <w:sz w:val="20"/>
          <w:szCs w:val="20"/>
          <w:color w:val="auto"/>
        </w:rPr>
      </w:pPr>
      <w:r>
        <w:rPr>
          <w:rFonts w:ascii="Arial" w:cs="Arial" w:eastAsia="Arial" w:hAnsi="Arial"/>
          <w:sz w:val="18"/>
          <w:szCs w:val="18"/>
          <w:color w:val="231F20"/>
        </w:rPr>
        <w:t>In connection with the acquisition of StudyLink, we entered into an agreement to make certain earn-out payments based on StudyLink's achievement of revenue, volume, cross-selling and engineering implementation milestones established through a period ending December 31, 2025. The fair value of the contingent consideration related to the revenue milestone was determined using an option pricing model and the fair value of the contingent consideration related to the volume of money movement, cross-selling and engineering implementation milestones was determined using a scenario-based method that reflect our expectation about the probability of payment based on facts and circumstances that existed at the acquisition closing date. The option pricing model includes significant unobservable inputs such as probability of achieving earn-out revenue thresholds and discount rates. The scenario-based method includes significant unobservable inputs such as the probability of achieving earn-out targets and discount rates. Increases or decreases in any of the probabilities of success in which the revenue, volume, cross-selling and the engineering implementation milestones are expected to be achieved would result in higher or lower fair value measurement, respectively. Increases or decreases in the discount rate would result in a lower or higher fair value measurement, respectively.</w:t>
      </w:r>
    </w:p>
    <w:p>
      <w:pPr>
        <w:spacing w:after="0" w:line="146" w:lineRule="exact"/>
        <w:rPr>
          <w:sz w:val="20"/>
          <w:szCs w:val="20"/>
          <w:color w:val="auto"/>
        </w:rPr>
      </w:pPr>
    </w:p>
    <w:p>
      <w:pPr>
        <w:ind w:right="80" w:firstLine="463"/>
        <w:spacing w:after="0" w:line="245" w:lineRule="auto"/>
        <w:rPr>
          <w:sz w:val="20"/>
          <w:szCs w:val="20"/>
          <w:color w:val="auto"/>
        </w:rPr>
      </w:pPr>
      <w:r>
        <w:rPr>
          <w:rFonts w:ascii="Arial" w:cs="Arial" w:eastAsia="Arial" w:hAnsi="Arial"/>
          <w:sz w:val="19"/>
          <w:szCs w:val="19"/>
          <w:color w:val="231F20"/>
        </w:rPr>
        <w:t>In connection with the acquisition of Cohort Go, we entered into an agreement to make certain earn-out payments based on Cohort Go's achievement of specific post-acquisition milestones established through a period ending March 31, 2023. The fair value of the contingent consideration was determined using a scenario-based method formed on the likelihoods of achieving each of the milestones. Increases or decreases in any of the probabilities of success in which the specific post-acquisition milestones were expected to be achieved would result in a higher or lower fair value measurement, respectively. Increases or decreases in the discount rate would result in a lower or higher fair value measurement, respectively.</w:t>
      </w:r>
    </w:p>
    <w:p>
      <w:pPr>
        <w:spacing w:after="0" w:line="148" w:lineRule="exact"/>
        <w:rPr>
          <w:sz w:val="20"/>
          <w:szCs w:val="20"/>
          <w:color w:val="auto"/>
        </w:rPr>
      </w:pPr>
    </w:p>
    <w:p>
      <w:pPr>
        <w:ind w:right="40" w:firstLine="463"/>
        <w:spacing w:after="0" w:line="270" w:lineRule="auto"/>
        <w:rPr>
          <w:sz w:val="20"/>
          <w:szCs w:val="20"/>
          <w:color w:val="auto"/>
        </w:rPr>
      </w:pPr>
      <w:r>
        <w:rPr>
          <w:rFonts w:ascii="Arial" w:cs="Arial" w:eastAsia="Arial" w:hAnsi="Arial"/>
          <w:sz w:val="18"/>
          <w:szCs w:val="18"/>
          <w:color w:val="231F20"/>
        </w:rPr>
        <w:t>Subsequent to the acquisition date, at each reporting date, the contingent consideration is remeasured and changes in the fair value resulting from a change in the underlying inputs are recognized in general and administrative expense in the consolidated statements of operations and comprehensive loss until the contingent consideration is settled. The maximum amount we would be required to pay related to the Invoiced acquisition is $7.5 million. The maximum amount</w:t>
      </w:r>
    </w:p>
    <w:p>
      <w:pPr>
        <w:sectPr>
          <w:pgSz w:w="12240" w:h="15840" w:orient="portrait"/>
          <w:cols w:equalWidth="0" w:num="1">
            <w:col w:w="10200"/>
          </w:cols>
          <w:pgMar w:left="1020" w:top="1440" w:right="1020" w:bottom="572"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101</w:t>
      </w:r>
    </w:p>
    <w:p>
      <w:pPr>
        <w:sectPr>
          <w:pgSz w:w="12240" w:h="15840" w:orient="portrait"/>
          <w:cols w:equalWidth="0" w:num="1">
            <w:col w:w="10200"/>
          </w:cols>
          <w:pgMar w:left="1020" w:top="1440" w:right="1020" w:bottom="572" w:gutter="0" w:footer="0" w:header="0"/>
          <w:type w:val="continuous"/>
        </w:sectPr>
      </w:pPr>
    </w:p>
    <w:bookmarkStart w:id="102" w:name="page103"/>
    <w:bookmarkEnd w:id="102"/>
    <w:p>
      <w:pPr>
        <w:spacing w:after="0" w:line="97" w:lineRule="exact"/>
        <w:rPr>
          <w:sz w:val="20"/>
          <w:szCs w:val="20"/>
          <w:color w:val="auto"/>
        </w:rPr>
      </w:pPr>
    </w:p>
    <w:p>
      <w:pPr>
        <w:ind w:right="340"/>
        <w:spacing w:after="0" w:line="245" w:lineRule="auto"/>
        <w:rPr>
          <w:sz w:val="20"/>
          <w:szCs w:val="20"/>
          <w:color w:val="auto"/>
        </w:rPr>
      </w:pPr>
      <w:r>
        <w:rPr>
          <w:rFonts w:ascii="Arial" w:cs="Arial" w:eastAsia="Arial" w:hAnsi="Arial"/>
          <w:sz w:val="19"/>
          <w:szCs w:val="19"/>
          <w:color w:val="231F20"/>
        </w:rPr>
        <w:t>we would be required to pay related to the StudyLink acquisition is $3.9 million. During the year ended December 31, 2024, we made a payment of contingent consideration of $1.1 million based on Invoiced's successful and timely achievement of the contracted milestones. During the year ended December 31, 2023, we made the final Cohort Go payment of contingent consideration of $1.7 million, in the form of cash, based on Cohort Go's successful and timely achievement of the contracted milestones. No additional contingent consideration is due or payable with respect to the Cohort Go acquisition. The fair value of the contingent consideration at December 31, 2024 and 2023 was $5.1 million and $2.9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Revenue Recognition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We derive revenue from transactions and platform and other revenues.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Transaction Revenue</w:t>
      </w:r>
    </w:p>
    <w:p>
      <w:pPr>
        <w:spacing w:after="0" w:line="184" w:lineRule="exact"/>
        <w:rPr>
          <w:sz w:val="20"/>
          <w:szCs w:val="20"/>
          <w:color w:val="auto"/>
        </w:rPr>
      </w:pPr>
    </w:p>
    <w:p>
      <w:pPr>
        <w:ind w:right="40" w:firstLine="463"/>
        <w:spacing w:after="0" w:line="242" w:lineRule="auto"/>
        <w:rPr>
          <w:sz w:val="20"/>
          <w:szCs w:val="20"/>
          <w:color w:val="auto"/>
        </w:rPr>
      </w:pPr>
      <w:r>
        <w:rPr>
          <w:rFonts w:ascii="Arial" w:cs="Arial" w:eastAsia="Arial" w:hAnsi="Arial"/>
          <w:sz w:val="19"/>
          <w:szCs w:val="19"/>
          <w:color w:val="231F20"/>
        </w:rPr>
        <w:t>Our transaction revenue is derived from fees charged for payment processing services provided to educational institutions, healthcare entities and other commercial entities, which is comprised of processing domestic and cross-border transactions. Our services relate to facilitating payments from individuals, such as students and patients, and organizations to clients. Fees charged for payment processing services consists of a rate applied to the monetary value of the payment and can vary based on the payment method,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We do not recognize the underlying amount of the transaction being settled between client and client’s customer, as revenue or cost of revenue in the consolidated statements of operations and comprehensive loss, as we are not the responsible party for fulfilling the obligation between the client and client’s customer. Therefore, revenue is only recognized for the fee for which we are entitled for processing the payment.</w:t>
      </w:r>
    </w:p>
    <w:p>
      <w:pPr>
        <w:spacing w:after="0" w:line="155" w:lineRule="exact"/>
        <w:rPr>
          <w:sz w:val="20"/>
          <w:szCs w:val="20"/>
          <w:color w:val="auto"/>
        </w:rPr>
      </w:pPr>
    </w:p>
    <w:p>
      <w:pPr>
        <w:ind w:right="100" w:firstLine="463"/>
        <w:spacing w:after="0" w:line="251" w:lineRule="auto"/>
        <w:rPr>
          <w:sz w:val="20"/>
          <w:szCs w:val="20"/>
          <w:color w:val="auto"/>
        </w:rPr>
      </w:pPr>
      <w:r>
        <w:rPr>
          <w:rFonts w:ascii="Arial" w:cs="Arial" w:eastAsia="Arial" w:hAnsi="Arial"/>
          <w:sz w:val="19"/>
          <w:szCs w:val="19"/>
          <w:color w:val="231F20"/>
        </w:rPr>
        <w:t>We also earn revenue from fees charged to credit card service providers for marketing arrangements in which we perform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w:t>
      </w:r>
    </w:p>
    <w:p>
      <w:pPr>
        <w:spacing w:after="0" w:line="144" w:lineRule="exact"/>
        <w:rPr>
          <w:sz w:val="20"/>
          <w:szCs w:val="20"/>
          <w:color w:val="auto"/>
        </w:rPr>
      </w:pPr>
    </w:p>
    <w:p>
      <w:pPr>
        <w:ind w:firstLine="463"/>
        <w:spacing w:after="0" w:line="246" w:lineRule="auto"/>
        <w:rPr>
          <w:sz w:val="20"/>
          <w:szCs w:val="20"/>
          <w:color w:val="auto"/>
        </w:rPr>
      </w:pPr>
      <w:r>
        <w:rPr>
          <w:rFonts w:ascii="Arial" w:cs="Arial" w:eastAsia="Arial" w:hAnsi="Arial"/>
          <w:sz w:val="19"/>
          <w:szCs w:val="19"/>
          <w:color w:val="231F20"/>
        </w:rPr>
        <w:t>The money can be wired directly from the client’s customer to us; however, in certain situations when the client’s customer lives in a country where we do not have an active bank account, we use third-party service providers to collect wired funds before remitting the funds to us. The third-party service provider invoices us on a recurring basis with a fee for each payment processed and deposited into our bank account. The fee paid to third-party service providers as well as any foreign exchange banking fees paid by us are reflected in the payment processing services costs line in the consolidated statements of operations and comprehensive loss.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Platform and Other Revenues</w:t>
      </w:r>
    </w:p>
    <w:p>
      <w:pPr>
        <w:spacing w:after="0" w:line="184" w:lineRule="exact"/>
        <w:rPr>
          <w:sz w:val="20"/>
          <w:szCs w:val="20"/>
          <w:color w:val="auto"/>
        </w:rPr>
      </w:pPr>
    </w:p>
    <w:p>
      <w:pPr>
        <w:ind w:right="60" w:firstLine="463"/>
        <w:spacing w:after="0" w:line="245" w:lineRule="auto"/>
        <w:rPr>
          <w:sz w:val="20"/>
          <w:szCs w:val="20"/>
          <w:color w:val="auto"/>
        </w:rPr>
      </w:pPr>
      <w:r>
        <w:rPr>
          <w:rFonts w:ascii="Arial" w:cs="Arial" w:eastAsia="Arial" w:hAnsi="Arial"/>
          <w:sz w:val="19"/>
          <w:szCs w:val="19"/>
          <w:color w:val="231F20"/>
        </w:rPr>
        <w:t>Our platform and other revenues primarily include (i) fees earned for the utilization of the Company's platforms to optimize cash collections and student application processing, which include revenue earned from software subscription fees and usage-based fees, (ii) fees for the establishment of payment plans on the Company's payment platform, (iii) fees related to printing, mailing, and other services which are ancillary to the solutions the Company provides to its clients, (iv) commissions from insurance providers when an end-user purchases an insurance policy, and (v) revenue from interest earned on funds held for customers in interest-bearing accounts. Platform and other revenues has been referred to as platform and usage-based fee revenue in prior filings.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Performance Obligations</w:t>
      </w:r>
    </w:p>
    <w:p>
      <w:pPr>
        <w:spacing w:after="0" w:line="184" w:lineRule="exact"/>
        <w:rPr>
          <w:sz w:val="20"/>
          <w:szCs w:val="20"/>
          <w:color w:val="auto"/>
        </w:rPr>
      </w:pPr>
    </w:p>
    <w:p>
      <w:pPr>
        <w:ind w:right="140" w:firstLine="463"/>
        <w:spacing w:after="0" w:line="246" w:lineRule="auto"/>
        <w:rPr>
          <w:sz w:val="20"/>
          <w:szCs w:val="20"/>
          <w:color w:val="auto"/>
        </w:rPr>
      </w:pPr>
      <w:r>
        <w:rPr>
          <w:rFonts w:ascii="Arial" w:cs="Arial" w:eastAsia="Arial" w:hAnsi="Arial"/>
          <w:sz w:val="19"/>
          <w:szCs w:val="19"/>
          <w:color w:val="231F20"/>
        </w:rPr>
        <w:t>We use significant judgment on determining the performance obligations in the arrangement based on considerations such as whether the client can benefit from each service on its own or together with other resources that are readily available from third parties or from us and whether each service is distinct in the context of the arrangement, whereby the transfer of the service is separately identifiable from other promises in the contract. In addition, we consider whether the arrangements contain a series of distinct services that are substantially the same and whether they have the same pattern of transfer.</w:t>
      </w:r>
    </w:p>
    <w:p>
      <w:pPr>
        <w:spacing w:after="0" w:line="148" w:lineRule="exact"/>
        <w:rPr>
          <w:sz w:val="20"/>
          <w:szCs w:val="20"/>
          <w:color w:val="auto"/>
        </w:rPr>
      </w:pPr>
    </w:p>
    <w:p>
      <w:pPr>
        <w:ind w:right="260" w:firstLine="463"/>
        <w:spacing w:after="0" w:line="279" w:lineRule="auto"/>
        <w:rPr>
          <w:sz w:val="20"/>
          <w:szCs w:val="20"/>
          <w:color w:val="auto"/>
        </w:rPr>
      </w:pPr>
      <w:r>
        <w:rPr>
          <w:rFonts w:ascii="Arial" w:cs="Arial" w:eastAsia="Arial" w:hAnsi="Arial"/>
          <w:sz w:val="18"/>
          <w:szCs w:val="18"/>
          <w:color w:val="231F20"/>
        </w:rPr>
        <w:t>Substantially all of our arrangements represent a single promise to provide continuous access to our platform to perform a series of activities such as payment processing services, cash collection optimization services, marketing, printing and mailing services, on an as-needed basis. As each day of providing these services is substantially the same</w:t>
      </w:r>
    </w:p>
    <w:p>
      <w:pPr>
        <w:sectPr>
          <w:pgSz w:w="12240" w:h="15840" w:orient="portrait"/>
          <w:cols w:equalWidth="0" w:num="1">
            <w:col w:w="10200"/>
          </w:cols>
          <w:pgMar w:left="1020" w:top="1440" w:right="1020" w:bottom="572"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102</w:t>
      </w:r>
    </w:p>
    <w:p>
      <w:pPr>
        <w:sectPr>
          <w:pgSz w:w="12240" w:h="15840" w:orient="portrait"/>
          <w:cols w:equalWidth="0" w:num="1">
            <w:col w:w="10200"/>
          </w:cols>
          <w:pgMar w:left="1020" w:top="1440" w:right="1020" w:bottom="572" w:gutter="0" w:footer="0" w:header="0"/>
          <w:type w:val="continuous"/>
        </w:sectPr>
      </w:pPr>
    </w:p>
    <w:bookmarkStart w:id="103" w:name="page104"/>
    <w:bookmarkEnd w:id="103"/>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color w:val="231F20"/>
        </w:rPr>
        <w:t>and the client simultaneously receives and consumes the benefits as services are provided, these services are viewed as a single performance obligation comprised of a series of distinct daily services. We satisfy the performance obligation as these services are provided. Revenue is recognized in the month the service is complete.</w:t>
      </w:r>
    </w:p>
    <w:p>
      <w:pPr>
        <w:spacing w:after="0" w:line="136" w:lineRule="exact"/>
        <w:rPr>
          <w:sz w:val="20"/>
          <w:szCs w:val="20"/>
          <w:color w:val="auto"/>
        </w:rPr>
      </w:pPr>
    </w:p>
    <w:p>
      <w:pPr>
        <w:jc w:val="both"/>
        <w:ind w:right="40" w:firstLine="463"/>
        <w:spacing w:after="0" w:line="278" w:lineRule="auto"/>
        <w:rPr>
          <w:sz w:val="20"/>
          <w:szCs w:val="20"/>
          <w:color w:val="auto"/>
        </w:rPr>
      </w:pPr>
      <w:r>
        <w:rPr>
          <w:rFonts w:ascii="Arial" w:cs="Arial" w:eastAsia="Arial" w:hAnsi="Arial"/>
          <w:sz w:val="19"/>
          <w:szCs w:val="19"/>
          <w:color w:val="231F20"/>
        </w:rPr>
        <w:t>For those arrangements that include fixed consideration, the fixed component is recognized ratably over the service period while variable consideration is recognized in the period earned.</w:t>
      </w:r>
    </w:p>
    <w:p>
      <w:pPr>
        <w:spacing w:after="0" w:line="117" w:lineRule="exact"/>
        <w:rPr>
          <w:sz w:val="20"/>
          <w:szCs w:val="20"/>
          <w:color w:val="auto"/>
        </w:rPr>
      </w:pPr>
    </w:p>
    <w:p>
      <w:pPr>
        <w:ind w:right="180" w:firstLine="463"/>
        <w:spacing w:after="0" w:line="258" w:lineRule="auto"/>
        <w:rPr>
          <w:sz w:val="20"/>
          <w:szCs w:val="20"/>
          <w:color w:val="auto"/>
        </w:rPr>
      </w:pPr>
      <w:r>
        <w:rPr>
          <w:rFonts w:ascii="Arial" w:cs="Arial" w:eastAsia="Arial" w:hAnsi="Arial"/>
          <w:sz w:val="19"/>
          <w:szCs w:val="19"/>
          <w:color w:val="231F20"/>
        </w:rPr>
        <w:t>We consider implementation service an activity to fulfill a contract, rather than a distinct performance obligation as the client does not obtain benefits from the implementation service alone. We charge an immaterial amount for implementation services.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Variable Consideration</w:t>
      </w:r>
    </w:p>
    <w:p>
      <w:pPr>
        <w:spacing w:after="0" w:line="184" w:lineRule="exact"/>
        <w:rPr>
          <w:sz w:val="20"/>
          <w:szCs w:val="20"/>
          <w:color w:val="auto"/>
        </w:rPr>
      </w:pPr>
    </w:p>
    <w:p>
      <w:pPr>
        <w:ind w:firstLine="463"/>
        <w:spacing w:after="0" w:line="265" w:lineRule="auto"/>
        <w:rPr>
          <w:sz w:val="20"/>
          <w:szCs w:val="20"/>
          <w:color w:val="auto"/>
        </w:rPr>
      </w:pPr>
      <w:r>
        <w:rPr>
          <w:rFonts w:ascii="Arial" w:cs="Arial" w:eastAsia="Arial" w:hAnsi="Arial"/>
          <w:sz w:val="18"/>
          <w:szCs w:val="18"/>
          <w:color w:val="231F20"/>
        </w:rPr>
        <w:t>Our contracts contain variable consideration as the amount we expect to receive in a contract is based on the occurrence or non-occurrence of future events, such as processing services performed as a transaction-based pricing arrangement. The variable consideration relates specifically to our effort to transfer each distinct daily service, as such we allocate the variable consideration earned to the distinct day in which those activities are performed and we recognize these fees as revenue in period earned, at which point the variable amount is known and it does not require estimation.</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Other Revenue Recognition Policies</w:t>
      </w:r>
    </w:p>
    <w:p>
      <w:pPr>
        <w:spacing w:after="0" w:line="184" w:lineRule="exact"/>
        <w:rPr>
          <w:sz w:val="20"/>
          <w:szCs w:val="20"/>
          <w:color w:val="auto"/>
        </w:rPr>
      </w:pPr>
    </w:p>
    <w:p>
      <w:pPr>
        <w:ind w:firstLine="463"/>
        <w:spacing w:after="0" w:line="245" w:lineRule="auto"/>
        <w:rPr>
          <w:sz w:val="20"/>
          <w:szCs w:val="20"/>
          <w:color w:val="auto"/>
        </w:rPr>
      </w:pPr>
      <w:r>
        <w:rPr>
          <w:rFonts w:ascii="Arial" w:cs="Arial" w:eastAsia="Arial" w:hAnsi="Arial"/>
          <w:sz w:val="19"/>
          <w:szCs w:val="19"/>
          <w:color w:val="231F20"/>
        </w:rPr>
        <w:t>We incur costs in processing payments which may include banking, credit card processing, foreign currency translation and partner fees. These fees are direct costs incurred in providing payment processing services. The determination of whether we are a principal to a transaction (gross revenue) or an agent (net revenue) can require considerable judgment. Changes in judgments with respect to these assumptions and estimates could impact the amount of revenue recognized. Since we control the payment processing service, we are responsible for completing the payment, bear primary responsibility for the fulfillment of the payment service, and have full discretion in determining the fee charged, we act as a principal. As such, we recognize payment processing fee charged on a gross basis.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Recent Accounting Pronouncements</w:t>
      </w:r>
    </w:p>
    <w:p>
      <w:pPr>
        <w:spacing w:after="0" w:line="192" w:lineRule="exact"/>
        <w:rPr>
          <w:sz w:val="20"/>
          <w:szCs w:val="20"/>
          <w:color w:val="auto"/>
        </w:rPr>
      </w:pPr>
    </w:p>
    <w:p>
      <w:pPr>
        <w:ind w:right="520" w:firstLine="463"/>
        <w:spacing w:after="0" w:line="258" w:lineRule="auto"/>
        <w:rPr>
          <w:sz w:val="20"/>
          <w:szCs w:val="20"/>
          <w:color w:val="auto"/>
        </w:rPr>
      </w:pPr>
      <w:r>
        <w:rPr>
          <w:rFonts w:ascii="Arial" w:cs="Arial" w:eastAsia="Arial" w:hAnsi="Arial"/>
          <w:sz w:val="19"/>
          <w:szCs w:val="19"/>
          <w:color w:val="231F20"/>
        </w:rPr>
        <w:t xml:space="preserve">See </w:t>
      </w:r>
      <w:r>
        <w:rPr>
          <w:rFonts w:ascii="Arial" w:cs="Arial" w:eastAsia="Arial" w:hAnsi="Arial"/>
          <w:sz w:val="19"/>
          <w:szCs w:val="19"/>
          <w:i w:val="1"/>
          <w:iCs w:val="1"/>
          <w:color w:val="231F20"/>
        </w:rPr>
        <w:t>Note 1 - Business Overview and Summary of Significant Accounting Policies</w:t>
      </w:r>
      <w:r>
        <w:rPr>
          <w:rFonts w:ascii="Arial" w:cs="Arial" w:eastAsia="Arial" w:hAnsi="Arial"/>
          <w:sz w:val="19"/>
          <w:szCs w:val="19"/>
          <w:color w:val="231F20"/>
        </w:rPr>
        <w:t xml:space="preserve"> to our consolidated financial statements included elsewhere in this Annual Report on Form 10-K for accounting pronouncements adopted and accounting pronouncements not yet adopted as of December 31, 2024.</w:t>
      </w:r>
    </w:p>
    <w:p>
      <w:pPr>
        <w:sectPr>
          <w:pgSz w:w="12240" w:h="15840" w:orient="portrait"/>
          <w:cols w:equalWidth="0" w:num="1">
            <w:col w:w="10140"/>
          </w:cols>
          <w:pgMar w:left="1020" w:top="1440" w:right="108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231F20"/>
        </w:rPr>
        <w:t>103</w:t>
      </w:r>
    </w:p>
    <w:p>
      <w:pPr>
        <w:sectPr>
          <w:pgSz w:w="12240" w:h="15840" w:orient="portrait"/>
          <w:cols w:equalWidth="0" w:num="1">
            <w:col w:w="10140"/>
          </w:cols>
          <w:pgMar w:left="1020" w:top="1440" w:right="1080" w:bottom="572" w:gutter="0" w:footer="0" w:header="0"/>
          <w:type w:val="continuous"/>
        </w:sectPr>
      </w:pPr>
    </w:p>
    <w:bookmarkStart w:id="104" w:name="page105"/>
    <w:bookmarkEnd w:id="104"/>
    <w:p>
      <w:pPr>
        <w:spacing w:after="0" w:line="93" w:lineRule="exact"/>
        <w:rPr>
          <w:sz w:val="20"/>
          <w:szCs w:val="20"/>
          <w:color w:val="auto"/>
        </w:rPr>
      </w:pPr>
    </w:p>
    <w:p>
      <w:pPr>
        <w:ind w:right="4040"/>
        <w:spacing w:after="0" w:line="448" w:lineRule="auto"/>
        <w:rPr>
          <w:sz w:val="20"/>
          <w:szCs w:val="20"/>
          <w:color w:val="auto"/>
        </w:rPr>
      </w:pPr>
      <w:r>
        <w:rPr>
          <w:rFonts w:ascii="Arial" w:cs="Arial" w:eastAsia="Arial" w:hAnsi="Arial"/>
          <w:sz w:val="19"/>
          <w:szCs w:val="19"/>
          <w:b w:val="1"/>
          <w:bCs w:val="1"/>
          <w:color w:val="231F20"/>
        </w:rPr>
        <w:t>Item 7A. Quantitative and Qualitative Disclosures About Market Risk Quantitative and Qualitative Disclosures About Market Risk</w:t>
      </w:r>
    </w:p>
    <w:p>
      <w:pPr>
        <w:ind w:right="160" w:firstLine="463"/>
        <w:spacing w:after="0" w:line="258" w:lineRule="auto"/>
        <w:rPr>
          <w:sz w:val="20"/>
          <w:szCs w:val="20"/>
          <w:color w:val="auto"/>
        </w:rPr>
      </w:pPr>
      <w:r>
        <w:rPr>
          <w:rFonts w:ascii="Arial" w:cs="Arial" w:eastAsia="Arial" w:hAnsi="Arial"/>
          <w:sz w:val="19"/>
          <w:szCs w:val="19"/>
          <w:color w:val="231F20"/>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Interest Rate Risk</w:t>
      </w:r>
    </w:p>
    <w:p>
      <w:pPr>
        <w:spacing w:after="0" w:line="192" w:lineRule="exact"/>
        <w:rPr>
          <w:sz w:val="20"/>
          <w:szCs w:val="20"/>
          <w:color w:val="auto"/>
        </w:rPr>
      </w:pPr>
    </w:p>
    <w:p>
      <w:pPr>
        <w:ind w:right="40" w:firstLine="463"/>
        <w:spacing w:after="0" w:line="248" w:lineRule="auto"/>
        <w:rPr>
          <w:sz w:val="20"/>
          <w:szCs w:val="20"/>
          <w:color w:val="auto"/>
        </w:rPr>
      </w:pPr>
      <w:r>
        <w:rPr>
          <w:rFonts w:ascii="Arial" w:cs="Arial" w:eastAsia="Arial" w:hAnsi="Arial"/>
          <w:sz w:val="19"/>
          <w:szCs w:val="19"/>
          <w:color w:val="231F20"/>
        </w:rPr>
        <w:t>We are exposed to interest rate risk relating to our cash and cash equivalents and available-for-sale debt securities. We hold cash in both non-interest and interest-bearing bank accounts. Our corporate investment portfolio consists primarily of money market funds, which are AAA-rated and comprised of liquid, high quality debt securities issued by the U.S. government, and investments in available-for-sale corporate bonds, U.S. government obligations, treasury bill, foreign agency securities, commercial paper, agency bond and asset-backed debt securities.</w:t>
      </w:r>
    </w:p>
    <w:p>
      <w:pPr>
        <w:spacing w:after="0" w:line="146" w:lineRule="exact"/>
        <w:rPr>
          <w:sz w:val="20"/>
          <w:szCs w:val="20"/>
          <w:color w:val="auto"/>
        </w:rPr>
      </w:pPr>
    </w:p>
    <w:p>
      <w:pPr>
        <w:ind w:right="280" w:firstLine="463"/>
        <w:spacing w:after="0" w:line="278" w:lineRule="auto"/>
        <w:rPr>
          <w:sz w:val="20"/>
          <w:szCs w:val="20"/>
          <w:color w:val="auto"/>
        </w:rPr>
      </w:pPr>
      <w:r>
        <w:rPr>
          <w:rFonts w:ascii="Arial" w:cs="Arial" w:eastAsia="Arial" w:hAnsi="Arial"/>
          <w:sz w:val="19"/>
          <w:szCs w:val="19"/>
          <w:color w:val="231F20"/>
        </w:rPr>
        <w:t>We are also exposed to interest rate risk related to our 2024 Revolving Credit Facility. Our 2024 Revolving Credit Facility consists of ABR borrowings or Term SOFR borrowings, at our option.</w:t>
      </w:r>
    </w:p>
    <w:p>
      <w:pPr>
        <w:spacing w:after="0" w:line="117" w:lineRule="exact"/>
        <w:rPr>
          <w:sz w:val="20"/>
          <w:szCs w:val="20"/>
          <w:color w:val="auto"/>
        </w:rPr>
      </w:pPr>
    </w:p>
    <w:p>
      <w:pPr>
        <w:ind w:right="40" w:firstLine="463"/>
        <w:spacing w:after="0" w:line="244" w:lineRule="auto"/>
        <w:rPr>
          <w:sz w:val="20"/>
          <w:szCs w:val="20"/>
          <w:color w:val="auto"/>
        </w:rPr>
      </w:pPr>
      <w:r>
        <w:rPr>
          <w:rFonts w:ascii="Arial" w:cs="Arial" w:eastAsia="Arial" w:hAnsi="Arial"/>
          <w:sz w:val="19"/>
          <w:szCs w:val="19"/>
          <w:color w:val="231F20"/>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our consolidated total net leverage ratio as of the most recent consolidated financial information and ranges from 1.0% to 2.5%. The 2024 Revolving Credit Facility incurs a commitment fee ranging from 0.25% to 0.35% based upon our consolidated total net leverage ratio as of the most recent consolidated financial information assessed on the average available commitment.</w:t>
      </w:r>
    </w:p>
    <w:p>
      <w:pPr>
        <w:spacing w:after="0" w:line="150" w:lineRule="exact"/>
        <w:rPr>
          <w:sz w:val="20"/>
          <w:szCs w:val="20"/>
          <w:color w:val="auto"/>
        </w:rPr>
      </w:pPr>
    </w:p>
    <w:p>
      <w:pPr>
        <w:ind w:right="560" w:firstLine="463"/>
        <w:spacing w:after="0" w:line="278" w:lineRule="auto"/>
        <w:rPr>
          <w:sz w:val="20"/>
          <w:szCs w:val="20"/>
          <w:color w:val="auto"/>
        </w:rPr>
      </w:pPr>
      <w:r>
        <w:rPr>
          <w:rFonts w:ascii="Arial" w:cs="Arial" w:eastAsia="Arial" w:hAnsi="Arial"/>
          <w:sz w:val="19"/>
          <w:szCs w:val="19"/>
          <w:color w:val="231F20"/>
        </w:rPr>
        <w:t>As of December 31, 2024 and 2023, there was no outstanding indebtedness under the 2024 Revolving Credit Facility and 2021 Revolving Credit Facility.</w:t>
      </w:r>
    </w:p>
    <w:p>
      <w:pPr>
        <w:spacing w:after="0" w:line="117" w:lineRule="exact"/>
        <w:rPr>
          <w:sz w:val="20"/>
          <w:szCs w:val="20"/>
          <w:color w:val="auto"/>
        </w:rPr>
      </w:pPr>
    </w:p>
    <w:p>
      <w:pPr>
        <w:jc w:val="both"/>
        <w:ind w:right="20" w:firstLine="463"/>
        <w:spacing w:after="0" w:line="258" w:lineRule="auto"/>
        <w:rPr>
          <w:sz w:val="20"/>
          <w:szCs w:val="20"/>
          <w:color w:val="auto"/>
        </w:rPr>
      </w:pPr>
      <w:r>
        <w:rPr>
          <w:rFonts w:ascii="Arial" w:cs="Arial" w:eastAsia="Arial" w:hAnsi="Arial"/>
          <w:sz w:val="19"/>
          <w:szCs w:val="19"/>
          <w:color w:val="231F20"/>
        </w:rPr>
        <w:t>An immediate 10% increase or decrease in interest rates on either our cash and cash equivalents and available-for-sale debt securities or our 2024 Revolving Credit Facility would not have a material effect on our financial position, results of operations or cash flows.</w:t>
      </w:r>
    </w:p>
    <w:p>
      <w:pPr>
        <w:spacing w:after="0" w:line="136" w:lineRule="exact"/>
        <w:rPr>
          <w:sz w:val="20"/>
          <w:szCs w:val="20"/>
          <w:color w:val="auto"/>
        </w:rPr>
      </w:pPr>
    </w:p>
    <w:p>
      <w:pPr>
        <w:ind w:right="780" w:firstLine="463"/>
        <w:spacing w:after="0" w:line="278" w:lineRule="auto"/>
        <w:rPr>
          <w:sz w:val="20"/>
          <w:szCs w:val="20"/>
          <w:color w:val="auto"/>
        </w:rPr>
      </w:pPr>
      <w:r>
        <w:rPr>
          <w:rFonts w:ascii="Arial" w:cs="Arial" w:eastAsia="Arial" w:hAnsi="Arial"/>
          <w:sz w:val="19"/>
          <w:szCs w:val="19"/>
          <w:color w:val="231F20"/>
        </w:rPr>
        <w:t>Information provided by the sensitivity analysis is not a prediction of future events and does not necessarily represent the actual changes that would occur.</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Foreign Currency Exchange Risk</w:t>
      </w:r>
    </w:p>
    <w:p>
      <w:pPr>
        <w:spacing w:after="0" w:line="192"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w:t>
      </w:r>
    </w:p>
    <w:p>
      <w:pPr>
        <w:spacing w:after="0" w:line="158" w:lineRule="exact"/>
        <w:rPr>
          <w:sz w:val="20"/>
          <w:szCs w:val="20"/>
          <w:color w:val="auto"/>
        </w:rPr>
      </w:pPr>
    </w:p>
    <w:p>
      <w:pPr>
        <w:ind w:right="280" w:firstLine="463"/>
        <w:spacing w:after="0" w:line="270" w:lineRule="auto"/>
        <w:rPr>
          <w:sz w:val="20"/>
          <w:szCs w:val="20"/>
          <w:color w:val="auto"/>
        </w:rPr>
      </w:pPr>
      <w:r>
        <w:rPr>
          <w:rFonts w:ascii="Arial" w:cs="Arial" w:eastAsia="Arial" w:hAnsi="Arial"/>
          <w:sz w:val="18"/>
          <w:szCs w:val="18"/>
          <w:color w:val="231F20"/>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For example, as the U.S. Dollar weakened against several currencies, including the</w:t>
      </w:r>
    </w:p>
    <w:p>
      <w:pPr>
        <w:sectPr>
          <w:pgSz w:w="12240" w:h="15840" w:orient="portrait"/>
          <w:cols w:equalWidth="0" w:num="1">
            <w:col w:w="10160"/>
          </w:cols>
          <w:pgMar w:left="1020" w:top="1440" w:right="1060" w:bottom="572"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231F20"/>
        </w:rPr>
        <w:t>104</w:t>
      </w:r>
    </w:p>
    <w:p>
      <w:pPr>
        <w:sectPr>
          <w:pgSz w:w="12240" w:h="15840" w:orient="portrait"/>
          <w:cols w:equalWidth="0" w:num="1">
            <w:col w:w="10160"/>
          </w:cols>
          <w:pgMar w:left="1020" w:top="1440" w:right="1060" w:bottom="572" w:gutter="0" w:footer="0" w:header="0"/>
          <w:type w:val="continuous"/>
        </w:sectPr>
      </w:pPr>
    </w:p>
    <w:bookmarkStart w:id="105" w:name="page106"/>
    <w:bookmarkEnd w:id="105"/>
    <w:p>
      <w:pPr>
        <w:spacing w:after="0" w:line="97" w:lineRule="exact"/>
        <w:rPr>
          <w:sz w:val="20"/>
          <w:szCs w:val="20"/>
          <w:color w:val="auto"/>
        </w:rPr>
      </w:pPr>
    </w:p>
    <w:p>
      <w:pPr>
        <w:spacing w:after="0" w:line="278" w:lineRule="auto"/>
        <w:rPr>
          <w:sz w:val="20"/>
          <w:szCs w:val="20"/>
          <w:color w:val="auto"/>
        </w:rPr>
      </w:pPr>
      <w:r>
        <w:rPr>
          <w:rFonts w:ascii="Arial" w:cs="Arial" w:eastAsia="Arial" w:hAnsi="Arial"/>
          <w:sz w:val="19"/>
          <w:szCs w:val="19"/>
          <w:color w:val="231F20"/>
        </w:rPr>
        <w:t>British Pound, relative to the prior year, these foreign exchange impacts increased our reported revenue in U.S. Dollars by approximately $2.3 million compared to the prior year on a constant currency basis.</w:t>
      </w:r>
    </w:p>
    <w:p>
      <w:pPr>
        <w:spacing w:after="0" w:line="117" w:lineRule="exact"/>
        <w:rPr>
          <w:sz w:val="20"/>
          <w:szCs w:val="20"/>
          <w:color w:val="auto"/>
        </w:rPr>
      </w:pPr>
    </w:p>
    <w:p>
      <w:pPr>
        <w:ind w:right="120" w:firstLine="463"/>
        <w:spacing w:after="0" w:line="242" w:lineRule="auto"/>
        <w:rPr>
          <w:sz w:val="20"/>
          <w:szCs w:val="20"/>
          <w:color w:val="auto"/>
        </w:rPr>
      </w:pPr>
      <w:r>
        <w:rPr>
          <w:rFonts w:ascii="Arial" w:cs="Arial" w:eastAsia="Arial" w:hAnsi="Arial"/>
          <w:sz w:val="19"/>
          <w:szCs w:val="19"/>
          <w:color w:val="231F20"/>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(loss) income in our consolidated balance sheets. Gains and losses from the remeasurement of foreign currencies into functional currencies are recognized in the consolidated statements of operations and comprehensive loss. A potential change in foreign exchange rates of 10% from such remeasurement would have impacted income (loss) before income taxes by approximately $24.7 million and $19.9 million for the years ended December 31, 2024 and 2023,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Inflation Risk</w:t>
      </w:r>
    </w:p>
    <w:p>
      <w:pPr>
        <w:spacing w:after="0" w:line="192" w:lineRule="exact"/>
        <w:rPr>
          <w:sz w:val="20"/>
          <w:szCs w:val="20"/>
          <w:color w:val="auto"/>
        </w:rPr>
      </w:pPr>
    </w:p>
    <w:p>
      <w:pPr>
        <w:jc w:val="both"/>
        <w:ind w:right="120" w:firstLine="463"/>
        <w:spacing w:after="0" w:line="258" w:lineRule="auto"/>
        <w:rPr>
          <w:sz w:val="20"/>
          <w:szCs w:val="20"/>
          <w:color w:val="auto"/>
        </w:rPr>
      </w:pPr>
      <w:r>
        <w:rPr>
          <w:rFonts w:ascii="Arial" w:cs="Arial" w:eastAsia="Arial" w:hAnsi="Arial"/>
          <w:sz w:val="19"/>
          <w:szCs w:val="19"/>
          <w:color w:val="231F20"/>
        </w:rPr>
        <w:t>Inflation did not have a material effect on our cash flows and results of operations during the year ended December 31, 2024. If our costs were to become subject to significant inflationary pressures, we may not be able to fully offset such higher costs through increase in prices of our product offerings.</w:t>
      </w:r>
    </w:p>
    <w:p>
      <w:pPr>
        <w:sectPr>
          <w:pgSz w:w="12240" w:h="15840" w:orient="portrait"/>
          <w:cols w:equalWidth="0" w:num="1">
            <w:col w:w="10180"/>
          </w:cols>
          <w:pgMar w:left="1020" w:top="1440" w:right="104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105</w:t>
      </w:r>
    </w:p>
    <w:p>
      <w:pPr>
        <w:sectPr>
          <w:pgSz w:w="12240" w:h="15840" w:orient="portrait"/>
          <w:cols w:equalWidth="0" w:num="1">
            <w:col w:w="10180"/>
          </w:cols>
          <w:pgMar w:left="1020" w:top="1440" w:right="1040" w:bottom="572" w:gutter="0" w:footer="0" w:header="0"/>
          <w:type w:val="continuous"/>
        </w:sectPr>
      </w:pPr>
    </w:p>
    <w:bookmarkStart w:id="106" w:name="page107"/>
    <w:bookmarkEnd w:id="106"/>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8. Financial Statements and Supplementary Data</w:t>
      </w:r>
    </w:p>
    <w:p>
      <w:pPr>
        <w:spacing w:after="0" w:line="220" w:lineRule="exact"/>
        <w:rPr>
          <w:sz w:val="20"/>
          <w:szCs w:val="20"/>
          <w:color w:val="auto"/>
        </w:rPr>
      </w:pPr>
    </w:p>
    <w:p>
      <w:pPr>
        <w:ind w:left="9620"/>
        <w:spacing w:after="0"/>
        <w:rPr>
          <w:sz w:val="20"/>
          <w:szCs w:val="20"/>
          <w:color w:val="auto"/>
        </w:rPr>
      </w:pPr>
      <w:r>
        <w:rPr>
          <w:rFonts w:ascii="Arial" w:cs="Arial" w:eastAsia="Arial" w:hAnsi="Arial"/>
          <w:sz w:val="19"/>
          <w:szCs w:val="19"/>
          <w:color w:val="231F20"/>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6023610</wp:posOffset>
            </wp:positionH>
            <wp:positionV relativeFrom="paragraph">
              <wp:posOffset>10795</wp:posOffset>
            </wp:positionV>
            <wp:extent cx="453390" cy="12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7">
                      <a:extLst>
                        <a:ext uri="{28A0092B-C50C-407E-A947-70E740481C1C}"/>
                      </a:extLst>
                    </a:blip>
                    <a:srcRect/>
                    <a:stretch>
                      <a:fillRect/>
                    </a:stretch>
                  </pic:blipFill>
                  <pic:spPr bwMode="auto">
                    <a:xfrm>
                      <a:off x="0" y="0"/>
                      <a:ext cx="453390" cy="12065"/>
                    </a:xfrm>
                    <a:prstGeom prst="rect">
                      <a:avLst/>
                    </a:prstGeom>
                    <a:noFill/>
                  </pic:spPr>
                </pic:pic>
              </a:graphicData>
            </a:graphic>
          </wp:anchor>
        </w:drawing>
      </w:r>
    </w:p>
    <w:p>
      <w:pPr>
        <w:spacing w:after="0" w:line="251" w:lineRule="exact"/>
        <w:rPr>
          <w:sz w:val="20"/>
          <w:szCs w:val="20"/>
          <w:color w:val="auto"/>
        </w:rPr>
      </w:pPr>
    </w:p>
    <w:p>
      <w:pPr>
        <w:spacing w:after="0"/>
        <w:tabs>
          <w:tab w:leader="dot" w:pos="9860" w:val="left"/>
        </w:tabs>
        <w:rPr>
          <w:sz w:val="20"/>
          <w:szCs w:val="20"/>
          <w:color w:val="auto"/>
        </w:rPr>
      </w:pPr>
      <w:r>
        <w:rPr>
          <w:rFonts w:ascii="Arial" w:cs="Arial" w:eastAsia="Arial" w:hAnsi="Arial"/>
          <w:sz w:val="19"/>
          <w:szCs w:val="19"/>
          <w:color w:val="231F20"/>
        </w:rPr>
        <w:t>Report of Independent Registered Public Accounting Firm (PCAOB ID 238)</w:t>
      </w:r>
      <w:r>
        <w:rPr>
          <w:sz w:val="20"/>
          <w:szCs w:val="20"/>
          <w:color w:val="auto"/>
        </w:rPr>
        <w:tab/>
      </w:r>
      <w:r>
        <w:rPr>
          <w:rFonts w:ascii="Arial" w:cs="Arial" w:eastAsia="Arial" w:hAnsi="Arial"/>
          <w:sz w:val="19"/>
          <w:szCs w:val="19"/>
          <w:color w:val="231F20"/>
        </w:rPr>
        <w:t>107</w:t>
      </w:r>
    </w:p>
    <w:p>
      <w:pPr>
        <w:spacing w:after="0" w:line="38" w:lineRule="exact"/>
        <w:rPr>
          <w:sz w:val="20"/>
          <w:szCs w:val="20"/>
          <w:color w:val="auto"/>
        </w:rPr>
      </w:pPr>
    </w:p>
    <w:p>
      <w:pPr>
        <w:spacing w:after="0"/>
        <w:tabs>
          <w:tab w:leader="dot" w:pos="9860" w:val="left"/>
        </w:tabs>
        <w:rPr>
          <w:sz w:val="20"/>
          <w:szCs w:val="20"/>
          <w:color w:val="auto"/>
        </w:rPr>
      </w:pPr>
      <w:r>
        <w:rPr>
          <w:rFonts w:ascii="Arial" w:cs="Arial" w:eastAsia="Arial" w:hAnsi="Arial"/>
          <w:sz w:val="19"/>
          <w:szCs w:val="19"/>
          <w:color w:val="231F20"/>
        </w:rPr>
        <w:t>Consolidated Balance Sheets</w:t>
      </w:r>
      <w:r>
        <w:rPr>
          <w:sz w:val="20"/>
          <w:szCs w:val="20"/>
          <w:color w:val="auto"/>
        </w:rPr>
        <w:tab/>
      </w:r>
      <w:r>
        <w:rPr>
          <w:rFonts w:ascii="Arial" w:cs="Arial" w:eastAsia="Arial" w:hAnsi="Arial"/>
          <w:sz w:val="19"/>
          <w:szCs w:val="19"/>
          <w:color w:val="231F20"/>
        </w:rPr>
        <w:t>110</w:t>
      </w:r>
    </w:p>
    <w:p>
      <w:pPr>
        <w:spacing w:after="0" w:line="18" w:lineRule="exact"/>
        <w:rPr>
          <w:sz w:val="20"/>
          <w:szCs w:val="20"/>
          <w:color w:val="auto"/>
        </w:rPr>
      </w:pPr>
    </w:p>
    <w:p>
      <w:pPr>
        <w:spacing w:after="0"/>
        <w:tabs>
          <w:tab w:leader="dot" w:pos="9860" w:val="left"/>
        </w:tabs>
        <w:rPr>
          <w:sz w:val="20"/>
          <w:szCs w:val="20"/>
          <w:color w:val="auto"/>
        </w:rPr>
      </w:pPr>
      <w:r>
        <w:rPr>
          <w:rFonts w:ascii="Arial" w:cs="Arial" w:eastAsia="Arial" w:hAnsi="Arial"/>
          <w:sz w:val="19"/>
          <w:szCs w:val="19"/>
          <w:color w:val="231F20"/>
        </w:rPr>
        <w:t>Consolidated Statements of Operations and Comprehensive Loss</w:t>
      </w:r>
      <w:r>
        <w:rPr>
          <w:sz w:val="20"/>
          <w:szCs w:val="20"/>
          <w:color w:val="auto"/>
        </w:rPr>
        <w:tab/>
      </w:r>
      <w:r>
        <w:rPr>
          <w:rFonts w:ascii="Arial" w:cs="Arial" w:eastAsia="Arial" w:hAnsi="Arial"/>
          <w:sz w:val="19"/>
          <w:szCs w:val="19"/>
          <w:color w:val="231F20"/>
        </w:rPr>
        <w:t>111</w:t>
      </w:r>
    </w:p>
    <w:p>
      <w:pPr>
        <w:spacing w:after="0" w:line="18" w:lineRule="exact"/>
        <w:rPr>
          <w:sz w:val="20"/>
          <w:szCs w:val="20"/>
          <w:color w:val="auto"/>
        </w:rPr>
      </w:pPr>
    </w:p>
    <w:p>
      <w:pPr>
        <w:spacing w:after="0"/>
        <w:tabs>
          <w:tab w:leader="dot" w:pos="9860" w:val="left"/>
        </w:tabs>
        <w:rPr>
          <w:sz w:val="20"/>
          <w:szCs w:val="20"/>
          <w:color w:val="auto"/>
        </w:rPr>
      </w:pPr>
      <w:r>
        <w:rPr>
          <w:rFonts w:ascii="Arial" w:cs="Arial" w:eastAsia="Arial" w:hAnsi="Arial"/>
          <w:sz w:val="19"/>
          <w:szCs w:val="19"/>
          <w:color w:val="231F20"/>
        </w:rPr>
        <w:t>Consolidated Statements of Stockholders’ Equity</w:t>
      </w:r>
      <w:r>
        <w:rPr>
          <w:sz w:val="20"/>
          <w:szCs w:val="20"/>
          <w:color w:val="auto"/>
        </w:rPr>
        <w:tab/>
      </w:r>
      <w:r>
        <w:rPr>
          <w:rFonts w:ascii="Arial" w:cs="Arial" w:eastAsia="Arial" w:hAnsi="Arial"/>
          <w:sz w:val="19"/>
          <w:szCs w:val="19"/>
          <w:color w:val="231F20"/>
        </w:rPr>
        <w:t>112</w:t>
      </w:r>
    </w:p>
    <w:p>
      <w:pPr>
        <w:spacing w:after="0" w:line="18" w:lineRule="exact"/>
        <w:rPr>
          <w:sz w:val="20"/>
          <w:szCs w:val="20"/>
          <w:color w:val="auto"/>
        </w:rPr>
      </w:pPr>
    </w:p>
    <w:p>
      <w:pPr>
        <w:spacing w:after="0"/>
        <w:tabs>
          <w:tab w:leader="dot" w:pos="9860" w:val="left"/>
        </w:tabs>
        <w:rPr>
          <w:sz w:val="20"/>
          <w:szCs w:val="20"/>
          <w:color w:val="auto"/>
        </w:rPr>
      </w:pPr>
      <w:r>
        <w:rPr>
          <w:rFonts w:ascii="Arial" w:cs="Arial" w:eastAsia="Arial" w:hAnsi="Arial"/>
          <w:sz w:val="19"/>
          <w:szCs w:val="19"/>
          <w:color w:val="231F20"/>
        </w:rPr>
        <w:t>Consolidated Statements of Cash Flows</w:t>
      </w:r>
      <w:r>
        <w:rPr>
          <w:sz w:val="20"/>
          <w:szCs w:val="20"/>
          <w:color w:val="auto"/>
        </w:rPr>
        <w:tab/>
      </w:r>
      <w:r>
        <w:rPr>
          <w:rFonts w:ascii="Arial" w:cs="Arial" w:eastAsia="Arial" w:hAnsi="Arial"/>
          <w:sz w:val="19"/>
          <w:szCs w:val="19"/>
          <w:color w:val="231F20"/>
        </w:rPr>
        <w:t>114</w:t>
      </w:r>
    </w:p>
    <w:p>
      <w:pPr>
        <w:spacing w:after="0" w:line="18" w:lineRule="exact"/>
        <w:rPr>
          <w:sz w:val="20"/>
          <w:szCs w:val="20"/>
          <w:color w:val="auto"/>
        </w:rPr>
      </w:pPr>
    </w:p>
    <w:p>
      <w:pPr>
        <w:spacing w:after="0"/>
        <w:tabs>
          <w:tab w:leader="dot" w:pos="9860" w:val="left"/>
        </w:tabs>
        <w:rPr>
          <w:sz w:val="20"/>
          <w:szCs w:val="20"/>
          <w:color w:val="auto"/>
        </w:rPr>
      </w:pPr>
      <w:r>
        <w:rPr>
          <w:rFonts w:ascii="Arial" w:cs="Arial" w:eastAsia="Arial" w:hAnsi="Arial"/>
          <w:sz w:val="19"/>
          <w:szCs w:val="19"/>
          <w:color w:val="231F20"/>
        </w:rPr>
        <w:t>Notes to Consolidated Financial Statements</w:t>
      </w:r>
      <w:r>
        <w:rPr>
          <w:sz w:val="20"/>
          <w:szCs w:val="20"/>
          <w:color w:val="auto"/>
        </w:rPr>
        <w:tab/>
      </w:r>
      <w:r>
        <w:rPr>
          <w:rFonts w:ascii="Arial" w:cs="Arial" w:eastAsia="Arial" w:hAnsi="Arial"/>
          <w:sz w:val="19"/>
          <w:szCs w:val="19"/>
          <w:color w:val="231F20"/>
        </w:rPr>
        <w:t>116</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1. Business Overview and Summary of Significant Accounting Policies</w:t>
      </w:r>
      <w:r>
        <w:rPr>
          <w:sz w:val="20"/>
          <w:szCs w:val="20"/>
          <w:color w:val="auto"/>
        </w:rPr>
        <w:tab/>
      </w:r>
      <w:r>
        <w:rPr>
          <w:rFonts w:ascii="Arial" w:cs="Arial" w:eastAsia="Arial" w:hAnsi="Arial"/>
          <w:sz w:val="19"/>
          <w:szCs w:val="19"/>
          <w:color w:val="231F20"/>
        </w:rPr>
        <w:t>116</w:t>
      </w:r>
    </w:p>
    <w:p>
      <w:pPr>
        <w:spacing w:after="0" w:line="23"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2. Revenue and Recognition</w:t>
      </w:r>
      <w:r>
        <w:rPr>
          <w:sz w:val="20"/>
          <w:szCs w:val="20"/>
          <w:color w:val="auto"/>
        </w:rPr>
        <w:tab/>
      </w:r>
      <w:r>
        <w:rPr>
          <w:rFonts w:ascii="Arial" w:cs="Arial" w:eastAsia="Arial" w:hAnsi="Arial"/>
          <w:sz w:val="19"/>
          <w:szCs w:val="19"/>
          <w:color w:val="231F20"/>
        </w:rPr>
        <w:t>127</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3. Segment Information</w:t>
      </w:r>
      <w:r>
        <w:rPr>
          <w:sz w:val="20"/>
          <w:szCs w:val="20"/>
          <w:color w:val="auto"/>
        </w:rPr>
        <w:tab/>
      </w:r>
      <w:r>
        <w:rPr>
          <w:rFonts w:ascii="Arial" w:cs="Arial" w:eastAsia="Arial" w:hAnsi="Arial"/>
          <w:sz w:val="19"/>
          <w:szCs w:val="19"/>
          <w:color w:val="231F20"/>
        </w:rPr>
        <w:t>128</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4. Investments</w:t>
      </w:r>
      <w:r>
        <w:rPr>
          <w:sz w:val="20"/>
          <w:szCs w:val="20"/>
          <w:color w:val="auto"/>
        </w:rPr>
        <w:tab/>
      </w:r>
      <w:r>
        <w:rPr>
          <w:rFonts w:ascii="Arial" w:cs="Arial" w:eastAsia="Arial" w:hAnsi="Arial"/>
          <w:sz w:val="19"/>
          <w:szCs w:val="19"/>
          <w:color w:val="231F20"/>
        </w:rPr>
        <w:t>129</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5. Fair Value Measurements</w:t>
      </w:r>
      <w:r>
        <w:rPr>
          <w:sz w:val="20"/>
          <w:szCs w:val="20"/>
          <w:color w:val="auto"/>
        </w:rPr>
        <w:tab/>
      </w:r>
      <w:r>
        <w:rPr>
          <w:rFonts w:ascii="Arial" w:cs="Arial" w:eastAsia="Arial" w:hAnsi="Arial"/>
          <w:sz w:val="19"/>
          <w:szCs w:val="19"/>
          <w:color w:val="231F20"/>
        </w:rPr>
        <w:t>130</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6. Derivative Instruments</w:t>
      </w:r>
      <w:r>
        <w:rPr>
          <w:sz w:val="20"/>
          <w:szCs w:val="20"/>
          <w:color w:val="auto"/>
        </w:rPr>
        <w:tab/>
      </w:r>
      <w:r>
        <w:rPr>
          <w:rFonts w:ascii="Arial" w:cs="Arial" w:eastAsia="Arial" w:hAnsi="Arial"/>
          <w:sz w:val="19"/>
          <w:szCs w:val="19"/>
          <w:color w:val="231F20"/>
        </w:rPr>
        <w:t>132</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7. Accrued Expenses and Other Current Liabilities</w:t>
      </w:r>
      <w:r>
        <w:rPr>
          <w:sz w:val="20"/>
          <w:szCs w:val="20"/>
          <w:color w:val="auto"/>
        </w:rPr>
        <w:tab/>
      </w:r>
      <w:r>
        <w:rPr>
          <w:rFonts w:ascii="Arial" w:cs="Arial" w:eastAsia="Arial" w:hAnsi="Arial"/>
          <w:sz w:val="19"/>
          <w:szCs w:val="19"/>
          <w:color w:val="231F20"/>
        </w:rPr>
        <w:t>132</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8. Property and Equipment, net</w:t>
      </w:r>
      <w:r>
        <w:rPr>
          <w:sz w:val="20"/>
          <w:szCs w:val="20"/>
          <w:color w:val="auto"/>
        </w:rPr>
        <w:tab/>
      </w:r>
      <w:r>
        <w:rPr>
          <w:rFonts w:ascii="Arial" w:cs="Arial" w:eastAsia="Arial" w:hAnsi="Arial"/>
          <w:sz w:val="19"/>
          <w:szCs w:val="19"/>
          <w:color w:val="231F20"/>
        </w:rPr>
        <w:t>132</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9. Business Combinations</w:t>
      </w:r>
      <w:r>
        <w:rPr>
          <w:sz w:val="20"/>
          <w:szCs w:val="20"/>
          <w:color w:val="auto"/>
        </w:rPr>
        <w:tab/>
      </w:r>
      <w:r>
        <w:rPr>
          <w:rFonts w:ascii="Arial" w:cs="Arial" w:eastAsia="Arial" w:hAnsi="Arial"/>
          <w:sz w:val="19"/>
          <w:szCs w:val="19"/>
          <w:color w:val="231F20"/>
        </w:rPr>
        <w:t>133</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10. Goodwill and Acquired Intangible Assets</w:t>
      </w:r>
      <w:r>
        <w:rPr>
          <w:sz w:val="20"/>
          <w:szCs w:val="20"/>
          <w:color w:val="auto"/>
        </w:rPr>
        <w:tab/>
      </w:r>
      <w:r>
        <w:rPr>
          <w:rFonts w:ascii="Arial" w:cs="Arial" w:eastAsia="Arial" w:hAnsi="Arial"/>
          <w:sz w:val="19"/>
          <w:szCs w:val="19"/>
          <w:color w:val="231F20"/>
        </w:rPr>
        <w:t>137</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11. Debt</w:t>
      </w:r>
      <w:r>
        <w:rPr>
          <w:sz w:val="20"/>
          <w:szCs w:val="20"/>
          <w:color w:val="auto"/>
        </w:rPr>
        <w:tab/>
      </w:r>
      <w:r>
        <w:rPr>
          <w:rFonts w:ascii="Arial" w:cs="Arial" w:eastAsia="Arial" w:hAnsi="Arial"/>
          <w:sz w:val="19"/>
          <w:szCs w:val="19"/>
          <w:color w:val="231F20"/>
        </w:rPr>
        <w:t>138</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12. Stockholders’ Equity</w:t>
      </w:r>
      <w:r>
        <w:rPr>
          <w:sz w:val="20"/>
          <w:szCs w:val="20"/>
          <w:color w:val="auto"/>
        </w:rPr>
        <w:tab/>
      </w:r>
      <w:r>
        <w:rPr>
          <w:rFonts w:ascii="Arial" w:cs="Arial" w:eastAsia="Arial" w:hAnsi="Arial"/>
          <w:sz w:val="19"/>
          <w:szCs w:val="19"/>
          <w:color w:val="231F20"/>
        </w:rPr>
        <w:t>140</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13. Stock-Based Compensation</w:t>
      </w:r>
      <w:r>
        <w:rPr>
          <w:sz w:val="20"/>
          <w:szCs w:val="20"/>
          <w:color w:val="auto"/>
        </w:rPr>
        <w:tab/>
      </w:r>
      <w:r>
        <w:rPr>
          <w:rFonts w:ascii="Arial" w:cs="Arial" w:eastAsia="Arial" w:hAnsi="Arial"/>
          <w:sz w:val="19"/>
          <w:szCs w:val="19"/>
          <w:color w:val="231F20"/>
        </w:rPr>
        <w:t>141</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14. Net Income (Loss) per Share</w:t>
      </w:r>
      <w:r>
        <w:rPr>
          <w:sz w:val="20"/>
          <w:szCs w:val="20"/>
          <w:color w:val="auto"/>
        </w:rPr>
        <w:tab/>
      </w:r>
      <w:r>
        <w:rPr>
          <w:rFonts w:ascii="Arial" w:cs="Arial" w:eastAsia="Arial" w:hAnsi="Arial"/>
          <w:sz w:val="19"/>
          <w:szCs w:val="19"/>
          <w:color w:val="231F20"/>
        </w:rPr>
        <w:t>144</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15. Income Taxes</w:t>
      </w:r>
      <w:r>
        <w:rPr>
          <w:sz w:val="20"/>
          <w:szCs w:val="20"/>
          <w:color w:val="auto"/>
        </w:rPr>
        <w:tab/>
      </w:r>
      <w:r>
        <w:rPr>
          <w:rFonts w:ascii="Arial" w:cs="Arial" w:eastAsia="Arial" w:hAnsi="Arial"/>
          <w:sz w:val="19"/>
          <w:szCs w:val="19"/>
          <w:color w:val="231F20"/>
        </w:rPr>
        <w:t>144</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16. Leases</w:t>
      </w:r>
      <w:r>
        <w:rPr>
          <w:sz w:val="20"/>
          <w:szCs w:val="20"/>
          <w:color w:val="auto"/>
        </w:rPr>
        <w:tab/>
      </w:r>
      <w:r>
        <w:rPr>
          <w:rFonts w:ascii="Arial" w:cs="Arial" w:eastAsia="Arial" w:hAnsi="Arial"/>
          <w:sz w:val="19"/>
          <w:szCs w:val="19"/>
          <w:color w:val="231F20"/>
        </w:rPr>
        <w:t>147</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17. Commitments and Contingencies</w:t>
      </w:r>
      <w:r>
        <w:rPr>
          <w:sz w:val="20"/>
          <w:szCs w:val="20"/>
          <w:color w:val="auto"/>
        </w:rPr>
        <w:tab/>
      </w:r>
      <w:r>
        <w:rPr>
          <w:rFonts w:ascii="Arial" w:cs="Arial" w:eastAsia="Arial" w:hAnsi="Arial"/>
          <w:sz w:val="19"/>
          <w:szCs w:val="19"/>
          <w:color w:val="231F20"/>
        </w:rPr>
        <w:t>148</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18. Employee Benefit Plan</w:t>
      </w:r>
      <w:r>
        <w:rPr>
          <w:sz w:val="20"/>
          <w:szCs w:val="20"/>
          <w:color w:val="auto"/>
        </w:rPr>
        <w:tab/>
      </w:r>
      <w:r>
        <w:rPr>
          <w:rFonts w:ascii="Arial" w:cs="Arial" w:eastAsia="Arial" w:hAnsi="Arial"/>
          <w:sz w:val="19"/>
          <w:szCs w:val="19"/>
          <w:color w:val="231F20"/>
        </w:rPr>
        <w:t>149</w:t>
      </w:r>
    </w:p>
    <w:p>
      <w:pPr>
        <w:spacing w:after="0" w:line="18"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9"/>
          <w:szCs w:val="19"/>
          <w:color w:val="231F20"/>
        </w:rPr>
        <w:t>Note 19. Subsequent Event</w:t>
      </w:r>
      <w:r>
        <w:rPr>
          <w:sz w:val="20"/>
          <w:szCs w:val="20"/>
          <w:color w:val="auto"/>
        </w:rPr>
        <w:tab/>
      </w:r>
      <w:r>
        <w:rPr>
          <w:rFonts w:ascii="Arial" w:cs="Arial" w:eastAsia="Arial" w:hAnsi="Arial"/>
          <w:sz w:val="19"/>
          <w:szCs w:val="19"/>
          <w:color w:val="231F20"/>
        </w:rPr>
        <w:t>149</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106</w:t>
      </w:r>
    </w:p>
    <w:p>
      <w:pPr>
        <w:sectPr>
          <w:pgSz w:w="12240" w:h="15840" w:orient="portrait"/>
          <w:cols w:equalWidth="0" w:num="1">
            <w:col w:w="10200"/>
          </w:cols>
          <w:pgMar w:left="1020" w:top="1440" w:right="1020" w:bottom="572" w:gutter="0" w:footer="0" w:header="0"/>
          <w:type w:val="continuous"/>
        </w:sectPr>
      </w:pPr>
    </w:p>
    <w:bookmarkStart w:id="107" w:name="page108"/>
    <w:bookmarkEnd w:id="107"/>
    <w:p>
      <w:pPr>
        <w:spacing w:after="0" w:line="93" w:lineRule="exact"/>
        <w:rPr>
          <w:sz w:val="20"/>
          <w:szCs w:val="20"/>
          <w:color w:val="auto"/>
        </w:rPr>
      </w:pPr>
    </w:p>
    <w:p>
      <w:pPr>
        <w:ind w:left="1900"/>
        <w:spacing w:after="0"/>
        <w:rPr>
          <w:sz w:val="20"/>
          <w:szCs w:val="20"/>
          <w:color w:val="auto"/>
        </w:rPr>
      </w:pPr>
      <w:r>
        <w:rPr>
          <w:rFonts w:ascii="Arial" w:cs="Arial" w:eastAsia="Arial" w:hAnsi="Arial"/>
          <w:sz w:val="19"/>
          <w:szCs w:val="19"/>
          <w:b w:val="1"/>
          <w:bCs w:val="1"/>
          <w:color w:val="231F20"/>
        </w:rPr>
        <w:t>REPORT OF INDEPENDENT REGISTERED PUBLIC ACCOUNTING FIRM</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231F20"/>
        </w:rPr>
        <w:t>To the Board of Directors and Stockholders of Flywire Corporation</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Opinions on the Financial Statements and Internal Control over Financial Reporting</w:t>
      </w:r>
    </w:p>
    <w:p>
      <w:pPr>
        <w:spacing w:after="0" w:line="184" w:lineRule="exact"/>
        <w:rPr>
          <w:sz w:val="20"/>
          <w:szCs w:val="20"/>
          <w:color w:val="auto"/>
        </w:rPr>
      </w:pPr>
    </w:p>
    <w:p>
      <w:pPr>
        <w:ind w:right="280"/>
        <w:spacing w:after="0" w:line="245" w:lineRule="auto"/>
        <w:rPr>
          <w:sz w:val="20"/>
          <w:szCs w:val="20"/>
          <w:color w:val="auto"/>
        </w:rPr>
      </w:pPr>
      <w:r>
        <w:rPr>
          <w:rFonts w:ascii="Arial" w:cs="Arial" w:eastAsia="Arial" w:hAnsi="Arial"/>
          <w:sz w:val="19"/>
          <w:szCs w:val="19"/>
          <w:color w:val="231F20"/>
        </w:rPr>
        <w:t xml:space="preserve">We have audited the accompanying consolidated balance sheets of Flywire Corporation and its subsidiaries (the "Company") as of December 31, 2024 and 2023, and the related consolidated statements of operations and comprehensive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Arial" w:cs="Arial" w:eastAsia="Arial" w:hAnsi="Arial"/>
          <w:sz w:val="19"/>
          <w:szCs w:val="19"/>
          <w:i w:val="1"/>
          <w:iCs w:val="1"/>
          <w:color w:val="231F20"/>
        </w:rPr>
        <w:t>Internal Control - Integrated Framework</w:t>
      </w:r>
      <w:r>
        <w:rPr>
          <w:rFonts w:ascii="Arial" w:cs="Arial" w:eastAsia="Arial" w:hAnsi="Arial"/>
          <w:sz w:val="19"/>
          <w:szCs w:val="19"/>
          <w:color w:val="231F20"/>
        </w:rPr>
        <w:t xml:space="preserve"> (2013) issued by the Committee of Sponsoring Organizations of the Treadway Commission (COSO).</w:t>
      </w:r>
    </w:p>
    <w:p>
      <w:pPr>
        <w:spacing w:after="0" w:line="148" w:lineRule="exact"/>
        <w:rPr>
          <w:sz w:val="20"/>
          <w:szCs w:val="20"/>
          <w:color w:val="auto"/>
        </w:rPr>
      </w:pPr>
    </w:p>
    <w:p>
      <w:pPr>
        <w:ind w:right="120"/>
        <w:spacing w:after="0" w:line="246" w:lineRule="auto"/>
        <w:rPr>
          <w:sz w:val="20"/>
          <w:szCs w:val="20"/>
          <w:color w:val="auto"/>
        </w:rPr>
      </w:pPr>
      <w:r>
        <w:rPr>
          <w:rFonts w:ascii="Arial" w:cs="Arial" w:eastAsia="Arial" w:hAnsi="Arial"/>
          <w:sz w:val="19"/>
          <w:szCs w:val="19"/>
          <w:color w:val="231F20"/>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Arial" w:cs="Arial" w:eastAsia="Arial" w:hAnsi="Arial"/>
          <w:sz w:val="19"/>
          <w:szCs w:val="19"/>
          <w:i w:val="1"/>
          <w:iCs w:val="1"/>
          <w:color w:val="231F20"/>
        </w:rPr>
        <w:t>Internal Control - Integrated</w:t>
      </w:r>
      <w:r>
        <w:rPr>
          <w:rFonts w:ascii="Arial" w:cs="Arial" w:eastAsia="Arial" w:hAnsi="Arial"/>
          <w:sz w:val="19"/>
          <w:szCs w:val="19"/>
          <w:color w:val="231F20"/>
        </w:rPr>
        <w:t xml:space="preserve"> </w:t>
      </w:r>
      <w:r>
        <w:rPr>
          <w:rFonts w:ascii="Arial" w:cs="Arial" w:eastAsia="Arial" w:hAnsi="Arial"/>
          <w:sz w:val="19"/>
          <w:szCs w:val="19"/>
          <w:i w:val="1"/>
          <w:iCs w:val="1"/>
          <w:color w:val="231F20"/>
        </w:rPr>
        <w:t xml:space="preserve">Framework </w:t>
      </w:r>
      <w:r>
        <w:rPr>
          <w:rFonts w:ascii="Arial" w:cs="Arial" w:eastAsia="Arial" w:hAnsi="Arial"/>
          <w:sz w:val="19"/>
          <w:szCs w:val="19"/>
          <w:color w:val="231F20"/>
        </w:rPr>
        <w:t>(2013) issued by the COSO.</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Basis for Opinions</w:t>
      </w:r>
    </w:p>
    <w:p>
      <w:pPr>
        <w:spacing w:after="0" w:line="184"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color w:val="231F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right="280"/>
        <w:spacing w:after="0" w:line="251" w:lineRule="auto"/>
        <w:rPr>
          <w:sz w:val="20"/>
          <w:szCs w:val="20"/>
          <w:color w:val="auto"/>
        </w:rPr>
      </w:pPr>
      <w:r>
        <w:rPr>
          <w:rFonts w:ascii="Arial" w:cs="Arial" w:eastAsia="Arial" w:hAnsi="Arial"/>
          <w:sz w:val="19"/>
          <w:szCs w:val="19"/>
          <w:color w:val="231F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9"/>
          <w:szCs w:val="19"/>
          <w:color w:val="231F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9" w:lineRule="exact"/>
        <w:rPr>
          <w:sz w:val="20"/>
          <w:szCs w:val="20"/>
          <w:color w:val="auto"/>
        </w:rPr>
      </w:pPr>
    </w:p>
    <w:p>
      <w:pPr>
        <w:ind w:right="220"/>
        <w:spacing w:after="0" w:line="245" w:lineRule="auto"/>
        <w:rPr>
          <w:sz w:val="20"/>
          <w:szCs w:val="20"/>
          <w:color w:val="auto"/>
        </w:rPr>
      </w:pPr>
      <w:r>
        <w:rPr>
          <w:rFonts w:ascii="Arial" w:cs="Arial" w:eastAsia="Arial" w:hAnsi="Arial"/>
          <w:sz w:val="19"/>
          <w:szCs w:val="19"/>
          <w:color w:val="231F20"/>
        </w:rPr>
        <w:t>As described in Management’s Annual Report on Internal Control Over Financial Reporting, management has excluded Invoiced Inc. (“Invoiced”) from its assessment of internal control over financial reporting as of December 31, 2024, because it was acquired by the Company in a purchase business combination during 2024. We have also excluded Invoiced from our audit of internal control over financial reporting. Invoiced is a wholly-owned subsidiary whose total assets and revenue excluded from management’s assessment and our audit of internal control over financial reporting represent less than 1% of each of the related consolidated financial statement amounts as of and for the year ended December 31, 2024.</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Definition and Limitations of Internal Control over Financial Reporting</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9"/>
          <w:szCs w:val="19"/>
          <w:color w:val="231F20"/>
        </w:rPr>
        <w:t>A company’s internal control over financial reporting is a process designed to provide reasonable assurance regarding the reliability of financial reporting and the preparation of financial statements for external purposes in accordance with</w:t>
      </w:r>
    </w:p>
    <w:p>
      <w:pPr>
        <w:sectPr>
          <w:pgSz w:w="12240" w:h="15840" w:orient="portrait"/>
          <w:cols w:equalWidth="0" w:num="1">
            <w:col w:w="10180"/>
          </w:cols>
          <w:pgMar w:left="1020" w:top="1440" w:right="1040" w:bottom="572"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107</w:t>
      </w:r>
    </w:p>
    <w:p>
      <w:pPr>
        <w:sectPr>
          <w:pgSz w:w="12240" w:h="15840" w:orient="portrait"/>
          <w:cols w:equalWidth="0" w:num="1">
            <w:col w:w="10180"/>
          </w:cols>
          <w:pgMar w:left="1020" w:top="1440" w:right="1040" w:bottom="572" w:gutter="0" w:footer="0" w:header="0"/>
          <w:type w:val="continuous"/>
        </w:sectPr>
      </w:pPr>
    </w:p>
    <w:bookmarkStart w:id="108" w:name="page109"/>
    <w:bookmarkEnd w:id="108"/>
    <w:p>
      <w:pPr>
        <w:spacing w:after="0" w:line="97" w:lineRule="exact"/>
        <w:rPr>
          <w:sz w:val="20"/>
          <w:szCs w:val="20"/>
          <w:color w:val="auto"/>
        </w:rPr>
      </w:pPr>
    </w:p>
    <w:p>
      <w:pPr>
        <w:ind w:right="200"/>
        <w:spacing w:after="0" w:line="244" w:lineRule="auto"/>
        <w:rPr>
          <w:sz w:val="20"/>
          <w:szCs w:val="20"/>
          <w:color w:val="auto"/>
        </w:rPr>
      </w:pPr>
      <w:r>
        <w:rPr>
          <w:rFonts w:ascii="Arial" w:cs="Arial" w:eastAsia="Arial" w:hAnsi="Arial"/>
          <w:sz w:val="19"/>
          <w:szCs w:val="19"/>
          <w:color w:val="231F20"/>
        </w:rPr>
        <w:t>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Critical Audit Matters</w:t>
      </w:r>
    </w:p>
    <w:p>
      <w:pPr>
        <w:spacing w:after="0" w:line="14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231F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Revenue Recognition – Transaction Revenue for Cross-Border Transactions</w:t>
      </w:r>
    </w:p>
    <w:p>
      <w:pPr>
        <w:spacing w:after="0" w:line="142"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231F20"/>
        </w:rPr>
        <w:t>As described in Notes 1 and 2 to the consolidated financial statements, the Company’s transaction revenue relates to fees charged for payment processing services provided to educational institutions, healthcare entities and other commercial entities (each a client), which is comprised of processing domestic and cross-border transactions. Total transaction revenue for the year ended December 31, 2024 was $410.3 million, of which a significant portion related to cross-border transactions. Revenue is recognized when a customer obtains control of the promised goods or services, in an amount that reflects the consideration which the entity expects to receive in exchange for those goods or services.</w:t>
      </w:r>
    </w:p>
    <w:p>
      <w:pPr>
        <w:spacing w:after="0" w:line="111"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231F20"/>
        </w:rPr>
        <w:t>The principal considerations for our determination that performing procedures relating to recognition of transaction revenue for cross-border transactions is a critical audit matter are a high degree of auditor effort in performing procedures and evaluating audit evidence related to the Company’s revenue recognition for cross-border transactions.</w:t>
      </w:r>
    </w:p>
    <w:p>
      <w:pPr>
        <w:spacing w:after="0" w:line="98" w:lineRule="exact"/>
        <w:rPr>
          <w:sz w:val="20"/>
          <w:szCs w:val="20"/>
          <w:color w:val="auto"/>
        </w:rPr>
      </w:pPr>
    </w:p>
    <w:p>
      <w:pPr>
        <w:ind w:right="80"/>
        <w:spacing w:after="0" w:line="244" w:lineRule="auto"/>
        <w:rPr>
          <w:sz w:val="20"/>
          <w:szCs w:val="20"/>
          <w:color w:val="auto"/>
        </w:rPr>
      </w:pPr>
      <w:r>
        <w:rPr>
          <w:rFonts w:ascii="Arial" w:cs="Arial" w:eastAsia="Arial" w:hAnsi="Arial"/>
          <w:sz w:val="19"/>
          <w:szCs w:val="19"/>
          <w:color w:val="231F20"/>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over revenue transactions recognized as cross-border transactions. These procedures also included, among others (i) testing revenue recognized for a sample of cross-border revenue transactions by obtaining and inspecting source documents, such as client contracts, cash receipts and cash payments; (ii) testing the revenue recognized for a sample of cross-border revenue transactions near period end by obtaining and inspecting source documents, such as bank statements; and (iii) confirming a sample of balances receivable from third party payment providers outstanding as of December 31, 2024.</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Acquisition of Invoiced Inc. – Valuation of Acquired Relationships and Developed Technology</w:t>
      </w:r>
    </w:p>
    <w:p>
      <w:pPr>
        <w:spacing w:after="0" w:line="142" w:lineRule="exact"/>
        <w:rPr>
          <w:sz w:val="20"/>
          <w:szCs w:val="20"/>
          <w:color w:val="auto"/>
        </w:rPr>
      </w:pPr>
    </w:p>
    <w:p>
      <w:pPr>
        <w:ind w:right="40"/>
        <w:spacing w:after="0" w:line="243" w:lineRule="auto"/>
        <w:rPr>
          <w:sz w:val="20"/>
          <w:szCs w:val="20"/>
          <w:color w:val="auto"/>
        </w:rPr>
      </w:pPr>
      <w:r>
        <w:rPr>
          <w:rFonts w:ascii="Arial" w:cs="Arial" w:eastAsia="Arial" w:hAnsi="Arial"/>
          <w:sz w:val="19"/>
          <w:szCs w:val="19"/>
          <w:color w:val="231F20"/>
        </w:rPr>
        <w:t>As described in Notes 1 and 9 to the consolidated financial statements, on August 2, 2024, the Company acquired all of the issued and outstanding shares of Invoiced for estimated total purchase consideration, net of cash acquired, of $51.7 million. Of the acquired intangible assets, $18.6 million of acquired relationships and $7.1 million of developed technology were recorded. Management estimates the fair value of acquired relationships under the income approach using the multi-period excess earnings method and estimates the fair value of acquired developed technology under the income approach using the relief-from-royalty method. Determining the fair value of assets acquired is judgmental in nature and can involve the use of significant estimates and assumptions. Fair value determinations are based on, among other factors, estimates of future expected cash flows, revenue growth rates, royalty rates, operating margins and appropriate discount rates used in computing present values.</w:t>
      </w:r>
    </w:p>
    <w:p>
      <w:pPr>
        <w:spacing w:after="0" w:line="115" w:lineRule="exact"/>
        <w:rPr>
          <w:sz w:val="20"/>
          <w:szCs w:val="20"/>
          <w:color w:val="auto"/>
        </w:rPr>
      </w:pPr>
    </w:p>
    <w:p>
      <w:pPr>
        <w:spacing w:after="0" w:line="265" w:lineRule="auto"/>
        <w:rPr>
          <w:sz w:val="20"/>
          <w:szCs w:val="20"/>
          <w:color w:val="auto"/>
        </w:rPr>
      </w:pPr>
      <w:r>
        <w:rPr>
          <w:rFonts w:ascii="Arial" w:cs="Arial" w:eastAsia="Arial" w:hAnsi="Arial"/>
          <w:sz w:val="18"/>
          <w:szCs w:val="18"/>
          <w:color w:val="231F20"/>
        </w:rPr>
        <w:t>The principal considerations for our determination that performing procedures relating to the valuation of the acquired relationships and developed technology acquired in the acquisition of Invoiced is a critical audit matter are (i) the significant judgment by management when developing the fair value estimates of the acquired relationships and developed technology acquired; (ii) a high degree of auditor judgment, subjectivity, and effort in performing procedures and evaluating management’s significant assumptions related to revenue growth rates and discount rates for the acquired relationships and</w:t>
      </w:r>
    </w:p>
    <w:p>
      <w:pPr>
        <w:sectPr>
          <w:pgSz w:w="12240" w:h="15840" w:orient="portrait"/>
          <w:cols w:equalWidth="0" w:num="1">
            <w:col w:w="10360"/>
          </w:cols>
          <w:pgMar w:left="1020" w:top="1440" w:right="860" w:bottom="572" w:gutter="0" w:footer="0" w:header="0"/>
        </w:sectPr>
      </w:pPr>
    </w:p>
    <w:p>
      <w:pPr>
        <w:spacing w:after="0" w:line="303"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231F20"/>
        </w:rPr>
        <w:t>108</w:t>
      </w:r>
    </w:p>
    <w:p>
      <w:pPr>
        <w:sectPr>
          <w:pgSz w:w="12240" w:h="15840" w:orient="portrait"/>
          <w:cols w:equalWidth="0" w:num="1">
            <w:col w:w="10360"/>
          </w:cols>
          <w:pgMar w:left="1020" w:top="1440" w:right="860" w:bottom="572" w:gutter="0" w:footer="0" w:header="0"/>
          <w:type w:val="continuous"/>
        </w:sectPr>
      </w:pPr>
    </w:p>
    <w:bookmarkStart w:id="109" w:name="page110"/>
    <w:bookmarkEnd w:id="109"/>
    <w:p>
      <w:pPr>
        <w:spacing w:after="0" w:line="97" w:lineRule="exact"/>
        <w:rPr>
          <w:sz w:val="20"/>
          <w:szCs w:val="20"/>
          <w:color w:val="auto"/>
        </w:rPr>
      </w:pPr>
    </w:p>
    <w:p>
      <w:pPr>
        <w:ind w:right="200"/>
        <w:spacing w:after="0" w:line="278" w:lineRule="auto"/>
        <w:rPr>
          <w:sz w:val="20"/>
          <w:szCs w:val="20"/>
          <w:color w:val="auto"/>
        </w:rPr>
      </w:pPr>
      <w:r>
        <w:rPr>
          <w:rFonts w:ascii="Arial" w:cs="Arial" w:eastAsia="Arial" w:hAnsi="Arial"/>
          <w:sz w:val="19"/>
          <w:szCs w:val="19"/>
          <w:color w:val="231F20"/>
        </w:rPr>
        <w:t>developed technology assets acquired; and (iii) the audit effort involved the use of professionals with specialized skill and knowledge.</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9"/>
          <w:szCs w:val="19"/>
          <w:color w:val="231F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acquired relationships and developed technology acquired. These procedures also included, among others (i) reading the purchase agreement; (ii) testing management’s process for developing the fair value estimate of the acquired relationships and developed technology acquired; (iii) evaluating the appropriateness of the multi-period excess earnings and relief from royalty methods used by management; (iv) testing the completeness and accuracy of the underlying data used in the multi-period excess earnings and relief from royalty methods; and (v) evaluating the reasonableness of the significant assumptions used by management related to revenue growth rates and discount rates for the acquired relationships and developed technology. Evaluating management’s assumptions related to revenue growth rates involved considering (i) the current and past performance of the Invoiced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multi-period excess earnings and relief from royalty methods used by management and (ii) the reasonableness of the discount rate assumptions for the acquired relationships and developed technology.</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231F20"/>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231F20"/>
        </w:rPr>
        <w:t>Boston, Massachusetts</w:t>
      </w:r>
    </w:p>
    <w:p>
      <w:pPr>
        <w:spacing w:after="0"/>
        <w:rPr>
          <w:sz w:val="20"/>
          <w:szCs w:val="20"/>
          <w:color w:val="auto"/>
        </w:rPr>
      </w:pPr>
      <w:r>
        <w:rPr>
          <w:rFonts w:ascii="Arial" w:cs="Arial" w:eastAsia="Arial" w:hAnsi="Arial"/>
          <w:sz w:val="19"/>
          <w:szCs w:val="19"/>
          <w:color w:val="231F20"/>
        </w:rPr>
        <w:t>February 25, 2025</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231F20"/>
        </w:rPr>
        <w:t>We have served as the Company’s auditor since 2019.</w:t>
      </w:r>
    </w:p>
    <w:p>
      <w:pPr>
        <w:sectPr>
          <w:pgSz w:w="12240" w:h="15840" w:orient="portrait"/>
          <w:cols w:equalWidth="0" w:num="1">
            <w:col w:w="10300"/>
          </w:cols>
          <w:pgMar w:left="1020" w:top="1440" w:right="9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231F20"/>
        </w:rPr>
        <w:t>109</w:t>
      </w:r>
    </w:p>
    <w:p>
      <w:pPr>
        <w:sectPr>
          <w:pgSz w:w="12240" w:h="15840" w:orient="portrait"/>
          <w:cols w:equalWidth="0" w:num="1">
            <w:col w:w="10300"/>
          </w:cols>
          <w:pgMar w:left="1020" w:top="1440" w:right="920" w:bottom="572" w:gutter="0" w:footer="0" w:header="0"/>
          <w:type w:val="continuous"/>
        </w:sectPr>
      </w:pPr>
    </w:p>
    <w:bookmarkStart w:id="110" w:name="page111"/>
    <w:bookmarkEnd w:id="110"/>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FLYWIRE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CONSOLIDATED BALANCE SHEETS</w:t>
      </w:r>
    </w:p>
    <w:p>
      <w:pPr>
        <w:jc w:val="center"/>
        <w:spacing w:after="0"/>
        <w:rPr>
          <w:sz w:val="20"/>
          <w:szCs w:val="20"/>
          <w:color w:val="auto"/>
        </w:rPr>
      </w:pPr>
      <w:r>
        <w:rPr>
          <w:rFonts w:ascii="Arial" w:cs="Arial" w:eastAsia="Arial" w:hAnsi="Arial"/>
          <w:sz w:val="19"/>
          <w:szCs w:val="19"/>
          <w:color w:val="231F20"/>
        </w:rPr>
        <w:t>(Amounts in thousands, except par value per share and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60" w:type="dxa"/>
            <w:vAlign w:val="bottom"/>
            <w:tcBorders>
              <w:bottom w:val="single" w:sz="8" w:color="FDFDFC"/>
            </w:tcBorders>
            <w:shd w:val="clear" w:color="auto" w:fill="FDFDFC"/>
          </w:tcPr>
          <w:p>
            <w:pPr>
              <w:spacing w:after="0"/>
              <w:rPr>
                <w:sz w:val="16"/>
                <w:szCs w:val="16"/>
                <w:color w:val="auto"/>
              </w:rPr>
            </w:pPr>
          </w:p>
        </w:tc>
        <w:tc>
          <w:tcPr>
            <w:tcW w:w="160" w:type="dxa"/>
            <w:vAlign w:val="bottom"/>
            <w:tcBorders>
              <w:bottom w:val="single" w:sz="8" w:color="FDFDFC"/>
            </w:tcBorders>
            <w:shd w:val="clear" w:color="auto" w:fill="FDFDFC"/>
          </w:tcPr>
          <w:p>
            <w:pPr>
              <w:spacing w:after="0"/>
              <w:rPr>
                <w:sz w:val="16"/>
                <w:szCs w:val="16"/>
                <w:color w:val="auto"/>
              </w:rPr>
            </w:pPr>
          </w:p>
        </w:tc>
        <w:tc>
          <w:tcPr>
            <w:tcW w:w="280" w:type="dxa"/>
            <w:vAlign w:val="bottom"/>
            <w:tcBorders>
              <w:bottom w:val="single" w:sz="8" w:color="231F20"/>
            </w:tcBorders>
            <w:shd w:val="clear" w:color="auto" w:fill="FDFDFC"/>
          </w:tcPr>
          <w:p>
            <w:pPr>
              <w:spacing w:after="0"/>
              <w:rPr>
                <w:sz w:val="16"/>
                <w:szCs w:val="16"/>
                <w:color w:val="auto"/>
              </w:rPr>
            </w:pPr>
          </w:p>
        </w:tc>
        <w:tc>
          <w:tcPr>
            <w:tcW w:w="1700" w:type="dxa"/>
            <w:vAlign w:val="bottom"/>
            <w:tcBorders>
              <w:bottom w:val="single" w:sz="8" w:color="231F20"/>
            </w:tcBorders>
            <w:gridSpan w:val="4"/>
            <w:shd w:val="clear" w:color="auto" w:fill="FDFDFC"/>
          </w:tcPr>
          <w:p>
            <w:pPr>
              <w:jc w:val="right"/>
              <w:spacing w:after="0"/>
              <w:rPr>
                <w:sz w:val="20"/>
                <w:szCs w:val="20"/>
                <w:color w:val="auto"/>
              </w:rPr>
            </w:pPr>
            <w:r>
              <w:rPr>
                <w:rFonts w:ascii="Arial" w:cs="Arial" w:eastAsia="Arial" w:hAnsi="Arial"/>
                <w:sz w:val="15"/>
                <w:szCs w:val="15"/>
                <w:b w:val="1"/>
                <w:bCs w:val="1"/>
                <w:color w:val="231F20"/>
              </w:rPr>
              <w:t>December 31,</w:t>
            </w:r>
          </w:p>
        </w:tc>
        <w:tc>
          <w:tcPr>
            <w:tcW w:w="90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060" w:type="dxa"/>
            <w:vAlign w:val="bottom"/>
            <w:tcBorders>
              <w:bottom w:val="single" w:sz="8" w:color="D0EBF2"/>
            </w:tcBorders>
            <w:shd w:val="clear" w:color="auto" w:fill="FDFDFC"/>
          </w:tcPr>
          <w:p>
            <w:pPr>
              <w:spacing w:after="0"/>
              <w:rPr>
                <w:sz w:val="15"/>
                <w:szCs w:val="15"/>
                <w:color w:val="auto"/>
              </w:rPr>
            </w:pPr>
          </w:p>
        </w:tc>
        <w:tc>
          <w:tcPr>
            <w:tcW w:w="160" w:type="dxa"/>
            <w:vAlign w:val="bottom"/>
            <w:tcBorders>
              <w:bottom w:val="single" w:sz="8" w:color="D0EBF2"/>
            </w:tcBorders>
            <w:shd w:val="clear" w:color="auto" w:fill="FDFDFC"/>
          </w:tcPr>
          <w:p>
            <w:pPr>
              <w:spacing w:after="0"/>
              <w:rPr>
                <w:sz w:val="15"/>
                <w:szCs w:val="15"/>
                <w:color w:val="auto"/>
              </w:rPr>
            </w:pPr>
          </w:p>
        </w:tc>
        <w:tc>
          <w:tcPr>
            <w:tcW w:w="280" w:type="dxa"/>
            <w:vAlign w:val="bottom"/>
            <w:tcBorders>
              <w:bottom w:val="single" w:sz="8" w:color="231F20"/>
            </w:tcBorders>
            <w:shd w:val="clear" w:color="auto" w:fill="FDFDFC"/>
          </w:tcPr>
          <w:p>
            <w:pPr>
              <w:spacing w:after="0"/>
              <w:rPr>
                <w:sz w:val="15"/>
                <w:szCs w:val="15"/>
                <w:color w:val="auto"/>
              </w:rPr>
            </w:pPr>
          </w:p>
        </w:tc>
        <w:tc>
          <w:tcPr>
            <w:tcW w:w="1040" w:type="dxa"/>
            <w:vAlign w:val="bottom"/>
            <w:tcBorders>
              <w:bottom w:val="single" w:sz="8" w:color="231F20"/>
            </w:tcBorders>
            <w:shd w:val="clear" w:color="auto" w:fill="FDFDFC"/>
          </w:tcPr>
          <w:p>
            <w:pPr>
              <w:jc w:val="right"/>
              <w:ind w:right="407"/>
              <w:spacing w:after="0"/>
              <w:rPr>
                <w:sz w:val="20"/>
                <w:szCs w:val="20"/>
                <w:color w:val="auto"/>
              </w:rPr>
            </w:pPr>
            <w:r>
              <w:rPr>
                <w:rFonts w:ascii="Arial" w:cs="Arial" w:eastAsia="Arial" w:hAnsi="Arial"/>
                <w:sz w:val="15"/>
                <w:szCs w:val="15"/>
                <w:b w:val="1"/>
                <w:bCs w:val="1"/>
                <w:color w:val="231F20"/>
              </w:rPr>
              <w:t>2024</w:t>
            </w:r>
          </w:p>
        </w:tc>
        <w:tc>
          <w:tcPr>
            <w:tcW w:w="10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420" w:type="dxa"/>
            <w:vAlign w:val="bottom"/>
            <w:tcBorders>
              <w:bottom w:val="single" w:sz="8" w:color="231F20"/>
            </w:tcBorders>
            <w:shd w:val="clear" w:color="auto" w:fill="FDFDFC"/>
          </w:tcPr>
          <w:p>
            <w:pPr>
              <w:spacing w:after="0"/>
              <w:rPr>
                <w:sz w:val="15"/>
                <w:szCs w:val="15"/>
                <w:color w:val="auto"/>
              </w:rPr>
            </w:pPr>
          </w:p>
        </w:tc>
        <w:tc>
          <w:tcPr>
            <w:tcW w:w="900" w:type="dxa"/>
            <w:vAlign w:val="bottom"/>
            <w:tcBorders>
              <w:bottom w:val="single" w:sz="8" w:color="231F20"/>
            </w:tcBorders>
            <w:shd w:val="clear" w:color="auto" w:fill="FDFDFC"/>
          </w:tcPr>
          <w:p>
            <w:pPr>
              <w:jc w:val="right"/>
              <w:ind w:right="406"/>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060" w:type="dxa"/>
            <w:vAlign w:val="bottom"/>
            <w:shd w:val="clear" w:color="auto" w:fill="D0EBF2"/>
          </w:tcPr>
          <w:p>
            <w:pPr>
              <w:spacing w:after="0"/>
              <w:rPr>
                <w:sz w:val="20"/>
                <w:szCs w:val="20"/>
                <w:color w:val="auto"/>
              </w:rPr>
            </w:pPr>
            <w:r>
              <w:rPr>
                <w:rFonts w:ascii="Arial" w:cs="Arial" w:eastAsia="Arial" w:hAnsi="Arial"/>
                <w:sz w:val="19"/>
                <w:szCs w:val="19"/>
                <w:b w:val="1"/>
                <w:bCs w:val="1"/>
                <w:color w:val="231F20"/>
              </w:rPr>
              <w:t>Assets</w:t>
            </w:r>
          </w:p>
        </w:tc>
        <w:tc>
          <w:tcPr>
            <w:tcW w:w="160" w:type="dxa"/>
            <w:vAlign w:val="bottom"/>
            <w:shd w:val="clear" w:color="auto" w:fill="D0EBF2"/>
          </w:tcPr>
          <w:p>
            <w:pPr>
              <w:spacing w:after="0"/>
              <w:rPr>
                <w:sz w:val="19"/>
                <w:szCs w:val="19"/>
                <w:color w:val="auto"/>
              </w:rPr>
            </w:pPr>
          </w:p>
        </w:tc>
        <w:tc>
          <w:tcPr>
            <w:tcW w:w="280" w:type="dxa"/>
            <w:vAlign w:val="bottom"/>
            <w:shd w:val="clear" w:color="auto" w:fill="D0EBF2"/>
          </w:tcPr>
          <w:p>
            <w:pPr>
              <w:spacing w:after="0"/>
              <w:rPr>
                <w:sz w:val="19"/>
                <w:szCs w:val="19"/>
                <w:color w:val="auto"/>
              </w:rPr>
            </w:pPr>
          </w:p>
        </w:tc>
        <w:tc>
          <w:tcPr>
            <w:tcW w:w="104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420" w:type="dxa"/>
            <w:vAlign w:val="bottom"/>
            <w:shd w:val="clear" w:color="auto" w:fill="D0EBF2"/>
          </w:tcPr>
          <w:p>
            <w:pPr>
              <w:spacing w:after="0"/>
              <w:rPr>
                <w:sz w:val="19"/>
                <w:szCs w:val="19"/>
                <w:color w:val="auto"/>
              </w:rPr>
            </w:pPr>
          </w:p>
        </w:tc>
        <w:tc>
          <w:tcPr>
            <w:tcW w:w="90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FDFDFC"/>
          </w:tcPr>
          <w:p>
            <w:pPr>
              <w:spacing w:after="0"/>
              <w:rPr>
                <w:sz w:val="20"/>
                <w:szCs w:val="20"/>
                <w:color w:val="auto"/>
              </w:rPr>
            </w:pPr>
            <w:r>
              <w:rPr>
                <w:rFonts w:ascii="Arial" w:cs="Arial" w:eastAsia="Arial" w:hAnsi="Arial"/>
                <w:sz w:val="19"/>
                <w:szCs w:val="19"/>
                <w:color w:val="231F20"/>
              </w:rPr>
              <w:t>Current assets:</w:t>
            </w:r>
          </w:p>
        </w:tc>
        <w:tc>
          <w:tcPr>
            <w:tcW w:w="16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420" w:type="dxa"/>
            <w:vAlign w:val="bottom"/>
            <w:shd w:val="clear" w:color="auto" w:fill="FDFDFC"/>
          </w:tcPr>
          <w:p>
            <w:pPr>
              <w:spacing w:after="0"/>
              <w:rPr>
                <w:sz w:val="20"/>
                <w:szCs w:val="20"/>
                <w:color w:val="auto"/>
              </w:rPr>
            </w:pPr>
          </w:p>
        </w:tc>
        <w:tc>
          <w:tcPr>
            <w:tcW w:w="9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Cash and cash equivalents</w:t>
            </w:r>
          </w:p>
        </w:tc>
        <w:tc>
          <w:tcPr>
            <w:tcW w:w="440" w:type="dxa"/>
            <w:vAlign w:val="bottom"/>
            <w:gridSpan w:val="2"/>
            <w:shd w:val="clear" w:color="auto" w:fill="D0EBF2"/>
          </w:tcPr>
          <w:p>
            <w:pPr>
              <w:jc w:val="right"/>
              <w:ind w:right="86"/>
              <w:spacing w:after="0"/>
              <w:rPr>
                <w:sz w:val="20"/>
                <w:szCs w:val="20"/>
                <w:color w:val="auto"/>
              </w:rPr>
            </w:pPr>
            <w:r>
              <w:rPr>
                <w:rFonts w:ascii="Arial" w:cs="Arial" w:eastAsia="Arial" w:hAnsi="Arial"/>
                <w:sz w:val="19"/>
                <w:szCs w:val="19"/>
                <w:color w:val="231F20"/>
              </w:rPr>
              <w:t>$</w:t>
            </w:r>
          </w:p>
        </w:tc>
        <w:tc>
          <w:tcPr>
            <w:tcW w:w="10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495,242</w:t>
            </w:r>
          </w:p>
        </w:tc>
        <w:tc>
          <w:tcPr>
            <w:tcW w:w="100" w:type="dxa"/>
            <w:vAlign w:val="bottom"/>
            <w:shd w:val="clear" w:color="auto" w:fill="D0EBF2"/>
          </w:tcPr>
          <w:p>
            <w:pPr>
              <w:spacing w:after="0"/>
              <w:rPr>
                <w:sz w:val="20"/>
                <w:szCs w:val="20"/>
                <w:color w:val="auto"/>
              </w:rPr>
            </w:pPr>
          </w:p>
        </w:tc>
        <w:tc>
          <w:tcPr>
            <w:tcW w:w="560" w:type="dxa"/>
            <w:vAlign w:val="bottom"/>
            <w:gridSpan w:val="2"/>
            <w:shd w:val="clear" w:color="auto" w:fill="D0EBF2"/>
          </w:tcPr>
          <w:p>
            <w:pPr>
              <w:jc w:val="right"/>
              <w:ind w:right="206"/>
              <w:spacing w:after="0"/>
              <w:rPr>
                <w:sz w:val="20"/>
                <w:szCs w:val="20"/>
                <w:color w:val="auto"/>
              </w:rPr>
            </w:pPr>
            <w:r>
              <w:rPr>
                <w:rFonts w:ascii="Arial" w:cs="Arial" w:eastAsia="Arial" w:hAnsi="Arial"/>
                <w:sz w:val="19"/>
                <w:szCs w:val="19"/>
                <w:color w:val="231F20"/>
              </w:rPr>
              <w:t>$</w:t>
            </w: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654,608</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Short-term investments</w:t>
            </w:r>
          </w:p>
        </w:tc>
        <w:tc>
          <w:tcPr>
            <w:tcW w:w="16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115,848</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420" w:type="dxa"/>
            <w:vAlign w:val="bottom"/>
            <w:shd w:val="clear" w:color="auto" w:fill="FDFDFC"/>
          </w:tcPr>
          <w:p>
            <w:pPr>
              <w:spacing w:after="0"/>
              <w:rPr>
                <w:sz w:val="20"/>
                <w:szCs w:val="20"/>
                <w:color w:val="auto"/>
              </w:rPr>
            </w:pPr>
          </w:p>
        </w:tc>
        <w:tc>
          <w:tcPr>
            <w:tcW w:w="1000" w:type="dxa"/>
            <w:vAlign w:val="bottom"/>
            <w:gridSpan w:val="2"/>
            <w:shd w:val="clear" w:color="auto" w:fill="FDFDFC"/>
          </w:tcPr>
          <w:p>
            <w:pPr>
              <w:jc w:val="right"/>
              <w:ind w:right="120"/>
              <w:spacing w:after="0"/>
              <w:rPr>
                <w:sz w:val="20"/>
                <w:szCs w:val="20"/>
                <w:color w:val="auto"/>
              </w:rPr>
            </w:pPr>
            <w:r>
              <w:rPr>
                <w:rFonts w:ascii="Arial" w:cs="Arial" w:eastAsia="Arial" w:hAnsi="Arial"/>
                <w:sz w:val="19"/>
                <w:szCs w:val="19"/>
                <w:color w:val="231F20"/>
              </w:rPr>
              <w:t>—</w:t>
            </w:r>
          </w:p>
        </w:tc>
        <w:tc>
          <w:tcPr>
            <w:tcW w:w="0" w:type="dxa"/>
            <w:vAlign w:val="bottom"/>
          </w:tcPr>
          <w:p>
            <w:pPr>
              <w:spacing w:after="0"/>
              <w:rPr>
                <w:sz w:val="1"/>
                <w:szCs w:val="1"/>
                <w:color w:val="auto"/>
              </w:rPr>
            </w:pPr>
          </w:p>
        </w:tc>
      </w:tr>
      <w:tr>
        <w:trPr>
          <w:trHeight w:val="230"/>
        </w:trPr>
        <w:tc>
          <w:tcPr>
            <w:tcW w:w="706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Accounts receivable, net of allowance of $410 and $507, respectively</w:t>
            </w:r>
          </w:p>
        </w:tc>
        <w:tc>
          <w:tcPr>
            <w:tcW w:w="16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23,703</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42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18,215</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Unbilled receivables, net of allowance of $36 and $27, respectively</w:t>
            </w:r>
          </w:p>
        </w:tc>
        <w:tc>
          <w:tcPr>
            <w:tcW w:w="16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15,453</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420" w:type="dxa"/>
            <w:vAlign w:val="bottom"/>
            <w:shd w:val="clear" w:color="auto" w:fill="FDFDFC"/>
          </w:tcPr>
          <w:p>
            <w:pPr>
              <w:spacing w:after="0"/>
              <w:rPr>
                <w:sz w:val="20"/>
                <w:szCs w:val="20"/>
                <w:color w:val="auto"/>
              </w:rPr>
            </w:pP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10,689</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Funds receivable from payment partners</w:t>
            </w:r>
          </w:p>
        </w:tc>
        <w:tc>
          <w:tcPr>
            <w:tcW w:w="16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90,110</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42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113,945</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D0EBF2"/>
            </w:tcBorders>
            <w:shd w:val="clear" w:color="auto" w:fill="FDFDFC"/>
          </w:tcPr>
          <w:p>
            <w:pPr>
              <w:ind w:left="260"/>
              <w:spacing w:after="0"/>
              <w:rPr>
                <w:sz w:val="20"/>
                <w:szCs w:val="20"/>
                <w:color w:val="auto"/>
              </w:rPr>
            </w:pPr>
            <w:r>
              <w:rPr>
                <w:rFonts w:ascii="Arial" w:cs="Arial" w:eastAsia="Arial" w:hAnsi="Arial"/>
                <w:sz w:val="19"/>
                <w:szCs w:val="19"/>
                <w:color w:val="231F20"/>
              </w:rPr>
              <w:t>Prepaid expenses and other current assets</w:t>
            </w:r>
          </w:p>
        </w:tc>
        <w:tc>
          <w:tcPr>
            <w:tcW w:w="160" w:type="dxa"/>
            <w:vAlign w:val="bottom"/>
            <w:tcBorders>
              <w:bottom w:val="single" w:sz="8" w:color="D0EBF2"/>
            </w:tcBorders>
            <w:shd w:val="clear" w:color="auto" w:fill="FDFDFC"/>
          </w:tcPr>
          <w:p>
            <w:pPr>
              <w:spacing w:after="0"/>
              <w:rPr>
                <w:sz w:val="20"/>
                <w:szCs w:val="20"/>
                <w:color w:val="auto"/>
              </w:rPr>
            </w:pPr>
          </w:p>
        </w:tc>
        <w:tc>
          <w:tcPr>
            <w:tcW w:w="280" w:type="dxa"/>
            <w:vAlign w:val="bottom"/>
            <w:tcBorders>
              <w:bottom w:val="single" w:sz="8" w:color="231F20"/>
            </w:tcBorders>
            <w:shd w:val="clear" w:color="auto" w:fill="FDFDFC"/>
          </w:tcPr>
          <w:p>
            <w:pPr>
              <w:spacing w:after="0"/>
              <w:rPr>
                <w:sz w:val="20"/>
                <w:szCs w:val="20"/>
                <w:color w:val="auto"/>
              </w:rPr>
            </w:pPr>
          </w:p>
        </w:tc>
        <w:tc>
          <w:tcPr>
            <w:tcW w:w="10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22,528</w:t>
            </w:r>
          </w:p>
        </w:tc>
        <w:tc>
          <w:tcPr>
            <w:tcW w:w="100" w:type="dxa"/>
            <w:vAlign w:val="bottom"/>
            <w:tcBorders>
              <w:bottom w:val="single" w:sz="8" w:color="D0EBF2"/>
            </w:tcBorders>
            <w:shd w:val="clear" w:color="auto" w:fill="FDFDFC"/>
          </w:tcPr>
          <w:p>
            <w:pPr>
              <w:spacing w:after="0"/>
              <w:rPr>
                <w:sz w:val="20"/>
                <w:szCs w:val="20"/>
                <w:color w:val="auto"/>
              </w:rPr>
            </w:pPr>
          </w:p>
        </w:tc>
        <w:tc>
          <w:tcPr>
            <w:tcW w:w="140" w:type="dxa"/>
            <w:vAlign w:val="bottom"/>
            <w:tcBorders>
              <w:bottom w:val="single" w:sz="8" w:color="D0EBF2"/>
            </w:tcBorders>
            <w:shd w:val="clear" w:color="auto" w:fill="FDFDFC"/>
          </w:tcPr>
          <w:p>
            <w:pPr>
              <w:spacing w:after="0"/>
              <w:rPr>
                <w:sz w:val="20"/>
                <w:szCs w:val="20"/>
                <w:color w:val="auto"/>
              </w:rPr>
            </w:pPr>
          </w:p>
        </w:tc>
        <w:tc>
          <w:tcPr>
            <w:tcW w:w="420" w:type="dxa"/>
            <w:vAlign w:val="bottom"/>
            <w:tcBorders>
              <w:bottom w:val="single" w:sz="8" w:color="231F20"/>
            </w:tcBorders>
            <w:shd w:val="clear" w:color="auto" w:fill="FDFDFC"/>
          </w:tcPr>
          <w:p>
            <w:pPr>
              <w:spacing w:after="0"/>
              <w:rPr>
                <w:sz w:val="20"/>
                <w:szCs w:val="20"/>
                <w:color w:val="auto"/>
              </w:rPr>
            </w:pPr>
          </w:p>
        </w:tc>
        <w:tc>
          <w:tcPr>
            <w:tcW w:w="9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18,227</w:t>
            </w:r>
          </w:p>
        </w:tc>
        <w:tc>
          <w:tcPr>
            <w:tcW w:w="10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060" w:type="dxa"/>
            <w:vAlign w:val="bottom"/>
            <w:shd w:val="clear" w:color="auto" w:fill="D0EBF2"/>
          </w:tcPr>
          <w:p>
            <w:pPr>
              <w:ind w:left="520"/>
              <w:spacing w:after="0"/>
              <w:rPr>
                <w:sz w:val="20"/>
                <w:szCs w:val="20"/>
                <w:color w:val="auto"/>
              </w:rPr>
            </w:pPr>
            <w:r>
              <w:rPr>
                <w:rFonts w:ascii="Arial" w:cs="Arial" w:eastAsia="Arial" w:hAnsi="Arial"/>
                <w:sz w:val="19"/>
                <w:szCs w:val="19"/>
                <w:color w:val="231F20"/>
              </w:rPr>
              <w:t>Total current assets</w:t>
            </w:r>
          </w:p>
        </w:tc>
        <w:tc>
          <w:tcPr>
            <w:tcW w:w="160" w:type="dxa"/>
            <w:vAlign w:val="bottom"/>
            <w:shd w:val="clear" w:color="auto" w:fill="D0EBF2"/>
          </w:tcPr>
          <w:p>
            <w:pPr>
              <w:spacing w:after="0"/>
              <w:rPr>
                <w:sz w:val="19"/>
                <w:szCs w:val="19"/>
                <w:color w:val="auto"/>
              </w:rPr>
            </w:pPr>
          </w:p>
        </w:tc>
        <w:tc>
          <w:tcPr>
            <w:tcW w:w="280" w:type="dxa"/>
            <w:vAlign w:val="bottom"/>
            <w:shd w:val="clear" w:color="auto" w:fill="D0EBF2"/>
          </w:tcPr>
          <w:p>
            <w:pPr>
              <w:spacing w:after="0"/>
              <w:rPr>
                <w:sz w:val="19"/>
                <w:szCs w:val="19"/>
                <w:color w:val="auto"/>
              </w:rPr>
            </w:pPr>
          </w:p>
        </w:tc>
        <w:tc>
          <w:tcPr>
            <w:tcW w:w="10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762,884</w:t>
            </w:r>
          </w:p>
        </w:tc>
        <w:tc>
          <w:tcPr>
            <w:tcW w:w="1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420" w:type="dxa"/>
            <w:vAlign w:val="bottom"/>
            <w:shd w:val="clear" w:color="auto" w:fill="D0EBF2"/>
          </w:tcPr>
          <w:p>
            <w:pPr>
              <w:spacing w:after="0"/>
              <w:rPr>
                <w:sz w:val="19"/>
                <w:szCs w:val="19"/>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815,684</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FDFDFC"/>
          </w:tcPr>
          <w:p>
            <w:pPr>
              <w:spacing w:after="0"/>
              <w:rPr>
                <w:sz w:val="20"/>
                <w:szCs w:val="20"/>
                <w:color w:val="auto"/>
              </w:rPr>
            </w:pPr>
            <w:r>
              <w:rPr>
                <w:rFonts w:ascii="Arial" w:cs="Arial" w:eastAsia="Arial" w:hAnsi="Arial"/>
                <w:sz w:val="19"/>
                <w:szCs w:val="19"/>
                <w:color w:val="231F20"/>
              </w:rPr>
              <w:t>Long-term investments</w:t>
            </w:r>
          </w:p>
        </w:tc>
        <w:tc>
          <w:tcPr>
            <w:tcW w:w="16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50,125</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420" w:type="dxa"/>
            <w:vAlign w:val="bottom"/>
            <w:shd w:val="clear" w:color="auto" w:fill="FDFDFC"/>
          </w:tcPr>
          <w:p>
            <w:pPr>
              <w:spacing w:after="0"/>
              <w:rPr>
                <w:sz w:val="20"/>
                <w:szCs w:val="20"/>
                <w:color w:val="auto"/>
              </w:rPr>
            </w:pP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D0EBF2"/>
          </w:tcPr>
          <w:p>
            <w:pPr>
              <w:spacing w:after="0"/>
              <w:rPr>
                <w:sz w:val="20"/>
                <w:szCs w:val="20"/>
                <w:color w:val="auto"/>
              </w:rPr>
            </w:pPr>
            <w:r>
              <w:rPr>
                <w:rFonts w:ascii="Arial" w:cs="Arial" w:eastAsia="Arial" w:hAnsi="Arial"/>
                <w:sz w:val="19"/>
                <w:szCs w:val="19"/>
                <w:color w:val="231F20"/>
              </w:rPr>
              <w:t>Property and equipment, net</w:t>
            </w:r>
          </w:p>
        </w:tc>
        <w:tc>
          <w:tcPr>
            <w:tcW w:w="16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17,160</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42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15,134</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FDFDFC"/>
          </w:tcPr>
          <w:p>
            <w:pPr>
              <w:spacing w:after="0"/>
              <w:rPr>
                <w:sz w:val="20"/>
                <w:szCs w:val="20"/>
                <w:color w:val="auto"/>
              </w:rPr>
            </w:pPr>
            <w:r>
              <w:rPr>
                <w:rFonts w:ascii="Arial" w:cs="Arial" w:eastAsia="Arial" w:hAnsi="Arial"/>
                <w:sz w:val="19"/>
                <w:szCs w:val="19"/>
                <w:color w:val="231F20"/>
              </w:rPr>
              <w:t>Intangible assets, net</w:t>
            </w:r>
          </w:p>
        </w:tc>
        <w:tc>
          <w:tcPr>
            <w:tcW w:w="16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118,684</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420" w:type="dxa"/>
            <w:vAlign w:val="bottom"/>
            <w:shd w:val="clear" w:color="auto" w:fill="FDFDFC"/>
          </w:tcPr>
          <w:p>
            <w:pPr>
              <w:spacing w:after="0"/>
              <w:rPr>
                <w:sz w:val="20"/>
                <w:szCs w:val="20"/>
                <w:color w:val="auto"/>
              </w:rPr>
            </w:pP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108,178</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D0EBF2"/>
          </w:tcPr>
          <w:p>
            <w:pPr>
              <w:spacing w:after="0"/>
              <w:rPr>
                <w:sz w:val="20"/>
                <w:szCs w:val="20"/>
                <w:color w:val="auto"/>
              </w:rPr>
            </w:pPr>
            <w:r>
              <w:rPr>
                <w:rFonts w:ascii="Arial" w:cs="Arial" w:eastAsia="Arial" w:hAnsi="Arial"/>
                <w:sz w:val="19"/>
                <w:szCs w:val="19"/>
                <w:color w:val="231F20"/>
              </w:rPr>
              <w:t>Goodwill</w:t>
            </w:r>
          </w:p>
        </w:tc>
        <w:tc>
          <w:tcPr>
            <w:tcW w:w="16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149,558</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42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121,646</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9"/>
                <w:szCs w:val="19"/>
                <w:color w:val="231F20"/>
              </w:rPr>
              <w:t>Other assets</w:t>
            </w:r>
          </w:p>
        </w:tc>
        <w:tc>
          <w:tcPr>
            <w:tcW w:w="160" w:type="dxa"/>
            <w:vAlign w:val="bottom"/>
            <w:tcBorders>
              <w:bottom w:val="single" w:sz="8" w:color="D0EBF2"/>
            </w:tcBorders>
            <w:shd w:val="clear" w:color="auto" w:fill="FDFDFC"/>
          </w:tcPr>
          <w:p>
            <w:pPr>
              <w:spacing w:after="0"/>
              <w:rPr>
                <w:sz w:val="20"/>
                <w:szCs w:val="20"/>
                <w:color w:val="auto"/>
              </w:rPr>
            </w:pPr>
          </w:p>
        </w:tc>
        <w:tc>
          <w:tcPr>
            <w:tcW w:w="280" w:type="dxa"/>
            <w:vAlign w:val="bottom"/>
            <w:tcBorders>
              <w:bottom w:val="single" w:sz="8" w:color="231F20"/>
            </w:tcBorders>
            <w:shd w:val="clear" w:color="auto" w:fill="FDFDFC"/>
          </w:tcPr>
          <w:p>
            <w:pPr>
              <w:spacing w:after="0"/>
              <w:rPr>
                <w:sz w:val="20"/>
                <w:szCs w:val="20"/>
                <w:color w:val="auto"/>
              </w:rPr>
            </w:pPr>
          </w:p>
        </w:tc>
        <w:tc>
          <w:tcPr>
            <w:tcW w:w="10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24,035</w:t>
            </w:r>
          </w:p>
        </w:tc>
        <w:tc>
          <w:tcPr>
            <w:tcW w:w="100" w:type="dxa"/>
            <w:vAlign w:val="bottom"/>
            <w:tcBorders>
              <w:bottom w:val="single" w:sz="8" w:color="D0EBF2"/>
            </w:tcBorders>
            <w:shd w:val="clear" w:color="auto" w:fill="FDFDFC"/>
          </w:tcPr>
          <w:p>
            <w:pPr>
              <w:spacing w:after="0"/>
              <w:rPr>
                <w:sz w:val="20"/>
                <w:szCs w:val="20"/>
                <w:color w:val="auto"/>
              </w:rPr>
            </w:pPr>
          </w:p>
        </w:tc>
        <w:tc>
          <w:tcPr>
            <w:tcW w:w="140" w:type="dxa"/>
            <w:vAlign w:val="bottom"/>
            <w:tcBorders>
              <w:bottom w:val="single" w:sz="8" w:color="D0EBF2"/>
            </w:tcBorders>
            <w:shd w:val="clear" w:color="auto" w:fill="FDFDFC"/>
          </w:tcPr>
          <w:p>
            <w:pPr>
              <w:spacing w:after="0"/>
              <w:rPr>
                <w:sz w:val="20"/>
                <w:szCs w:val="20"/>
                <w:color w:val="auto"/>
              </w:rPr>
            </w:pPr>
          </w:p>
        </w:tc>
        <w:tc>
          <w:tcPr>
            <w:tcW w:w="420" w:type="dxa"/>
            <w:vAlign w:val="bottom"/>
            <w:tcBorders>
              <w:bottom w:val="single" w:sz="8" w:color="231F20"/>
            </w:tcBorders>
            <w:shd w:val="clear" w:color="auto" w:fill="FDFDFC"/>
          </w:tcPr>
          <w:p>
            <w:pPr>
              <w:spacing w:after="0"/>
              <w:rPr>
                <w:sz w:val="20"/>
                <w:szCs w:val="20"/>
                <w:color w:val="auto"/>
              </w:rPr>
            </w:pPr>
          </w:p>
        </w:tc>
        <w:tc>
          <w:tcPr>
            <w:tcW w:w="9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19,089</w:t>
            </w:r>
          </w:p>
        </w:tc>
        <w:tc>
          <w:tcPr>
            <w:tcW w:w="10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7060" w:type="dxa"/>
            <w:vAlign w:val="bottom"/>
            <w:tcBorders>
              <w:bottom w:val="single" w:sz="8" w:color="FDFDFC"/>
            </w:tcBorders>
            <w:shd w:val="clear" w:color="auto" w:fill="D0EBF2"/>
          </w:tcPr>
          <w:p>
            <w:pPr>
              <w:ind w:left="520"/>
              <w:spacing w:after="0"/>
              <w:rPr>
                <w:sz w:val="20"/>
                <w:szCs w:val="20"/>
                <w:color w:val="auto"/>
              </w:rPr>
            </w:pPr>
            <w:r>
              <w:rPr>
                <w:rFonts w:ascii="Arial" w:cs="Arial" w:eastAsia="Arial" w:hAnsi="Arial"/>
                <w:sz w:val="19"/>
                <w:szCs w:val="19"/>
                <w:color w:val="231F20"/>
              </w:rPr>
              <w:t>Total assets</w:t>
            </w:r>
          </w:p>
        </w:tc>
        <w:tc>
          <w:tcPr>
            <w:tcW w:w="160" w:type="dxa"/>
            <w:vAlign w:val="bottom"/>
            <w:tcBorders>
              <w:bottom w:val="single" w:sz="8" w:color="FDFDFC"/>
            </w:tcBorders>
            <w:shd w:val="clear" w:color="auto" w:fill="D0EBF2"/>
          </w:tcPr>
          <w:p>
            <w:pPr>
              <w:spacing w:after="0"/>
              <w:rPr>
                <w:sz w:val="22"/>
                <w:szCs w:val="22"/>
                <w:color w:val="auto"/>
              </w:rPr>
            </w:pPr>
          </w:p>
        </w:tc>
        <w:tc>
          <w:tcPr>
            <w:tcW w:w="280" w:type="dxa"/>
            <w:vAlign w:val="bottom"/>
            <w:tcBorders>
              <w:bottom w:val="single" w:sz="8" w:color="231F20"/>
            </w:tcBorders>
            <w:shd w:val="clear" w:color="auto" w:fill="D0EBF2"/>
          </w:tcPr>
          <w:p>
            <w:pPr>
              <w:jc w:val="right"/>
              <w:ind w:right="86"/>
              <w:spacing w:after="0"/>
              <w:rPr>
                <w:sz w:val="20"/>
                <w:szCs w:val="20"/>
                <w:color w:val="auto"/>
              </w:rPr>
            </w:pPr>
            <w:r>
              <w:rPr>
                <w:rFonts w:ascii="Arial" w:cs="Arial" w:eastAsia="Arial" w:hAnsi="Arial"/>
                <w:sz w:val="19"/>
                <w:szCs w:val="19"/>
                <w:color w:val="231F20"/>
                <w:w w:val="75"/>
                <w:shd w:val="clear" w:color="auto" w:fill="D0EBF2"/>
              </w:rPr>
              <w:t>$</w:t>
            </w:r>
          </w:p>
        </w:tc>
        <w:tc>
          <w:tcPr>
            <w:tcW w:w="10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1,122,446</w:t>
            </w:r>
          </w:p>
        </w:tc>
        <w:tc>
          <w:tcPr>
            <w:tcW w:w="100" w:type="dxa"/>
            <w:vAlign w:val="bottom"/>
            <w:tcBorders>
              <w:bottom w:val="single" w:sz="8" w:color="FDFDFC"/>
            </w:tcBorders>
            <w:shd w:val="clear" w:color="auto" w:fill="D0EBF2"/>
          </w:tcPr>
          <w:p>
            <w:pPr>
              <w:spacing w:after="0"/>
              <w:rPr>
                <w:sz w:val="22"/>
                <w:szCs w:val="22"/>
                <w:color w:val="auto"/>
              </w:rPr>
            </w:pPr>
          </w:p>
        </w:tc>
        <w:tc>
          <w:tcPr>
            <w:tcW w:w="140" w:type="dxa"/>
            <w:vAlign w:val="bottom"/>
            <w:tcBorders>
              <w:bottom w:val="single" w:sz="8" w:color="FDFDFC"/>
            </w:tcBorders>
            <w:shd w:val="clear" w:color="auto" w:fill="D0EBF2"/>
          </w:tcPr>
          <w:p>
            <w:pPr>
              <w:spacing w:after="0"/>
              <w:rPr>
                <w:sz w:val="22"/>
                <w:szCs w:val="22"/>
                <w:color w:val="auto"/>
              </w:rPr>
            </w:pPr>
          </w:p>
        </w:tc>
        <w:tc>
          <w:tcPr>
            <w:tcW w:w="420" w:type="dxa"/>
            <w:vAlign w:val="bottom"/>
            <w:tcBorders>
              <w:bottom w:val="single" w:sz="8" w:color="231F20"/>
            </w:tcBorders>
            <w:shd w:val="clear" w:color="auto" w:fill="D0EBF2"/>
          </w:tcPr>
          <w:p>
            <w:pPr>
              <w:jc w:val="right"/>
              <w:ind w:right="206"/>
              <w:spacing w:after="0"/>
              <w:rPr>
                <w:sz w:val="20"/>
                <w:szCs w:val="20"/>
                <w:color w:val="auto"/>
              </w:rPr>
            </w:pPr>
            <w:r>
              <w:rPr>
                <w:rFonts w:ascii="Arial" w:cs="Arial" w:eastAsia="Arial" w:hAnsi="Arial"/>
                <w:sz w:val="19"/>
                <w:szCs w:val="19"/>
                <w:color w:val="231F20"/>
                <w:w w:val="94"/>
                <w:shd w:val="clear" w:color="auto" w:fill="D0EBF2"/>
              </w:rPr>
              <w:t>$</w:t>
            </w:r>
          </w:p>
        </w:tc>
        <w:tc>
          <w:tcPr>
            <w:tcW w:w="90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1,079,731</w:t>
            </w:r>
          </w:p>
        </w:tc>
        <w:tc>
          <w:tcPr>
            <w:tcW w:w="100" w:type="dxa"/>
            <w:vAlign w:val="bottom"/>
            <w:tcBorders>
              <w:bottom w:val="single" w:sz="8" w:color="FDFDFC"/>
            </w:tcBorders>
            <w:shd w:val="clear" w:color="auto" w:fill="D0EBF2"/>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FDFDFC"/>
          </w:tcPr>
          <w:p>
            <w:pPr>
              <w:spacing w:after="0" w:line="213" w:lineRule="exact"/>
              <w:rPr>
                <w:sz w:val="20"/>
                <w:szCs w:val="20"/>
                <w:color w:val="auto"/>
              </w:rPr>
            </w:pPr>
            <w:r>
              <w:rPr>
                <w:rFonts w:ascii="Arial" w:cs="Arial" w:eastAsia="Arial" w:hAnsi="Arial"/>
                <w:sz w:val="19"/>
                <w:szCs w:val="19"/>
                <w:b w:val="1"/>
                <w:bCs w:val="1"/>
                <w:color w:val="231F20"/>
              </w:rPr>
              <w:t>Liabilities and Stockholders’ Equity</w:t>
            </w:r>
          </w:p>
        </w:tc>
        <w:tc>
          <w:tcPr>
            <w:tcW w:w="160" w:type="dxa"/>
            <w:vAlign w:val="bottom"/>
            <w:shd w:val="clear" w:color="auto" w:fill="FDFDFC"/>
          </w:tcPr>
          <w:p>
            <w:pPr>
              <w:spacing w:after="0"/>
              <w:rPr>
                <w:sz w:val="18"/>
                <w:szCs w:val="18"/>
                <w:color w:val="auto"/>
              </w:rPr>
            </w:pPr>
          </w:p>
        </w:tc>
        <w:tc>
          <w:tcPr>
            <w:tcW w:w="28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420" w:type="dxa"/>
            <w:vAlign w:val="bottom"/>
            <w:shd w:val="clear" w:color="auto" w:fill="FDFDFC"/>
          </w:tcPr>
          <w:p>
            <w:pPr>
              <w:spacing w:after="0"/>
              <w:rPr>
                <w:sz w:val="18"/>
                <w:szCs w:val="18"/>
                <w:color w:val="auto"/>
              </w:rPr>
            </w:pPr>
          </w:p>
        </w:tc>
        <w:tc>
          <w:tcPr>
            <w:tcW w:w="9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D0EBF2"/>
          </w:tcPr>
          <w:p>
            <w:pPr>
              <w:spacing w:after="0"/>
              <w:rPr>
                <w:sz w:val="20"/>
                <w:szCs w:val="20"/>
                <w:color w:val="auto"/>
              </w:rPr>
            </w:pPr>
            <w:r>
              <w:rPr>
                <w:rFonts w:ascii="Arial" w:cs="Arial" w:eastAsia="Arial" w:hAnsi="Arial"/>
                <w:sz w:val="19"/>
                <w:szCs w:val="19"/>
                <w:color w:val="231F20"/>
              </w:rPr>
              <w:t>Current liabilities:</w:t>
            </w:r>
          </w:p>
        </w:tc>
        <w:tc>
          <w:tcPr>
            <w:tcW w:w="16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4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420" w:type="dxa"/>
            <w:vAlign w:val="bottom"/>
            <w:shd w:val="clear" w:color="auto" w:fill="D0EBF2"/>
          </w:tcPr>
          <w:p>
            <w:pPr>
              <w:spacing w:after="0"/>
              <w:rPr>
                <w:sz w:val="20"/>
                <w:szCs w:val="20"/>
                <w:color w:val="auto"/>
              </w:rPr>
            </w:pPr>
          </w:p>
        </w:tc>
        <w:tc>
          <w:tcPr>
            <w:tcW w:w="9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Accounts payable</w:t>
            </w:r>
          </w:p>
        </w:tc>
        <w:tc>
          <w:tcPr>
            <w:tcW w:w="440" w:type="dxa"/>
            <w:vAlign w:val="bottom"/>
            <w:gridSpan w:val="2"/>
            <w:shd w:val="clear" w:color="auto" w:fill="FDFDFC"/>
          </w:tcPr>
          <w:p>
            <w:pPr>
              <w:jc w:val="right"/>
              <w:ind w:right="86"/>
              <w:spacing w:after="0"/>
              <w:rPr>
                <w:sz w:val="20"/>
                <w:szCs w:val="20"/>
                <w:color w:val="auto"/>
              </w:rPr>
            </w:pPr>
            <w:r>
              <w:rPr>
                <w:rFonts w:ascii="Arial" w:cs="Arial" w:eastAsia="Arial" w:hAnsi="Arial"/>
                <w:sz w:val="19"/>
                <w:szCs w:val="19"/>
                <w:color w:val="231F20"/>
              </w:rPr>
              <w:t>$</w:t>
            </w:r>
          </w:p>
        </w:tc>
        <w:tc>
          <w:tcPr>
            <w:tcW w:w="10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15,353</w:t>
            </w:r>
          </w:p>
        </w:tc>
        <w:tc>
          <w:tcPr>
            <w:tcW w:w="100" w:type="dxa"/>
            <w:vAlign w:val="bottom"/>
            <w:shd w:val="clear" w:color="auto" w:fill="FDFDFC"/>
          </w:tcPr>
          <w:p>
            <w:pPr>
              <w:spacing w:after="0"/>
              <w:rPr>
                <w:sz w:val="20"/>
                <w:szCs w:val="20"/>
                <w:color w:val="auto"/>
              </w:rPr>
            </w:pPr>
          </w:p>
        </w:tc>
        <w:tc>
          <w:tcPr>
            <w:tcW w:w="560" w:type="dxa"/>
            <w:vAlign w:val="bottom"/>
            <w:gridSpan w:val="2"/>
            <w:shd w:val="clear" w:color="auto" w:fill="FDFDFC"/>
          </w:tcPr>
          <w:p>
            <w:pPr>
              <w:jc w:val="right"/>
              <w:ind w:right="206"/>
              <w:spacing w:after="0"/>
              <w:rPr>
                <w:sz w:val="20"/>
                <w:szCs w:val="20"/>
                <w:color w:val="auto"/>
              </w:rPr>
            </w:pPr>
            <w:r>
              <w:rPr>
                <w:rFonts w:ascii="Arial" w:cs="Arial" w:eastAsia="Arial" w:hAnsi="Arial"/>
                <w:sz w:val="19"/>
                <w:szCs w:val="19"/>
                <w:color w:val="231F20"/>
              </w:rPr>
              <w:t>$</w:t>
            </w: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12,587</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Funds payable to clients</w:t>
            </w:r>
          </w:p>
        </w:tc>
        <w:tc>
          <w:tcPr>
            <w:tcW w:w="16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217,788</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42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210,922</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Accrued expenses and other current liabilities</w:t>
            </w:r>
          </w:p>
        </w:tc>
        <w:tc>
          <w:tcPr>
            <w:tcW w:w="16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49,297</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420" w:type="dxa"/>
            <w:vAlign w:val="bottom"/>
            <w:shd w:val="clear" w:color="auto" w:fill="FDFDFC"/>
          </w:tcPr>
          <w:p>
            <w:pPr>
              <w:spacing w:after="0"/>
              <w:rPr>
                <w:sz w:val="20"/>
                <w:szCs w:val="20"/>
                <w:color w:val="auto"/>
              </w:rPr>
            </w:pP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43,315</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FDFDFC"/>
            </w:tcBorders>
            <w:shd w:val="clear" w:color="auto" w:fill="D0EBF2"/>
          </w:tcPr>
          <w:p>
            <w:pPr>
              <w:ind w:left="260"/>
              <w:spacing w:after="0"/>
              <w:rPr>
                <w:sz w:val="20"/>
                <w:szCs w:val="20"/>
                <w:color w:val="auto"/>
              </w:rPr>
            </w:pPr>
            <w:r>
              <w:rPr>
                <w:rFonts w:ascii="Arial" w:cs="Arial" w:eastAsia="Arial" w:hAnsi="Arial"/>
                <w:sz w:val="19"/>
                <w:szCs w:val="19"/>
                <w:color w:val="231F20"/>
              </w:rPr>
              <w:t>Deferred revenue</w:t>
            </w:r>
          </w:p>
        </w:tc>
        <w:tc>
          <w:tcPr>
            <w:tcW w:w="160" w:type="dxa"/>
            <w:vAlign w:val="bottom"/>
            <w:tcBorders>
              <w:bottom w:val="single" w:sz="8" w:color="FDFDFC"/>
            </w:tcBorders>
            <w:shd w:val="clear" w:color="auto" w:fill="D0EBF2"/>
          </w:tcPr>
          <w:p>
            <w:pPr>
              <w:spacing w:after="0"/>
              <w:rPr>
                <w:sz w:val="20"/>
                <w:szCs w:val="20"/>
                <w:color w:val="auto"/>
              </w:rPr>
            </w:pPr>
          </w:p>
        </w:tc>
        <w:tc>
          <w:tcPr>
            <w:tcW w:w="280" w:type="dxa"/>
            <w:vAlign w:val="bottom"/>
            <w:tcBorders>
              <w:bottom w:val="single" w:sz="8" w:color="231F20"/>
            </w:tcBorders>
            <w:shd w:val="clear" w:color="auto" w:fill="D0EBF2"/>
          </w:tcPr>
          <w:p>
            <w:pPr>
              <w:spacing w:after="0"/>
              <w:rPr>
                <w:sz w:val="20"/>
                <w:szCs w:val="20"/>
                <w:color w:val="auto"/>
              </w:rPr>
            </w:pPr>
          </w:p>
        </w:tc>
        <w:tc>
          <w:tcPr>
            <w:tcW w:w="10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7,337</w:t>
            </w:r>
          </w:p>
        </w:tc>
        <w:tc>
          <w:tcPr>
            <w:tcW w:w="100" w:type="dxa"/>
            <w:vAlign w:val="bottom"/>
            <w:tcBorders>
              <w:bottom w:val="single" w:sz="8" w:color="FDFDFC"/>
            </w:tcBorders>
            <w:shd w:val="clear" w:color="auto" w:fill="D0EBF2"/>
          </w:tcPr>
          <w:p>
            <w:pPr>
              <w:spacing w:after="0"/>
              <w:rPr>
                <w:sz w:val="20"/>
                <w:szCs w:val="20"/>
                <w:color w:val="auto"/>
              </w:rPr>
            </w:pPr>
          </w:p>
        </w:tc>
        <w:tc>
          <w:tcPr>
            <w:tcW w:w="140" w:type="dxa"/>
            <w:vAlign w:val="bottom"/>
            <w:tcBorders>
              <w:bottom w:val="single" w:sz="8" w:color="FDFDFC"/>
            </w:tcBorders>
            <w:shd w:val="clear" w:color="auto" w:fill="D0EBF2"/>
          </w:tcPr>
          <w:p>
            <w:pPr>
              <w:spacing w:after="0"/>
              <w:rPr>
                <w:sz w:val="20"/>
                <w:szCs w:val="20"/>
                <w:color w:val="auto"/>
              </w:rPr>
            </w:pPr>
          </w:p>
        </w:tc>
        <w:tc>
          <w:tcPr>
            <w:tcW w:w="420" w:type="dxa"/>
            <w:vAlign w:val="bottom"/>
            <w:tcBorders>
              <w:bottom w:val="single" w:sz="8" w:color="231F20"/>
            </w:tcBorders>
            <w:shd w:val="clear" w:color="auto" w:fill="D0EBF2"/>
          </w:tcPr>
          <w:p>
            <w:pPr>
              <w:spacing w:after="0"/>
              <w:rPr>
                <w:sz w:val="20"/>
                <w:szCs w:val="20"/>
                <w:color w:val="auto"/>
              </w:rPr>
            </w:pPr>
          </w:p>
        </w:tc>
        <w:tc>
          <w:tcPr>
            <w:tcW w:w="90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6,968</w:t>
            </w:r>
          </w:p>
        </w:tc>
        <w:tc>
          <w:tcPr>
            <w:tcW w:w="100" w:type="dxa"/>
            <w:vAlign w:val="bottom"/>
            <w:tcBorders>
              <w:bottom w:val="single" w:sz="8" w:color="FDFDFC"/>
            </w:tcBorders>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060" w:type="dxa"/>
            <w:vAlign w:val="bottom"/>
            <w:shd w:val="clear" w:color="auto" w:fill="FDFDFC"/>
          </w:tcPr>
          <w:p>
            <w:pPr>
              <w:ind w:left="520"/>
              <w:spacing w:after="0"/>
              <w:rPr>
                <w:sz w:val="20"/>
                <w:szCs w:val="20"/>
                <w:color w:val="auto"/>
              </w:rPr>
            </w:pPr>
            <w:r>
              <w:rPr>
                <w:rFonts w:ascii="Arial" w:cs="Arial" w:eastAsia="Arial" w:hAnsi="Arial"/>
                <w:sz w:val="19"/>
                <w:szCs w:val="19"/>
                <w:color w:val="231F20"/>
              </w:rPr>
              <w:t>Total current liabilities</w:t>
            </w:r>
          </w:p>
        </w:tc>
        <w:tc>
          <w:tcPr>
            <w:tcW w:w="160" w:type="dxa"/>
            <w:vAlign w:val="bottom"/>
            <w:shd w:val="clear" w:color="auto" w:fill="FDFDFC"/>
          </w:tcPr>
          <w:p>
            <w:pPr>
              <w:spacing w:after="0"/>
              <w:rPr>
                <w:sz w:val="19"/>
                <w:szCs w:val="19"/>
                <w:color w:val="auto"/>
              </w:rPr>
            </w:pPr>
          </w:p>
        </w:tc>
        <w:tc>
          <w:tcPr>
            <w:tcW w:w="280" w:type="dxa"/>
            <w:vAlign w:val="bottom"/>
            <w:shd w:val="clear" w:color="auto" w:fill="FDFDFC"/>
          </w:tcPr>
          <w:p>
            <w:pPr>
              <w:spacing w:after="0"/>
              <w:rPr>
                <w:sz w:val="19"/>
                <w:szCs w:val="19"/>
                <w:color w:val="auto"/>
              </w:rPr>
            </w:pPr>
          </w:p>
        </w:tc>
        <w:tc>
          <w:tcPr>
            <w:tcW w:w="10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289,775</w:t>
            </w:r>
          </w:p>
        </w:tc>
        <w:tc>
          <w:tcPr>
            <w:tcW w:w="100" w:type="dxa"/>
            <w:vAlign w:val="bottom"/>
            <w:shd w:val="clear" w:color="auto" w:fill="FDFDFC"/>
          </w:tcPr>
          <w:p>
            <w:pPr>
              <w:spacing w:after="0"/>
              <w:rPr>
                <w:sz w:val="19"/>
                <w:szCs w:val="19"/>
                <w:color w:val="auto"/>
              </w:rPr>
            </w:pPr>
          </w:p>
        </w:tc>
        <w:tc>
          <w:tcPr>
            <w:tcW w:w="140" w:type="dxa"/>
            <w:vAlign w:val="bottom"/>
            <w:shd w:val="clear" w:color="auto" w:fill="FDFDFC"/>
          </w:tcPr>
          <w:p>
            <w:pPr>
              <w:spacing w:after="0"/>
              <w:rPr>
                <w:sz w:val="19"/>
                <w:szCs w:val="19"/>
                <w:color w:val="auto"/>
              </w:rPr>
            </w:pPr>
          </w:p>
        </w:tc>
        <w:tc>
          <w:tcPr>
            <w:tcW w:w="420" w:type="dxa"/>
            <w:vAlign w:val="bottom"/>
            <w:shd w:val="clear" w:color="auto" w:fill="FDFDFC"/>
          </w:tcPr>
          <w:p>
            <w:pPr>
              <w:spacing w:after="0"/>
              <w:rPr>
                <w:sz w:val="19"/>
                <w:szCs w:val="19"/>
                <w:color w:val="auto"/>
              </w:rPr>
            </w:pP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273,792</w:t>
            </w:r>
          </w:p>
        </w:tc>
        <w:tc>
          <w:tcPr>
            <w:tcW w:w="100" w:type="dxa"/>
            <w:vAlign w:val="bottom"/>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D0EBF2"/>
          </w:tcPr>
          <w:p>
            <w:pPr>
              <w:spacing w:after="0"/>
              <w:rPr>
                <w:sz w:val="20"/>
                <w:szCs w:val="20"/>
                <w:color w:val="auto"/>
              </w:rPr>
            </w:pPr>
            <w:r>
              <w:rPr>
                <w:rFonts w:ascii="Arial" w:cs="Arial" w:eastAsia="Arial" w:hAnsi="Arial"/>
                <w:sz w:val="19"/>
                <w:szCs w:val="19"/>
                <w:color w:val="231F20"/>
              </w:rPr>
              <w:t>Deferred tax liabilities</w:t>
            </w:r>
          </w:p>
        </w:tc>
        <w:tc>
          <w:tcPr>
            <w:tcW w:w="16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12,643</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42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15,391</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9"/>
                <w:szCs w:val="19"/>
                <w:color w:val="231F20"/>
              </w:rPr>
              <w:t>Other liabilities</w:t>
            </w:r>
          </w:p>
        </w:tc>
        <w:tc>
          <w:tcPr>
            <w:tcW w:w="160" w:type="dxa"/>
            <w:vAlign w:val="bottom"/>
            <w:tcBorders>
              <w:bottom w:val="single" w:sz="8" w:color="D0EBF2"/>
            </w:tcBorders>
            <w:shd w:val="clear" w:color="auto" w:fill="FDFDFC"/>
          </w:tcPr>
          <w:p>
            <w:pPr>
              <w:spacing w:after="0"/>
              <w:rPr>
                <w:sz w:val="20"/>
                <w:szCs w:val="20"/>
                <w:color w:val="auto"/>
              </w:rPr>
            </w:pPr>
          </w:p>
        </w:tc>
        <w:tc>
          <w:tcPr>
            <w:tcW w:w="280" w:type="dxa"/>
            <w:vAlign w:val="bottom"/>
            <w:tcBorders>
              <w:bottom w:val="single" w:sz="8" w:color="231F20"/>
            </w:tcBorders>
            <w:shd w:val="clear" w:color="auto" w:fill="FDFDFC"/>
          </w:tcPr>
          <w:p>
            <w:pPr>
              <w:spacing w:after="0"/>
              <w:rPr>
                <w:sz w:val="20"/>
                <w:szCs w:val="20"/>
                <w:color w:val="auto"/>
              </w:rPr>
            </w:pPr>
          </w:p>
        </w:tc>
        <w:tc>
          <w:tcPr>
            <w:tcW w:w="10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5,261</w:t>
            </w:r>
          </w:p>
        </w:tc>
        <w:tc>
          <w:tcPr>
            <w:tcW w:w="100" w:type="dxa"/>
            <w:vAlign w:val="bottom"/>
            <w:tcBorders>
              <w:bottom w:val="single" w:sz="8" w:color="D0EBF2"/>
            </w:tcBorders>
            <w:shd w:val="clear" w:color="auto" w:fill="FDFDFC"/>
          </w:tcPr>
          <w:p>
            <w:pPr>
              <w:spacing w:after="0"/>
              <w:rPr>
                <w:sz w:val="20"/>
                <w:szCs w:val="20"/>
                <w:color w:val="auto"/>
              </w:rPr>
            </w:pPr>
          </w:p>
        </w:tc>
        <w:tc>
          <w:tcPr>
            <w:tcW w:w="140" w:type="dxa"/>
            <w:vAlign w:val="bottom"/>
            <w:tcBorders>
              <w:bottom w:val="single" w:sz="8" w:color="D0EBF2"/>
            </w:tcBorders>
            <w:shd w:val="clear" w:color="auto" w:fill="FDFDFC"/>
          </w:tcPr>
          <w:p>
            <w:pPr>
              <w:spacing w:after="0"/>
              <w:rPr>
                <w:sz w:val="20"/>
                <w:szCs w:val="20"/>
                <w:color w:val="auto"/>
              </w:rPr>
            </w:pPr>
          </w:p>
        </w:tc>
        <w:tc>
          <w:tcPr>
            <w:tcW w:w="420" w:type="dxa"/>
            <w:vAlign w:val="bottom"/>
            <w:tcBorders>
              <w:bottom w:val="single" w:sz="8" w:color="231F20"/>
            </w:tcBorders>
            <w:shd w:val="clear" w:color="auto" w:fill="FDFDFC"/>
          </w:tcPr>
          <w:p>
            <w:pPr>
              <w:spacing w:after="0"/>
              <w:rPr>
                <w:sz w:val="20"/>
                <w:szCs w:val="20"/>
                <w:color w:val="auto"/>
              </w:rPr>
            </w:pPr>
          </w:p>
        </w:tc>
        <w:tc>
          <w:tcPr>
            <w:tcW w:w="9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4,431</w:t>
            </w:r>
          </w:p>
        </w:tc>
        <w:tc>
          <w:tcPr>
            <w:tcW w:w="10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060" w:type="dxa"/>
            <w:vAlign w:val="bottom"/>
            <w:tcBorders>
              <w:bottom w:val="single" w:sz="8" w:color="FDFDFC"/>
            </w:tcBorders>
            <w:shd w:val="clear" w:color="auto" w:fill="D0EBF2"/>
          </w:tcPr>
          <w:p>
            <w:pPr>
              <w:ind w:left="520"/>
              <w:spacing w:after="0"/>
              <w:rPr>
                <w:sz w:val="20"/>
                <w:szCs w:val="20"/>
                <w:color w:val="auto"/>
              </w:rPr>
            </w:pPr>
            <w:r>
              <w:rPr>
                <w:rFonts w:ascii="Arial" w:cs="Arial" w:eastAsia="Arial" w:hAnsi="Arial"/>
                <w:sz w:val="19"/>
                <w:szCs w:val="19"/>
                <w:color w:val="231F20"/>
              </w:rPr>
              <w:t>Total liabilities</w:t>
            </w:r>
          </w:p>
        </w:tc>
        <w:tc>
          <w:tcPr>
            <w:tcW w:w="160" w:type="dxa"/>
            <w:vAlign w:val="bottom"/>
            <w:tcBorders>
              <w:bottom w:val="single" w:sz="8" w:color="FDFDFC"/>
            </w:tcBorders>
            <w:shd w:val="clear" w:color="auto" w:fill="D0EBF2"/>
          </w:tcPr>
          <w:p>
            <w:pPr>
              <w:spacing w:after="0"/>
              <w:rPr>
                <w:sz w:val="19"/>
                <w:szCs w:val="19"/>
                <w:color w:val="auto"/>
              </w:rPr>
            </w:pPr>
          </w:p>
        </w:tc>
        <w:tc>
          <w:tcPr>
            <w:tcW w:w="280" w:type="dxa"/>
            <w:vAlign w:val="bottom"/>
            <w:tcBorders>
              <w:bottom w:val="single" w:sz="8" w:color="231F20"/>
            </w:tcBorders>
            <w:shd w:val="clear" w:color="auto" w:fill="D0EBF2"/>
          </w:tcPr>
          <w:p>
            <w:pPr>
              <w:spacing w:after="0"/>
              <w:rPr>
                <w:sz w:val="19"/>
                <w:szCs w:val="19"/>
                <w:color w:val="auto"/>
              </w:rPr>
            </w:pPr>
          </w:p>
        </w:tc>
        <w:tc>
          <w:tcPr>
            <w:tcW w:w="10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307,679</w:t>
            </w:r>
          </w:p>
        </w:tc>
        <w:tc>
          <w:tcPr>
            <w:tcW w:w="100" w:type="dxa"/>
            <w:vAlign w:val="bottom"/>
            <w:tcBorders>
              <w:bottom w:val="single" w:sz="8" w:color="FDFDFC"/>
            </w:tcBorders>
            <w:shd w:val="clear" w:color="auto" w:fill="D0EBF2"/>
          </w:tcPr>
          <w:p>
            <w:pPr>
              <w:spacing w:after="0"/>
              <w:rPr>
                <w:sz w:val="19"/>
                <w:szCs w:val="19"/>
                <w:color w:val="auto"/>
              </w:rPr>
            </w:pPr>
          </w:p>
        </w:tc>
        <w:tc>
          <w:tcPr>
            <w:tcW w:w="140" w:type="dxa"/>
            <w:vAlign w:val="bottom"/>
            <w:tcBorders>
              <w:bottom w:val="single" w:sz="8" w:color="FDFDFC"/>
            </w:tcBorders>
            <w:shd w:val="clear" w:color="auto" w:fill="D0EBF2"/>
          </w:tcPr>
          <w:p>
            <w:pPr>
              <w:spacing w:after="0"/>
              <w:rPr>
                <w:sz w:val="19"/>
                <w:szCs w:val="19"/>
                <w:color w:val="auto"/>
              </w:rPr>
            </w:pPr>
          </w:p>
        </w:tc>
        <w:tc>
          <w:tcPr>
            <w:tcW w:w="420" w:type="dxa"/>
            <w:vAlign w:val="bottom"/>
            <w:tcBorders>
              <w:bottom w:val="single" w:sz="8" w:color="231F20"/>
            </w:tcBorders>
            <w:shd w:val="clear" w:color="auto" w:fill="D0EBF2"/>
          </w:tcPr>
          <w:p>
            <w:pPr>
              <w:spacing w:after="0"/>
              <w:rPr>
                <w:sz w:val="19"/>
                <w:szCs w:val="19"/>
                <w:color w:val="auto"/>
              </w:rPr>
            </w:pPr>
          </w:p>
        </w:tc>
        <w:tc>
          <w:tcPr>
            <w:tcW w:w="90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293,614</w:t>
            </w:r>
          </w:p>
        </w:tc>
        <w:tc>
          <w:tcPr>
            <w:tcW w:w="100" w:type="dxa"/>
            <w:vAlign w:val="bottom"/>
            <w:tcBorders>
              <w:bottom w:val="single" w:sz="8" w:color="FDFDFC"/>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60" w:type="dxa"/>
            <w:vAlign w:val="bottom"/>
            <w:shd w:val="clear" w:color="auto" w:fill="FDFDFC"/>
          </w:tcPr>
          <w:p>
            <w:pPr>
              <w:spacing w:after="0"/>
              <w:rPr>
                <w:sz w:val="20"/>
                <w:szCs w:val="20"/>
                <w:color w:val="auto"/>
              </w:rPr>
            </w:pPr>
            <w:r>
              <w:rPr>
                <w:rFonts w:ascii="Arial" w:cs="Arial" w:eastAsia="Arial" w:hAnsi="Arial"/>
                <w:sz w:val="19"/>
                <w:szCs w:val="19"/>
                <w:color w:val="231F20"/>
              </w:rPr>
              <w:t>Commitments and contingencies (Note 17)</w:t>
            </w:r>
          </w:p>
        </w:tc>
        <w:tc>
          <w:tcPr>
            <w:tcW w:w="160" w:type="dxa"/>
            <w:vAlign w:val="bottom"/>
            <w:shd w:val="clear" w:color="auto" w:fill="FDFDFC"/>
          </w:tcPr>
          <w:p>
            <w:pPr>
              <w:spacing w:after="0"/>
              <w:rPr>
                <w:sz w:val="19"/>
                <w:szCs w:val="19"/>
                <w:color w:val="auto"/>
              </w:rPr>
            </w:pPr>
          </w:p>
        </w:tc>
        <w:tc>
          <w:tcPr>
            <w:tcW w:w="280" w:type="dxa"/>
            <w:vAlign w:val="bottom"/>
            <w:shd w:val="clear" w:color="auto" w:fill="FDFDFC"/>
          </w:tcPr>
          <w:p>
            <w:pPr>
              <w:spacing w:after="0"/>
              <w:rPr>
                <w:sz w:val="19"/>
                <w:szCs w:val="19"/>
                <w:color w:val="auto"/>
              </w:rPr>
            </w:pPr>
          </w:p>
        </w:tc>
        <w:tc>
          <w:tcPr>
            <w:tcW w:w="1040" w:type="dxa"/>
            <w:vAlign w:val="bottom"/>
            <w:shd w:val="clear" w:color="auto" w:fill="FDFDFC"/>
          </w:tcPr>
          <w:p>
            <w:pPr>
              <w:spacing w:after="0"/>
              <w:rPr>
                <w:sz w:val="19"/>
                <w:szCs w:val="19"/>
                <w:color w:val="auto"/>
              </w:rPr>
            </w:pPr>
          </w:p>
        </w:tc>
        <w:tc>
          <w:tcPr>
            <w:tcW w:w="100" w:type="dxa"/>
            <w:vAlign w:val="bottom"/>
            <w:shd w:val="clear" w:color="auto" w:fill="FDFDFC"/>
          </w:tcPr>
          <w:p>
            <w:pPr>
              <w:spacing w:after="0"/>
              <w:rPr>
                <w:sz w:val="19"/>
                <w:szCs w:val="19"/>
                <w:color w:val="auto"/>
              </w:rPr>
            </w:pPr>
          </w:p>
        </w:tc>
        <w:tc>
          <w:tcPr>
            <w:tcW w:w="140" w:type="dxa"/>
            <w:vAlign w:val="bottom"/>
            <w:shd w:val="clear" w:color="auto" w:fill="FDFDFC"/>
          </w:tcPr>
          <w:p>
            <w:pPr>
              <w:spacing w:after="0"/>
              <w:rPr>
                <w:sz w:val="19"/>
                <w:szCs w:val="19"/>
                <w:color w:val="auto"/>
              </w:rPr>
            </w:pPr>
          </w:p>
        </w:tc>
        <w:tc>
          <w:tcPr>
            <w:tcW w:w="420" w:type="dxa"/>
            <w:vAlign w:val="bottom"/>
            <w:shd w:val="clear" w:color="auto" w:fill="FDFDFC"/>
          </w:tcPr>
          <w:p>
            <w:pPr>
              <w:spacing w:after="0"/>
              <w:rPr>
                <w:sz w:val="19"/>
                <w:szCs w:val="19"/>
                <w:color w:val="auto"/>
              </w:rPr>
            </w:pPr>
          </w:p>
        </w:tc>
        <w:tc>
          <w:tcPr>
            <w:tcW w:w="900" w:type="dxa"/>
            <w:vAlign w:val="bottom"/>
            <w:shd w:val="clear" w:color="auto" w:fill="FDFDFC"/>
          </w:tcPr>
          <w:p>
            <w:pPr>
              <w:spacing w:after="0"/>
              <w:rPr>
                <w:sz w:val="19"/>
                <w:szCs w:val="19"/>
                <w:color w:val="auto"/>
              </w:rPr>
            </w:pPr>
          </w:p>
        </w:tc>
        <w:tc>
          <w:tcPr>
            <w:tcW w:w="100" w:type="dxa"/>
            <w:vAlign w:val="bottom"/>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D0EBF2"/>
          </w:tcPr>
          <w:p>
            <w:pPr>
              <w:spacing w:after="0"/>
              <w:rPr>
                <w:sz w:val="20"/>
                <w:szCs w:val="20"/>
                <w:color w:val="auto"/>
              </w:rPr>
            </w:pPr>
            <w:r>
              <w:rPr>
                <w:rFonts w:ascii="Arial" w:cs="Arial" w:eastAsia="Arial" w:hAnsi="Arial"/>
                <w:sz w:val="19"/>
                <w:szCs w:val="19"/>
                <w:color w:val="231F20"/>
              </w:rPr>
              <w:t>Stockholders’ equity:</w:t>
            </w:r>
          </w:p>
        </w:tc>
        <w:tc>
          <w:tcPr>
            <w:tcW w:w="16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4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420" w:type="dxa"/>
            <w:vAlign w:val="bottom"/>
            <w:shd w:val="clear" w:color="auto" w:fill="D0EBF2"/>
          </w:tcPr>
          <w:p>
            <w:pPr>
              <w:spacing w:after="0"/>
              <w:rPr>
                <w:sz w:val="20"/>
                <w:szCs w:val="20"/>
                <w:color w:val="auto"/>
              </w:rPr>
            </w:pPr>
          </w:p>
        </w:tc>
        <w:tc>
          <w:tcPr>
            <w:tcW w:w="9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FDFDFC"/>
          </w:tcPr>
          <w:p>
            <w:pPr>
              <w:ind w:left="260"/>
              <w:spacing w:after="0" w:line="213" w:lineRule="exact"/>
              <w:rPr>
                <w:sz w:val="20"/>
                <w:szCs w:val="20"/>
                <w:color w:val="auto"/>
              </w:rPr>
            </w:pPr>
            <w:r>
              <w:rPr>
                <w:rFonts w:ascii="Arial" w:cs="Arial" w:eastAsia="Arial" w:hAnsi="Arial"/>
                <w:sz w:val="19"/>
                <w:szCs w:val="19"/>
                <w:color w:val="231F20"/>
              </w:rPr>
              <w:t>Preferred stock, $0.0001 par value; 10,000,000 shares authorized as of</w:t>
            </w:r>
          </w:p>
        </w:tc>
        <w:tc>
          <w:tcPr>
            <w:tcW w:w="160" w:type="dxa"/>
            <w:vAlign w:val="bottom"/>
            <w:shd w:val="clear" w:color="auto" w:fill="FDFDFC"/>
          </w:tcPr>
          <w:p>
            <w:pPr>
              <w:spacing w:after="0"/>
              <w:rPr>
                <w:sz w:val="18"/>
                <w:szCs w:val="18"/>
                <w:color w:val="auto"/>
              </w:rPr>
            </w:pPr>
          </w:p>
        </w:tc>
        <w:tc>
          <w:tcPr>
            <w:tcW w:w="28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420" w:type="dxa"/>
            <w:vAlign w:val="bottom"/>
            <w:shd w:val="clear" w:color="auto" w:fill="FDFDFC"/>
          </w:tcPr>
          <w:p>
            <w:pPr>
              <w:spacing w:after="0"/>
              <w:rPr>
                <w:sz w:val="18"/>
                <w:szCs w:val="18"/>
                <w:color w:val="auto"/>
              </w:rPr>
            </w:pPr>
          </w:p>
        </w:tc>
        <w:tc>
          <w:tcPr>
            <w:tcW w:w="9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FDFDFC"/>
          </w:tcPr>
          <w:p>
            <w:pPr>
              <w:ind w:left="420"/>
              <w:spacing w:after="0" w:line="217" w:lineRule="exact"/>
              <w:rPr>
                <w:sz w:val="20"/>
                <w:szCs w:val="20"/>
                <w:color w:val="auto"/>
              </w:rPr>
            </w:pPr>
            <w:r>
              <w:rPr>
                <w:rFonts w:ascii="Arial" w:cs="Arial" w:eastAsia="Arial" w:hAnsi="Arial"/>
                <w:sz w:val="19"/>
                <w:szCs w:val="19"/>
                <w:color w:val="231F20"/>
              </w:rPr>
              <w:t>December 31, 2024 and 2023; and no shares issued and outstanding as of</w:t>
            </w:r>
          </w:p>
        </w:tc>
        <w:tc>
          <w:tcPr>
            <w:tcW w:w="160" w:type="dxa"/>
            <w:vAlign w:val="bottom"/>
            <w:shd w:val="clear" w:color="auto" w:fill="FDFDFC"/>
          </w:tcPr>
          <w:p>
            <w:pPr>
              <w:spacing w:after="0"/>
              <w:rPr>
                <w:sz w:val="18"/>
                <w:szCs w:val="18"/>
                <w:color w:val="auto"/>
              </w:rPr>
            </w:pPr>
          </w:p>
        </w:tc>
        <w:tc>
          <w:tcPr>
            <w:tcW w:w="28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420" w:type="dxa"/>
            <w:vAlign w:val="bottom"/>
            <w:shd w:val="clear" w:color="auto" w:fill="FDFDFC"/>
          </w:tcPr>
          <w:p>
            <w:pPr>
              <w:spacing w:after="0"/>
              <w:rPr>
                <w:sz w:val="18"/>
                <w:szCs w:val="18"/>
                <w:color w:val="auto"/>
              </w:rPr>
            </w:pPr>
          </w:p>
        </w:tc>
        <w:tc>
          <w:tcPr>
            <w:tcW w:w="9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060" w:type="dxa"/>
            <w:vAlign w:val="bottom"/>
            <w:shd w:val="clear" w:color="auto" w:fill="FDFDFC"/>
          </w:tcPr>
          <w:p>
            <w:pPr>
              <w:ind w:left="420"/>
              <w:spacing w:after="0"/>
              <w:rPr>
                <w:sz w:val="20"/>
                <w:szCs w:val="20"/>
                <w:color w:val="auto"/>
              </w:rPr>
            </w:pPr>
            <w:r>
              <w:rPr>
                <w:rFonts w:ascii="Arial" w:cs="Arial" w:eastAsia="Arial" w:hAnsi="Arial"/>
                <w:sz w:val="19"/>
                <w:szCs w:val="19"/>
                <w:color w:val="231F20"/>
              </w:rPr>
              <w:t>December 31, 2024 and 2023</w:t>
            </w:r>
          </w:p>
        </w:tc>
        <w:tc>
          <w:tcPr>
            <w:tcW w:w="16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140" w:type="dxa"/>
            <w:vAlign w:val="bottom"/>
            <w:gridSpan w:val="2"/>
            <w:shd w:val="clear" w:color="auto" w:fill="FDFDFC"/>
          </w:tcPr>
          <w:p>
            <w:pPr>
              <w:jc w:val="right"/>
              <w:ind w:right="120"/>
              <w:spacing w:after="0"/>
              <w:rPr>
                <w:sz w:val="20"/>
                <w:szCs w:val="20"/>
                <w:color w:val="auto"/>
              </w:rPr>
            </w:pPr>
            <w:r>
              <w:rPr>
                <w:rFonts w:ascii="Arial" w:cs="Arial" w:eastAsia="Arial" w:hAnsi="Arial"/>
                <w:sz w:val="19"/>
                <w:szCs w:val="19"/>
                <w:color w:val="231F20"/>
              </w:rPr>
              <w:t>—</w:t>
            </w:r>
          </w:p>
        </w:tc>
        <w:tc>
          <w:tcPr>
            <w:tcW w:w="140" w:type="dxa"/>
            <w:vAlign w:val="bottom"/>
            <w:shd w:val="clear" w:color="auto" w:fill="FDFDFC"/>
          </w:tcPr>
          <w:p>
            <w:pPr>
              <w:spacing w:after="0"/>
              <w:rPr>
                <w:sz w:val="20"/>
                <w:szCs w:val="20"/>
                <w:color w:val="auto"/>
              </w:rPr>
            </w:pPr>
          </w:p>
        </w:tc>
        <w:tc>
          <w:tcPr>
            <w:tcW w:w="420" w:type="dxa"/>
            <w:vAlign w:val="bottom"/>
            <w:shd w:val="clear" w:color="auto" w:fill="FDFDFC"/>
          </w:tcPr>
          <w:p>
            <w:pPr>
              <w:spacing w:after="0"/>
              <w:rPr>
                <w:sz w:val="20"/>
                <w:szCs w:val="20"/>
                <w:color w:val="auto"/>
              </w:rPr>
            </w:pPr>
          </w:p>
        </w:tc>
        <w:tc>
          <w:tcPr>
            <w:tcW w:w="1000" w:type="dxa"/>
            <w:vAlign w:val="bottom"/>
            <w:gridSpan w:val="2"/>
            <w:shd w:val="clear" w:color="auto" w:fill="FDFDFC"/>
          </w:tcPr>
          <w:p>
            <w:pPr>
              <w:jc w:val="right"/>
              <w:ind w:right="120"/>
              <w:spacing w:after="0"/>
              <w:rPr>
                <w:sz w:val="20"/>
                <w:szCs w:val="20"/>
                <w:color w:val="auto"/>
              </w:rPr>
            </w:pPr>
            <w:r>
              <w:rPr>
                <w:rFonts w:ascii="Arial" w:cs="Arial" w:eastAsia="Arial" w:hAnsi="Arial"/>
                <w:sz w:val="19"/>
                <w:szCs w:val="19"/>
                <w:color w:val="231F20"/>
              </w:rPr>
              <w:t>—</w:t>
            </w:r>
          </w:p>
        </w:tc>
        <w:tc>
          <w:tcPr>
            <w:tcW w:w="0" w:type="dxa"/>
            <w:vAlign w:val="bottom"/>
          </w:tcPr>
          <w:p>
            <w:pPr>
              <w:spacing w:after="0"/>
              <w:rPr>
                <w:sz w:val="1"/>
                <w:szCs w:val="1"/>
                <w:color w:val="auto"/>
              </w:rPr>
            </w:pPr>
          </w:p>
        </w:tc>
      </w:tr>
      <w:tr>
        <w:trPr>
          <w:trHeight w:val="213"/>
        </w:trPr>
        <w:tc>
          <w:tcPr>
            <w:tcW w:w="7060" w:type="dxa"/>
            <w:vAlign w:val="bottom"/>
            <w:shd w:val="clear" w:color="auto" w:fill="D0EBF2"/>
          </w:tcPr>
          <w:p>
            <w:pPr>
              <w:ind w:left="260"/>
              <w:spacing w:after="0" w:line="213" w:lineRule="exact"/>
              <w:rPr>
                <w:sz w:val="20"/>
                <w:szCs w:val="20"/>
                <w:color w:val="auto"/>
              </w:rPr>
            </w:pPr>
            <w:r>
              <w:rPr>
                <w:rFonts w:ascii="Arial" w:cs="Arial" w:eastAsia="Arial" w:hAnsi="Arial"/>
                <w:sz w:val="19"/>
                <w:szCs w:val="19"/>
                <w:color w:val="231F20"/>
              </w:rPr>
              <w:t>Voting common stock, $0.0001 par value; 2,000,000,000 shares authorized as</w:t>
            </w:r>
          </w:p>
        </w:tc>
        <w:tc>
          <w:tcPr>
            <w:tcW w:w="160" w:type="dxa"/>
            <w:vAlign w:val="bottom"/>
            <w:shd w:val="clear" w:color="auto" w:fill="D0EBF2"/>
          </w:tcPr>
          <w:p>
            <w:pPr>
              <w:spacing w:after="0"/>
              <w:rPr>
                <w:sz w:val="18"/>
                <w:szCs w:val="18"/>
                <w:color w:val="auto"/>
              </w:rPr>
            </w:pPr>
          </w:p>
        </w:tc>
        <w:tc>
          <w:tcPr>
            <w:tcW w:w="28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420" w:type="dxa"/>
            <w:vAlign w:val="bottom"/>
            <w:shd w:val="clear" w:color="auto" w:fill="D0EBF2"/>
          </w:tcPr>
          <w:p>
            <w:pPr>
              <w:spacing w:after="0"/>
              <w:rPr>
                <w:sz w:val="18"/>
                <w:szCs w:val="18"/>
                <w:color w:val="auto"/>
              </w:rPr>
            </w:pPr>
          </w:p>
        </w:tc>
        <w:tc>
          <w:tcPr>
            <w:tcW w:w="9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D0EBF2"/>
          </w:tcPr>
          <w:p>
            <w:pPr>
              <w:ind w:left="420"/>
              <w:spacing w:after="0" w:line="217" w:lineRule="exact"/>
              <w:rPr>
                <w:sz w:val="20"/>
                <w:szCs w:val="20"/>
                <w:color w:val="auto"/>
              </w:rPr>
            </w:pPr>
            <w:r>
              <w:rPr>
                <w:rFonts w:ascii="Arial" w:cs="Arial" w:eastAsia="Arial" w:hAnsi="Arial"/>
                <w:sz w:val="19"/>
                <w:szCs w:val="19"/>
                <w:color w:val="231F20"/>
              </w:rPr>
              <w:t>of December 31, 2024 and 2023; 126,853,852 shares issued and</w:t>
            </w:r>
          </w:p>
        </w:tc>
        <w:tc>
          <w:tcPr>
            <w:tcW w:w="160" w:type="dxa"/>
            <w:vAlign w:val="bottom"/>
            <w:shd w:val="clear" w:color="auto" w:fill="D0EBF2"/>
          </w:tcPr>
          <w:p>
            <w:pPr>
              <w:spacing w:after="0"/>
              <w:rPr>
                <w:sz w:val="18"/>
                <w:szCs w:val="18"/>
                <w:color w:val="auto"/>
              </w:rPr>
            </w:pPr>
          </w:p>
        </w:tc>
        <w:tc>
          <w:tcPr>
            <w:tcW w:w="28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420" w:type="dxa"/>
            <w:vAlign w:val="bottom"/>
            <w:shd w:val="clear" w:color="auto" w:fill="D0EBF2"/>
          </w:tcPr>
          <w:p>
            <w:pPr>
              <w:spacing w:after="0"/>
              <w:rPr>
                <w:sz w:val="18"/>
                <w:szCs w:val="18"/>
                <w:color w:val="auto"/>
              </w:rPr>
            </w:pPr>
          </w:p>
        </w:tc>
        <w:tc>
          <w:tcPr>
            <w:tcW w:w="9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D0EBF2"/>
          </w:tcPr>
          <w:p>
            <w:pPr>
              <w:ind w:left="420"/>
              <w:spacing w:after="0" w:line="217" w:lineRule="exact"/>
              <w:rPr>
                <w:sz w:val="20"/>
                <w:szCs w:val="20"/>
                <w:color w:val="auto"/>
              </w:rPr>
            </w:pPr>
            <w:r>
              <w:rPr>
                <w:rFonts w:ascii="Arial" w:cs="Arial" w:eastAsia="Arial" w:hAnsi="Arial"/>
                <w:sz w:val="19"/>
                <w:szCs w:val="19"/>
                <w:color w:val="231F20"/>
              </w:rPr>
              <w:t>122,182,878 shares outstanding as of December 31, 2024; 123,010,207</w:t>
            </w:r>
          </w:p>
        </w:tc>
        <w:tc>
          <w:tcPr>
            <w:tcW w:w="160" w:type="dxa"/>
            <w:vAlign w:val="bottom"/>
            <w:shd w:val="clear" w:color="auto" w:fill="D0EBF2"/>
          </w:tcPr>
          <w:p>
            <w:pPr>
              <w:spacing w:after="0"/>
              <w:rPr>
                <w:sz w:val="18"/>
                <w:szCs w:val="18"/>
                <w:color w:val="auto"/>
              </w:rPr>
            </w:pPr>
          </w:p>
        </w:tc>
        <w:tc>
          <w:tcPr>
            <w:tcW w:w="28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420" w:type="dxa"/>
            <w:vAlign w:val="bottom"/>
            <w:shd w:val="clear" w:color="auto" w:fill="D0EBF2"/>
          </w:tcPr>
          <w:p>
            <w:pPr>
              <w:spacing w:after="0"/>
              <w:rPr>
                <w:sz w:val="18"/>
                <w:szCs w:val="18"/>
                <w:color w:val="auto"/>
              </w:rPr>
            </w:pPr>
          </w:p>
        </w:tc>
        <w:tc>
          <w:tcPr>
            <w:tcW w:w="9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060" w:type="dxa"/>
            <w:vAlign w:val="bottom"/>
            <w:shd w:val="clear" w:color="auto" w:fill="D0EBF2"/>
          </w:tcPr>
          <w:p>
            <w:pPr>
              <w:ind w:left="420"/>
              <w:spacing w:after="0"/>
              <w:rPr>
                <w:sz w:val="20"/>
                <w:szCs w:val="20"/>
                <w:color w:val="auto"/>
              </w:rPr>
            </w:pPr>
            <w:r>
              <w:rPr>
                <w:rFonts w:ascii="Arial" w:cs="Arial" w:eastAsia="Arial" w:hAnsi="Arial"/>
                <w:sz w:val="19"/>
                <w:szCs w:val="19"/>
                <w:color w:val="231F20"/>
              </w:rPr>
              <w:t>shares issued and 120,695,162 shares outstanding as of December 31, 2023</w:t>
            </w:r>
          </w:p>
        </w:tc>
        <w:tc>
          <w:tcPr>
            <w:tcW w:w="16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13</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42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11</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FDFDFC"/>
          </w:tcPr>
          <w:p>
            <w:pPr>
              <w:ind w:left="260"/>
              <w:spacing w:after="0" w:line="213" w:lineRule="exact"/>
              <w:rPr>
                <w:sz w:val="20"/>
                <w:szCs w:val="20"/>
                <w:color w:val="auto"/>
              </w:rPr>
            </w:pPr>
            <w:r>
              <w:rPr>
                <w:rFonts w:ascii="Arial" w:cs="Arial" w:eastAsia="Arial" w:hAnsi="Arial"/>
                <w:sz w:val="19"/>
                <w:szCs w:val="19"/>
                <w:color w:val="231F20"/>
              </w:rPr>
              <w:t>Non-voting common stock, $0.0001 par value; 10,000,000 shares authorized as</w:t>
            </w:r>
          </w:p>
        </w:tc>
        <w:tc>
          <w:tcPr>
            <w:tcW w:w="160" w:type="dxa"/>
            <w:vAlign w:val="bottom"/>
            <w:shd w:val="clear" w:color="auto" w:fill="FDFDFC"/>
          </w:tcPr>
          <w:p>
            <w:pPr>
              <w:spacing w:after="0"/>
              <w:rPr>
                <w:sz w:val="18"/>
                <w:szCs w:val="18"/>
                <w:color w:val="auto"/>
              </w:rPr>
            </w:pPr>
          </w:p>
        </w:tc>
        <w:tc>
          <w:tcPr>
            <w:tcW w:w="28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420" w:type="dxa"/>
            <w:vAlign w:val="bottom"/>
            <w:shd w:val="clear" w:color="auto" w:fill="FDFDFC"/>
          </w:tcPr>
          <w:p>
            <w:pPr>
              <w:spacing w:after="0"/>
              <w:rPr>
                <w:sz w:val="18"/>
                <w:szCs w:val="18"/>
                <w:color w:val="auto"/>
              </w:rPr>
            </w:pPr>
          </w:p>
        </w:tc>
        <w:tc>
          <w:tcPr>
            <w:tcW w:w="9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FDFDFC"/>
          </w:tcPr>
          <w:p>
            <w:pPr>
              <w:ind w:left="420"/>
              <w:spacing w:after="0" w:line="217" w:lineRule="exact"/>
              <w:rPr>
                <w:sz w:val="20"/>
                <w:szCs w:val="20"/>
                <w:color w:val="auto"/>
              </w:rPr>
            </w:pPr>
            <w:r>
              <w:rPr>
                <w:rFonts w:ascii="Arial" w:cs="Arial" w:eastAsia="Arial" w:hAnsi="Arial"/>
                <w:sz w:val="19"/>
                <w:szCs w:val="19"/>
                <w:color w:val="231F20"/>
              </w:rPr>
              <w:t>of December 31, 2024 and 2023; 1,873,320 shares issued and outstanding</w:t>
            </w:r>
          </w:p>
        </w:tc>
        <w:tc>
          <w:tcPr>
            <w:tcW w:w="160" w:type="dxa"/>
            <w:vAlign w:val="bottom"/>
            <w:shd w:val="clear" w:color="auto" w:fill="FDFDFC"/>
          </w:tcPr>
          <w:p>
            <w:pPr>
              <w:spacing w:after="0"/>
              <w:rPr>
                <w:sz w:val="18"/>
                <w:szCs w:val="18"/>
                <w:color w:val="auto"/>
              </w:rPr>
            </w:pPr>
          </w:p>
        </w:tc>
        <w:tc>
          <w:tcPr>
            <w:tcW w:w="280" w:type="dxa"/>
            <w:vAlign w:val="bottom"/>
            <w:shd w:val="clear" w:color="auto" w:fill="FDFDFC"/>
          </w:tcPr>
          <w:p>
            <w:pPr>
              <w:spacing w:after="0"/>
              <w:rPr>
                <w:sz w:val="18"/>
                <w:szCs w:val="18"/>
                <w:color w:val="auto"/>
              </w:rPr>
            </w:pPr>
          </w:p>
        </w:tc>
        <w:tc>
          <w:tcPr>
            <w:tcW w:w="1140" w:type="dxa"/>
            <w:vAlign w:val="bottom"/>
            <w:gridSpan w:val="2"/>
            <w:vMerge w:val="restart"/>
            <w:shd w:val="clear" w:color="auto" w:fill="FDFDFC"/>
          </w:tcPr>
          <w:p>
            <w:pPr>
              <w:jc w:val="right"/>
              <w:ind w:right="120"/>
              <w:spacing w:after="0"/>
              <w:rPr>
                <w:sz w:val="20"/>
                <w:szCs w:val="20"/>
                <w:color w:val="auto"/>
              </w:rPr>
            </w:pPr>
            <w:r>
              <w:rPr>
                <w:rFonts w:ascii="Arial" w:cs="Arial" w:eastAsia="Arial" w:hAnsi="Arial"/>
                <w:sz w:val="19"/>
                <w:szCs w:val="19"/>
                <w:color w:val="231F20"/>
              </w:rPr>
              <w:t>—</w:t>
            </w:r>
          </w:p>
        </w:tc>
        <w:tc>
          <w:tcPr>
            <w:tcW w:w="140" w:type="dxa"/>
            <w:vAlign w:val="bottom"/>
            <w:shd w:val="clear" w:color="auto" w:fill="FDFDFC"/>
          </w:tcPr>
          <w:p>
            <w:pPr>
              <w:spacing w:after="0"/>
              <w:rPr>
                <w:sz w:val="18"/>
                <w:szCs w:val="18"/>
                <w:color w:val="auto"/>
              </w:rPr>
            </w:pPr>
          </w:p>
        </w:tc>
        <w:tc>
          <w:tcPr>
            <w:tcW w:w="420" w:type="dxa"/>
            <w:vAlign w:val="bottom"/>
            <w:shd w:val="clear" w:color="auto" w:fill="FDFDFC"/>
          </w:tcPr>
          <w:p>
            <w:pPr>
              <w:spacing w:after="0"/>
              <w:rPr>
                <w:sz w:val="18"/>
                <w:szCs w:val="18"/>
                <w:color w:val="auto"/>
              </w:rPr>
            </w:pPr>
          </w:p>
        </w:tc>
        <w:tc>
          <w:tcPr>
            <w:tcW w:w="90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1</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060" w:type="dxa"/>
            <w:vAlign w:val="bottom"/>
            <w:shd w:val="clear" w:color="auto" w:fill="FDFDFC"/>
          </w:tcPr>
          <w:p>
            <w:pPr>
              <w:ind w:left="420"/>
              <w:spacing w:after="0"/>
              <w:rPr>
                <w:sz w:val="20"/>
                <w:szCs w:val="20"/>
                <w:color w:val="auto"/>
              </w:rPr>
            </w:pPr>
            <w:r>
              <w:rPr>
                <w:rFonts w:ascii="Arial" w:cs="Arial" w:eastAsia="Arial" w:hAnsi="Arial"/>
                <w:sz w:val="19"/>
                <w:szCs w:val="19"/>
                <w:color w:val="231F20"/>
              </w:rPr>
              <w:t>as of December 31, 2024 and 2023</w:t>
            </w:r>
          </w:p>
        </w:tc>
        <w:tc>
          <w:tcPr>
            <w:tcW w:w="16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140" w:type="dxa"/>
            <w:vAlign w:val="bottom"/>
            <w:gridSpan w:val="2"/>
            <w:vMerge w:val="continue"/>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420" w:type="dxa"/>
            <w:vAlign w:val="bottom"/>
            <w:shd w:val="clear" w:color="auto" w:fill="FDFDFC"/>
          </w:tcPr>
          <w:p>
            <w:pPr>
              <w:spacing w:after="0"/>
              <w:rPr>
                <w:sz w:val="20"/>
                <w:szCs w:val="20"/>
                <w:color w:val="auto"/>
              </w:rPr>
            </w:pPr>
          </w:p>
        </w:tc>
        <w:tc>
          <w:tcPr>
            <w:tcW w:w="900" w:type="dxa"/>
            <w:vAlign w:val="bottom"/>
            <w:vMerge w:val="continue"/>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D0EBF2"/>
          </w:tcPr>
          <w:p>
            <w:pPr>
              <w:ind w:left="260"/>
              <w:spacing w:after="0" w:line="213" w:lineRule="exact"/>
              <w:rPr>
                <w:sz w:val="20"/>
                <w:szCs w:val="20"/>
                <w:color w:val="auto"/>
              </w:rPr>
            </w:pPr>
            <w:r>
              <w:rPr>
                <w:rFonts w:ascii="Arial" w:cs="Arial" w:eastAsia="Arial" w:hAnsi="Arial"/>
                <w:sz w:val="19"/>
                <w:szCs w:val="19"/>
                <w:color w:val="231F20"/>
              </w:rPr>
              <w:t>Treasury voting common stock, 4,670,974 and 2,315,045 shares as of</w:t>
            </w:r>
          </w:p>
        </w:tc>
        <w:tc>
          <w:tcPr>
            <w:tcW w:w="160" w:type="dxa"/>
            <w:vAlign w:val="bottom"/>
            <w:shd w:val="clear" w:color="auto" w:fill="D0EBF2"/>
          </w:tcPr>
          <w:p>
            <w:pPr>
              <w:spacing w:after="0"/>
              <w:rPr>
                <w:sz w:val="18"/>
                <w:szCs w:val="18"/>
                <w:color w:val="auto"/>
              </w:rPr>
            </w:pPr>
          </w:p>
        </w:tc>
        <w:tc>
          <w:tcPr>
            <w:tcW w:w="28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420" w:type="dxa"/>
            <w:vAlign w:val="bottom"/>
            <w:shd w:val="clear" w:color="auto" w:fill="D0EBF2"/>
          </w:tcPr>
          <w:p>
            <w:pPr>
              <w:spacing w:after="0"/>
              <w:rPr>
                <w:sz w:val="18"/>
                <w:szCs w:val="18"/>
                <w:color w:val="auto"/>
              </w:rPr>
            </w:pPr>
          </w:p>
        </w:tc>
        <w:tc>
          <w:tcPr>
            <w:tcW w:w="9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060" w:type="dxa"/>
            <w:vAlign w:val="bottom"/>
            <w:shd w:val="clear" w:color="auto" w:fill="D0EBF2"/>
          </w:tcPr>
          <w:p>
            <w:pPr>
              <w:ind w:left="420"/>
              <w:spacing w:after="0"/>
              <w:rPr>
                <w:sz w:val="20"/>
                <w:szCs w:val="20"/>
                <w:color w:val="auto"/>
              </w:rPr>
            </w:pPr>
            <w:r>
              <w:rPr>
                <w:rFonts w:ascii="Arial" w:cs="Arial" w:eastAsia="Arial" w:hAnsi="Arial"/>
                <w:sz w:val="19"/>
                <w:szCs w:val="19"/>
                <w:color w:val="231F20"/>
              </w:rPr>
              <w:t>December 31, 2024 and 2023, respectively, held at cost</w:t>
            </w:r>
          </w:p>
        </w:tc>
        <w:tc>
          <w:tcPr>
            <w:tcW w:w="16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14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(46,268)</w:t>
            </w:r>
          </w:p>
        </w:tc>
        <w:tc>
          <w:tcPr>
            <w:tcW w:w="140" w:type="dxa"/>
            <w:vAlign w:val="bottom"/>
            <w:shd w:val="clear" w:color="auto" w:fill="D0EBF2"/>
          </w:tcPr>
          <w:p>
            <w:pPr>
              <w:spacing w:after="0"/>
              <w:rPr>
                <w:sz w:val="20"/>
                <w:szCs w:val="20"/>
                <w:color w:val="auto"/>
              </w:rPr>
            </w:pPr>
          </w:p>
        </w:tc>
        <w:tc>
          <w:tcPr>
            <w:tcW w:w="420" w:type="dxa"/>
            <w:vAlign w:val="bottom"/>
            <w:shd w:val="clear" w:color="auto" w:fill="D0EBF2"/>
          </w:tcPr>
          <w:p>
            <w:pPr>
              <w:spacing w:after="0"/>
              <w:rPr>
                <w:sz w:val="20"/>
                <w:szCs w:val="20"/>
                <w:color w:val="auto"/>
              </w:rPr>
            </w:pPr>
          </w:p>
        </w:tc>
        <w:tc>
          <w:tcPr>
            <w:tcW w:w="100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(747)</w:t>
            </w:r>
          </w:p>
        </w:tc>
        <w:tc>
          <w:tcPr>
            <w:tcW w:w="0" w:type="dxa"/>
            <w:vAlign w:val="bottom"/>
          </w:tcPr>
          <w:p>
            <w:pPr>
              <w:spacing w:after="0"/>
              <w:rPr>
                <w:sz w:val="1"/>
                <w:szCs w:val="1"/>
                <w:color w:val="auto"/>
              </w:rPr>
            </w:pPr>
          </w:p>
        </w:tc>
      </w:tr>
      <w:tr>
        <w:trPr>
          <w:trHeight w:val="230"/>
        </w:trPr>
        <w:tc>
          <w:tcPr>
            <w:tcW w:w="7060" w:type="dxa"/>
            <w:vAlign w:val="bottom"/>
            <w:shd w:val="clear" w:color="auto" w:fill="FDFDFC"/>
          </w:tcPr>
          <w:p>
            <w:pPr>
              <w:ind w:left="520"/>
              <w:spacing w:after="0"/>
              <w:rPr>
                <w:sz w:val="20"/>
                <w:szCs w:val="20"/>
                <w:color w:val="auto"/>
              </w:rPr>
            </w:pPr>
            <w:r>
              <w:rPr>
                <w:rFonts w:ascii="Arial" w:cs="Arial" w:eastAsia="Arial" w:hAnsi="Arial"/>
                <w:sz w:val="19"/>
                <w:szCs w:val="19"/>
                <w:color w:val="231F20"/>
              </w:rPr>
              <w:t>Additional paid-in capital</w:t>
            </w:r>
          </w:p>
        </w:tc>
        <w:tc>
          <w:tcPr>
            <w:tcW w:w="16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1,033,958</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420" w:type="dxa"/>
            <w:vAlign w:val="bottom"/>
            <w:shd w:val="clear" w:color="auto" w:fill="FDFDFC"/>
          </w:tcPr>
          <w:p>
            <w:pPr>
              <w:spacing w:after="0"/>
              <w:rPr>
                <w:sz w:val="20"/>
                <w:szCs w:val="20"/>
                <w:color w:val="auto"/>
              </w:rPr>
            </w:pP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959,302</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D0EBF2"/>
          </w:tcPr>
          <w:p>
            <w:pPr>
              <w:ind w:left="520"/>
              <w:spacing w:after="0"/>
              <w:rPr>
                <w:sz w:val="20"/>
                <w:szCs w:val="20"/>
                <w:color w:val="auto"/>
              </w:rPr>
            </w:pPr>
            <w:r>
              <w:rPr>
                <w:rFonts w:ascii="Arial" w:cs="Arial" w:eastAsia="Arial" w:hAnsi="Arial"/>
                <w:sz w:val="19"/>
                <w:szCs w:val="19"/>
                <w:color w:val="231F20"/>
              </w:rPr>
              <w:t>Accumulated other comprehensive (loss) income</w:t>
            </w:r>
          </w:p>
        </w:tc>
        <w:tc>
          <w:tcPr>
            <w:tcW w:w="16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14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(2,066)</w:t>
            </w:r>
          </w:p>
        </w:tc>
        <w:tc>
          <w:tcPr>
            <w:tcW w:w="140" w:type="dxa"/>
            <w:vAlign w:val="bottom"/>
            <w:shd w:val="clear" w:color="auto" w:fill="D0EBF2"/>
          </w:tcPr>
          <w:p>
            <w:pPr>
              <w:spacing w:after="0"/>
              <w:rPr>
                <w:sz w:val="20"/>
                <w:szCs w:val="20"/>
                <w:color w:val="auto"/>
              </w:rPr>
            </w:pPr>
          </w:p>
        </w:tc>
        <w:tc>
          <w:tcPr>
            <w:tcW w:w="42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1,320</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FDFDFC"/>
          </w:tcPr>
          <w:p>
            <w:pPr>
              <w:ind w:left="520"/>
              <w:spacing w:after="0"/>
              <w:rPr>
                <w:sz w:val="20"/>
                <w:szCs w:val="20"/>
                <w:color w:val="auto"/>
              </w:rPr>
            </w:pPr>
            <w:r>
              <w:rPr>
                <w:rFonts w:ascii="Arial" w:cs="Arial" w:eastAsia="Arial" w:hAnsi="Arial"/>
                <w:sz w:val="19"/>
                <w:szCs w:val="19"/>
                <w:color w:val="231F20"/>
              </w:rPr>
              <w:t>Accumulated deficit</w:t>
            </w:r>
          </w:p>
        </w:tc>
        <w:tc>
          <w:tcPr>
            <w:tcW w:w="16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1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(170,870)</w:t>
            </w:r>
          </w:p>
        </w:tc>
        <w:tc>
          <w:tcPr>
            <w:tcW w:w="140" w:type="dxa"/>
            <w:vAlign w:val="bottom"/>
            <w:shd w:val="clear" w:color="auto" w:fill="FDFDFC"/>
          </w:tcPr>
          <w:p>
            <w:pPr>
              <w:spacing w:after="0"/>
              <w:rPr>
                <w:sz w:val="20"/>
                <w:szCs w:val="20"/>
                <w:color w:val="auto"/>
              </w:rPr>
            </w:pPr>
          </w:p>
        </w:tc>
        <w:tc>
          <w:tcPr>
            <w:tcW w:w="420" w:type="dxa"/>
            <w:vAlign w:val="bottom"/>
            <w:shd w:val="clear" w:color="auto" w:fill="FDFDFC"/>
          </w:tcPr>
          <w:p>
            <w:pPr>
              <w:spacing w:after="0"/>
              <w:rPr>
                <w:sz w:val="20"/>
                <w:szCs w:val="20"/>
                <w:color w:val="auto"/>
              </w:rPr>
            </w:pPr>
          </w:p>
        </w:tc>
        <w:tc>
          <w:tcPr>
            <w:tcW w:w="100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(173,770)</w:t>
            </w:r>
          </w:p>
        </w:tc>
        <w:tc>
          <w:tcPr>
            <w:tcW w:w="0" w:type="dxa"/>
            <w:vAlign w:val="bottom"/>
          </w:tcPr>
          <w:p>
            <w:pPr>
              <w:spacing w:after="0"/>
              <w:rPr>
                <w:sz w:val="1"/>
                <w:szCs w:val="1"/>
                <w:color w:val="auto"/>
              </w:rPr>
            </w:pPr>
          </w:p>
        </w:tc>
      </w:tr>
      <w:tr>
        <w:trPr>
          <w:trHeight w:val="220"/>
        </w:trPr>
        <w:tc>
          <w:tcPr>
            <w:tcW w:w="7060" w:type="dxa"/>
            <w:vAlign w:val="bottom"/>
            <w:tcBorders>
              <w:top w:val="single" w:sz="8" w:color="D0EBF2"/>
              <w:bottom w:val="single" w:sz="8" w:color="FDFDFC"/>
            </w:tcBorders>
            <w:shd w:val="clear" w:color="auto" w:fill="D0EBF2"/>
          </w:tcPr>
          <w:p>
            <w:pPr>
              <w:ind w:left="800"/>
              <w:spacing w:after="0"/>
              <w:rPr>
                <w:sz w:val="20"/>
                <w:szCs w:val="20"/>
                <w:color w:val="auto"/>
              </w:rPr>
            </w:pPr>
            <w:r>
              <w:rPr>
                <w:rFonts w:ascii="Arial" w:cs="Arial" w:eastAsia="Arial" w:hAnsi="Arial"/>
                <w:sz w:val="19"/>
                <w:szCs w:val="19"/>
                <w:color w:val="231F20"/>
              </w:rPr>
              <w:t>Total stockholders’ equity</w:t>
            </w:r>
          </w:p>
        </w:tc>
        <w:tc>
          <w:tcPr>
            <w:tcW w:w="160" w:type="dxa"/>
            <w:vAlign w:val="bottom"/>
            <w:tcBorders>
              <w:top w:val="single" w:sz="8" w:color="D0EBF2"/>
              <w:bottom w:val="single" w:sz="8" w:color="FDFDFC"/>
            </w:tcBorders>
            <w:shd w:val="clear" w:color="auto" w:fill="D0EBF2"/>
          </w:tcPr>
          <w:p>
            <w:pPr>
              <w:spacing w:after="0"/>
              <w:rPr>
                <w:sz w:val="19"/>
                <w:szCs w:val="19"/>
                <w:color w:val="auto"/>
              </w:rPr>
            </w:pPr>
          </w:p>
        </w:tc>
        <w:tc>
          <w:tcPr>
            <w:tcW w:w="280" w:type="dxa"/>
            <w:vAlign w:val="bottom"/>
            <w:tcBorders>
              <w:top w:val="single" w:sz="8" w:color="231F20"/>
              <w:bottom w:val="single" w:sz="8" w:color="231F20"/>
            </w:tcBorders>
            <w:shd w:val="clear" w:color="auto" w:fill="D0EBF2"/>
          </w:tcPr>
          <w:p>
            <w:pPr>
              <w:spacing w:after="0"/>
              <w:rPr>
                <w:sz w:val="19"/>
                <w:szCs w:val="19"/>
                <w:color w:val="auto"/>
              </w:rPr>
            </w:pPr>
          </w:p>
        </w:tc>
        <w:tc>
          <w:tcPr>
            <w:tcW w:w="10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814,767</w:t>
            </w:r>
          </w:p>
        </w:tc>
        <w:tc>
          <w:tcPr>
            <w:tcW w:w="100" w:type="dxa"/>
            <w:vAlign w:val="bottom"/>
            <w:tcBorders>
              <w:top w:val="single" w:sz="8" w:color="D0EBF2"/>
              <w:bottom w:val="single" w:sz="8" w:color="FDFDFC"/>
            </w:tcBorders>
            <w:shd w:val="clear" w:color="auto" w:fill="D0EBF2"/>
          </w:tcPr>
          <w:p>
            <w:pPr>
              <w:spacing w:after="0"/>
              <w:rPr>
                <w:sz w:val="19"/>
                <w:szCs w:val="19"/>
                <w:color w:val="auto"/>
              </w:rPr>
            </w:pPr>
          </w:p>
        </w:tc>
        <w:tc>
          <w:tcPr>
            <w:tcW w:w="140" w:type="dxa"/>
            <w:vAlign w:val="bottom"/>
            <w:tcBorders>
              <w:top w:val="single" w:sz="8" w:color="D0EBF2"/>
              <w:bottom w:val="single" w:sz="8" w:color="FDFDFC"/>
            </w:tcBorders>
            <w:shd w:val="clear" w:color="auto" w:fill="D0EBF2"/>
          </w:tcPr>
          <w:p>
            <w:pPr>
              <w:spacing w:after="0"/>
              <w:rPr>
                <w:sz w:val="19"/>
                <w:szCs w:val="19"/>
                <w:color w:val="auto"/>
              </w:rPr>
            </w:pPr>
          </w:p>
        </w:tc>
        <w:tc>
          <w:tcPr>
            <w:tcW w:w="420" w:type="dxa"/>
            <w:vAlign w:val="bottom"/>
            <w:tcBorders>
              <w:top w:val="single" w:sz="8" w:color="231F20"/>
              <w:bottom w:val="single" w:sz="8" w:color="231F20"/>
            </w:tcBorders>
            <w:shd w:val="clear" w:color="auto" w:fill="D0EBF2"/>
          </w:tcPr>
          <w:p>
            <w:pPr>
              <w:spacing w:after="0"/>
              <w:rPr>
                <w:sz w:val="19"/>
                <w:szCs w:val="19"/>
                <w:color w:val="auto"/>
              </w:rPr>
            </w:pPr>
          </w:p>
        </w:tc>
        <w:tc>
          <w:tcPr>
            <w:tcW w:w="9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786,117</w:t>
            </w:r>
          </w:p>
        </w:tc>
        <w:tc>
          <w:tcPr>
            <w:tcW w:w="100" w:type="dxa"/>
            <w:vAlign w:val="bottom"/>
            <w:tcBorders>
              <w:top w:val="single" w:sz="8" w:color="D0EBF2"/>
              <w:bottom w:val="single" w:sz="8" w:color="FDFDFC"/>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60" w:type="dxa"/>
            <w:vAlign w:val="bottom"/>
            <w:shd w:val="clear" w:color="auto" w:fill="FDFDFC"/>
          </w:tcPr>
          <w:p>
            <w:pPr>
              <w:ind w:left="800"/>
              <w:spacing w:after="0"/>
              <w:rPr>
                <w:sz w:val="20"/>
                <w:szCs w:val="20"/>
                <w:color w:val="auto"/>
              </w:rPr>
            </w:pPr>
            <w:r>
              <w:rPr>
                <w:rFonts w:ascii="Arial" w:cs="Arial" w:eastAsia="Arial" w:hAnsi="Arial"/>
                <w:sz w:val="19"/>
                <w:szCs w:val="19"/>
                <w:color w:val="231F20"/>
              </w:rPr>
              <w:t>Total liabilities and stockholders’ equity</w:t>
            </w:r>
          </w:p>
        </w:tc>
        <w:tc>
          <w:tcPr>
            <w:tcW w:w="160" w:type="dxa"/>
            <w:vAlign w:val="bottom"/>
            <w:shd w:val="clear" w:color="auto" w:fill="FDFDFC"/>
          </w:tcPr>
          <w:p>
            <w:pPr>
              <w:spacing w:after="0"/>
              <w:rPr>
                <w:sz w:val="19"/>
                <w:szCs w:val="19"/>
                <w:color w:val="auto"/>
              </w:rPr>
            </w:pPr>
          </w:p>
        </w:tc>
        <w:tc>
          <w:tcPr>
            <w:tcW w:w="280" w:type="dxa"/>
            <w:vAlign w:val="bottom"/>
            <w:tcBorders>
              <w:bottom w:val="single" w:sz="8" w:color="231F20"/>
            </w:tcBorders>
            <w:shd w:val="clear" w:color="auto" w:fill="FDFDFC"/>
          </w:tcPr>
          <w:p>
            <w:pPr>
              <w:jc w:val="right"/>
              <w:ind w:right="86"/>
              <w:spacing w:after="0"/>
              <w:rPr>
                <w:sz w:val="20"/>
                <w:szCs w:val="20"/>
                <w:color w:val="auto"/>
              </w:rPr>
            </w:pPr>
            <w:r>
              <w:rPr>
                <w:rFonts w:ascii="Arial" w:cs="Arial" w:eastAsia="Arial" w:hAnsi="Arial"/>
                <w:sz w:val="19"/>
                <w:szCs w:val="19"/>
                <w:color w:val="231F20"/>
                <w:highlight w:val="white"/>
                <w:w w:val="75"/>
              </w:rPr>
              <w:t>$</w:t>
            </w:r>
          </w:p>
        </w:tc>
        <w:tc>
          <w:tcPr>
            <w:tcW w:w="10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highlight w:val="white"/>
              </w:rPr>
              <w:t>1,122,446</w:t>
            </w:r>
          </w:p>
        </w:tc>
        <w:tc>
          <w:tcPr>
            <w:tcW w:w="100" w:type="dxa"/>
            <w:vAlign w:val="bottom"/>
            <w:shd w:val="clear" w:color="auto" w:fill="FDFDFC"/>
          </w:tcPr>
          <w:p>
            <w:pPr>
              <w:spacing w:after="0"/>
              <w:rPr>
                <w:sz w:val="19"/>
                <w:szCs w:val="19"/>
                <w:color w:val="auto"/>
              </w:rPr>
            </w:pPr>
          </w:p>
        </w:tc>
        <w:tc>
          <w:tcPr>
            <w:tcW w:w="140" w:type="dxa"/>
            <w:vAlign w:val="bottom"/>
            <w:shd w:val="clear" w:color="auto" w:fill="FDFDFC"/>
          </w:tcPr>
          <w:p>
            <w:pPr>
              <w:spacing w:after="0"/>
              <w:rPr>
                <w:sz w:val="19"/>
                <w:szCs w:val="19"/>
                <w:color w:val="auto"/>
              </w:rPr>
            </w:pPr>
          </w:p>
        </w:tc>
        <w:tc>
          <w:tcPr>
            <w:tcW w:w="420" w:type="dxa"/>
            <w:vAlign w:val="bottom"/>
            <w:tcBorders>
              <w:bottom w:val="single" w:sz="8" w:color="231F20"/>
            </w:tcBorders>
            <w:shd w:val="clear" w:color="auto" w:fill="FDFDFC"/>
          </w:tcPr>
          <w:p>
            <w:pPr>
              <w:jc w:val="right"/>
              <w:ind w:right="206"/>
              <w:spacing w:after="0"/>
              <w:rPr>
                <w:sz w:val="20"/>
                <w:szCs w:val="20"/>
                <w:color w:val="auto"/>
              </w:rPr>
            </w:pPr>
            <w:r>
              <w:rPr>
                <w:rFonts w:ascii="Arial" w:cs="Arial" w:eastAsia="Arial" w:hAnsi="Arial"/>
                <w:sz w:val="19"/>
                <w:szCs w:val="19"/>
                <w:color w:val="231F20"/>
                <w:highlight w:val="white"/>
                <w:w w:val="94"/>
              </w:rPr>
              <w:t>$</w:t>
            </w:r>
          </w:p>
        </w:tc>
        <w:tc>
          <w:tcPr>
            <w:tcW w:w="9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1,079,731</w:t>
            </w:r>
          </w:p>
        </w:tc>
        <w:tc>
          <w:tcPr>
            <w:tcW w:w="100" w:type="dxa"/>
            <w:vAlign w:val="bottom"/>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The accompanying notes are an integral part of these consolidated financial statements.</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110</w:t>
      </w:r>
    </w:p>
    <w:p>
      <w:pPr>
        <w:sectPr>
          <w:pgSz w:w="12240" w:h="15840" w:orient="portrait"/>
          <w:cols w:equalWidth="0" w:num="1">
            <w:col w:w="10200"/>
          </w:cols>
          <w:pgMar w:left="1020" w:top="1440" w:right="1020" w:bottom="572" w:gutter="0" w:footer="0" w:header="0"/>
          <w:type w:val="continuous"/>
        </w:sectPr>
      </w:pPr>
    </w:p>
    <w:bookmarkStart w:id="111" w:name="page112"/>
    <w:bookmarkEnd w:id="111"/>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FLYWIRE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CONSOLIDATED STATEMENTS OF OPERATIONS AND COMPREHENSIVE LOSS</w:t>
      </w:r>
    </w:p>
    <w:p>
      <w:pPr>
        <w:jc w:val="center"/>
        <w:spacing w:after="0"/>
        <w:rPr>
          <w:sz w:val="20"/>
          <w:szCs w:val="20"/>
          <w:color w:val="auto"/>
        </w:rPr>
      </w:pPr>
      <w:r>
        <w:rPr>
          <w:rFonts w:ascii="Arial" w:cs="Arial" w:eastAsia="Arial" w:hAnsi="Arial"/>
          <w:sz w:val="19"/>
          <w:szCs w:val="19"/>
          <w:color w:val="231F20"/>
        </w:rPr>
        <w:t>(Amounts in thousands, except share and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Borders>
              <w:bottom w:val="single" w:sz="8" w:color="FDFDFC"/>
            </w:tcBorders>
            <w:shd w:val="clear" w:color="auto" w:fill="FDFDFC"/>
          </w:tcPr>
          <w:p>
            <w:pPr>
              <w:spacing w:after="0"/>
              <w:rPr>
                <w:sz w:val="16"/>
                <w:szCs w:val="16"/>
                <w:color w:val="auto"/>
              </w:rPr>
            </w:pPr>
          </w:p>
        </w:tc>
        <w:tc>
          <w:tcPr>
            <w:tcW w:w="140" w:type="dxa"/>
            <w:vAlign w:val="bottom"/>
            <w:tcBorders>
              <w:bottom w:val="single" w:sz="8" w:color="FDFDFC"/>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2900" w:type="dxa"/>
            <w:vAlign w:val="bottom"/>
            <w:tcBorders>
              <w:bottom w:val="single" w:sz="8" w:color="231F20"/>
            </w:tcBorders>
            <w:gridSpan w:val="8"/>
            <w:shd w:val="clear" w:color="auto" w:fill="FDFDFC"/>
          </w:tcPr>
          <w:p>
            <w:pPr>
              <w:jc w:val="right"/>
              <w:spacing w:after="0"/>
              <w:rPr>
                <w:sz w:val="20"/>
                <w:szCs w:val="20"/>
                <w:color w:val="auto"/>
              </w:rPr>
            </w:pPr>
            <w:r>
              <w:rPr>
                <w:rFonts w:ascii="Arial" w:cs="Arial" w:eastAsia="Arial" w:hAnsi="Arial"/>
                <w:sz w:val="15"/>
                <w:szCs w:val="15"/>
                <w:b w:val="1"/>
                <w:bCs w:val="1"/>
                <w:color w:val="231F20"/>
              </w:rPr>
              <w:t>Year Ended December 31,</w:t>
            </w:r>
          </w:p>
        </w:tc>
        <w:tc>
          <w:tcPr>
            <w:tcW w:w="108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1080" w:type="dxa"/>
            <w:vAlign w:val="bottom"/>
            <w:tcBorders>
              <w:bottom w:val="single" w:sz="8" w:color="231F20"/>
            </w:tcBorders>
            <w:shd w:val="clear" w:color="auto" w:fill="FDFDFC"/>
          </w:tcPr>
          <w:p>
            <w:pPr>
              <w:jc w:val="right"/>
              <w:ind w:right="327"/>
              <w:spacing w:after="0"/>
              <w:rPr>
                <w:sz w:val="20"/>
                <w:szCs w:val="20"/>
                <w:color w:val="auto"/>
              </w:rPr>
            </w:pPr>
            <w:r>
              <w:rPr>
                <w:rFonts w:ascii="Arial" w:cs="Arial" w:eastAsia="Arial" w:hAnsi="Arial"/>
                <w:sz w:val="15"/>
                <w:szCs w:val="15"/>
                <w:b w:val="1"/>
                <w:bCs w:val="1"/>
                <w:color w:val="231F20"/>
              </w:rPr>
              <w:t>2024</w:t>
            </w:r>
          </w:p>
        </w:tc>
        <w:tc>
          <w:tcPr>
            <w:tcW w:w="12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1080" w:type="dxa"/>
            <w:vAlign w:val="bottom"/>
            <w:tcBorders>
              <w:bottom w:val="single" w:sz="8" w:color="231F20"/>
            </w:tcBorders>
            <w:shd w:val="clear" w:color="auto" w:fill="FDFDFC"/>
          </w:tcPr>
          <w:p>
            <w:pPr>
              <w:jc w:val="right"/>
              <w:ind w:right="346"/>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1080" w:type="dxa"/>
            <w:vAlign w:val="bottom"/>
            <w:tcBorders>
              <w:bottom w:val="single" w:sz="8" w:color="231F20"/>
            </w:tcBorders>
            <w:shd w:val="clear" w:color="auto" w:fill="FDFDFC"/>
          </w:tcPr>
          <w:p>
            <w:pPr>
              <w:jc w:val="right"/>
              <w:ind w:right="346"/>
              <w:spacing w:after="0"/>
              <w:rPr>
                <w:sz w:val="20"/>
                <w:szCs w:val="20"/>
                <w:color w:val="auto"/>
              </w:rPr>
            </w:pPr>
            <w:r>
              <w:rPr>
                <w:rFonts w:ascii="Arial" w:cs="Arial" w:eastAsia="Arial" w:hAnsi="Arial"/>
                <w:sz w:val="15"/>
                <w:szCs w:val="15"/>
                <w:b w:val="1"/>
                <w:bCs w:val="1"/>
                <w:color w:val="231F20"/>
              </w:rPr>
              <w:t>2022</w:t>
            </w:r>
          </w:p>
        </w:tc>
        <w:tc>
          <w:tcPr>
            <w:tcW w:w="1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Revenue</w:t>
            </w:r>
          </w:p>
        </w:tc>
        <w:tc>
          <w:tcPr>
            <w:tcW w:w="14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94"/>
              </w:rPr>
              <w:t>$</w:t>
            </w: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492,144</w:t>
            </w:r>
          </w:p>
        </w:tc>
        <w:tc>
          <w:tcPr>
            <w:tcW w:w="12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403,094</w:t>
            </w:r>
          </w:p>
        </w:tc>
        <w:tc>
          <w:tcPr>
            <w:tcW w:w="1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289,375</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spacing w:after="0"/>
              <w:rPr>
                <w:sz w:val="20"/>
                <w:szCs w:val="20"/>
                <w:color w:val="auto"/>
              </w:rPr>
            </w:pPr>
            <w:r>
              <w:rPr>
                <w:rFonts w:ascii="Arial" w:cs="Arial" w:eastAsia="Arial" w:hAnsi="Arial"/>
                <w:sz w:val="19"/>
                <w:szCs w:val="19"/>
                <w:color w:val="231F20"/>
              </w:rPr>
              <w:t>Costs and operating expenses:</w:t>
            </w: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Payment processing services costs</w:t>
            </w: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177,490</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147,339</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107,933</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Technology and development</w:t>
            </w: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66,636</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62,028</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50,257</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Selling and marketing</w:t>
            </w: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129,435</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107,621</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78,456</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D0EBF2"/>
            </w:tcBorders>
            <w:shd w:val="clear" w:color="auto" w:fill="FDFDFC"/>
          </w:tcPr>
          <w:p>
            <w:pPr>
              <w:ind w:left="260"/>
              <w:spacing w:after="0"/>
              <w:rPr>
                <w:sz w:val="20"/>
                <w:szCs w:val="20"/>
                <w:color w:val="auto"/>
              </w:rPr>
            </w:pPr>
            <w:r>
              <w:rPr>
                <w:rFonts w:ascii="Arial" w:cs="Arial" w:eastAsia="Arial" w:hAnsi="Arial"/>
                <w:sz w:val="19"/>
                <w:szCs w:val="19"/>
                <w:color w:val="231F20"/>
              </w:rPr>
              <w:t>General and administrative</w:t>
            </w:r>
          </w:p>
        </w:tc>
        <w:tc>
          <w:tcPr>
            <w:tcW w:w="14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spacing w:after="0"/>
              <w:rPr>
                <w:sz w:val="20"/>
                <w:szCs w:val="20"/>
                <w:color w:val="auto"/>
              </w:rPr>
            </w:pP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125,838</w:t>
            </w:r>
          </w:p>
        </w:tc>
        <w:tc>
          <w:tcPr>
            <w:tcW w:w="120" w:type="dxa"/>
            <w:vAlign w:val="bottom"/>
            <w:tcBorders>
              <w:bottom w:val="single" w:sz="8" w:color="D0EBF2"/>
            </w:tcBorders>
            <w:shd w:val="clear" w:color="auto" w:fill="FDFDFC"/>
          </w:tcPr>
          <w:p>
            <w:pPr>
              <w:spacing w:after="0"/>
              <w:rPr>
                <w:sz w:val="20"/>
                <w:szCs w:val="20"/>
                <w:color w:val="auto"/>
              </w:rPr>
            </w:pPr>
          </w:p>
        </w:tc>
        <w:tc>
          <w:tcPr>
            <w:tcW w:w="14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spacing w:after="0"/>
              <w:rPr>
                <w:sz w:val="20"/>
                <w:szCs w:val="20"/>
                <w:color w:val="auto"/>
              </w:rPr>
            </w:pP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107,624</w:t>
            </w:r>
          </w:p>
        </w:tc>
        <w:tc>
          <w:tcPr>
            <w:tcW w:w="100" w:type="dxa"/>
            <w:vAlign w:val="bottom"/>
            <w:tcBorders>
              <w:bottom w:val="single" w:sz="8" w:color="D0EBF2"/>
            </w:tcBorders>
            <w:shd w:val="clear" w:color="auto" w:fill="FDFDFC"/>
          </w:tcPr>
          <w:p>
            <w:pPr>
              <w:spacing w:after="0"/>
              <w:rPr>
                <w:sz w:val="20"/>
                <w:szCs w:val="20"/>
                <w:color w:val="auto"/>
              </w:rPr>
            </w:pPr>
          </w:p>
        </w:tc>
        <w:tc>
          <w:tcPr>
            <w:tcW w:w="14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spacing w:after="0"/>
              <w:rPr>
                <w:sz w:val="20"/>
                <w:szCs w:val="20"/>
                <w:color w:val="auto"/>
              </w:rPr>
            </w:pP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82,949</w:t>
            </w:r>
          </w:p>
        </w:tc>
        <w:tc>
          <w:tcPr>
            <w:tcW w:w="10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60" w:type="dxa"/>
            <w:vAlign w:val="bottom"/>
            <w:tcBorders>
              <w:bottom w:val="single" w:sz="8" w:color="FDFDFC"/>
            </w:tcBorders>
            <w:shd w:val="clear" w:color="auto" w:fill="D0EBF2"/>
          </w:tcPr>
          <w:p>
            <w:pPr>
              <w:ind w:left="520"/>
              <w:spacing w:after="0"/>
              <w:rPr>
                <w:sz w:val="20"/>
                <w:szCs w:val="20"/>
                <w:color w:val="auto"/>
              </w:rPr>
            </w:pPr>
            <w:r>
              <w:rPr>
                <w:rFonts w:ascii="Arial" w:cs="Arial" w:eastAsia="Arial" w:hAnsi="Arial"/>
                <w:sz w:val="19"/>
                <w:szCs w:val="19"/>
                <w:color w:val="231F20"/>
              </w:rPr>
              <w:t>Total costs and operating expenses</w:t>
            </w:r>
          </w:p>
        </w:tc>
        <w:tc>
          <w:tcPr>
            <w:tcW w:w="140" w:type="dxa"/>
            <w:vAlign w:val="bottom"/>
            <w:tcBorders>
              <w:bottom w:val="single" w:sz="8" w:color="FDFDFC"/>
            </w:tcBorders>
            <w:shd w:val="clear" w:color="auto" w:fill="D0EBF2"/>
          </w:tcPr>
          <w:p>
            <w:pPr>
              <w:spacing w:after="0"/>
              <w:rPr>
                <w:sz w:val="19"/>
                <w:szCs w:val="19"/>
                <w:color w:val="auto"/>
              </w:rPr>
            </w:pPr>
          </w:p>
        </w:tc>
        <w:tc>
          <w:tcPr>
            <w:tcW w:w="120" w:type="dxa"/>
            <w:vAlign w:val="bottom"/>
            <w:tcBorders>
              <w:bottom w:val="single" w:sz="8" w:color="231F20"/>
            </w:tcBorders>
            <w:shd w:val="clear" w:color="auto" w:fill="D0EBF2"/>
          </w:tcPr>
          <w:p>
            <w:pPr>
              <w:spacing w:after="0"/>
              <w:rPr>
                <w:sz w:val="19"/>
                <w:szCs w:val="19"/>
                <w:color w:val="auto"/>
              </w:rPr>
            </w:pPr>
          </w:p>
        </w:tc>
        <w:tc>
          <w:tcPr>
            <w:tcW w:w="108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499,399</w:t>
            </w:r>
          </w:p>
        </w:tc>
        <w:tc>
          <w:tcPr>
            <w:tcW w:w="120" w:type="dxa"/>
            <w:vAlign w:val="bottom"/>
            <w:tcBorders>
              <w:bottom w:val="single" w:sz="8" w:color="FDFDFC"/>
            </w:tcBorders>
            <w:shd w:val="clear" w:color="auto" w:fill="D0EBF2"/>
          </w:tcPr>
          <w:p>
            <w:pPr>
              <w:spacing w:after="0"/>
              <w:rPr>
                <w:sz w:val="19"/>
                <w:szCs w:val="19"/>
                <w:color w:val="auto"/>
              </w:rPr>
            </w:pPr>
          </w:p>
        </w:tc>
        <w:tc>
          <w:tcPr>
            <w:tcW w:w="140" w:type="dxa"/>
            <w:vAlign w:val="bottom"/>
            <w:tcBorders>
              <w:bottom w:val="single" w:sz="8" w:color="FDFDFC"/>
            </w:tcBorders>
            <w:shd w:val="clear" w:color="auto" w:fill="D0EBF2"/>
          </w:tcPr>
          <w:p>
            <w:pPr>
              <w:spacing w:after="0"/>
              <w:rPr>
                <w:sz w:val="19"/>
                <w:szCs w:val="19"/>
                <w:color w:val="auto"/>
              </w:rPr>
            </w:pPr>
          </w:p>
        </w:tc>
        <w:tc>
          <w:tcPr>
            <w:tcW w:w="120" w:type="dxa"/>
            <w:vAlign w:val="bottom"/>
            <w:tcBorders>
              <w:bottom w:val="single" w:sz="8" w:color="231F20"/>
            </w:tcBorders>
            <w:shd w:val="clear" w:color="auto" w:fill="D0EBF2"/>
          </w:tcPr>
          <w:p>
            <w:pPr>
              <w:spacing w:after="0"/>
              <w:rPr>
                <w:sz w:val="19"/>
                <w:szCs w:val="19"/>
                <w:color w:val="auto"/>
              </w:rPr>
            </w:pPr>
          </w:p>
        </w:tc>
        <w:tc>
          <w:tcPr>
            <w:tcW w:w="108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424,612</w:t>
            </w:r>
          </w:p>
        </w:tc>
        <w:tc>
          <w:tcPr>
            <w:tcW w:w="100" w:type="dxa"/>
            <w:vAlign w:val="bottom"/>
            <w:tcBorders>
              <w:bottom w:val="single" w:sz="8" w:color="FDFDFC"/>
            </w:tcBorders>
            <w:shd w:val="clear" w:color="auto" w:fill="D0EBF2"/>
          </w:tcPr>
          <w:p>
            <w:pPr>
              <w:spacing w:after="0"/>
              <w:rPr>
                <w:sz w:val="19"/>
                <w:szCs w:val="19"/>
                <w:color w:val="auto"/>
              </w:rPr>
            </w:pPr>
          </w:p>
        </w:tc>
        <w:tc>
          <w:tcPr>
            <w:tcW w:w="140" w:type="dxa"/>
            <w:vAlign w:val="bottom"/>
            <w:tcBorders>
              <w:bottom w:val="single" w:sz="8" w:color="FDFDFC"/>
            </w:tcBorders>
            <w:shd w:val="clear" w:color="auto" w:fill="D0EBF2"/>
          </w:tcPr>
          <w:p>
            <w:pPr>
              <w:spacing w:after="0"/>
              <w:rPr>
                <w:sz w:val="19"/>
                <w:szCs w:val="19"/>
                <w:color w:val="auto"/>
              </w:rPr>
            </w:pPr>
          </w:p>
        </w:tc>
        <w:tc>
          <w:tcPr>
            <w:tcW w:w="120" w:type="dxa"/>
            <w:vAlign w:val="bottom"/>
            <w:tcBorders>
              <w:bottom w:val="single" w:sz="8" w:color="231F20"/>
            </w:tcBorders>
            <w:shd w:val="clear" w:color="auto" w:fill="D0EBF2"/>
          </w:tcPr>
          <w:p>
            <w:pPr>
              <w:spacing w:after="0"/>
              <w:rPr>
                <w:sz w:val="19"/>
                <w:szCs w:val="19"/>
                <w:color w:val="auto"/>
              </w:rPr>
            </w:pPr>
          </w:p>
        </w:tc>
        <w:tc>
          <w:tcPr>
            <w:tcW w:w="108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319,595</w:t>
            </w:r>
          </w:p>
        </w:tc>
        <w:tc>
          <w:tcPr>
            <w:tcW w:w="100" w:type="dxa"/>
            <w:vAlign w:val="bottom"/>
            <w:tcBorders>
              <w:bottom w:val="single" w:sz="8" w:color="FDFDFC"/>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6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9"/>
                <w:szCs w:val="19"/>
                <w:color w:val="231F20"/>
              </w:rPr>
              <w:t>Loss from operations</w:t>
            </w:r>
          </w:p>
        </w:tc>
        <w:tc>
          <w:tcPr>
            <w:tcW w:w="140" w:type="dxa"/>
            <w:vAlign w:val="bottom"/>
            <w:tcBorders>
              <w:bottom w:val="single" w:sz="8" w:color="D0EBF2"/>
            </w:tcBorders>
            <w:shd w:val="clear" w:color="auto" w:fill="FDFDFC"/>
          </w:tcPr>
          <w:p>
            <w:pPr>
              <w:spacing w:after="0"/>
              <w:rPr>
                <w:sz w:val="19"/>
                <w:szCs w:val="19"/>
                <w:color w:val="auto"/>
              </w:rPr>
            </w:pPr>
          </w:p>
        </w:tc>
        <w:tc>
          <w:tcPr>
            <w:tcW w:w="1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w w:val="94"/>
              </w:rPr>
              <w:t>$</w:t>
            </w: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(7,255)</w:t>
            </w:r>
          </w:p>
        </w:tc>
        <w:tc>
          <w:tcPr>
            <w:tcW w:w="120" w:type="dxa"/>
            <w:vAlign w:val="bottom"/>
            <w:tcBorders>
              <w:bottom w:val="single" w:sz="8" w:color="D0EBF2"/>
            </w:tcBorders>
            <w:shd w:val="clear" w:color="auto" w:fill="FDFDFC"/>
          </w:tcPr>
          <w:p>
            <w:pPr>
              <w:spacing w:after="0"/>
              <w:rPr>
                <w:sz w:val="19"/>
                <w:szCs w:val="19"/>
                <w:color w:val="auto"/>
              </w:rPr>
            </w:pPr>
          </w:p>
        </w:tc>
        <w:tc>
          <w:tcPr>
            <w:tcW w:w="140" w:type="dxa"/>
            <w:vAlign w:val="bottom"/>
            <w:tcBorders>
              <w:bottom w:val="single" w:sz="8" w:color="D0EBF2"/>
            </w:tcBorders>
            <w:shd w:val="clear" w:color="auto" w:fill="FDFDFC"/>
          </w:tcPr>
          <w:p>
            <w:pPr>
              <w:spacing w:after="0"/>
              <w:rPr>
                <w:sz w:val="19"/>
                <w:szCs w:val="19"/>
                <w:color w:val="auto"/>
              </w:rPr>
            </w:pPr>
          </w:p>
        </w:tc>
        <w:tc>
          <w:tcPr>
            <w:tcW w:w="1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(21,518)</w:t>
            </w:r>
          </w:p>
        </w:tc>
        <w:tc>
          <w:tcPr>
            <w:tcW w:w="100" w:type="dxa"/>
            <w:vAlign w:val="bottom"/>
            <w:tcBorders>
              <w:bottom w:val="single" w:sz="8" w:color="D0EBF2"/>
            </w:tcBorders>
            <w:shd w:val="clear" w:color="auto" w:fill="FDFDFC"/>
          </w:tcPr>
          <w:p>
            <w:pPr>
              <w:spacing w:after="0"/>
              <w:rPr>
                <w:sz w:val="19"/>
                <w:szCs w:val="19"/>
                <w:color w:val="auto"/>
              </w:rPr>
            </w:pPr>
          </w:p>
        </w:tc>
        <w:tc>
          <w:tcPr>
            <w:tcW w:w="140" w:type="dxa"/>
            <w:vAlign w:val="bottom"/>
            <w:tcBorders>
              <w:bottom w:val="single" w:sz="8" w:color="D0EBF2"/>
            </w:tcBorders>
            <w:shd w:val="clear" w:color="auto" w:fill="FDFDFC"/>
          </w:tcPr>
          <w:p>
            <w:pPr>
              <w:spacing w:after="0"/>
              <w:rPr>
                <w:sz w:val="19"/>
                <w:szCs w:val="19"/>
                <w:color w:val="auto"/>
              </w:rPr>
            </w:pPr>
          </w:p>
        </w:tc>
        <w:tc>
          <w:tcPr>
            <w:tcW w:w="1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(30,220)</w:t>
            </w:r>
          </w:p>
        </w:tc>
        <w:tc>
          <w:tcPr>
            <w:tcW w:w="100" w:type="dxa"/>
            <w:vAlign w:val="bottom"/>
            <w:tcBorders>
              <w:bottom w:val="single" w:sz="8" w:color="D0EBF2"/>
            </w:tcBorders>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Other income (expense):</w:t>
            </w:r>
          </w:p>
        </w:tc>
        <w:tc>
          <w:tcPr>
            <w:tcW w:w="14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108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108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108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Interest expense</w:t>
            </w: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(538)</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(372)</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(1,211)</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Interest income</w:t>
            </w: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21,440</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13,349</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3,244</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(Loss) gain from remeasurement of foreign currency</w:t>
            </w: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(11,787)</w:t>
            </w: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4,189</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18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(9,172)</w:t>
            </w:r>
          </w:p>
        </w:tc>
        <w:tc>
          <w:tcPr>
            <w:tcW w:w="0" w:type="dxa"/>
            <w:vAlign w:val="bottom"/>
          </w:tcPr>
          <w:p>
            <w:pPr>
              <w:spacing w:after="0"/>
              <w:rPr>
                <w:sz w:val="1"/>
                <w:szCs w:val="1"/>
                <w:color w:val="auto"/>
              </w:rPr>
            </w:pPr>
          </w:p>
        </w:tc>
      </w:tr>
      <w:tr>
        <w:trPr>
          <w:trHeight w:val="245"/>
        </w:trPr>
        <w:tc>
          <w:tcPr>
            <w:tcW w:w="5860" w:type="dxa"/>
            <w:vAlign w:val="bottom"/>
            <w:tcBorders>
              <w:top w:val="single" w:sz="8" w:color="D0EBF2"/>
              <w:bottom w:val="single" w:sz="8" w:color="D0EBF2"/>
            </w:tcBorders>
            <w:shd w:val="clear" w:color="auto" w:fill="D0EBF2"/>
          </w:tcPr>
          <w:p>
            <w:pPr>
              <w:ind w:left="520"/>
              <w:spacing w:after="0"/>
              <w:rPr>
                <w:sz w:val="20"/>
                <w:szCs w:val="20"/>
                <w:color w:val="auto"/>
              </w:rPr>
            </w:pPr>
            <w:r>
              <w:rPr>
                <w:rFonts w:ascii="Arial" w:cs="Arial" w:eastAsia="Arial" w:hAnsi="Arial"/>
                <w:sz w:val="19"/>
                <w:szCs w:val="19"/>
                <w:color w:val="231F20"/>
              </w:rPr>
              <w:t>Total other income (expense), net</w:t>
            </w:r>
          </w:p>
        </w:tc>
        <w:tc>
          <w:tcPr>
            <w:tcW w:w="140" w:type="dxa"/>
            <w:vAlign w:val="bottom"/>
            <w:tcBorders>
              <w:top w:val="single" w:sz="8" w:color="D0EBF2"/>
              <w:bottom w:val="single" w:sz="8" w:color="D0EBF2"/>
            </w:tcBorders>
            <w:shd w:val="clear" w:color="auto" w:fill="D0EBF2"/>
          </w:tcPr>
          <w:p>
            <w:pPr>
              <w:spacing w:after="0"/>
              <w:rPr>
                <w:sz w:val="20"/>
                <w:szCs w:val="20"/>
                <w:color w:val="auto"/>
              </w:rPr>
            </w:pPr>
          </w:p>
        </w:tc>
        <w:tc>
          <w:tcPr>
            <w:tcW w:w="120" w:type="dxa"/>
            <w:vAlign w:val="bottom"/>
            <w:tcBorders>
              <w:top w:val="single" w:sz="8" w:color="231F20"/>
              <w:bottom w:val="single" w:sz="8" w:color="231F20"/>
            </w:tcBorders>
            <w:shd w:val="clear" w:color="auto" w:fill="D0EBF2"/>
          </w:tcPr>
          <w:p>
            <w:pPr>
              <w:spacing w:after="0"/>
              <w:rPr>
                <w:sz w:val="20"/>
                <w:szCs w:val="20"/>
                <w:color w:val="auto"/>
              </w:rPr>
            </w:pPr>
          </w:p>
        </w:tc>
        <w:tc>
          <w:tcPr>
            <w:tcW w:w="10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9,115</w:t>
            </w:r>
          </w:p>
        </w:tc>
        <w:tc>
          <w:tcPr>
            <w:tcW w:w="120" w:type="dxa"/>
            <w:vAlign w:val="bottom"/>
            <w:tcBorders>
              <w:top w:val="single" w:sz="8" w:color="D0EBF2"/>
              <w:bottom w:val="single" w:sz="8" w:color="D0EBF2"/>
            </w:tcBorders>
            <w:shd w:val="clear" w:color="auto" w:fill="D0EBF2"/>
          </w:tcPr>
          <w:p>
            <w:pPr>
              <w:spacing w:after="0"/>
              <w:rPr>
                <w:sz w:val="20"/>
                <w:szCs w:val="20"/>
                <w:color w:val="auto"/>
              </w:rPr>
            </w:pPr>
          </w:p>
        </w:tc>
        <w:tc>
          <w:tcPr>
            <w:tcW w:w="140" w:type="dxa"/>
            <w:vAlign w:val="bottom"/>
            <w:tcBorders>
              <w:top w:val="single" w:sz="8" w:color="D0EBF2"/>
              <w:bottom w:val="single" w:sz="8" w:color="D0EBF2"/>
            </w:tcBorders>
            <w:shd w:val="clear" w:color="auto" w:fill="D0EBF2"/>
          </w:tcPr>
          <w:p>
            <w:pPr>
              <w:spacing w:after="0"/>
              <w:rPr>
                <w:sz w:val="20"/>
                <w:szCs w:val="20"/>
                <w:color w:val="auto"/>
              </w:rPr>
            </w:pPr>
          </w:p>
        </w:tc>
        <w:tc>
          <w:tcPr>
            <w:tcW w:w="120" w:type="dxa"/>
            <w:vAlign w:val="bottom"/>
            <w:tcBorders>
              <w:top w:val="single" w:sz="8" w:color="231F20"/>
              <w:bottom w:val="single" w:sz="8" w:color="231F20"/>
            </w:tcBorders>
            <w:shd w:val="clear" w:color="auto" w:fill="D0EBF2"/>
          </w:tcPr>
          <w:p>
            <w:pPr>
              <w:spacing w:after="0"/>
              <w:rPr>
                <w:sz w:val="20"/>
                <w:szCs w:val="20"/>
                <w:color w:val="auto"/>
              </w:rPr>
            </w:pPr>
          </w:p>
        </w:tc>
        <w:tc>
          <w:tcPr>
            <w:tcW w:w="10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17,166</w:t>
            </w:r>
          </w:p>
        </w:tc>
        <w:tc>
          <w:tcPr>
            <w:tcW w:w="100" w:type="dxa"/>
            <w:vAlign w:val="bottom"/>
            <w:tcBorders>
              <w:top w:val="single" w:sz="8" w:color="D0EBF2"/>
              <w:bottom w:val="single" w:sz="8" w:color="D0EBF2"/>
            </w:tcBorders>
            <w:shd w:val="clear" w:color="auto" w:fill="D0EBF2"/>
          </w:tcPr>
          <w:p>
            <w:pPr>
              <w:spacing w:after="0"/>
              <w:rPr>
                <w:sz w:val="20"/>
                <w:szCs w:val="20"/>
                <w:color w:val="auto"/>
              </w:rPr>
            </w:pPr>
          </w:p>
        </w:tc>
        <w:tc>
          <w:tcPr>
            <w:tcW w:w="140" w:type="dxa"/>
            <w:vAlign w:val="bottom"/>
            <w:tcBorders>
              <w:top w:val="single" w:sz="8" w:color="D0EBF2"/>
              <w:bottom w:val="single" w:sz="8" w:color="D0EBF2"/>
            </w:tcBorders>
            <w:shd w:val="clear" w:color="auto" w:fill="D0EBF2"/>
          </w:tcPr>
          <w:p>
            <w:pPr>
              <w:spacing w:after="0"/>
              <w:rPr>
                <w:sz w:val="20"/>
                <w:szCs w:val="20"/>
                <w:color w:val="auto"/>
              </w:rPr>
            </w:pPr>
          </w:p>
        </w:tc>
        <w:tc>
          <w:tcPr>
            <w:tcW w:w="120" w:type="dxa"/>
            <w:vAlign w:val="bottom"/>
            <w:tcBorders>
              <w:top w:val="single" w:sz="8" w:color="231F20"/>
              <w:bottom w:val="single" w:sz="8" w:color="231F20"/>
            </w:tcBorders>
            <w:shd w:val="clear" w:color="auto" w:fill="D0EBF2"/>
          </w:tcPr>
          <w:p>
            <w:pPr>
              <w:spacing w:after="0"/>
              <w:rPr>
                <w:sz w:val="20"/>
                <w:szCs w:val="20"/>
                <w:color w:val="auto"/>
              </w:rPr>
            </w:pPr>
          </w:p>
        </w:tc>
        <w:tc>
          <w:tcPr>
            <w:tcW w:w="10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(7,139)</w:t>
            </w:r>
          </w:p>
        </w:tc>
        <w:tc>
          <w:tcPr>
            <w:tcW w:w="100" w:type="dxa"/>
            <w:vAlign w:val="bottom"/>
            <w:tcBorders>
              <w:top w:val="single" w:sz="8" w:color="D0EBF2"/>
              <w:bottom w:val="single" w:sz="8" w:color="D0EBF2"/>
            </w:tcBorders>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860" w:type="dxa"/>
            <w:vAlign w:val="bottom"/>
            <w:tcBorders>
              <w:top w:val="single" w:sz="8" w:color="FDFDFC"/>
            </w:tcBorders>
            <w:shd w:val="clear" w:color="auto" w:fill="FDFDFC"/>
          </w:tcPr>
          <w:p>
            <w:pPr>
              <w:spacing w:after="0" w:line="200" w:lineRule="exact"/>
              <w:rPr>
                <w:sz w:val="20"/>
                <w:szCs w:val="20"/>
                <w:color w:val="auto"/>
              </w:rPr>
            </w:pPr>
            <w:r>
              <w:rPr>
                <w:rFonts w:ascii="Arial" w:cs="Arial" w:eastAsia="Arial" w:hAnsi="Arial"/>
                <w:sz w:val="19"/>
                <w:szCs w:val="19"/>
                <w:color w:val="231F20"/>
              </w:rPr>
              <w:t>Income (loss) before (benefit from) provision for income taxes</w:t>
            </w:r>
          </w:p>
        </w:tc>
        <w:tc>
          <w:tcPr>
            <w:tcW w:w="140" w:type="dxa"/>
            <w:vAlign w:val="bottom"/>
            <w:tcBorders>
              <w:top w:val="single" w:sz="8" w:color="FDFDFC"/>
            </w:tcBorders>
            <w:shd w:val="clear" w:color="auto" w:fill="FDFDFC"/>
          </w:tcPr>
          <w:p>
            <w:pPr>
              <w:spacing w:after="0"/>
              <w:rPr>
                <w:sz w:val="17"/>
                <w:szCs w:val="17"/>
                <w:color w:val="auto"/>
              </w:rPr>
            </w:pPr>
          </w:p>
        </w:tc>
        <w:tc>
          <w:tcPr>
            <w:tcW w:w="120" w:type="dxa"/>
            <w:vAlign w:val="bottom"/>
            <w:tcBorders>
              <w:top w:val="single" w:sz="8" w:color="231F20"/>
            </w:tcBorders>
            <w:shd w:val="clear" w:color="auto" w:fill="FDFDFC"/>
          </w:tcPr>
          <w:p>
            <w:pPr>
              <w:spacing w:after="0"/>
              <w:rPr>
                <w:sz w:val="17"/>
                <w:szCs w:val="17"/>
                <w:color w:val="auto"/>
              </w:rPr>
            </w:pPr>
          </w:p>
        </w:tc>
        <w:tc>
          <w:tcPr>
            <w:tcW w:w="1080" w:type="dxa"/>
            <w:vAlign w:val="bottom"/>
            <w:tcBorders>
              <w:top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rPr>
              <w:t>1,860</w:t>
            </w:r>
          </w:p>
        </w:tc>
        <w:tc>
          <w:tcPr>
            <w:tcW w:w="120" w:type="dxa"/>
            <w:vAlign w:val="bottom"/>
            <w:tcBorders>
              <w:top w:val="single" w:sz="8" w:color="FDFDFC"/>
            </w:tcBorders>
            <w:shd w:val="clear" w:color="auto" w:fill="FDFDFC"/>
          </w:tcPr>
          <w:p>
            <w:pPr>
              <w:spacing w:after="0"/>
              <w:rPr>
                <w:sz w:val="17"/>
                <w:szCs w:val="17"/>
                <w:color w:val="auto"/>
              </w:rPr>
            </w:pPr>
          </w:p>
        </w:tc>
        <w:tc>
          <w:tcPr>
            <w:tcW w:w="140" w:type="dxa"/>
            <w:vAlign w:val="bottom"/>
            <w:tcBorders>
              <w:top w:val="single" w:sz="8" w:color="FDFDFC"/>
            </w:tcBorders>
            <w:shd w:val="clear" w:color="auto" w:fill="FDFDFC"/>
          </w:tcPr>
          <w:p>
            <w:pPr>
              <w:spacing w:after="0"/>
              <w:rPr>
                <w:sz w:val="17"/>
                <w:szCs w:val="17"/>
                <w:color w:val="auto"/>
              </w:rPr>
            </w:pPr>
          </w:p>
        </w:tc>
        <w:tc>
          <w:tcPr>
            <w:tcW w:w="120" w:type="dxa"/>
            <w:vAlign w:val="bottom"/>
            <w:tcBorders>
              <w:top w:val="single" w:sz="8" w:color="231F20"/>
            </w:tcBorders>
            <w:shd w:val="clear" w:color="auto" w:fill="FDFDFC"/>
          </w:tcPr>
          <w:p>
            <w:pPr>
              <w:spacing w:after="0"/>
              <w:rPr>
                <w:sz w:val="17"/>
                <w:szCs w:val="17"/>
                <w:color w:val="auto"/>
              </w:rPr>
            </w:pPr>
          </w:p>
        </w:tc>
        <w:tc>
          <w:tcPr>
            <w:tcW w:w="1080" w:type="dxa"/>
            <w:vAlign w:val="bottom"/>
            <w:tcBorders>
              <w:top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rPr>
              <w:t>(4,352)</w:t>
            </w:r>
          </w:p>
        </w:tc>
        <w:tc>
          <w:tcPr>
            <w:tcW w:w="100" w:type="dxa"/>
            <w:vAlign w:val="bottom"/>
            <w:tcBorders>
              <w:top w:val="single" w:sz="8" w:color="FDFDFC"/>
            </w:tcBorders>
            <w:shd w:val="clear" w:color="auto" w:fill="FDFDFC"/>
          </w:tcPr>
          <w:p>
            <w:pPr>
              <w:spacing w:after="0"/>
              <w:rPr>
                <w:sz w:val="17"/>
                <w:szCs w:val="17"/>
                <w:color w:val="auto"/>
              </w:rPr>
            </w:pPr>
          </w:p>
        </w:tc>
        <w:tc>
          <w:tcPr>
            <w:tcW w:w="140" w:type="dxa"/>
            <w:vAlign w:val="bottom"/>
            <w:tcBorders>
              <w:top w:val="single" w:sz="8" w:color="FDFDFC"/>
            </w:tcBorders>
            <w:shd w:val="clear" w:color="auto" w:fill="FDFDFC"/>
          </w:tcPr>
          <w:p>
            <w:pPr>
              <w:spacing w:after="0"/>
              <w:rPr>
                <w:sz w:val="17"/>
                <w:szCs w:val="17"/>
                <w:color w:val="auto"/>
              </w:rPr>
            </w:pPr>
          </w:p>
        </w:tc>
        <w:tc>
          <w:tcPr>
            <w:tcW w:w="120" w:type="dxa"/>
            <w:vAlign w:val="bottom"/>
            <w:tcBorders>
              <w:top w:val="single" w:sz="8" w:color="231F20"/>
            </w:tcBorders>
            <w:shd w:val="clear" w:color="auto" w:fill="FDFDFC"/>
          </w:tcPr>
          <w:p>
            <w:pPr>
              <w:spacing w:after="0"/>
              <w:rPr>
                <w:sz w:val="17"/>
                <w:szCs w:val="17"/>
                <w:color w:val="auto"/>
              </w:rPr>
            </w:pPr>
          </w:p>
        </w:tc>
        <w:tc>
          <w:tcPr>
            <w:tcW w:w="1080" w:type="dxa"/>
            <w:vAlign w:val="bottom"/>
            <w:tcBorders>
              <w:top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rPr>
              <w:t>(37,359)</w:t>
            </w:r>
          </w:p>
        </w:tc>
        <w:tc>
          <w:tcPr>
            <w:tcW w:w="100" w:type="dxa"/>
            <w:vAlign w:val="bottom"/>
            <w:tcBorders>
              <w:top w:val="single" w:sz="8" w:color="FDFDFC"/>
            </w:tcBorders>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860" w:type="dxa"/>
            <w:vAlign w:val="bottom"/>
            <w:tcBorders>
              <w:bottom w:val="single" w:sz="8" w:color="D0EBF2"/>
            </w:tcBorders>
            <w:shd w:val="clear" w:color="auto" w:fill="D0EBF2"/>
          </w:tcPr>
          <w:p>
            <w:pPr>
              <w:ind w:left="260"/>
              <w:spacing w:after="0"/>
              <w:rPr>
                <w:sz w:val="20"/>
                <w:szCs w:val="20"/>
                <w:color w:val="auto"/>
              </w:rPr>
            </w:pPr>
            <w:r>
              <w:rPr>
                <w:rFonts w:ascii="Arial" w:cs="Arial" w:eastAsia="Arial" w:hAnsi="Arial"/>
                <w:sz w:val="19"/>
                <w:szCs w:val="19"/>
                <w:color w:val="231F20"/>
              </w:rPr>
              <w:t>(Benefit from) provision for income taxes</w:t>
            </w:r>
          </w:p>
        </w:tc>
        <w:tc>
          <w:tcPr>
            <w:tcW w:w="140" w:type="dxa"/>
            <w:vAlign w:val="bottom"/>
            <w:tcBorders>
              <w:bottom w:val="single" w:sz="8" w:color="D0EBF2"/>
            </w:tcBorders>
            <w:shd w:val="clear" w:color="auto" w:fill="D0EBF2"/>
          </w:tcPr>
          <w:p>
            <w:pPr>
              <w:spacing w:after="0"/>
              <w:rPr>
                <w:sz w:val="21"/>
                <w:szCs w:val="21"/>
                <w:color w:val="auto"/>
              </w:rPr>
            </w:pPr>
          </w:p>
        </w:tc>
        <w:tc>
          <w:tcPr>
            <w:tcW w:w="120" w:type="dxa"/>
            <w:vAlign w:val="bottom"/>
            <w:tcBorders>
              <w:bottom w:val="single" w:sz="8" w:color="231F20"/>
            </w:tcBorders>
            <w:shd w:val="clear" w:color="auto" w:fill="D0EBF2"/>
          </w:tcPr>
          <w:p>
            <w:pPr>
              <w:spacing w:after="0"/>
              <w:rPr>
                <w:sz w:val="21"/>
                <w:szCs w:val="21"/>
                <w:color w:val="auto"/>
              </w:rPr>
            </w:pPr>
          </w:p>
        </w:tc>
        <w:tc>
          <w:tcPr>
            <w:tcW w:w="108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(1,040)</w:t>
            </w:r>
          </w:p>
        </w:tc>
        <w:tc>
          <w:tcPr>
            <w:tcW w:w="120" w:type="dxa"/>
            <w:vAlign w:val="bottom"/>
            <w:tcBorders>
              <w:bottom w:val="single" w:sz="8" w:color="D0EBF2"/>
            </w:tcBorders>
            <w:shd w:val="clear" w:color="auto" w:fill="D0EBF2"/>
          </w:tcPr>
          <w:p>
            <w:pPr>
              <w:spacing w:after="0"/>
              <w:rPr>
                <w:sz w:val="21"/>
                <w:szCs w:val="21"/>
                <w:color w:val="auto"/>
              </w:rPr>
            </w:pPr>
          </w:p>
        </w:tc>
        <w:tc>
          <w:tcPr>
            <w:tcW w:w="140" w:type="dxa"/>
            <w:vAlign w:val="bottom"/>
            <w:tcBorders>
              <w:bottom w:val="single" w:sz="8" w:color="D0EBF2"/>
            </w:tcBorders>
            <w:shd w:val="clear" w:color="auto" w:fill="D0EBF2"/>
          </w:tcPr>
          <w:p>
            <w:pPr>
              <w:spacing w:after="0"/>
              <w:rPr>
                <w:sz w:val="21"/>
                <w:szCs w:val="21"/>
                <w:color w:val="auto"/>
              </w:rPr>
            </w:pPr>
          </w:p>
        </w:tc>
        <w:tc>
          <w:tcPr>
            <w:tcW w:w="120" w:type="dxa"/>
            <w:vAlign w:val="bottom"/>
            <w:tcBorders>
              <w:bottom w:val="single" w:sz="8" w:color="231F20"/>
            </w:tcBorders>
            <w:shd w:val="clear" w:color="auto" w:fill="D0EBF2"/>
          </w:tcPr>
          <w:p>
            <w:pPr>
              <w:spacing w:after="0"/>
              <w:rPr>
                <w:sz w:val="21"/>
                <w:szCs w:val="21"/>
                <w:color w:val="auto"/>
              </w:rPr>
            </w:pPr>
          </w:p>
        </w:tc>
        <w:tc>
          <w:tcPr>
            <w:tcW w:w="108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4,214</w:t>
            </w:r>
          </w:p>
        </w:tc>
        <w:tc>
          <w:tcPr>
            <w:tcW w:w="100" w:type="dxa"/>
            <w:vAlign w:val="bottom"/>
            <w:tcBorders>
              <w:bottom w:val="single" w:sz="8" w:color="D0EBF2"/>
            </w:tcBorders>
            <w:shd w:val="clear" w:color="auto" w:fill="D0EBF2"/>
          </w:tcPr>
          <w:p>
            <w:pPr>
              <w:spacing w:after="0"/>
              <w:rPr>
                <w:sz w:val="21"/>
                <w:szCs w:val="21"/>
                <w:color w:val="auto"/>
              </w:rPr>
            </w:pPr>
          </w:p>
        </w:tc>
        <w:tc>
          <w:tcPr>
            <w:tcW w:w="140" w:type="dxa"/>
            <w:vAlign w:val="bottom"/>
            <w:tcBorders>
              <w:bottom w:val="single" w:sz="8" w:color="D0EBF2"/>
            </w:tcBorders>
            <w:shd w:val="clear" w:color="auto" w:fill="D0EBF2"/>
          </w:tcPr>
          <w:p>
            <w:pPr>
              <w:spacing w:after="0"/>
              <w:rPr>
                <w:sz w:val="21"/>
                <w:szCs w:val="21"/>
                <w:color w:val="auto"/>
              </w:rPr>
            </w:pPr>
          </w:p>
        </w:tc>
        <w:tc>
          <w:tcPr>
            <w:tcW w:w="120" w:type="dxa"/>
            <w:vAlign w:val="bottom"/>
            <w:tcBorders>
              <w:bottom w:val="single" w:sz="8" w:color="231F20"/>
            </w:tcBorders>
            <w:shd w:val="clear" w:color="auto" w:fill="D0EBF2"/>
          </w:tcPr>
          <w:p>
            <w:pPr>
              <w:spacing w:after="0"/>
              <w:rPr>
                <w:sz w:val="21"/>
                <w:szCs w:val="21"/>
                <w:color w:val="auto"/>
              </w:rPr>
            </w:pPr>
          </w:p>
        </w:tc>
        <w:tc>
          <w:tcPr>
            <w:tcW w:w="108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1,988</w:t>
            </w:r>
          </w:p>
        </w:tc>
        <w:tc>
          <w:tcPr>
            <w:tcW w:w="100" w:type="dxa"/>
            <w:vAlign w:val="bottom"/>
            <w:tcBorders>
              <w:bottom w:val="single" w:sz="8" w:color="D0EBF2"/>
            </w:tcBorders>
            <w:shd w:val="clear" w:color="auto" w:fill="D0EBF2"/>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Borders>
              <w:top w:val="single" w:sz="8" w:color="FDFDFC"/>
              <w:bottom w:val="single" w:sz="8" w:color="D0EBF2"/>
            </w:tcBorders>
            <w:shd w:val="clear" w:color="auto" w:fill="FDFDFC"/>
          </w:tcPr>
          <w:p>
            <w:pPr>
              <w:spacing w:after="0" w:line="200" w:lineRule="exact"/>
              <w:rPr>
                <w:sz w:val="20"/>
                <w:szCs w:val="20"/>
                <w:color w:val="auto"/>
              </w:rPr>
            </w:pPr>
            <w:r>
              <w:rPr>
                <w:rFonts w:ascii="Arial" w:cs="Arial" w:eastAsia="Arial" w:hAnsi="Arial"/>
                <w:sz w:val="19"/>
                <w:szCs w:val="19"/>
                <w:color w:val="231F20"/>
              </w:rPr>
              <w:t>Net income (loss)</w:t>
            </w:r>
          </w:p>
        </w:tc>
        <w:tc>
          <w:tcPr>
            <w:tcW w:w="140" w:type="dxa"/>
            <w:vAlign w:val="bottom"/>
            <w:tcBorders>
              <w:top w:val="single" w:sz="8" w:color="FDFDFC"/>
              <w:bottom w:val="single" w:sz="8" w:color="D0EBF2"/>
            </w:tcBorders>
            <w:shd w:val="clear" w:color="auto" w:fill="FDFDFC"/>
          </w:tcPr>
          <w:p>
            <w:pPr>
              <w:spacing w:after="0"/>
              <w:rPr>
                <w:sz w:val="20"/>
                <w:szCs w:val="20"/>
                <w:color w:val="auto"/>
              </w:rPr>
            </w:pPr>
          </w:p>
        </w:tc>
        <w:tc>
          <w:tcPr>
            <w:tcW w:w="12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w w:val="94"/>
              </w:rPr>
              <w:t>$</w:t>
            </w:r>
          </w:p>
        </w:tc>
        <w:tc>
          <w:tcPr>
            <w:tcW w:w="108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rPr>
              <w:t>2,900</w:t>
            </w:r>
          </w:p>
        </w:tc>
        <w:tc>
          <w:tcPr>
            <w:tcW w:w="120" w:type="dxa"/>
            <w:vAlign w:val="bottom"/>
            <w:tcBorders>
              <w:top w:val="single" w:sz="8" w:color="FDFDFC"/>
              <w:bottom w:val="single" w:sz="8" w:color="D0EBF2"/>
            </w:tcBorders>
            <w:shd w:val="clear" w:color="auto" w:fill="FDFDFC"/>
          </w:tcPr>
          <w:p>
            <w:pPr>
              <w:spacing w:after="0"/>
              <w:rPr>
                <w:sz w:val="20"/>
                <w:szCs w:val="20"/>
                <w:color w:val="auto"/>
              </w:rPr>
            </w:pPr>
          </w:p>
        </w:tc>
        <w:tc>
          <w:tcPr>
            <w:tcW w:w="140" w:type="dxa"/>
            <w:vAlign w:val="bottom"/>
            <w:tcBorders>
              <w:top w:val="single" w:sz="8" w:color="FDFDFC"/>
              <w:bottom w:val="single" w:sz="8" w:color="D0EBF2"/>
            </w:tcBorders>
            <w:shd w:val="clear" w:color="auto" w:fill="FDFDFC"/>
          </w:tcPr>
          <w:p>
            <w:pPr>
              <w:spacing w:after="0"/>
              <w:rPr>
                <w:sz w:val="20"/>
                <w:szCs w:val="20"/>
                <w:color w:val="auto"/>
              </w:rPr>
            </w:pPr>
          </w:p>
        </w:tc>
        <w:tc>
          <w:tcPr>
            <w:tcW w:w="12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w w:val="75"/>
              </w:rPr>
              <w:t>$</w:t>
            </w:r>
          </w:p>
        </w:tc>
        <w:tc>
          <w:tcPr>
            <w:tcW w:w="108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rPr>
              <w:t>(8,566)</w:t>
            </w:r>
          </w:p>
        </w:tc>
        <w:tc>
          <w:tcPr>
            <w:tcW w:w="100" w:type="dxa"/>
            <w:vAlign w:val="bottom"/>
            <w:tcBorders>
              <w:top w:val="single" w:sz="8" w:color="FDFDFC"/>
              <w:bottom w:val="single" w:sz="8" w:color="D0EBF2"/>
            </w:tcBorders>
            <w:shd w:val="clear" w:color="auto" w:fill="FDFDFC"/>
          </w:tcPr>
          <w:p>
            <w:pPr>
              <w:spacing w:after="0"/>
              <w:rPr>
                <w:sz w:val="20"/>
                <w:szCs w:val="20"/>
                <w:color w:val="auto"/>
              </w:rPr>
            </w:pPr>
          </w:p>
        </w:tc>
        <w:tc>
          <w:tcPr>
            <w:tcW w:w="140" w:type="dxa"/>
            <w:vAlign w:val="bottom"/>
            <w:tcBorders>
              <w:top w:val="single" w:sz="8" w:color="FDFDFC"/>
              <w:bottom w:val="single" w:sz="8" w:color="D0EBF2"/>
            </w:tcBorders>
            <w:shd w:val="clear" w:color="auto" w:fill="FDFDFC"/>
          </w:tcPr>
          <w:p>
            <w:pPr>
              <w:spacing w:after="0"/>
              <w:rPr>
                <w:sz w:val="20"/>
                <w:szCs w:val="20"/>
                <w:color w:val="auto"/>
              </w:rPr>
            </w:pPr>
          </w:p>
        </w:tc>
        <w:tc>
          <w:tcPr>
            <w:tcW w:w="12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w w:val="75"/>
              </w:rPr>
              <w:t>$</w:t>
            </w:r>
          </w:p>
        </w:tc>
        <w:tc>
          <w:tcPr>
            <w:tcW w:w="108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rPr>
              <w:t>(39,347)</w:t>
            </w:r>
          </w:p>
        </w:tc>
        <w:tc>
          <w:tcPr>
            <w:tcW w:w="100" w:type="dxa"/>
            <w:vAlign w:val="bottom"/>
            <w:tcBorders>
              <w:top w:val="single" w:sz="8" w:color="FDFDFC"/>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D0EBF2"/>
          </w:tcPr>
          <w:p>
            <w:pPr>
              <w:spacing w:after="0" w:line="213" w:lineRule="exact"/>
              <w:rPr>
                <w:sz w:val="20"/>
                <w:szCs w:val="20"/>
                <w:color w:val="auto"/>
              </w:rPr>
            </w:pPr>
            <w:r>
              <w:rPr>
                <w:rFonts w:ascii="Arial" w:cs="Arial" w:eastAsia="Arial" w:hAnsi="Arial"/>
                <w:sz w:val="19"/>
                <w:szCs w:val="19"/>
                <w:color w:val="231F20"/>
              </w:rPr>
              <w:t>Other comprehensive income (loss):</w:t>
            </w:r>
          </w:p>
        </w:tc>
        <w:tc>
          <w:tcPr>
            <w:tcW w:w="14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8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8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Foreign currency translation adjustment</w:t>
            </w: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(3,594)</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3,232</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(1,513)</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D0EBF2"/>
          </w:tcPr>
          <w:p>
            <w:pPr>
              <w:ind w:left="140"/>
              <w:spacing w:after="0" w:line="213" w:lineRule="exact"/>
              <w:rPr>
                <w:sz w:val="20"/>
                <w:szCs w:val="20"/>
                <w:color w:val="auto"/>
              </w:rPr>
            </w:pPr>
            <w:r>
              <w:rPr>
                <w:rFonts w:ascii="Arial" w:cs="Arial" w:eastAsia="Arial" w:hAnsi="Arial"/>
                <w:sz w:val="19"/>
                <w:szCs w:val="19"/>
                <w:color w:val="231F20"/>
              </w:rPr>
              <w:t>Unrealized gains on available-for-sale</w:t>
            </w:r>
          </w:p>
        </w:tc>
        <w:tc>
          <w:tcPr>
            <w:tcW w:w="14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8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208</w:t>
            </w: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180" w:type="dxa"/>
            <w:vAlign w:val="bottom"/>
            <w:gridSpan w:val="2"/>
            <w:vMerge w:val="restart"/>
            <w:shd w:val="clear" w:color="auto" w:fill="D0EBF2"/>
          </w:tcPr>
          <w:p>
            <w:pPr>
              <w:jc w:val="right"/>
              <w:ind w:right="120"/>
              <w:spacing w:after="0"/>
              <w:rPr>
                <w:sz w:val="20"/>
                <w:szCs w:val="20"/>
                <w:color w:val="auto"/>
              </w:rPr>
            </w:pPr>
            <w:r>
              <w:rPr>
                <w:rFonts w:ascii="Arial" w:cs="Arial" w:eastAsia="Arial" w:hAnsi="Arial"/>
                <w:sz w:val="19"/>
                <w:szCs w:val="19"/>
                <w:color w:val="231F20"/>
              </w:rPr>
              <w:t>—</w:t>
            </w:r>
          </w:p>
        </w:tc>
        <w:tc>
          <w:tcPr>
            <w:tcW w:w="14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180" w:type="dxa"/>
            <w:vAlign w:val="bottom"/>
            <w:gridSpan w:val="2"/>
            <w:vMerge w:val="restart"/>
            <w:shd w:val="clear" w:color="auto" w:fill="D0EBF2"/>
          </w:tcPr>
          <w:p>
            <w:pPr>
              <w:jc w:val="right"/>
              <w:ind w:right="120"/>
              <w:spacing w:after="0"/>
              <w:rPr>
                <w:sz w:val="20"/>
                <w:szCs w:val="20"/>
                <w:color w:val="auto"/>
              </w:rPr>
            </w:pPr>
            <w:r>
              <w:rPr>
                <w:rFonts w:ascii="Arial" w:cs="Arial" w:eastAsia="Arial" w:hAnsi="Arial"/>
                <w:sz w:val="19"/>
                <w:szCs w:val="19"/>
                <w:color w:val="231F20"/>
              </w:rPr>
              <w:t>—</w:t>
            </w:r>
          </w:p>
        </w:tc>
        <w:tc>
          <w:tcPr>
            <w:tcW w:w="0" w:type="dxa"/>
            <w:vAlign w:val="bottom"/>
          </w:tcPr>
          <w:p>
            <w:pPr>
              <w:spacing w:after="0"/>
              <w:rPr>
                <w:sz w:val="1"/>
                <w:szCs w:val="1"/>
                <w:color w:val="auto"/>
              </w:rPr>
            </w:pPr>
          </w:p>
        </w:tc>
      </w:tr>
      <w:tr>
        <w:trPr>
          <w:trHeight w:val="235"/>
        </w:trPr>
        <w:tc>
          <w:tcPr>
            <w:tcW w:w="5860" w:type="dxa"/>
            <w:vAlign w:val="bottom"/>
            <w:shd w:val="clear" w:color="auto" w:fill="D0EBF2"/>
          </w:tcPr>
          <w:p>
            <w:pPr>
              <w:ind w:left="280"/>
              <w:spacing w:after="0"/>
              <w:rPr>
                <w:sz w:val="20"/>
                <w:szCs w:val="20"/>
                <w:color w:val="auto"/>
              </w:rPr>
            </w:pPr>
            <w:r>
              <w:rPr>
                <w:rFonts w:ascii="Arial" w:cs="Arial" w:eastAsia="Arial" w:hAnsi="Arial"/>
                <w:sz w:val="19"/>
                <w:szCs w:val="19"/>
                <w:color w:val="231F20"/>
              </w:rPr>
              <w:t>debt securities, net of taxes</w:t>
            </w: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vMerge w:val="continue"/>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180" w:type="dxa"/>
            <w:vAlign w:val="bottom"/>
            <w:gridSpan w:val="2"/>
            <w:vMerge w:val="continue"/>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180" w:type="dxa"/>
            <w:vAlign w:val="bottom"/>
            <w:gridSpan w:val="2"/>
            <w:vMerge w:val="continue"/>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60" w:type="dxa"/>
            <w:vAlign w:val="bottom"/>
            <w:tcBorders>
              <w:top w:val="single" w:sz="8" w:color="FDFDFC"/>
              <w:bottom w:val="single" w:sz="8" w:color="D0EBF2"/>
            </w:tcBorders>
            <w:shd w:val="clear" w:color="auto" w:fill="FDFDFC"/>
          </w:tcPr>
          <w:p>
            <w:pPr>
              <w:ind w:left="260"/>
              <w:spacing w:after="0"/>
              <w:rPr>
                <w:sz w:val="20"/>
                <w:szCs w:val="20"/>
                <w:color w:val="auto"/>
              </w:rPr>
            </w:pPr>
            <w:r>
              <w:rPr>
                <w:rFonts w:ascii="Arial" w:cs="Arial" w:eastAsia="Arial" w:hAnsi="Arial"/>
                <w:sz w:val="19"/>
                <w:szCs w:val="19"/>
                <w:color w:val="231F20"/>
              </w:rPr>
              <w:t>Total other comprehensive (loss) income</w:t>
            </w:r>
          </w:p>
        </w:tc>
        <w:tc>
          <w:tcPr>
            <w:tcW w:w="140" w:type="dxa"/>
            <w:vAlign w:val="bottom"/>
            <w:tcBorders>
              <w:top w:val="single" w:sz="8" w:color="FDFDFC"/>
              <w:bottom w:val="single" w:sz="8" w:color="D0EBF2"/>
            </w:tcBorders>
            <w:shd w:val="clear" w:color="auto" w:fill="FDFDFC"/>
          </w:tcPr>
          <w:p>
            <w:pPr>
              <w:spacing w:after="0"/>
              <w:rPr>
                <w:sz w:val="19"/>
                <w:szCs w:val="19"/>
                <w:color w:val="auto"/>
              </w:rPr>
            </w:pPr>
          </w:p>
        </w:tc>
        <w:tc>
          <w:tcPr>
            <w:tcW w:w="120" w:type="dxa"/>
            <w:vAlign w:val="bottom"/>
            <w:tcBorders>
              <w:top w:val="single" w:sz="8" w:color="231F20"/>
              <w:bottom w:val="single" w:sz="8" w:color="231F20"/>
            </w:tcBorders>
            <w:shd w:val="clear" w:color="auto" w:fill="FDFDFC"/>
          </w:tcPr>
          <w:p>
            <w:pPr>
              <w:spacing w:after="0"/>
              <w:rPr>
                <w:sz w:val="19"/>
                <w:szCs w:val="19"/>
                <w:color w:val="auto"/>
              </w:rPr>
            </w:pPr>
          </w:p>
        </w:tc>
        <w:tc>
          <w:tcPr>
            <w:tcW w:w="108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(3,386)</w:t>
            </w:r>
          </w:p>
        </w:tc>
        <w:tc>
          <w:tcPr>
            <w:tcW w:w="120" w:type="dxa"/>
            <w:vAlign w:val="bottom"/>
            <w:tcBorders>
              <w:top w:val="single" w:sz="8" w:color="FDFDFC"/>
              <w:bottom w:val="single" w:sz="8" w:color="D0EBF2"/>
            </w:tcBorders>
            <w:shd w:val="clear" w:color="auto" w:fill="FDFDFC"/>
          </w:tcPr>
          <w:p>
            <w:pPr>
              <w:spacing w:after="0"/>
              <w:rPr>
                <w:sz w:val="19"/>
                <w:szCs w:val="19"/>
                <w:color w:val="auto"/>
              </w:rPr>
            </w:pPr>
          </w:p>
        </w:tc>
        <w:tc>
          <w:tcPr>
            <w:tcW w:w="140" w:type="dxa"/>
            <w:vAlign w:val="bottom"/>
            <w:tcBorders>
              <w:top w:val="single" w:sz="8" w:color="FDFDFC"/>
              <w:bottom w:val="single" w:sz="8" w:color="D0EBF2"/>
            </w:tcBorders>
            <w:shd w:val="clear" w:color="auto" w:fill="FDFDFC"/>
          </w:tcPr>
          <w:p>
            <w:pPr>
              <w:spacing w:after="0"/>
              <w:rPr>
                <w:sz w:val="19"/>
                <w:szCs w:val="19"/>
                <w:color w:val="auto"/>
              </w:rPr>
            </w:pPr>
          </w:p>
        </w:tc>
        <w:tc>
          <w:tcPr>
            <w:tcW w:w="120" w:type="dxa"/>
            <w:vAlign w:val="bottom"/>
            <w:tcBorders>
              <w:top w:val="single" w:sz="8" w:color="231F20"/>
              <w:bottom w:val="single" w:sz="8" w:color="231F20"/>
            </w:tcBorders>
            <w:shd w:val="clear" w:color="auto" w:fill="FDFDFC"/>
          </w:tcPr>
          <w:p>
            <w:pPr>
              <w:spacing w:after="0"/>
              <w:rPr>
                <w:sz w:val="19"/>
                <w:szCs w:val="19"/>
                <w:color w:val="auto"/>
              </w:rPr>
            </w:pPr>
          </w:p>
        </w:tc>
        <w:tc>
          <w:tcPr>
            <w:tcW w:w="108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3,232</w:t>
            </w:r>
          </w:p>
        </w:tc>
        <w:tc>
          <w:tcPr>
            <w:tcW w:w="100" w:type="dxa"/>
            <w:vAlign w:val="bottom"/>
            <w:tcBorders>
              <w:top w:val="single" w:sz="8" w:color="FDFDFC"/>
              <w:bottom w:val="single" w:sz="8" w:color="D0EBF2"/>
            </w:tcBorders>
            <w:shd w:val="clear" w:color="auto" w:fill="FDFDFC"/>
          </w:tcPr>
          <w:p>
            <w:pPr>
              <w:spacing w:after="0"/>
              <w:rPr>
                <w:sz w:val="19"/>
                <w:szCs w:val="19"/>
                <w:color w:val="auto"/>
              </w:rPr>
            </w:pPr>
          </w:p>
        </w:tc>
        <w:tc>
          <w:tcPr>
            <w:tcW w:w="140" w:type="dxa"/>
            <w:vAlign w:val="bottom"/>
            <w:tcBorders>
              <w:top w:val="single" w:sz="8" w:color="FDFDFC"/>
              <w:bottom w:val="single" w:sz="8" w:color="D0EBF2"/>
            </w:tcBorders>
            <w:shd w:val="clear" w:color="auto" w:fill="FDFDFC"/>
          </w:tcPr>
          <w:p>
            <w:pPr>
              <w:spacing w:after="0"/>
              <w:rPr>
                <w:sz w:val="19"/>
                <w:szCs w:val="19"/>
                <w:color w:val="auto"/>
              </w:rPr>
            </w:pPr>
          </w:p>
        </w:tc>
        <w:tc>
          <w:tcPr>
            <w:tcW w:w="120" w:type="dxa"/>
            <w:vAlign w:val="bottom"/>
            <w:tcBorders>
              <w:top w:val="single" w:sz="8" w:color="231F20"/>
              <w:bottom w:val="single" w:sz="8" w:color="231F20"/>
            </w:tcBorders>
            <w:shd w:val="clear" w:color="auto" w:fill="FDFDFC"/>
          </w:tcPr>
          <w:p>
            <w:pPr>
              <w:spacing w:after="0"/>
              <w:rPr>
                <w:sz w:val="19"/>
                <w:szCs w:val="19"/>
                <w:color w:val="auto"/>
              </w:rPr>
            </w:pPr>
          </w:p>
        </w:tc>
        <w:tc>
          <w:tcPr>
            <w:tcW w:w="108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(1,513)</w:t>
            </w:r>
          </w:p>
        </w:tc>
        <w:tc>
          <w:tcPr>
            <w:tcW w:w="100" w:type="dxa"/>
            <w:vAlign w:val="bottom"/>
            <w:tcBorders>
              <w:top w:val="single" w:sz="8" w:color="FDFDFC"/>
              <w:bottom w:val="single" w:sz="8" w:color="D0EBF2"/>
            </w:tcBorders>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860" w:type="dxa"/>
            <w:vAlign w:val="bottom"/>
            <w:tcBorders>
              <w:bottom w:val="single" w:sz="8" w:color="FDFDFC"/>
            </w:tcBorders>
            <w:shd w:val="clear" w:color="auto" w:fill="D0EBF2"/>
          </w:tcPr>
          <w:p>
            <w:pPr>
              <w:spacing w:after="0"/>
              <w:rPr>
                <w:sz w:val="20"/>
                <w:szCs w:val="20"/>
                <w:color w:val="auto"/>
              </w:rPr>
            </w:pPr>
            <w:r>
              <w:rPr>
                <w:rFonts w:ascii="Arial" w:cs="Arial" w:eastAsia="Arial" w:hAnsi="Arial"/>
                <w:sz w:val="19"/>
                <w:szCs w:val="19"/>
                <w:color w:val="231F20"/>
              </w:rPr>
              <w:t>Comprehensive loss</w:t>
            </w:r>
          </w:p>
        </w:tc>
        <w:tc>
          <w:tcPr>
            <w:tcW w:w="140" w:type="dxa"/>
            <w:vAlign w:val="bottom"/>
            <w:tcBorders>
              <w:bottom w:val="single" w:sz="8" w:color="FDFDFC"/>
            </w:tcBorders>
            <w:shd w:val="clear" w:color="auto" w:fill="D0EBF2"/>
          </w:tcPr>
          <w:p>
            <w:pPr>
              <w:spacing w:after="0"/>
              <w:rPr>
                <w:sz w:val="22"/>
                <w:szCs w:val="22"/>
                <w:color w:val="auto"/>
              </w:rPr>
            </w:pPr>
          </w:p>
        </w:tc>
        <w:tc>
          <w:tcPr>
            <w:tcW w:w="12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94"/>
              </w:rPr>
              <w:t>$</w:t>
            </w:r>
          </w:p>
        </w:tc>
        <w:tc>
          <w:tcPr>
            <w:tcW w:w="108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(486)</w:t>
            </w:r>
          </w:p>
        </w:tc>
        <w:tc>
          <w:tcPr>
            <w:tcW w:w="120" w:type="dxa"/>
            <w:vAlign w:val="bottom"/>
            <w:tcBorders>
              <w:bottom w:val="single" w:sz="8" w:color="FDFDFC"/>
            </w:tcBorders>
            <w:shd w:val="clear" w:color="auto" w:fill="D0EBF2"/>
          </w:tcPr>
          <w:p>
            <w:pPr>
              <w:spacing w:after="0"/>
              <w:rPr>
                <w:sz w:val="22"/>
                <w:szCs w:val="22"/>
                <w:color w:val="auto"/>
              </w:rPr>
            </w:pPr>
          </w:p>
        </w:tc>
        <w:tc>
          <w:tcPr>
            <w:tcW w:w="140" w:type="dxa"/>
            <w:vAlign w:val="bottom"/>
            <w:tcBorders>
              <w:bottom w:val="single" w:sz="8" w:color="FDFDFC"/>
            </w:tcBorders>
            <w:shd w:val="clear" w:color="auto" w:fill="D0EBF2"/>
          </w:tcPr>
          <w:p>
            <w:pPr>
              <w:spacing w:after="0"/>
              <w:rPr>
                <w:sz w:val="22"/>
                <w:szCs w:val="22"/>
                <w:color w:val="auto"/>
              </w:rPr>
            </w:pPr>
          </w:p>
        </w:tc>
        <w:tc>
          <w:tcPr>
            <w:tcW w:w="12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(5,334)</w:t>
            </w:r>
          </w:p>
        </w:tc>
        <w:tc>
          <w:tcPr>
            <w:tcW w:w="100" w:type="dxa"/>
            <w:vAlign w:val="bottom"/>
            <w:tcBorders>
              <w:bottom w:val="single" w:sz="8" w:color="FDFDFC"/>
            </w:tcBorders>
            <w:shd w:val="clear" w:color="auto" w:fill="D0EBF2"/>
          </w:tcPr>
          <w:p>
            <w:pPr>
              <w:spacing w:after="0"/>
              <w:rPr>
                <w:sz w:val="22"/>
                <w:szCs w:val="22"/>
                <w:color w:val="auto"/>
              </w:rPr>
            </w:pPr>
          </w:p>
        </w:tc>
        <w:tc>
          <w:tcPr>
            <w:tcW w:w="140" w:type="dxa"/>
            <w:vAlign w:val="bottom"/>
            <w:tcBorders>
              <w:bottom w:val="single" w:sz="8" w:color="FDFDFC"/>
            </w:tcBorders>
            <w:shd w:val="clear" w:color="auto" w:fill="D0EBF2"/>
          </w:tcPr>
          <w:p>
            <w:pPr>
              <w:spacing w:after="0"/>
              <w:rPr>
                <w:sz w:val="22"/>
                <w:szCs w:val="22"/>
                <w:color w:val="auto"/>
              </w:rPr>
            </w:pPr>
          </w:p>
        </w:tc>
        <w:tc>
          <w:tcPr>
            <w:tcW w:w="12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(40,860)</w:t>
            </w:r>
          </w:p>
        </w:tc>
        <w:tc>
          <w:tcPr>
            <w:tcW w:w="100" w:type="dxa"/>
            <w:vAlign w:val="bottom"/>
            <w:tcBorders>
              <w:bottom w:val="single" w:sz="8" w:color="FDFDFC"/>
            </w:tcBorders>
            <w:shd w:val="clear" w:color="auto" w:fill="D0EBF2"/>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860" w:type="dxa"/>
            <w:vAlign w:val="bottom"/>
            <w:shd w:val="clear" w:color="auto" w:fill="FDFDFC"/>
          </w:tcPr>
          <w:p>
            <w:pPr>
              <w:spacing w:after="0" w:line="195" w:lineRule="exact"/>
              <w:rPr>
                <w:sz w:val="20"/>
                <w:szCs w:val="20"/>
                <w:color w:val="auto"/>
              </w:rPr>
            </w:pPr>
            <w:r>
              <w:rPr>
                <w:rFonts w:ascii="Arial" w:cs="Arial" w:eastAsia="Arial" w:hAnsi="Arial"/>
                <w:sz w:val="19"/>
                <w:szCs w:val="19"/>
                <w:color w:val="231F20"/>
              </w:rPr>
              <w:t>Net income (loss) attributable to common stockholders –</w:t>
            </w:r>
          </w:p>
        </w:tc>
        <w:tc>
          <w:tcPr>
            <w:tcW w:w="140" w:type="dxa"/>
            <w:vAlign w:val="bottom"/>
            <w:shd w:val="clear" w:color="auto" w:fill="FDFDFC"/>
          </w:tcPr>
          <w:p>
            <w:pPr>
              <w:spacing w:after="0"/>
              <w:rPr>
                <w:sz w:val="16"/>
                <w:szCs w:val="16"/>
                <w:color w:val="auto"/>
              </w:rPr>
            </w:pPr>
          </w:p>
        </w:tc>
        <w:tc>
          <w:tcPr>
            <w:tcW w:w="12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w w:val="94"/>
              </w:rPr>
              <w:t>$</w:t>
            </w:r>
          </w:p>
        </w:tc>
        <w:tc>
          <w:tcPr>
            <w:tcW w:w="108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2,900</w:t>
            </w:r>
          </w:p>
        </w:tc>
        <w:tc>
          <w:tcPr>
            <w:tcW w:w="1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2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(8,566)</w:t>
            </w: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2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(39,347)</w:t>
            </w:r>
          </w:p>
        </w:tc>
        <w:tc>
          <w:tcPr>
            <w:tcW w:w="1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860" w:type="dxa"/>
            <w:vAlign w:val="bottom"/>
            <w:tcBorders>
              <w:bottom w:val="single" w:sz="8" w:color="D0EBF2"/>
            </w:tcBorders>
            <w:shd w:val="clear" w:color="auto" w:fill="FDFDFC"/>
          </w:tcPr>
          <w:p>
            <w:pPr>
              <w:ind w:left="160"/>
              <w:spacing w:after="0"/>
              <w:rPr>
                <w:sz w:val="20"/>
                <w:szCs w:val="20"/>
                <w:color w:val="auto"/>
              </w:rPr>
            </w:pPr>
            <w:r>
              <w:rPr>
                <w:rFonts w:ascii="Arial" w:cs="Arial" w:eastAsia="Arial" w:hAnsi="Arial"/>
                <w:sz w:val="19"/>
                <w:szCs w:val="19"/>
                <w:color w:val="231F20"/>
              </w:rPr>
              <w:t>basic and diluted</w:t>
            </w:r>
          </w:p>
        </w:tc>
        <w:tc>
          <w:tcPr>
            <w:tcW w:w="140" w:type="dxa"/>
            <w:vAlign w:val="bottom"/>
            <w:tcBorders>
              <w:bottom w:val="single" w:sz="8" w:color="D0EBF2"/>
            </w:tcBorders>
            <w:shd w:val="clear" w:color="auto" w:fill="FDFDFC"/>
          </w:tcPr>
          <w:p>
            <w:pPr>
              <w:spacing w:after="0"/>
              <w:rPr>
                <w:sz w:val="23"/>
                <w:szCs w:val="23"/>
                <w:color w:val="auto"/>
              </w:rPr>
            </w:pPr>
          </w:p>
        </w:tc>
        <w:tc>
          <w:tcPr>
            <w:tcW w:w="120" w:type="dxa"/>
            <w:vAlign w:val="bottom"/>
            <w:tcBorders>
              <w:bottom w:val="single" w:sz="8" w:color="231F20"/>
            </w:tcBorders>
            <w:vMerge w:val="continue"/>
            <w:shd w:val="clear" w:color="auto" w:fill="FDFDFC"/>
          </w:tcPr>
          <w:p>
            <w:pPr>
              <w:spacing w:after="0"/>
              <w:rPr>
                <w:sz w:val="23"/>
                <w:szCs w:val="23"/>
                <w:color w:val="auto"/>
              </w:rPr>
            </w:pPr>
          </w:p>
        </w:tc>
        <w:tc>
          <w:tcPr>
            <w:tcW w:w="1080" w:type="dxa"/>
            <w:vAlign w:val="bottom"/>
            <w:tcBorders>
              <w:bottom w:val="single" w:sz="8" w:color="231F20"/>
            </w:tcBorders>
            <w:vMerge w:val="continue"/>
            <w:shd w:val="clear" w:color="auto" w:fill="FDFDFC"/>
          </w:tcPr>
          <w:p>
            <w:pPr>
              <w:spacing w:after="0"/>
              <w:rPr>
                <w:sz w:val="23"/>
                <w:szCs w:val="23"/>
                <w:color w:val="auto"/>
              </w:rPr>
            </w:pPr>
          </w:p>
        </w:tc>
        <w:tc>
          <w:tcPr>
            <w:tcW w:w="120" w:type="dxa"/>
            <w:vAlign w:val="bottom"/>
            <w:tcBorders>
              <w:bottom w:val="single" w:sz="8" w:color="D0EBF2"/>
            </w:tcBorders>
            <w:shd w:val="clear" w:color="auto" w:fill="FDFDFC"/>
          </w:tcPr>
          <w:p>
            <w:pPr>
              <w:spacing w:after="0"/>
              <w:rPr>
                <w:sz w:val="23"/>
                <w:szCs w:val="23"/>
                <w:color w:val="auto"/>
              </w:rPr>
            </w:pPr>
          </w:p>
        </w:tc>
        <w:tc>
          <w:tcPr>
            <w:tcW w:w="140" w:type="dxa"/>
            <w:vAlign w:val="bottom"/>
            <w:tcBorders>
              <w:bottom w:val="single" w:sz="8" w:color="D0EBF2"/>
            </w:tcBorders>
            <w:shd w:val="clear" w:color="auto" w:fill="FDFDFC"/>
          </w:tcPr>
          <w:p>
            <w:pPr>
              <w:spacing w:after="0"/>
              <w:rPr>
                <w:sz w:val="23"/>
                <w:szCs w:val="23"/>
                <w:color w:val="auto"/>
              </w:rPr>
            </w:pPr>
          </w:p>
        </w:tc>
        <w:tc>
          <w:tcPr>
            <w:tcW w:w="120" w:type="dxa"/>
            <w:vAlign w:val="bottom"/>
            <w:tcBorders>
              <w:bottom w:val="single" w:sz="8" w:color="231F20"/>
            </w:tcBorders>
            <w:vMerge w:val="continue"/>
            <w:shd w:val="clear" w:color="auto" w:fill="FDFDFC"/>
          </w:tcPr>
          <w:p>
            <w:pPr>
              <w:spacing w:after="0"/>
              <w:rPr>
                <w:sz w:val="23"/>
                <w:szCs w:val="23"/>
                <w:color w:val="auto"/>
              </w:rPr>
            </w:pPr>
          </w:p>
        </w:tc>
        <w:tc>
          <w:tcPr>
            <w:tcW w:w="1080" w:type="dxa"/>
            <w:vAlign w:val="bottom"/>
            <w:tcBorders>
              <w:bottom w:val="single" w:sz="8" w:color="231F20"/>
            </w:tcBorders>
            <w:vMerge w:val="continue"/>
            <w:shd w:val="clear" w:color="auto" w:fill="FDFDFC"/>
          </w:tcPr>
          <w:p>
            <w:pPr>
              <w:spacing w:after="0"/>
              <w:rPr>
                <w:sz w:val="23"/>
                <w:szCs w:val="23"/>
                <w:color w:val="auto"/>
              </w:rPr>
            </w:pPr>
          </w:p>
        </w:tc>
        <w:tc>
          <w:tcPr>
            <w:tcW w:w="100" w:type="dxa"/>
            <w:vAlign w:val="bottom"/>
            <w:tcBorders>
              <w:bottom w:val="single" w:sz="8" w:color="D0EBF2"/>
            </w:tcBorders>
            <w:shd w:val="clear" w:color="auto" w:fill="FDFDFC"/>
          </w:tcPr>
          <w:p>
            <w:pPr>
              <w:spacing w:after="0"/>
              <w:rPr>
                <w:sz w:val="23"/>
                <w:szCs w:val="23"/>
                <w:color w:val="auto"/>
              </w:rPr>
            </w:pPr>
          </w:p>
        </w:tc>
        <w:tc>
          <w:tcPr>
            <w:tcW w:w="140" w:type="dxa"/>
            <w:vAlign w:val="bottom"/>
            <w:tcBorders>
              <w:bottom w:val="single" w:sz="8" w:color="D0EBF2"/>
            </w:tcBorders>
            <w:shd w:val="clear" w:color="auto" w:fill="FDFDFC"/>
          </w:tcPr>
          <w:p>
            <w:pPr>
              <w:spacing w:after="0"/>
              <w:rPr>
                <w:sz w:val="23"/>
                <w:szCs w:val="23"/>
                <w:color w:val="auto"/>
              </w:rPr>
            </w:pPr>
          </w:p>
        </w:tc>
        <w:tc>
          <w:tcPr>
            <w:tcW w:w="120" w:type="dxa"/>
            <w:vAlign w:val="bottom"/>
            <w:tcBorders>
              <w:bottom w:val="single" w:sz="8" w:color="231F20"/>
            </w:tcBorders>
            <w:vMerge w:val="continue"/>
            <w:shd w:val="clear" w:color="auto" w:fill="FDFDFC"/>
          </w:tcPr>
          <w:p>
            <w:pPr>
              <w:spacing w:after="0"/>
              <w:rPr>
                <w:sz w:val="23"/>
                <w:szCs w:val="23"/>
                <w:color w:val="auto"/>
              </w:rPr>
            </w:pPr>
          </w:p>
        </w:tc>
        <w:tc>
          <w:tcPr>
            <w:tcW w:w="1080" w:type="dxa"/>
            <w:vAlign w:val="bottom"/>
            <w:tcBorders>
              <w:bottom w:val="single" w:sz="8" w:color="231F20"/>
            </w:tcBorders>
            <w:vMerge w:val="continue"/>
            <w:shd w:val="clear" w:color="auto" w:fill="FDFDFC"/>
          </w:tcPr>
          <w:p>
            <w:pPr>
              <w:spacing w:after="0"/>
              <w:rPr>
                <w:sz w:val="23"/>
                <w:szCs w:val="23"/>
                <w:color w:val="auto"/>
              </w:rPr>
            </w:pPr>
          </w:p>
        </w:tc>
        <w:tc>
          <w:tcPr>
            <w:tcW w:w="100" w:type="dxa"/>
            <w:vAlign w:val="bottom"/>
            <w:tcBorders>
              <w:bottom w:val="single" w:sz="8" w:color="D0EBF2"/>
            </w:tcBorders>
            <w:shd w:val="clear" w:color="auto" w:fill="FDFDFC"/>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5860" w:type="dxa"/>
            <w:vAlign w:val="bottom"/>
            <w:shd w:val="clear" w:color="auto" w:fill="D0EBF2"/>
          </w:tcPr>
          <w:p>
            <w:pPr>
              <w:spacing w:after="0" w:line="195" w:lineRule="exact"/>
              <w:rPr>
                <w:sz w:val="20"/>
                <w:szCs w:val="20"/>
                <w:color w:val="auto"/>
              </w:rPr>
            </w:pPr>
            <w:r>
              <w:rPr>
                <w:rFonts w:ascii="Arial" w:cs="Arial" w:eastAsia="Arial" w:hAnsi="Arial"/>
                <w:sz w:val="19"/>
                <w:szCs w:val="19"/>
                <w:color w:val="231F20"/>
              </w:rPr>
              <w:t>Net income (loss) per share attributable to common</w:t>
            </w:r>
          </w:p>
        </w:tc>
        <w:tc>
          <w:tcPr>
            <w:tcW w:w="140" w:type="dxa"/>
            <w:vAlign w:val="bottom"/>
            <w:shd w:val="clear" w:color="auto" w:fill="D0EBF2"/>
          </w:tcPr>
          <w:p>
            <w:pPr>
              <w:spacing w:after="0"/>
              <w:rPr>
                <w:sz w:val="16"/>
                <w:szCs w:val="16"/>
                <w:color w:val="auto"/>
              </w:rPr>
            </w:pPr>
          </w:p>
        </w:tc>
        <w:tc>
          <w:tcPr>
            <w:tcW w:w="12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w w:val="94"/>
              </w:rPr>
              <w:t>$</w:t>
            </w:r>
          </w:p>
        </w:tc>
        <w:tc>
          <w:tcPr>
            <w:tcW w:w="108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0.02</w:t>
            </w:r>
          </w:p>
        </w:tc>
        <w:tc>
          <w:tcPr>
            <w:tcW w:w="1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12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(0.07)</w:t>
            </w:r>
          </w:p>
        </w:tc>
        <w:tc>
          <w:tcPr>
            <w:tcW w:w="10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12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(0.36)</w:t>
            </w:r>
          </w:p>
        </w:tc>
        <w:tc>
          <w:tcPr>
            <w:tcW w:w="10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860" w:type="dxa"/>
            <w:vAlign w:val="bottom"/>
            <w:tcBorders>
              <w:bottom w:val="single" w:sz="8" w:color="FDFDFC"/>
            </w:tcBorders>
            <w:shd w:val="clear" w:color="auto" w:fill="D0EBF2"/>
          </w:tcPr>
          <w:p>
            <w:pPr>
              <w:ind w:left="160"/>
              <w:spacing w:after="0"/>
              <w:rPr>
                <w:sz w:val="20"/>
                <w:szCs w:val="20"/>
                <w:color w:val="auto"/>
              </w:rPr>
            </w:pPr>
            <w:r>
              <w:rPr>
                <w:rFonts w:ascii="Arial" w:cs="Arial" w:eastAsia="Arial" w:hAnsi="Arial"/>
                <w:sz w:val="19"/>
                <w:szCs w:val="19"/>
                <w:color w:val="231F20"/>
              </w:rPr>
              <w:t>stockholders – basic</w:t>
            </w:r>
          </w:p>
        </w:tc>
        <w:tc>
          <w:tcPr>
            <w:tcW w:w="140" w:type="dxa"/>
            <w:vAlign w:val="bottom"/>
            <w:tcBorders>
              <w:bottom w:val="single" w:sz="8" w:color="FDFDFC"/>
            </w:tcBorders>
            <w:shd w:val="clear" w:color="auto" w:fill="D0EBF2"/>
          </w:tcPr>
          <w:p>
            <w:pPr>
              <w:spacing w:after="0"/>
              <w:rPr>
                <w:sz w:val="23"/>
                <w:szCs w:val="23"/>
                <w:color w:val="auto"/>
              </w:rPr>
            </w:pPr>
          </w:p>
        </w:tc>
        <w:tc>
          <w:tcPr>
            <w:tcW w:w="120" w:type="dxa"/>
            <w:vAlign w:val="bottom"/>
            <w:tcBorders>
              <w:bottom w:val="single" w:sz="8" w:color="231F20"/>
            </w:tcBorders>
            <w:vMerge w:val="continue"/>
            <w:shd w:val="clear" w:color="auto" w:fill="D0EBF2"/>
          </w:tcPr>
          <w:p>
            <w:pPr>
              <w:spacing w:after="0"/>
              <w:rPr>
                <w:sz w:val="23"/>
                <w:szCs w:val="23"/>
                <w:color w:val="auto"/>
              </w:rPr>
            </w:pPr>
          </w:p>
        </w:tc>
        <w:tc>
          <w:tcPr>
            <w:tcW w:w="1080" w:type="dxa"/>
            <w:vAlign w:val="bottom"/>
            <w:tcBorders>
              <w:bottom w:val="single" w:sz="8" w:color="231F20"/>
            </w:tcBorders>
            <w:vMerge w:val="continue"/>
            <w:shd w:val="clear" w:color="auto" w:fill="D0EBF2"/>
          </w:tcPr>
          <w:p>
            <w:pPr>
              <w:spacing w:after="0"/>
              <w:rPr>
                <w:sz w:val="23"/>
                <w:szCs w:val="23"/>
                <w:color w:val="auto"/>
              </w:rPr>
            </w:pPr>
          </w:p>
        </w:tc>
        <w:tc>
          <w:tcPr>
            <w:tcW w:w="120" w:type="dxa"/>
            <w:vAlign w:val="bottom"/>
            <w:tcBorders>
              <w:bottom w:val="single" w:sz="8" w:color="FDFDFC"/>
            </w:tcBorders>
            <w:shd w:val="clear" w:color="auto" w:fill="D0EBF2"/>
          </w:tcPr>
          <w:p>
            <w:pPr>
              <w:spacing w:after="0"/>
              <w:rPr>
                <w:sz w:val="23"/>
                <w:szCs w:val="23"/>
                <w:color w:val="auto"/>
              </w:rPr>
            </w:pPr>
          </w:p>
        </w:tc>
        <w:tc>
          <w:tcPr>
            <w:tcW w:w="140" w:type="dxa"/>
            <w:vAlign w:val="bottom"/>
            <w:tcBorders>
              <w:bottom w:val="single" w:sz="8" w:color="FDFDFC"/>
            </w:tcBorders>
            <w:shd w:val="clear" w:color="auto" w:fill="D0EBF2"/>
          </w:tcPr>
          <w:p>
            <w:pPr>
              <w:spacing w:after="0"/>
              <w:rPr>
                <w:sz w:val="23"/>
                <w:szCs w:val="23"/>
                <w:color w:val="auto"/>
              </w:rPr>
            </w:pPr>
          </w:p>
        </w:tc>
        <w:tc>
          <w:tcPr>
            <w:tcW w:w="120" w:type="dxa"/>
            <w:vAlign w:val="bottom"/>
            <w:tcBorders>
              <w:bottom w:val="single" w:sz="8" w:color="231F20"/>
            </w:tcBorders>
            <w:vMerge w:val="continue"/>
            <w:shd w:val="clear" w:color="auto" w:fill="D0EBF2"/>
          </w:tcPr>
          <w:p>
            <w:pPr>
              <w:spacing w:after="0"/>
              <w:rPr>
                <w:sz w:val="23"/>
                <w:szCs w:val="23"/>
                <w:color w:val="auto"/>
              </w:rPr>
            </w:pPr>
          </w:p>
        </w:tc>
        <w:tc>
          <w:tcPr>
            <w:tcW w:w="1080" w:type="dxa"/>
            <w:vAlign w:val="bottom"/>
            <w:tcBorders>
              <w:bottom w:val="single" w:sz="8" w:color="231F20"/>
            </w:tcBorders>
            <w:vMerge w:val="continue"/>
            <w:shd w:val="clear" w:color="auto" w:fill="D0EBF2"/>
          </w:tcPr>
          <w:p>
            <w:pPr>
              <w:spacing w:after="0"/>
              <w:rPr>
                <w:sz w:val="23"/>
                <w:szCs w:val="23"/>
                <w:color w:val="auto"/>
              </w:rPr>
            </w:pPr>
          </w:p>
        </w:tc>
        <w:tc>
          <w:tcPr>
            <w:tcW w:w="100" w:type="dxa"/>
            <w:vAlign w:val="bottom"/>
            <w:tcBorders>
              <w:bottom w:val="single" w:sz="8" w:color="FDFDFC"/>
            </w:tcBorders>
            <w:shd w:val="clear" w:color="auto" w:fill="D0EBF2"/>
          </w:tcPr>
          <w:p>
            <w:pPr>
              <w:spacing w:after="0"/>
              <w:rPr>
                <w:sz w:val="23"/>
                <w:szCs w:val="23"/>
                <w:color w:val="auto"/>
              </w:rPr>
            </w:pPr>
          </w:p>
        </w:tc>
        <w:tc>
          <w:tcPr>
            <w:tcW w:w="140" w:type="dxa"/>
            <w:vAlign w:val="bottom"/>
            <w:tcBorders>
              <w:bottom w:val="single" w:sz="8" w:color="FDFDFC"/>
            </w:tcBorders>
            <w:shd w:val="clear" w:color="auto" w:fill="D0EBF2"/>
          </w:tcPr>
          <w:p>
            <w:pPr>
              <w:spacing w:after="0"/>
              <w:rPr>
                <w:sz w:val="23"/>
                <w:szCs w:val="23"/>
                <w:color w:val="auto"/>
              </w:rPr>
            </w:pPr>
          </w:p>
        </w:tc>
        <w:tc>
          <w:tcPr>
            <w:tcW w:w="120" w:type="dxa"/>
            <w:vAlign w:val="bottom"/>
            <w:tcBorders>
              <w:bottom w:val="single" w:sz="8" w:color="231F20"/>
            </w:tcBorders>
            <w:vMerge w:val="continue"/>
            <w:shd w:val="clear" w:color="auto" w:fill="D0EBF2"/>
          </w:tcPr>
          <w:p>
            <w:pPr>
              <w:spacing w:after="0"/>
              <w:rPr>
                <w:sz w:val="23"/>
                <w:szCs w:val="23"/>
                <w:color w:val="auto"/>
              </w:rPr>
            </w:pPr>
          </w:p>
        </w:tc>
        <w:tc>
          <w:tcPr>
            <w:tcW w:w="1080" w:type="dxa"/>
            <w:vAlign w:val="bottom"/>
            <w:tcBorders>
              <w:bottom w:val="single" w:sz="8" w:color="231F20"/>
            </w:tcBorders>
            <w:vMerge w:val="continue"/>
            <w:shd w:val="clear" w:color="auto" w:fill="D0EBF2"/>
          </w:tcPr>
          <w:p>
            <w:pPr>
              <w:spacing w:after="0"/>
              <w:rPr>
                <w:sz w:val="23"/>
                <w:szCs w:val="23"/>
                <w:color w:val="auto"/>
              </w:rPr>
            </w:pPr>
          </w:p>
        </w:tc>
        <w:tc>
          <w:tcPr>
            <w:tcW w:w="100" w:type="dxa"/>
            <w:vAlign w:val="bottom"/>
            <w:tcBorders>
              <w:bottom w:val="single" w:sz="8" w:color="FDFDFC"/>
            </w:tcBorders>
            <w:shd w:val="clear" w:color="auto" w:fill="D0EBF2"/>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5860" w:type="dxa"/>
            <w:vAlign w:val="bottom"/>
            <w:shd w:val="clear" w:color="auto" w:fill="FDFDFC"/>
          </w:tcPr>
          <w:p>
            <w:pPr>
              <w:spacing w:after="0" w:line="195" w:lineRule="exact"/>
              <w:rPr>
                <w:sz w:val="20"/>
                <w:szCs w:val="20"/>
                <w:color w:val="auto"/>
              </w:rPr>
            </w:pPr>
            <w:r>
              <w:rPr>
                <w:rFonts w:ascii="Arial" w:cs="Arial" w:eastAsia="Arial" w:hAnsi="Arial"/>
                <w:sz w:val="19"/>
                <w:szCs w:val="19"/>
                <w:color w:val="231F20"/>
              </w:rPr>
              <w:t>Net income (loss) per share attributable to common</w:t>
            </w:r>
          </w:p>
        </w:tc>
        <w:tc>
          <w:tcPr>
            <w:tcW w:w="14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8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860" w:type="dxa"/>
            <w:vAlign w:val="bottom"/>
            <w:tcBorders>
              <w:bottom w:val="single" w:sz="8" w:color="D0EBF2"/>
            </w:tcBorders>
            <w:shd w:val="clear" w:color="auto" w:fill="FDFDFC"/>
          </w:tcPr>
          <w:p>
            <w:pPr>
              <w:ind w:left="160"/>
              <w:spacing w:after="0"/>
              <w:rPr>
                <w:sz w:val="20"/>
                <w:szCs w:val="20"/>
                <w:color w:val="auto"/>
              </w:rPr>
            </w:pPr>
            <w:r>
              <w:rPr>
                <w:rFonts w:ascii="Arial" w:cs="Arial" w:eastAsia="Arial" w:hAnsi="Arial"/>
                <w:sz w:val="19"/>
                <w:szCs w:val="19"/>
                <w:color w:val="231F20"/>
              </w:rPr>
              <w:t>stockholders – diluted</w:t>
            </w:r>
          </w:p>
        </w:tc>
        <w:tc>
          <w:tcPr>
            <w:tcW w:w="140" w:type="dxa"/>
            <w:vAlign w:val="bottom"/>
            <w:tcBorders>
              <w:bottom w:val="single" w:sz="8" w:color="D0EBF2"/>
            </w:tcBorders>
            <w:shd w:val="clear" w:color="auto" w:fill="FDFDFC"/>
          </w:tcPr>
          <w:p>
            <w:pPr>
              <w:spacing w:after="0"/>
              <w:rPr>
                <w:sz w:val="23"/>
                <w:szCs w:val="23"/>
                <w:color w:val="auto"/>
              </w:rPr>
            </w:pPr>
          </w:p>
        </w:tc>
        <w:tc>
          <w:tcPr>
            <w:tcW w:w="1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w w:val="94"/>
              </w:rPr>
              <w:t>$</w:t>
            </w: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0.02</w:t>
            </w:r>
          </w:p>
        </w:tc>
        <w:tc>
          <w:tcPr>
            <w:tcW w:w="120" w:type="dxa"/>
            <w:vAlign w:val="bottom"/>
            <w:tcBorders>
              <w:bottom w:val="single" w:sz="8" w:color="D0EBF2"/>
            </w:tcBorders>
            <w:shd w:val="clear" w:color="auto" w:fill="FDFDFC"/>
          </w:tcPr>
          <w:p>
            <w:pPr>
              <w:spacing w:after="0"/>
              <w:rPr>
                <w:sz w:val="23"/>
                <w:szCs w:val="23"/>
                <w:color w:val="auto"/>
              </w:rPr>
            </w:pPr>
          </w:p>
        </w:tc>
        <w:tc>
          <w:tcPr>
            <w:tcW w:w="140" w:type="dxa"/>
            <w:vAlign w:val="bottom"/>
            <w:tcBorders>
              <w:bottom w:val="single" w:sz="8" w:color="D0EBF2"/>
            </w:tcBorders>
            <w:shd w:val="clear" w:color="auto" w:fill="FDFDFC"/>
          </w:tcPr>
          <w:p>
            <w:pPr>
              <w:spacing w:after="0"/>
              <w:rPr>
                <w:sz w:val="23"/>
                <w:szCs w:val="23"/>
                <w:color w:val="auto"/>
              </w:rPr>
            </w:pPr>
          </w:p>
        </w:tc>
        <w:tc>
          <w:tcPr>
            <w:tcW w:w="1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(0.07)</w:t>
            </w:r>
          </w:p>
        </w:tc>
        <w:tc>
          <w:tcPr>
            <w:tcW w:w="100" w:type="dxa"/>
            <w:vAlign w:val="bottom"/>
            <w:tcBorders>
              <w:bottom w:val="single" w:sz="8" w:color="D0EBF2"/>
            </w:tcBorders>
            <w:shd w:val="clear" w:color="auto" w:fill="FDFDFC"/>
          </w:tcPr>
          <w:p>
            <w:pPr>
              <w:spacing w:after="0"/>
              <w:rPr>
                <w:sz w:val="23"/>
                <w:szCs w:val="23"/>
                <w:color w:val="auto"/>
              </w:rPr>
            </w:pPr>
          </w:p>
        </w:tc>
        <w:tc>
          <w:tcPr>
            <w:tcW w:w="140" w:type="dxa"/>
            <w:vAlign w:val="bottom"/>
            <w:tcBorders>
              <w:bottom w:val="single" w:sz="8" w:color="D0EBF2"/>
            </w:tcBorders>
            <w:shd w:val="clear" w:color="auto" w:fill="FDFDFC"/>
          </w:tcPr>
          <w:p>
            <w:pPr>
              <w:spacing w:after="0"/>
              <w:rPr>
                <w:sz w:val="23"/>
                <w:szCs w:val="23"/>
                <w:color w:val="auto"/>
              </w:rPr>
            </w:pPr>
          </w:p>
        </w:tc>
        <w:tc>
          <w:tcPr>
            <w:tcW w:w="1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(0.36)</w:t>
            </w:r>
          </w:p>
        </w:tc>
        <w:tc>
          <w:tcPr>
            <w:tcW w:w="100" w:type="dxa"/>
            <w:vAlign w:val="bottom"/>
            <w:tcBorders>
              <w:bottom w:val="single" w:sz="8" w:color="D0EBF2"/>
            </w:tcBorders>
            <w:shd w:val="clear" w:color="auto" w:fill="FDFDFC"/>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5860" w:type="dxa"/>
            <w:vAlign w:val="bottom"/>
            <w:tcBorders>
              <w:bottom w:val="single" w:sz="8" w:color="FDFDFC"/>
            </w:tcBorders>
            <w:shd w:val="clear" w:color="auto" w:fill="D0EBF2"/>
          </w:tcPr>
          <w:p>
            <w:pPr>
              <w:spacing w:after="0" w:line="213" w:lineRule="exact"/>
              <w:rPr>
                <w:sz w:val="20"/>
                <w:szCs w:val="20"/>
                <w:color w:val="auto"/>
              </w:rPr>
            </w:pPr>
            <w:r>
              <w:rPr>
                <w:rFonts w:ascii="Arial" w:cs="Arial" w:eastAsia="Arial" w:hAnsi="Arial"/>
                <w:sz w:val="19"/>
                <w:szCs w:val="19"/>
                <w:color w:val="231F20"/>
              </w:rPr>
              <w:t>Weighted average common shares outstanding – basic</w:t>
            </w:r>
          </w:p>
        </w:tc>
        <w:tc>
          <w:tcPr>
            <w:tcW w:w="140" w:type="dxa"/>
            <w:vAlign w:val="bottom"/>
            <w:tcBorders>
              <w:bottom w:val="single" w:sz="8" w:color="FDFDFC"/>
            </w:tcBorders>
            <w:shd w:val="clear" w:color="auto" w:fill="D0EBF2"/>
          </w:tcPr>
          <w:p>
            <w:pPr>
              <w:spacing w:after="0"/>
              <w:rPr>
                <w:sz w:val="21"/>
                <w:szCs w:val="21"/>
                <w:color w:val="auto"/>
              </w:rPr>
            </w:pPr>
          </w:p>
        </w:tc>
        <w:tc>
          <w:tcPr>
            <w:tcW w:w="120" w:type="dxa"/>
            <w:vAlign w:val="bottom"/>
            <w:tcBorders>
              <w:bottom w:val="single" w:sz="8" w:color="231F20"/>
            </w:tcBorders>
            <w:shd w:val="clear" w:color="auto" w:fill="D0EBF2"/>
          </w:tcPr>
          <w:p>
            <w:pPr>
              <w:spacing w:after="0"/>
              <w:rPr>
                <w:sz w:val="21"/>
                <w:szCs w:val="21"/>
                <w:color w:val="auto"/>
              </w:rPr>
            </w:pPr>
          </w:p>
        </w:tc>
        <w:tc>
          <w:tcPr>
            <w:tcW w:w="1080" w:type="dxa"/>
            <w:vAlign w:val="bottom"/>
            <w:tcBorders>
              <w:bottom w:val="single" w:sz="8" w:color="231F20"/>
            </w:tcBorders>
            <w:shd w:val="clear" w:color="auto" w:fill="D0EBF2"/>
          </w:tcPr>
          <w:p>
            <w:pPr>
              <w:jc w:val="right"/>
              <w:spacing w:after="0" w:line="213" w:lineRule="exact"/>
              <w:rPr>
                <w:sz w:val="20"/>
                <w:szCs w:val="20"/>
                <w:color w:val="auto"/>
              </w:rPr>
            </w:pPr>
            <w:r>
              <w:rPr>
                <w:rFonts w:ascii="Arial" w:cs="Arial" w:eastAsia="Arial" w:hAnsi="Arial"/>
                <w:sz w:val="19"/>
                <w:szCs w:val="19"/>
                <w:color w:val="231F20"/>
                <w:shd w:val="clear" w:color="auto" w:fill="D0EBF2"/>
              </w:rPr>
              <w:t>124,269,820</w:t>
            </w:r>
          </w:p>
        </w:tc>
        <w:tc>
          <w:tcPr>
            <w:tcW w:w="120" w:type="dxa"/>
            <w:vAlign w:val="bottom"/>
            <w:tcBorders>
              <w:bottom w:val="single" w:sz="8" w:color="FDFDFC"/>
            </w:tcBorders>
            <w:shd w:val="clear" w:color="auto" w:fill="D0EBF2"/>
          </w:tcPr>
          <w:p>
            <w:pPr>
              <w:spacing w:after="0"/>
              <w:rPr>
                <w:sz w:val="21"/>
                <w:szCs w:val="21"/>
                <w:color w:val="auto"/>
              </w:rPr>
            </w:pPr>
          </w:p>
        </w:tc>
        <w:tc>
          <w:tcPr>
            <w:tcW w:w="140" w:type="dxa"/>
            <w:vAlign w:val="bottom"/>
            <w:tcBorders>
              <w:bottom w:val="single" w:sz="8" w:color="FDFDFC"/>
            </w:tcBorders>
            <w:shd w:val="clear" w:color="auto" w:fill="D0EBF2"/>
          </w:tcPr>
          <w:p>
            <w:pPr>
              <w:spacing w:after="0"/>
              <w:rPr>
                <w:sz w:val="21"/>
                <w:szCs w:val="21"/>
                <w:color w:val="auto"/>
              </w:rPr>
            </w:pPr>
          </w:p>
        </w:tc>
        <w:tc>
          <w:tcPr>
            <w:tcW w:w="120" w:type="dxa"/>
            <w:vAlign w:val="bottom"/>
            <w:tcBorders>
              <w:bottom w:val="single" w:sz="8" w:color="231F20"/>
            </w:tcBorders>
            <w:shd w:val="clear" w:color="auto" w:fill="D0EBF2"/>
          </w:tcPr>
          <w:p>
            <w:pPr>
              <w:spacing w:after="0"/>
              <w:rPr>
                <w:sz w:val="21"/>
                <w:szCs w:val="21"/>
                <w:color w:val="auto"/>
              </w:rPr>
            </w:pPr>
          </w:p>
        </w:tc>
        <w:tc>
          <w:tcPr>
            <w:tcW w:w="1080" w:type="dxa"/>
            <w:vAlign w:val="bottom"/>
            <w:tcBorders>
              <w:bottom w:val="single" w:sz="8" w:color="231F20"/>
            </w:tcBorders>
            <w:shd w:val="clear" w:color="auto" w:fill="D0EBF2"/>
          </w:tcPr>
          <w:p>
            <w:pPr>
              <w:jc w:val="right"/>
              <w:spacing w:after="0" w:line="213" w:lineRule="exact"/>
              <w:rPr>
                <w:sz w:val="20"/>
                <w:szCs w:val="20"/>
                <w:color w:val="auto"/>
              </w:rPr>
            </w:pPr>
            <w:r>
              <w:rPr>
                <w:rFonts w:ascii="Arial" w:cs="Arial" w:eastAsia="Arial" w:hAnsi="Arial"/>
                <w:sz w:val="19"/>
                <w:szCs w:val="19"/>
                <w:color w:val="231F20"/>
                <w:w w:val="98"/>
                <w:shd w:val="clear" w:color="auto" w:fill="D0EBF2"/>
              </w:rPr>
              <w:t>114,828,494</w:t>
            </w:r>
          </w:p>
        </w:tc>
        <w:tc>
          <w:tcPr>
            <w:tcW w:w="100" w:type="dxa"/>
            <w:vAlign w:val="bottom"/>
            <w:tcBorders>
              <w:bottom w:val="single" w:sz="8" w:color="FDFDFC"/>
            </w:tcBorders>
            <w:shd w:val="clear" w:color="auto" w:fill="D0EBF2"/>
          </w:tcPr>
          <w:p>
            <w:pPr>
              <w:spacing w:after="0"/>
              <w:rPr>
                <w:sz w:val="21"/>
                <w:szCs w:val="21"/>
                <w:color w:val="auto"/>
              </w:rPr>
            </w:pPr>
          </w:p>
        </w:tc>
        <w:tc>
          <w:tcPr>
            <w:tcW w:w="140" w:type="dxa"/>
            <w:vAlign w:val="bottom"/>
            <w:tcBorders>
              <w:bottom w:val="single" w:sz="8" w:color="FDFDFC"/>
            </w:tcBorders>
            <w:shd w:val="clear" w:color="auto" w:fill="D0EBF2"/>
          </w:tcPr>
          <w:p>
            <w:pPr>
              <w:spacing w:after="0"/>
              <w:rPr>
                <w:sz w:val="21"/>
                <w:szCs w:val="21"/>
                <w:color w:val="auto"/>
              </w:rPr>
            </w:pPr>
          </w:p>
        </w:tc>
        <w:tc>
          <w:tcPr>
            <w:tcW w:w="120" w:type="dxa"/>
            <w:vAlign w:val="bottom"/>
            <w:tcBorders>
              <w:bottom w:val="single" w:sz="8" w:color="231F20"/>
            </w:tcBorders>
            <w:shd w:val="clear" w:color="auto" w:fill="D0EBF2"/>
          </w:tcPr>
          <w:p>
            <w:pPr>
              <w:spacing w:after="0"/>
              <w:rPr>
                <w:sz w:val="21"/>
                <w:szCs w:val="21"/>
                <w:color w:val="auto"/>
              </w:rPr>
            </w:pPr>
          </w:p>
        </w:tc>
        <w:tc>
          <w:tcPr>
            <w:tcW w:w="1080" w:type="dxa"/>
            <w:vAlign w:val="bottom"/>
            <w:tcBorders>
              <w:bottom w:val="single" w:sz="8" w:color="231F20"/>
            </w:tcBorders>
            <w:shd w:val="clear" w:color="auto" w:fill="D0EBF2"/>
          </w:tcPr>
          <w:p>
            <w:pPr>
              <w:jc w:val="right"/>
              <w:spacing w:after="0" w:line="213" w:lineRule="exact"/>
              <w:rPr>
                <w:sz w:val="20"/>
                <w:szCs w:val="20"/>
                <w:color w:val="auto"/>
              </w:rPr>
            </w:pPr>
            <w:r>
              <w:rPr>
                <w:rFonts w:ascii="Arial" w:cs="Arial" w:eastAsia="Arial" w:hAnsi="Arial"/>
                <w:sz w:val="19"/>
                <w:szCs w:val="19"/>
                <w:color w:val="231F20"/>
                <w:w w:val="98"/>
                <w:shd w:val="clear" w:color="auto" w:fill="D0EBF2"/>
              </w:rPr>
              <w:t>107,935,514</w:t>
            </w:r>
          </w:p>
        </w:tc>
        <w:tc>
          <w:tcPr>
            <w:tcW w:w="100" w:type="dxa"/>
            <w:vAlign w:val="bottom"/>
            <w:tcBorders>
              <w:bottom w:val="single" w:sz="8" w:color="FDFDFC"/>
            </w:tcBorders>
            <w:shd w:val="clear" w:color="auto" w:fill="D0EBF2"/>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860" w:type="dxa"/>
            <w:vAlign w:val="bottom"/>
            <w:shd w:val="clear" w:color="auto" w:fill="FDFDFC"/>
          </w:tcPr>
          <w:p>
            <w:pPr>
              <w:spacing w:after="0"/>
              <w:rPr>
                <w:sz w:val="20"/>
                <w:szCs w:val="20"/>
                <w:color w:val="auto"/>
              </w:rPr>
            </w:pPr>
            <w:r>
              <w:rPr>
                <w:rFonts w:ascii="Arial" w:cs="Arial" w:eastAsia="Arial" w:hAnsi="Arial"/>
                <w:sz w:val="19"/>
                <w:szCs w:val="19"/>
                <w:color w:val="231F20"/>
              </w:rPr>
              <w:t>Weighted average common shares outstanding – diluted</w:t>
            </w:r>
          </w:p>
        </w:tc>
        <w:tc>
          <w:tcPr>
            <w:tcW w:w="140" w:type="dxa"/>
            <w:vAlign w:val="bottom"/>
            <w:shd w:val="clear" w:color="auto" w:fill="FDFDFC"/>
          </w:tcPr>
          <w:p>
            <w:pPr>
              <w:spacing w:after="0"/>
              <w:rPr>
                <w:sz w:val="21"/>
                <w:szCs w:val="21"/>
                <w:color w:val="auto"/>
              </w:rPr>
            </w:pPr>
          </w:p>
        </w:tc>
        <w:tc>
          <w:tcPr>
            <w:tcW w:w="120" w:type="dxa"/>
            <w:vAlign w:val="bottom"/>
            <w:tcBorders>
              <w:bottom w:val="single" w:sz="8" w:color="231F20"/>
            </w:tcBorders>
            <w:shd w:val="clear" w:color="auto" w:fill="FDFDFC"/>
          </w:tcPr>
          <w:p>
            <w:pPr>
              <w:spacing w:after="0"/>
              <w:rPr>
                <w:sz w:val="21"/>
                <w:szCs w:val="21"/>
                <w:color w:val="auto"/>
              </w:rPr>
            </w:pP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highlight w:val="white"/>
              </w:rPr>
              <w:t>129,339,462</w:t>
            </w:r>
          </w:p>
        </w:tc>
        <w:tc>
          <w:tcPr>
            <w:tcW w:w="120" w:type="dxa"/>
            <w:vAlign w:val="bottom"/>
            <w:shd w:val="clear" w:color="auto" w:fill="FDFDFC"/>
          </w:tcPr>
          <w:p>
            <w:pPr>
              <w:spacing w:after="0"/>
              <w:rPr>
                <w:sz w:val="21"/>
                <w:szCs w:val="21"/>
                <w:color w:val="auto"/>
              </w:rPr>
            </w:pPr>
          </w:p>
        </w:tc>
        <w:tc>
          <w:tcPr>
            <w:tcW w:w="140" w:type="dxa"/>
            <w:vAlign w:val="bottom"/>
            <w:shd w:val="clear" w:color="auto" w:fill="FDFDFC"/>
          </w:tcPr>
          <w:p>
            <w:pPr>
              <w:spacing w:after="0"/>
              <w:rPr>
                <w:sz w:val="21"/>
                <w:szCs w:val="21"/>
                <w:color w:val="auto"/>
              </w:rPr>
            </w:pPr>
          </w:p>
        </w:tc>
        <w:tc>
          <w:tcPr>
            <w:tcW w:w="120" w:type="dxa"/>
            <w:vAlign w:val="bottom"/>
            <w:tcBorders>
              <w:bottom w:val="single" w:sz="8" w:color="231F20"/>
            </w:tcBorders>
            <w:shd w:val="clear" w:color="auto" w:fill="FDFDFC"/>
          </w:tcPr>
          <w:p>
            <w:pPr>
              <w:spacing w:after="0"/>
              <w:rPr>
                <w:sz w:val="21"/>
                <w:szCs w:val="21"/>
                <w:color w:val="auto"/>
              </w:rPr>
            </w:pP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highlight w:val="white"/>
                <w:w w:val="98"/>
              </w:rPr>
              <w:t>114,828,494</w:t>
            </w:r>
          </w:p>
        </w:tc>
        <w:tc>
          <w:tcPr>
            <w:tcW w:w="100" w:type="dxa"/>
            <w:vAlign w:val="bottom"/>
            <w:shd w:val="clear" w:color="auto" w:fill="FDFDFC"/>
          </w:tcPr>
          <w:p>
            <w:pPr>
              <w:spacing w:after="0"/>
              <w:rPr>
                <w:sz w:val="21"/>
                <w:szCs w:val="21"/>
                <w:color w:val="auto"/>
              </w:rPr>
            </w:pPr>
          </w:p>
        </w:tc>
        <w:tc>
          <w:tcPr>
            <w:tcW w:w="140" w:type="dxa"/>
            <w:vAlign w:val="bottom"/>
            <w:shd w:val="clear" w:color="auto" w:fill="FDFDFC"/>
          </w:tcPr>
          <w:p>
            <w:pPr>
              <w:spacing w:after="0"/>
              <w:rPr>
                <w:sz w:val="21"/>
                <w:szCs w:val="21"/>
                <w:color w:val="auto"/>
              </w:rPr>
            </w:pPr>
          </w:p>
        </w:tc>
        <w:tc>
          <w:tcPr>
            <w:tcW w:w="120" w:type="dxa"/>
            <w:vAlign w:val="bottom"/>
            <w:tcBorders>
              <w:bottom w:val="single" w:sz="8" w:color="231F20"/>
            </w:tcBorders>
            <w:shd w:val="clear" w:color="auto" w:fill="FDFDFC"/>
          </w:tcPr>
          <w:p>
            <w:pPr>
              <w:spacing w:after="0"/>
              <w:rPr>
                <w:sz w:val="21"/>
                <w:szCs w:val="21"/>
                <w:color w:val="auto"/>
              </w:rPr>
            </w:pP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highlight w:val="white"/>
                <w:w w:val="98"/>
              </w:rPr>
              <w:t>107,935,514</w:t>
            </w:r>
          </w:p>
        </w:tc>
        <w:tc>
          <w:tcPr>
            <w:tcW w:w="100" w:type="dxa"/>
            <w:vAlign w:val="bottom"/>
            <w:shd w:val="clear" w:color="auto" w:fill="FDFD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The accompanying notes are an integral part of these consolidated financial statements.</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111</w:t>
      </w:r>
    </w:p>
    <w:p>
      <w:pPr>
        <w:sectPr>
          <w:pgSz w:w="12240" w:h="15840" w:orient="portrait"/>
          <w:cols w:equalWidth="0" w:num="1">
            <w:col w:w="10200"/>
          </w:cols>
          <w:pgMar w:left="1020" w:top="1440" w:right="1020" w:bottom="572"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7"/>
          <w:szCs w:val="17"/>
          <w:b w:val="1"/>
          <w:bCs w:val="1"/>
          <w:color w:val="231F20"/>
        </w:rPr>
        <w:t>FLYWIRE CORPORATION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CONSOLIDATED STATEMENTS OF STOCKHOLDERS’ EQUITY</w:t>
      </w:r>
    </w:p>
    <w:p>
      <w:pPr>
        <w:jc w:val="center"/>
        <w:spacing w:after="0" w:line="237" w:lineRule="auto"/>
        <w:rPr>
          <w:sz w:val="20"/>
          <w:szCs w:val="20"/>
          <w:color w:val="auto"/>
        </w:rPr>
      </w:pPr>
      <w:r>
        <w:rPr>
          <w:rFonts w:ascii="Arial" w:cs="Arial" w:eastAsia="Arial" w:hAnsi="Arial"/>
          <w:sz w:val="17"/>
          <w:szCs w:val="17"/>
          <w:color w:val="231F20"/>
        </w:rPr>
        <w:t>(Amounts in thousands, except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40" w:type="dxa"/>
            <w:vAlign w:val="bottom"/>
            <w:tcBorders>
              <w:right w:val="single" w:sz="8" w:color="231F20"/>
            </w:tcBorders>
            <w:shd w:val="clear" w:color="auto" w:fill="FDFDFC"/>
          </w:tcPr>
          <w:p>
            <w:pPr>
              <w:spacing w:after="0"/>
              <w:rPr>
                <w:sz w:val="10"/>
                <w:szCs w:val="10"/>
                <w:color w:val="auto"/>
              </w:rPr>
            </w:pPr>
          </w:p>
        </w:tc>
        <w:tc>
          <w:tcPr>
            <w:tcW w:w="120" w:type="dxa"/>
            <w:vAlign w:val="bottom"/>
            <w:shd w:val="clear" w:color="auto" w:fill="FDFDFC"/>
          </w:tcPr>
          <w:p>
            <w:pPr>
              <w:spacing w:after="0"/>
              <w:rPr>
                <w:sz w:val="10"/>
                <w:szCs w:val="10"/>
                <w:color w:val="auto"/>
              </w:rPr>
            </w:pPr>
          </w:p>
        </w:tc>
        <w:tc>
          <w:tcPr>
            <w:tcW w:w="94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54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94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100" w:type="dxa"/>
            <w:vAlign w:val="bottom"/>
            <w:shd w:val="clear" w:color="auto" w:fill="FDFDFC"/>
          </w:tcPr>
          <w:p>
            <w:pPr>
              <w:spacing w:after="0"/>
              <w:rPr>
                <w:sz w:val="10"/>
                <w:szCs w:val="10"/>
                <w:color w:val="auto"/>
              </w:rPr>
            </w:pPr>
          </w:p>
        </w:tc>
        <w:tc>
          <w:tcPr>
            <w:tcW w:w="58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94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120" w:type="dxa"/>
            <w:vAlign w:val="bottom"/>
            <w:shd w:val="clear" w:color="auto" w:fill="FDFDFC"/>
          </w:tcPr>
          <w:p>
            <w:pPr>
              <w:spacing w:after="0"/>
              <w:rPr>
                <w:sz w:val="10"/>
                <w:szCs w:val="10"/>
                <w:color w:val="auto"/>
              </w:rPr>
            </w:pPr>
          </w:p>
        </w:tc>
        <w:tc>
          <w:tcPr>
            <w:tcW w:w="120" w:type="dxa"/>
            <w:vAlign w:val="bottom"/>
            <w:shd w:val="clear" w:color="auto" w:fill="FDFDFC"/>
          </w:tcPr>
          <w:p>
            <w:pPr>
              <w:spacing w:after="0"/>
              <w:rPr>
                <w:sz w:val="10"/>
                <w:szCs w:val="10"/>
                <w:color w:val="auto"/>
              </w:rPr>
            </w:pPr>
          </w:p>
        </w:tc>
        <w:tc>
          <w:tcPr>
            <w:tcW w:w="62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160" w:type="dxa"/>
            <w:vAlign w:val="bottom"/>
            <w:shd w:val="clear" w:color="auto" w:fill="FDFDFC"/>
          </w:tcPr>
          <w:p>
            <w:pPr>
              <w:spacing w:after="0"/>
              <w:rPr>
                <w:sz w:val="10"/>
                <w:szCs w:val="10"/>
                <w:color w:val="auto"/>
              </w:rPr>
            </w:pPr>
          </w:p>
        </w:tc>
        <w:tc>
          <w:tcPr>
            <w:tcW w:w="92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100" w:type="dxa"/>
            <w:vAlign w:val="bottom"/>
            <w:shd w:val="clear" w:color="auto" w:fill="FDFDFC"/>
          </w:tcPr>
          <w:p>
            <w:pPr>
              <w:spacing w:after="0"/>
              <w:rPr>
                <w:sz w:val="10"/>
                <w:szCs w:val="10"/>
                <w:color w:val="auto"/>
              </w:rPr>
            </w:pPr>
          </w:p>
        </w:tc>
        <w:tc>
          <w:tcPr>
            <w:tcW w:w="980" w:type="dxa"/>
            <w:vAlign w:val="bottom"/>
            <w:shd w:val="clear" w:color="auto" w:fill="FDFDFC"/>
          </w:tcPr>
          <w:p>
            <w:pPr>
              <w:jc w:val="center"/>
              <w:ind w:right="43"/>
              <w:spacing w:after="0"/>
              <w:rPr>
                <w:sz w:val="20"/>
                <w:szCs w:val="20"/>
                <w:color w:val="auto"/>
              </w:rPr>
            </w:pPr>
            <w:r>
              <w:rPr>
                <w:rFonts w:ascii="Arial" w:cs="Arial" w:eastAsia="Arial" w:hAnsi="Arial"/>
                <w:sz w:val="11"/>
                <w:szCs w:val="11"/>
                <w:b w:val="1"/>
                <w:bCs w:val="1"/>
                <w:color w:val="231F20"/>
              </w:rPr>
              <w:t>Accumulated</w:t>
            </w:r>
          </w:p>
        </w:tc>
        <w:tc>
          <w:tcPr>
            <w:tcW w:w="140" w:type="dxa"/>
            <w:vAlign w:val="bottom"/>
            <w:shd w:val="clear" w:color="auto" w:fill="FDFDFC"/>
          </w:tcPr>
          <w:p>
            <w:pPr>
              <w:spacing w:after="0"/>
              <w:rPr>
                <w:sz w:val="10"/>
                <w:szCs w:val="10"/>
                <w:color w:val="auto"/>
              </w:rPr>
            </w:pPr>
          </w:p>
        </w:tc>
        <w:tc>
          <w:tcPr>
            <w:tcW w:w="120" w:type="dxa"/>
            <w:vAlign w:val="bottom"/>
            <w:shd w:val="clear" w:color="auto" w:fill="FDFDFC"/>
          </w:tcPr>
          <w:p>
            <w:pPr>
              <w:spacing w:after="0"/>
              <w:rPr>
                <w:sz w:val="10"/>
                <w:szCs w:val="10"/>
                <w:color w:val="auto"/>
              </w:rPr>
            </w:pPr>
          </w:p>
        </w:tc>
        <w:tc>
          <w:tcPr>
            <w:tcW w:w="120" w:type="dxa"/>
            <w:vAlign w:val="bottom"/>
            <w:shd w:val="clear" w:color="auto" w:fill="FDFDFC"/>
          </w:tcPr>
          <w:p>
            <w:pPr>
              <w:spacing w:after="0"/>
              <w:rPr>
                <w:sz w:val="10"/>
                <w:szCs w:val="10"/>
                <w:color w:val="auto"/>
              </w:rPr>
            </w:pPr>
          </w:p>
        </w:tc>
        <w:tc>
          <w:tcPr>
            <w:tcW w:w="96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100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20" w:type="dxa"/>
            <w:vAlign w:val="bottom"/>
            <w:gridSpan w:val="2"/>
            <w:vMerge w:val="restart"/>
            <w:shd w:val="clear" w:color="auto" w:fill="FDFDFC"/>
          </w:tcPr>
          <w:p>
            <w:pPr>
              <w:ind w:left="760"/>
              <w:spacing w:after="0"/>
              <w:rPr>
                <w:sz w:val="20"/>
                <w:szCs w:val="20"/>
                <w:color w:val="auto"/>
              </w:rPr>
            </w:pPr>
            <w:r>
              <w:rPr>
                <w:rFonts w:ascii="Arial" w:cs="Arial" w:eastAsia="Arial" w:hAnsi="Arial"/>
                <w:sz w:val="11"/>
                <w:szCs w:val="11"/>
                <w:b w:val="1"/>
                <w:bCs w:val="1"/>
                <w:color w:val="231F20"/>
              </w:rPr>
              <w:t>Voting</w:t>
            </w:r>
          </w:p>
        </w:tc>
        <w:tc>
          <w:tcPr>
            <w:tcW w:w="5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320" w:type="dxa"/>
            <w:vAlign w:val="bottom"/>
            <w:gridSpan w:val="4"/>
            <w:vMerge w:val="restart"/>
            <w:shd w:val="clear" w:color="auto" w:fill="FDFDFC"/>
          </w:tcPr>
          <w:p>
            <w:pPr>
              <w:jc w:val="right"/>
              <w:ind w:right="9"/>
              <w:spacing w:after="0"/>
              <w:rPr>
                <w:sz w:val="20"/>
                <w:szCs w:val="20"/>
                <w:color w:val="auto"/>
              </w:rPr>
            </w:pPr>
            <w:r>
              <w:rPr>
                <w:rFonts w:ascii="Arial" w:cs="Arial" w:eastAsia="Arial" w:hAnsi="Arial"/>
                <w:sz w:val="11"/>
                <w:szCs w:val="11"/>
                <w:b w:val="1"/>
                <w:bCs w:val="1"/>
                <w:color w:val="231F20"/>
              </w:rPr>
              <w:t>Non-Voting</w:t>
            </w:r>
          </w:p>
        </w:tc>
        <w:tc>
          <w:tcPr>
            <w:tcW w:w="58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62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60" w:type="dxa"/>
            <w:vAlign w:val="bottom"/>
            <w:shd w:val="clear" w:color="auto" w:fill="FDFDFC"/>
          </w:tcPr>
          <w:p>
            <w:pPr>
              <w:spacing w:after="0"/>
              <w:rPr>
                <w:sz w:val="11"/>
                <w:szCs w:val="11"/>
                <w:color w:val="auto"/>
              </w:rPr>
            </w:pPr>
          </w:p>
        </w:tc>
        <w:tc>
          <w:tcPr>
            <w:tcW w:w="920" w:type="dxa"/>
            <w:vAlign w:val="bottom"/>
            <w:vMerge w:val="restart"/>
            <w:shd w:val="clear" w:color="auto" w:fill="FDFDFC"/>
          </w:tcPr>
          <w:p>
            <w:pPr>
              <w:jc w:val="right"/>
              <w:ind w:right="203"/>
              <w:spacing w:after="0"/>
              <w:rPr>
                <w:sz w:val="20"/>
                <w:szCs w:val="20"/>
                <w:color w:val="auto"/>
              </w:rPr>
            </w:pPr>
            <w:r>
              <w:rPr>
                <w:rFonts w:ascii="Arial" w:cs="Arial" w:eastAsia="Arial" w:hAnsi="Arial"/>
                <w:sz w:val="11"/>
                <w:szCs w:val="11"/>
                <w:b w:val="1"/>
                <w:bCs w:val="1"/>
                <w:color w:val="231F20"/>
              </w:rPr>
              <w:t>Additional</w:t>
            </w:r>
          </w:p>
        </w:tc>
        <w:tc>
          <w:tcPr>
            <w:tcW w:w="26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980" w:type="dxa"/>
            <w:vAlign w:val="bottom"/>
            <w:shd w:val="clear" w:color="auto" w:fill="FDFDFC"/>
          </w:tcPr>
          <w:p>
            <w:pPr>
              <w:jc w:val="center"/>
              <w:ind w:right="43"/>
              <w:spacing w:after="0"/>
              <w:rPr>
                <w:sz w:val="20"/>
                <w:szCs w:val="20"/>
                <w:color w:val="auto"/>
              </w:rPr>
            </w:pPr>
            <w:r>
              <w:rPr>
                <w:rFonts w:ascii="Arial" w:cs="Arial" w:eastAsia="Arial" w:hAnsi="Arial"/>
                <w:sz w:val="11"/>
                <w:szCs w:val="11"/>
                <w:b w:val="1"/>
                <w:bCs w:val="1"/>
                <w:color w:val="231F20"/>
              </w:rPr>
              <w:t>Other</w:t>
            </w: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96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140" w:type="dxa"/>
            <w:vAlign w:val="bottom"/>
            <w:gridSpan w:val="2"/>
            <w:vMerge w:val="restart"/>
            <w:shd w:val="clear" w:color="auto" w:fill="FDFDFC"/>
          </w:tcPr>
          <w:p>
            <w:pPr>
              <w:jc w:val="center"/>
              <w:ind w:right="260"/>
              <w:spacing w:after="0"/>
              <w:rPr>
                <w:sz w:val="20"/>
                <w:szCs w:val="20"/>
                <w:color w:val="auto"/>
              </w:rPr>
            </w:pPr>
            <w:r>
              <w:rPr>
                <w:rFonts w:ascii="Arial" w:cs="Arial" w:eastAsia="Arial" w:hAnsi="Arial"/>
                <w:sz w:val="11"/>
                <w:szCs w:val="11"/>
                <w:b w:val="1"/>
                <w:bCs w:val="1"/>
                <w:color w:val="231F20"/>
              </w:rPr>
              <w:t>Total</w:t>
            </w: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20" w:type="dxa"/>
            <w:vAlign w:val="bottom"/>
            <w:gridSpan w:val="2"/>
            <w:vMerge w:val="continue"/>
            <w:shd w:val="clear" w:color="auto" w:fill="FDFDFC"/>
          </w:tcPr>
          <w:p>
            <w:pPr>
              <w:spacing w:after="0"/>
              <w:rPr>
                <w:sz w:val="11"/>
                <w:szCs w:val="11"/>
                <w:color w:val="auto"/>
              </w:rPr>
            </w:pPr>
          </w:p>
        </w:tc>
        <w:tc>
          <w:tcPr>
            <w:tcW w:w="5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320" w:type="dxa"/>
            <w:vAlign w:val="bottom"/>
            <w:gridSpan w:val="4"/>
            <w:vMerge w:val="continue"/>
            <w:shd w:val="clear" w:color="auto" w:fill="FDFDFC"/>
          </w:tcPr>
          <w:p>
            <w:pPr>
              <w:spacing w:after="0"/>
              <w:rPr>
                <w:sz w:val="11"/>
                <w:szCs w:val="11"/>
                <w:color w:val="auto"/>
              </w:rPr>
            </w:pPr>
          </w:p>
        </w:tc>
        <w:tc>
          <w:tcPr>
            <w:tcW w:w="58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62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60" w:type="dxa"/>
            <w:vAlign w:val="bottom"/>
            <w:shd w:val="clear" w:color="auto" w:fill="FDFDFC"/>
          </w:tcPr>
          <w:p>
            <w:pPr>
              <w:spacing w:after="0"/>
              <w:rPr>
                <w:sz w:val="11"/>
                <w:szCs w:val="11"/>
                <w:color w:val="auto"/>
              </w:rPr>
            </w:pPr>
          </w:p>
        </w:tc>
        <w:tc>
          <w:tcPr>
            <w:tcW w:w="920" w:type="dxa"/>
            <w:vAlign w:val="bottom"/>
            <w:vMerge w:val="continue"/>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980" w:type="dxa"/>
            <w:vAlign w:val="bottom"/>
            <w:shd w:val="clear" w:color="auto" w:fill="FDFDFC"/>
          </w:tcPr>
          <w:p>
            <w:pPr>
              <w:jc w:val="center"/>
              <w:ind w:right="43"/>
              <w:spacing w:after="0"/>
              <w:rPr>
                <w:sz w:val="20"/>
                <w:szCs w:val="20"/>
                <w:color w:val="auto"/>
              </w:rPr>
            </w:pPr>
            <w:r>
              <w:rPr>
                <w:rFonts w:ascii="Arial" w:cs="Arial" w:eastAsia="Arial" w:hAnsi="Arial"/>
                <w:sz w:val="11"/>
                <w:szCs w:val="11"/>
                <w:b w:val="1"/>
                <w:bCs w:val="1"/>
                <w:color w:val="231F20"/>
              </w:rPr>
              <w:t>Comprehensive</w:t>
            </w: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96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140" w:type="dxa"/>
            <w:vAlign w:val="bottom"/>
            <w:gridSpan w:val="2"/>
            <w:vMerge w:val="continue"/>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640" w:type="dxa"/>
            <w:vAlign w:val="bottom"/>
            <w:tcBorders>
              <w:right w:val="single" w:sz="8" w:color="231F20"/>
            </w:tcBorders>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760" w:type="dxa"/>
            <w:vAlign w:val="bottom"/>
            <w:gridSpan w:val="3"/>
            <w:shd w:val="clear" w:color="auto" w:fill="FDFDFC"/>
          </w:tcPr>
          <w:p>
            <w:pPr>
              <w:jc w:val="right"/>
              <w:ind w:right="347"/>
              <w:spacing w:after="0"/>
              <w:rPr>
                <w:sz w:val="20"/>
                <w:szCs w:val="20"/>
                <w:color w:val="auto"/>
              </w:rPr>
            </w:pPr>
            <w:r>
              <w:rPr>
                <w:rFonts w:ascii="Arial" w:cs="Arial" w:eastAsia="Arial" w:hAnsi="Arial"/>
                <w:sz w:val="11"/>
                <w:szCs w:val="11"/>
                <w:b w:val="1"/>
                <w:bCs w:val="1"/>
                <w:color w:val="231F20"/>
              </w:rPr>
              <w:t>Common Stock</w:t>
            </w:r>
          </w:p>
        </w:tc>
        <w:tc>
          <w:tcPr>
            <w:tcW w:w="140" w:type="dxa"/>
            <w:vAlign w:val="bottom"/>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1900" w:type="dxa"/>
            <w:vAlign w:val="bottom"/>
            <w:gridSpan w:val="5"/>
            <w:shd w:val="clear" w:color="auto" w:fill="FDFDFC"/>
          </w:tcPr>
          <w:p>
            <w:pPr>
              <w:jc w:val="right"/>
              <w:ind w:right="483"/>
              <w:spacing w:after="0"/>
              <w:rPr>
                <w:sz w:val="20"/>
                <w:szCs w:val="20"/>
                <w:color w:val="auto"/>
              </w:rPr>
            </w:pPr>
            <w:r>
              <w:rPr>
                <w:rFonts w:ascii="Arial" w:cs="Arial" w:eastAsia="Arial" w:hAnsi="Arial"/>
                <w:sz w:val="11"/>
                <w:szCs w:val="11"/>
                <w:b w:val="1"/>
                <w:bCs w:val="1"/>
                <w:color w:val="231F20"/>
              </w:rPr>
              <w:t>Common Stock</w:t>
            </w:r>
          </w:p>
        </w:tc>
        <w:tc>
          <w:tcPr>
            <w:tcW w:w="280" w:type="dxa"/>
            <w:vAlign w:val="bottom"/>
            <w:shd w:val="clear" w:color="auto" w:fill="FDFDFC"/>
          </w:tcPr>
          <w:p>
            <w:pPr>
              <w:spacing w:after="0"/>
              <w:rPr>
                <w:sz w:val="13"/>
                <w:szCs w:val="13"/>
                <w:color w:val="auto"/>
              </w:rPr>
            </w:pPr>
          </w:p>
        </w:tc>
        <w:tc>
          <w:tcPr>
            <w:tcW w:w="2200" w:type="dxa"/>
            <w:vAlign w:val="bottom"/>
            <w:gridSpan w:val="6"/>
            <w:shd w:val="clear" w:color="auto" w:fill="FDFDFC"/>
          </w:tcPr>
          <w:p>
            <w:pPr>
              <w:ind w:left="560"/>
              <w:spacing w:after="0"/>
              <w:rPr>
                <w:sz w:val="20"/>
                <w:szCs w:val="20"/>
                <w:color w:val="auto"/>
              </w:rPr>
            </w:pPr>
            <w:r>
              <w:rPr>
                <w:rFonts w:ascii="Arial" w:cs="Arial" w:eastAsia="Arial" w:hAnsi="Arial"/>
                <w:sz w:val="11"/>
                <w:szCs w:val="11"/>
                <w:b w:val="1"/>
                <w:bCs w:val="1"/>
                <w:color w:val="231F20"/>
              </w:rPr>
              <w:t>Treasury Stock</w:t>
            </w:r>
          </w:p>
        </w:tc>
        <w:tc>
          <w:tcPr>
            <w:tcW w:w="160" w:type="dxa"/>
            <w:vAlign w:val="bottom"/>
            <w:shd w:val="clear" w:color="auto" w:fill="FDFDFC"/>
          </w:tcPr>
          <w:p>
            <w:pPr>
              <w:spacing w:after="0"/>
              <w:rPr>
                <w:sz w:val="13"/>
                <w:szCs w:val="13"/>
                <w:color w:val="auto"/>
              </w:rPr>
            </w:pPr>
          </w:p>
        </w:tc>
        <w:tc>
          <w:tcPr>
            <w:tcW w:w="920" w:type="dxa"/>
            <w:vAlign w:val="bottom"/>
            <w:shd w:val="clear" w:color="auto" w:fill="FDFDFC"/>
          </w:tcPr>
          <w:p>
            <w:pPr>
              <w:jc w:val="right"/>
              <w:ind w:right="303"/>
              <w:spacing w:after="0"/>
              <w:rPr>
                <w:sz w:val="20"/>
                <w:szCs w:val="20"/>
                <w:color w:val="auto"/>
              </w:rPr>
            </w:pPr>
            <w:r>
              <w:rPr>
                <w:rFonts w:ascii="Arial" w:cs="Arial" w:eastAsia="Arial" w:hAnsi="Arial"/>
                <w:sz w:val="11"/>
                <w:szCs w:val="11"/>
                <w:b w:val="1"/>
                <w:bCs w:val="1"/>
                <w:color w:val="231F20"/>
              </w:rPr>
              <w:t>Paid-In</w:t>
            </w:r>
          </w:p>
        </w:tc>
        <w:tc>
          <w:tcPr>
            <w:tcW w:w="26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980" w:type="dxa"/>
            <w:vAlign w:val="bottom"/>
            <w:shd w:val="clear" w:color="auto" w:fill="FDFDFC"/>
          </w:tcPr>
          <w:p>
            <w:pPr>
              <w:jc w:val="center"/>
              <w:ind w:right="43"/>
              <w:spacing w:after="0"/>
              <w:rPr>
                <w:sz w:val="20"/>
                <w:szCs w:val="20"/>
                <w:color w:val="auto"/>
              </w:rPr>
            </w:pPr>
            <w:r>
              <w:rPr>
                <w:rFonts w:ascii="Arial" w:cs="Arial" w:eastAsia="Arial" w:hAnsi="Arial"/>
                <w:sz w:val="11"/>
                <w:szCs w:val="11"/>
                <w:b w:val="1"/>
                <w:bCs w:val="1"/>
                <w:color w:val="231F20"/>
              </w:rPr>
              <w:t>Income</w:t>
            </w:r>
          </w:p>
        </w:tc>
        <w:tc>
          <w:tcPr>
            <w:tcW w:w="14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20" w:type="dxa"/>
            <w:vAlign w:val="bottom"/>
            <w:gridSpan w:val="2"/>
            <w:shd w:val="clear" w:color="auto" w:fill="FDFDFC"/>
          </w:tcPr>
          <w:p>
            <w:pPr>
              <w:jc w:val="right"/>
              <w:ind w:right="440"/>
              <w:spacing w:after="0"/>
              <w:rPr>
                <w:sz w:val="20"/>
                <w:szCs w:val="20"/>
                <w:color w:val="auto"/>
              </w:rPr>
            </w:pPr>
            <w:r>
              <w:rPr>
                <w:rFonts w:ascii="Arial" w:cs="Arial" w:eastAsia="Arial" w:hAnsi="Arial"/>
                <w:sz w:val="11"/>
                <w:szCs w:val="11"/>
                <w:b w:val="1"/>
                <w:bCs w:val="1"/>
                <w:color w:val="231F20"/>
              </w:rPr>
              <w:t>Accumulated</w:t>
            </w:r>
          </w:p>
        </w:tc>
        <w:tc>
          <w:tcPr>
            <w:tcW w:w="140" w:type="dxa"/>
            <w:vAlign w:val="bottom"/>
            <w:shd w:val="clear" w:color="auto" w:fill="FDFDFC"/>
          </w:tcPr>
          <w:p>
            <w:pPr>
              <w:spacing w:after="0"/>
              <w:rPr>
                <w:sz w:val="13"/>
                <w:szCs w:val="13"/>
                <w:color w:val="auto"/>
              </w:rPr>
            </w:pPr>
          </w:p>
        </w:tc>
        <w:tc>
          <w:tcPr>
            <w:tcW w:w="1140" w:type="dxa"/>
            <w:vAlign w:val="bottom"/>
            <w:gridSpan w:val="2"/>
            <w:shd w:val="clear" w:color="auto" w:fill="FDFDFC"/>
          </w:tcPr>
          <w:p>
            <w:pPr>
              <w:jc w:val="center"/>
              <w:ind w:right="280"/>
              <w:spacing w:after="0"/>
              <w:rPr>
                <w:sz w:val="20"/>
                <w:szCs w:val="20"/>
                <w:color w:val="auto"/>
              </w:rPr>
            </w:pPr>
            <w:r>
              <w:rPr>
                <w:rFonts w:ascii="Arial" w:cs="Arial" w:eastAsia="Arial" w:hAnsi="Arial"/>
                <w:sz w:val="11"/>
                <w:szCs w:val="11"/>
                <w:b w:val="1"/>
                <w:bCs w:val="1"/>
                <w:color w:val="231F20"/>
              </w:rPr>
              <w:t>Stockholders’</w:t>
            </w:r>
          </w:p>
        </w:tc>
        <w:tc>
          <w:tcPr>
            <w:tcW w:w="0" w:type="dxa"/>
            <w:vAlign w:val="bottom"/>
          </w:tcPr>
          <w:p>
            <w:pPr>
              <w:spacing w:after="0"/>
              <w:rPr>
                <w:sz w:val="1"/>
                <w:szCs w:val="1"/>
                <w:color w:val="auto"/>
              </w:rPr>
            </w:pPr>
          </w:p>
        </w:tc>
      </w:tr>
      <w:tr>
        <w:trPr>
          <w:trHeight w:val="120"/>
        </w:trPr>
        <w:tc>
          <w:tcPr>
            <w:tcW w:w="1640" w:type="dxa"/>
            <w:vAlign w:val="bottom"/>
            <w:tcBorders>
              <w:top w:val="single" w:sz="8" w:color="FDFDFC"/>
              <w:right w:val="single" w:sz="8" w:color="231F20"/>
            </w:tcBorders>
            <w:shd w:val="clear" w:color="auto" w:fill="FDFDFC"/>
          </w:tcPr>
          <w:p>
            <w:pPr>
              <w:spacing w:after="0"/>
              <w:rPr>
                <w:sz w:val="10"/>
                <w:szCs w:val="10"/>
                <w:color w:val="auto"/>
              </w:rPr>
            </w:pPr>
          </w:p>
        </w:tc>
        <w:tc>
          <w:tcPr>
            <w:tcW w:w="120" w:type="dxa"/>
            <w:vAlign w:val="bottom"/>
            <w:tcBorders>
              <w:top w:val="single" w:sz="8" w:color="FDFDFC"/>
            </w:tcBorders>
            <w:shd w:val="clear" w:color="auto" w:fill="FDFDFC"/>
          </w:tcPr>
          <w:p>
            <w:pPr>
              <w:spacing w:after="0"/>
              <w:rPr>
                <w:sz w:val="10"/>
                <w:szCs w:val="10"/>
                <w:color w:val="auto"/>
              </w:rPr>
            </w:pPr>
          </w:p>
        </w:tc>
        <w:tc>
          <w:tcPr>
            <w:tcW w:w="940" w:type="dxa"/>
            <w:vAlign w:val="bottom"/>
            <w:tcBorders>
              <w:top w:val="single" w:sz="8" w:color="231F20"/>
            </w:tcBorders>
            <w:shd w:val="clear" w:color="auto" w:fill="FDFDFC"/>
          </w:tcPr>
          <w:p>
            <w:pPr>
              <w:jc w:val="right"/>
              <w:ind w:right="223"/>
              <w:spacing w:after="0" w:line="120" w:lineRule="exact"/>
              <w:rPr>
                <w:sz w:val="20"/>
                <w:szCs w:val="20"/>
                <w:color w:val="auto"/>
              </w:rPr>
            </w:pPr>
            <w:r>
              <w:rPr>
                <w:rFonts w:ascii="Arial" w:cs="Arial" w:eastAsia="Arial" w:hAnsi="Arial"/>
                <w:sz w:val="11"/>
                <w:szCs w:val="11"/>
                <w:b w:val="1"/>
                <w:bCs w:val="1"/>
                <w:color w:val="231F20"/>
              </w:rPr>
              <w:t>Shares</w:t>
            </w:r>
          </w:p>
        </w:tc>
        <w:tc>
          <w:tcPr>
            <w:tcW w:w="280" w:type="dxa"/>
            <w:vAlign w:val="bottom"/>
            <w:tcBorders>
              <w:top w:val="single" w:sz="8" w:color="231F20"/>
            </w:tcBorders>
            <w:shd w:val="clear" w:color="auto" w:fill="FDFDFC"/>
          </w:tcPr>
          <w:p>
            <w:pPr>
              <w:spacing w:after="0"/>
              <w:rPr>
                <w:sz w:val="10"/>
                <w:szCs w:val="10"/>
                <w:color w:val="auto"/>
              </w:rPr>
            </w:pPr>
          </w:p>
        </w:tc>
        <w:tc>
          <w:tcPr>
            <w:tcW w:w="540" w:type="dxa"/>
            <w:vAlign w:val="bottom"/>
            <w:tcBorders>
              <w:top w:val="single" w:sz="8" w:color="231F20"/>
            </w:tcBorders>
            <w:shd w:val="clear" w:color="auto" w:fill="FDFDFC"/>
          </w:tcPr>
          <w:p>
            <w:pPr>
              <w:jc w:val="right"/>
              <w:spacing w:after="0" w:line="120" w:lineRule="exact"/>
              <w:rPr>
                <w:sz w:val="20"/>
                <w:szCs w:val="20"/>
                <w:color w:val="auto"/>
              </w:rPr>
            </w:pPr>
            <w:r>
              <w:rPr>
                <w:rFonts w:ascii="Arial" w:cs="Arial" w:eastAsia="Arial" w:hAnsi="Arial"/>
                <w:sz w:val="11"/>
                <w:szCs w:val="11"/>
                <w:b w:val="1"/>
                <w:bCs w:val="1"/>
                <w:color w:val="231F20"/>
              </w:rPr>
              <w:t>Amount</w:t>
            </w:r>
          </w:p>
        </w:tc>
        <w:tc>
          <w:tcPr>
            <w:tcW w:w="140" w:type="dxa"/>
            <w:vAlign w:val="bottom"/>
            <w:tcBorders>
              <w:top w:val="single" w:sz="8" w:color="231F20"/>
            </w:tcBorders>
            <w:shd w:val="clear" w:color="auto" w:fill="FDFDFC"/>
          </w:tcPr>
          <w:p>
            <w:pPr>
              <w:spacing w:after="0"/>
              <w:rPr>
                <w:sz w:val="10"/>
                <w:szCs w:val="10"/>
                <w:color w:val="auto"/>
              </w:rPr>
            </w:pPr>
          </w:p>
        </w:tc>
        <w:tc>
          <w:tcPr>
            <w:tcW w:w="260" w:type="dxa"/>
            <w:vAlign w:val="bottom"/>
            <w:tcBorders>
              <w:top w:val="single" w:sz="8" w:color="FDFDFC"/>
            </w:tcBorders>
            <w:shd w:val="clear" w:color="auto" w:fill="FDFDFC"/>
          </w:tcPr>
          <w:p>
            <w:pPr>
              <w:spacing w:after="0"/>
              <w:rPr>
                <w:sz w:val="10"/>
                <w:szCs w:val="10"/>
                <w:color w:val="auto"/>
              </w:rPr>
            </w:pPr>
          </w:p>
        </w:tc>
        <w:tc>
          <w:tcPr>
            <w:tcW w:w="940" w:type="dxa"/>
            <w:vAlign w:val="bottom"/>
            <w:tcBorders>
              <w:top w:val="single" w:sz="8" w:color="231F20"/>
            </w:tcBorders>
            <w:shd w:val="clear" w:color="auto" w:fill="FDFDFC"/>
          </w:tcPr>
          <w:p>
            <w:pPr>
              <w:jc w:val="right"/>
              <w:ind w:right="223"/>
              <w:spacing w:after="0" w:line="120" w:lineRule="exact"/>
              <w:rPr>
                <w:sz w:val="20"/>
                <w:szCs w:val="20"/>
                <w:color w:val="auto"/>
              </w:rPr>
            </w:pPr>
            <w:r>
              <w:rPr>
                <w:rFonts w:ascii="Arial" w:cs="Arial" w:eastAsia="Arial" w:hAnsi="Arial"/>
                <w:sz w:val="11"/>
                <w:szCs w:val="11"/>
                <w:b w:val="1"/>
                <w:bCs w:val="1"/>
                <w:color w:val="231F20"/>
              </w:rPr>
              <w:t>Shares</w:t>
            </w:r>
          </w:p>
        </w:tc>
        <w:tc>
          <w:tcPr>
            <w:tcW w:w="140" w:type="dxa"/>
            <w:vAlign w:val="bottom"/>
            <w:tcBorders>
              <w:top w:val="single" w:sz="8" w:color="231F20"/>
            </w:tcBorders>
            <w:shd w:val="clear" w:color="auto" w:fill="FDFDFC"/>
          </w:tcPr>
          <w:p>
            <w:pPr>
              <w:spacing w:after="0"/>
              <w:rPr>
                <w:sz w:val="10"/>
                <w:szCs w:val="10"/>
                <w:color w:val="auto"/>
              </w:rPr>
            </w:pPr>
          </w:p>
        </w:tc>
        <w:tc>
          <w:tcPr>
            <w:tcW w:w="140" w:type="dxa"/>
            <w:vAlign w:val="bottom"/>
            <w:tcBorders>
              <w:top w:val="single" w:sz="8" w:color="231F20"/>
            </w:tcBorders>
            <w:shd w:val="clear" w:color="auto" w:fill="FDFDFC"/>
          </w:tcPr>
          <w:p>
            <w:pPr>
              <w:spacing w:after="0"/>
              <w:rPr>
                <w:sz w:val="10"/>
                <w:szCs w:val="10"/>
                <w:color w:val="auto"/>
              </w:rPr>
            </w:pPr>
          </w:p>
        </w:tc>
        <w:tc>
          <w:tcPr>
            <w:tcW w:w="100" w:type="dxa"/>
            <w:vAlign w:val="bottom"/>
            <w:tcBorders>
              <w:top w:val="single" w:sz="8" w:color="231F20"/>
            </w:tcBorders>
            <w:shd w:val="clear" w:color="auto" w:fill="FDFDFC"/>
          </w:tcPr>
          <w:p>
            <w:pPr>
              <w:spacing w:after="0"/>
              <w:rPr>
                <w:sz w:val="10"/>
                <w:szCs w:val="10"/>
                <w:color w:val="auto"/>
              </w:rPr>
            </w:pPr>
          </w:p>
        </w:tc>
        <w:tc>
          <w:tcPr>
            <w:tcW w:w="580" w:type="dxa"/>
            <w:vAlign w:val="bottom"/>
            <w:tcBorders>
              <w:top w:val="single" w:sz="8" w:color="231F20"/>
            </w:tcBorders>
            <w:shd w:val="clear" w:color="auto" w:fill="FDFDFC"/>
          </w:tcPr>
          <w:p>
            <w:pPr>
              <w:jc w:val="right"/>
              <w:ind w:right="63"/>
              <w:spacing w:after="0" w:line="120" w:lineRule="exact"/>
              <w:rPr>
                <w:sz w:val="20"/>
                <w:szCs w:val="20"/>
                <w:color w:val="auto"/>
              </w:rPr>
            </w:pPr>
            <w:r>
              <w:rPr>
                <w:rFonts w:ascii="Arial" w:cs="Arial" w:eastAsia="Arial" w:hAnsi="Arial"/>
                <w:sz w:val="11"/>
                <w:szCs w:val="11"/>
                <w:b w:val="1"/>
                <w:bCs w:val="1"/>
                <w:color w:val="231F20"/>
              </w:rPr>
              <w:t>Amount</w:t>
            </w:r>
          </w:p>
        </w:tc>
        <w:tc>
          <w:tcPr>
            <w:tcW w:w="280" w:type="dxa"/>
            <w:vAlign w:val="bottom"/>
            <w:tcBorders>
              <w:top w:val="single" w:sz="8" w:color="FDFDFC"/>
            </w:tcBorders>
            <w:shd w:val="clear" w:color="auto" w:fill="FDFDFC"/>
          </w:tcPr>
          <w:p>
            <w:pPr>
              <w:spacing w:after="0"/>
              <w:rPr>
                <w:sz w:val="10"/>
                <w:szCs w:val="10"/>
                <w:color w:val="auto"/>
              </w:rPr>
            </w:pPr>
          </w:p>
        </w:tc>
        <w:tc>
          <w:tcPr>
            <w:tcW w:w="940" w:type="dxa"/>
            <w:vAlign w:val="bottom"/>
            <w:tcBorders>
              <w:top w:val="single" w:sz="8" w:color="231F20"/>
            </w:tcBorders>
            <w:shd w:val="clear" w:color="auto" w:fill="FDFDFC"/>
          </w:tcPr>
          <w:p>
            <w:pPr>
              <w:jc w:val="right"/>
              <w:ind w:right="223"/>
              <w:spacing w:after="0" w:line="120" w:lineRule="exact"/>
              <w:rPr>
                <w:sz w:val="20"/>
                <w:szCs w:val="20"/>
                <w:color w:val="auto"/>
              </w:rPr>
            </w:pPr>
            <w:r>
              <w:rPr>
                <w:rFonts w:ascii="Arial" w:cs="Arial" w:eastAsia="Arial" w:hAnsi="Arial"/>
                <w:sz w:val="11"/>
                <w:szCs w:val="11"/>
                <w:b w:val="1"/>
                <w:bCs w:val="1"/>
                <w:color w:val="231F20"/>
              </w:rPr>
              <w:t>Shares</w:t>
            </w:r>
          </w:p>
        </w:tc>
        <w:tc>
          <w:tcPr>
            <w:tcW w:w="140" w:type="dxa"/>
            <w:vAlign w:val="bottom"/>
            <w:tcBorders>
              <w:top w:val="single" w:sz="8" w:color="231F20"/>
            </w:tcBorders>
            <w:shd w:val="clear" w:color="auto" w:fill="FDFDFC"/>
          </w:tcPr>
          <w:p>
            <w:pPr>
              <w:spacing w:after="0"/>
              <w:rPr>
                <w:sz w:val="10"/>
                <w:szCs w:val="10"/>
                <w:color w:val="auto"/>
              </w:rPr>
            </w:pPr>
          </w:p>
        </w:tc>
        <w:tc>
          <w:tcPr>
            <w:tcW w:w="120" w:type="dxa"/>
            <w:vAlign w:val="bottom"/>
            <w:tcBorders>
              <w:top w:val="single" w:sz="8" w:color="231F20"/>
            </w:tcBorders>
            <w:shd w:val="clear" w:color="auto" w:fill="FDFDFC"/>
          </w:tcPr>
          <w:p>
            <w:pPr>
              <w:spacing w:after="0"/>
              <w:rPr>
                <w:sz w:val="10"/>
                <w:szCs w:val="10"/>
                <w:color w:val="auto"/>
              </w:rPr>
            </w:pPr>
          </w:p>
        </w:tc>
        <w:tc>
          <w:tcPr>
            <w:tcW w:w="120" w:type="dxa"/>
            <w:vAlign w:val="bottom"/>
            <w:tcBorders>
              <w:top w:val="single" w:sz="8" w:color="231F20"/>
            </w:tcBorders>
            <w:shd w:val="clear" w:color="auto" w:fill="FDFDFC"/>
          </w:tcPr>
          <w:p>
            <w:pPr>
              <w:spacing w:after="0"/>
              <w:rPr>
                <w:sz w:val="10"/>
                <w:szCs w:val="10"/>
                <w:color w:val="auto"/>
              </w:rPr>
            </w:pPr>
          </w:p>
        </w:tc>
        <w:tc>
          <w:tcPr>
            <w:tcW w:w="620" w:type="dxa"/>
            <w:vAlign w:val="bottom"/>
            <w:tcBorders>
              <w:top w:val="single" w:sz="8" w:color="231F20"/>
            </w:tcBorders>
            <w:shd w:val="clear" w:color="auto" w:fill="FDFDFC"/>
          </w:tcPr>
          <w:p>
            <w:pPr>
              <w:jc w:val="right"/>
              <w:ind w:right="103"/>
              <w:spacing w:after="0" w:line="120" w:lineRule="exact"/>
              <w:rPr>
                <w:sz w:val="20"/>
                <w:szCs w:val="20"/>
                <w:color w:val="auto"/>
              </w:rPr>
            </w:pPr>
            <w:r>
              <w:rPr>
                <w:rFonts w:ascii="Arial" w:cs="Arial" w:eastAsia="Arial" w:hAnsi="Arial"/>
                <w:sz w:val="11"/>
                <w:szCs w:val="11"/>
                <w:b w:val="1"/>
                <w:bCs w:val="1"/>
                <w:color w:val="231F20"/>
              </w:rPr>
              <w:t>Amount</w:t>
            </w:r>
          </w:p>
        </w:tc>
        <w:tc>
          <w:tcPr>
            <w:tcW w:w="260" w:type="dxa"/>
            <w:vAlign w:val="bottom"/>
            <w:tcBorders>
              <w:top w:val="single" w:sz="8" w:color="FDFDFC"/>
            </w:tcBorders>
            <w:shd w:val="clear" w:color="auto" w:fill="FDFDFC"/>
          </w:tcPr>
          <w:p>
            <w:pPr>
              <w:spacing w:after="0"/>
              <w:rPr>
                <w:sz w:val="10"/>
                <w:szCs w:val="10"/>
                <w:color w:val="auto"/>
              </w:rPr>
            </w:pPr>
          </w:p>
        </w:tc>
        <w:tc>
          <w:tcPr>
            <w:tcW w:w="160" w:type="dxa"/>
            <w:vAlign w:val="bottom"/>
            <w:tcBorders>
              <w:top w:val="single" w:sz="8" w:color="FDFDFC"/>
            </w:tcBorders>
            <w:shd w:val="clear" w:color="auto" w:fill="FDFDFC"/>
          </w:tcPr>
          <w:p>
            <w:pPr>
              <w:spacing w:after="0"/>
              <w:rPr>
                <w:sz w:val="10"/>
                <w:szCs w:val="10"/>
                <w:color w:val="auto"/>
              </w:rPr>
            </w:pPr>
          </w:p>
        </w:tc>
        <w:tc>
          <w:tcPr>
            <w:tcW w:w="920" w:type="dxa"/>
            <w:vAlign w:val="bottom"/>
            <w:tcBorders>
              <w:top w:val="single" w:sz="8" w:color="FDFDFC"/>
            </w:tcBorders>
            <w:shd w:val="clear" w:color="auto" w:fill="FDFDFC"/>
          </w:tcPr>
          <w:p>
            <w:pPr>
              <w:jc w:val="right"/>
              <w:ind w:right="303"/>
              <w:spacing w:after="0" w:line="120" w:lineRule="exact"/>
              <w:rPr>
                <w:sz w:val="20"/>
                <w:szCs w:val="20"/>
                <w:color w:val="auto"/>
              </w:rPr>
            </w:pPr>
            <w:r>
              <w:rPr>
                <w:rFonts w:ascii="Arial" w:cs="Arial" w:eastAsia="Arial" w:hAnsi="Arial"/>
                <w:sz w:val="11"/>
                <w:szCs w:val="11"/>
                <w:b w:val="1"/>
                <w:bCs w:val="1"/>
                <w:color w:val="231F20"/>
              </w:rPr>
              <w:t>Capital</w:t>
            </w:r>
          </w:p>
        </w:tc>
        <w:tc>
          <w:tcPr>
            <w:tcW w:w="260" w:type="dxa"/>
            <w:vAlign w:val="bottom"/>
            <w:tcBorders>
              <w:top w:val="single" w:sz="8" w:color="FDFDFC"/>
            </w:tcBorders>
            <w:shd w:val="clear" w:color="auto" w:fill="FDFDFC"/>
          </w:tcPr>
          <w:p>
            <w:pPr>
              <w:spacing w:after="0"/>
              <w:rPr>
                <w:sz w:val="10"/>
                <w:szCs w:val="10"/>
                <w:color w:val="auto"/>
              </w:rPr>
            </w:pPr>
          </w:p>
        </w:tc>
        <w:tc>
          <w:tcPr>
            <w:tcW w:w="100" w:type="dxa"/>
            <w:vAlign w:val="bottom"/>
            <w:tcBorders>
              <w:top w:val="single" w:sz="8" w:color="FDFDFC"/>
            </w:tcBorders>
            <w:shd w:val="clear" w:color="auto" w:fill="FDFDFC"/>
          </w:tcPr>
          <w:p>
            <w:pPr>
              <w:spacing w:after="0"/>
              <w:rPr>
                <w:sz w:val="10"/>
                <w:szCs w:val="10"/>
                <w:color w:val="auto"/>
              </w:rPr>
            </w:pPr>
          </w:p>
        </w:tc>
        <w:tc>
          <w:tcPr>
            <w:tcW w:w="980" w:type="dxa"/>
            <w:vAlign w:val="bottom"/>
            <w:tcBorders>
              <w:top w:val="single" w:sz="8" w:color="FDFDFC"/>
            </w:tcBorders>
            <w:shd w:val="clear" w:color="auto" w:fill="FDFDFC"/>
          </w:tcPr>
          <w:p>
            <w:pPr>
              <w:jc w:val="center"/>
              <w:ind w:right="63"/>
              <w:spacing w:after="0" w:line="120" w:lineRule="exact"/>
              <w:rPr>
                <w:sz w:val="20"/>
                <w:szCs w:val="20"/>
                <w:color w:val="auto"/>
              </w:rPr>
            </w:pPr>
            <w:r>
              <w:rPr>
                <w:rFonts w:ascii="Arial" w:cs="Arial" w:eastAsia="Arial" w:hAnsi="Arial"/>
                <w:sz w:val="11"/>
                <w:szCs w:val="11"/>
                <w:b w:val="1"/>
                <w:bCs w:val="1"/>
                <w:color w:val="231F20"/>
              </w:rPr>
              <w:t>(Loss)</w:t>
            </w:r>
          </w:p>
        </w:tc>
        <w:tc>
          <w:tcPr>
            <w:tcW w:w="140" w:type="dxa"/>
            <w:vAlign w:val="bottom"/>
            <w:tcBorders>
              <w:top w:val="single" w:sz="8" w:color="FDFDFC"/>
            </w:tcBorders>
            <w:shd w:val="clear" w:color="auto" w:fill="FDFDFC"/>
          </w:tcPr>
          <w:p>
            <w:pPr>
              <w:spacing w:after="0"/>
              <w:rPr>
                <w:sz w:val="10"/>
                <w:szCs w:val="10"/>
                <w:color w:val="auto"/>
              </w:rPr>
            </w:pPr>
          </w:p>
        </w:tc>
        <w:tc>
          <w:tcPr>
            <w:tcW w:w="120" w:type="dxa"/>
            <w:vAlign w:val="bottom"/>
            <w:tcBorders>
              <w:top w:val="single" w:sz="8" w:color="FDFDFC"/>
            </w:tcBorders>
            <w:shd w:val="clear" w:color="auto" w:fill="FDFDFC"/>
          </w:tcPr>
          <w:p>
            <w:pPr>
              <w:spacing w:after="0"/>
              <w:rPr>
                <w:sz w:val="10"/>
                <w:szCs w:val="10"/>
                <w:color w:val="auto"/>
              </w:rPr>
            </w:pPr>
          </w:p>
        </w:tc>
        <w:tc>
          <w:tcPr>
            <w:tcW w:w="120" w:type="dxa"/>
            <w:vAlign w:val="bottom"/>
            <w:tcBorders>
              <w:top w:val="single" w:sz="8" w:color="FDFDFC"/>
            </w:tcBorders>
            <w:shd w:val="clear" w:color="auto" w:fill="FDFDFC"/>
          </w:tcPr>
          <w:p>
            <w:pPr>
              <w:spacing w:after="0"/>
              <w:rPr>
                <w:sz w:val="10"/>
                <w:szCs w:val="10"/>
                <w:color w:val="auto"/>
              </w:rPr>
            </w:pPr>
          </w:p>
        </w:tc>
        <w:tc>
          <w:tcPr>
            <w:tcW w:w="1220" w:type="dxa"/>
            <w:vAlign w:val="bottom"/>
            <w:tcBorders>
              <w:top w:val="single" w:sz="8" w:color="FDFDFC"/>
            </w:tcBorders>
            <w:gridSpan w:val="2"/>
            <w:shd w:val="clear" w:color="auto" w:fill="FDFDFC"/>
          </w:tcPr>
          <w:p>
            <w:pPr>
              <w:jc w:val="right"/>
              <w:ind w:right="620"/>
              <w:spacing w:after="0" w:line="120" w:lineRule="exact"/>
              <w:rPr>
                <w:sz w:val="20"/>
                <w:szCs w:val="20"/>
                <w:color w:val="auto"/>
              </w:rPr>
            </w:pPr>
            <w:r>
              <w:rPr>
                <w:rFonts w:ascii="Arial" w:cs="Arial" w:eastAsia="Arial" w:hAnsi="Arial"/>
                <w:sz w:val="11"/>
                <w:szCs w:val="11"/>
                <w:b w:val="1"/>
                <w:bCs w:val="1"/>
                <w:color w:val="231F20"/>
              </w:rPr>
              <w:t>Deficit</w:t>
            </w:r>
          </w:p>
        </w:tc>
        <w:tc>
          <w:tcPr>
            <w:tcW w:w="140" w:type="dxa"/>
            <w:vAlign w:val="bottom"/>
            <w:tcBorders>
              <w:top w:val="single" w:sz="8" w:color="FDFDFC"/>
            </w:tcBorders>
            <w:shd w:val="clear" w:color="auto" w:fill="FDFDFC"/>
          </w:tcPr>
          <w:p>
            <w:pPr>
              <w:spacing w:after="0"/>
              <w:rPr>
                <w:sz w:val="10"/>
                <w:szCs w:val="10"/>
                <w:color w:val="auto"/>
              </w:rPr>
            </w:pPr>
          </w:p>
        </w:tc>
        <w:tc>
          <w:tcPr>
            <w:tcW w:w="1140" w:type="dxa"/>
            <w:vAlign w:val="bottom"/>
            <w:tcBorders>
              <w:top w:val="single" w:sz="8" w:color="FDFDFC"/>
            </w:tcBorders>
            <w:gridSpan w:val="2"/>
            <w:shd w:val="clear" w:color="auto" w:fill="FDFDFC"/>
          </w:tcPr>
          <w:p>
            <w:pPr>
              <w:jc w:val="center"/>
              <w:ind w:right="280"/>
              <w:spacing w:after="0" w:line="120" w:lineRule="exact"/>
              <w:rPr>
                <w:sz w:val="20"/>
                <w:szCs w:val="20"/>
                <w:color w:val="auto"/>
              </w:rPr>
            </w:pPr>
            <w:r>
              <w:rPr>
                <w:rFonts w:ascii="Arial" w:cs="Arial" w:eastAsia="Arial" w:hAnsi="Arial"/>
                <w:sz w:val="11"/>
                <w:szCs w:val="11"/>
                <w:b w:val="1"/>
                <w:bCs w:val="1"/>
                <w:color w:val="231F20"/>
              </w:rPr>
              <w:t>Equity</w:t>
            </w:r>
          </w:p>
        </w:tc>
        <w:tc>
          <w:tcPr>
            <w:tcW w:w="0" w:type="dxa"/>
            <w:vAlign w:val="bottom"/>
          </w:tcPr>
          <w:p>
            <w:pPr>
              <w:spacing w:after="0"/>
              <w:rPr>
                <w:sz w:val="1"/>
                <w:szCs w:val="1"/>
                <w:color w:val="auto"/>
              </w:rPr>
            </w:pPr>
          </w:p>
        </w:tc>
      </w:tr>
      <w:tr>
        <w:trPr>
          <w:trHeight w:val="96"/>
        </w:trPr>
        <w:tc>
          <w:tcPr>
            <w:tcW w:w="1640" w:type="dxa"/>
            <w:vAlign w:val="bottom"/>
            <w:tcBorders>
              <w:top w:val="single" w:sz="8" w:color="D0EBF2"/>
              <w:right w:val="single" w:sz="8" w:color="231F20"/>
            </w:tcBorders>
            <w:shd w:val="clear" w:color="auto" w:fill="D0EBF2"/>
          </w:tcPr>
          <w:p>
            <w:pPr>
              <w:spacing w:after="0" w:line="96" w:lineRule="exact"/>
              <w:rPr>
                <w:sz w:val="20"/>
                <w:szCs w:val="20"/>
                <w:color w:val="auto"/>
              </w:rPr>
            </w:pPr>
            <w:r>
              <w:rPr>
                <w:rFonts w:ascii="Arial" w:cs="Arial" w:eastAsia="Arial" w:hAnsi="Arial"/>
                <w:sz w:val="11"/>
                <w:szCs w:val="11"/>
                <w:b w:val="1"/>
                <w:bCs w:val="1"/>
                <w:color w:val="231F20"/>
              </w:rPr>
              <w:t>Balances at December</w:t>
            </w:r>
          </w:p>
        </w:tc>
        <w:tc>
          <w:tcPr>
            <w:tcW w:w="120" w:type="dxa"/>
            <w:vAlign w:val="bottom"/>
            <w:tcBorders>
              <w:top w:val="single" w:sz="8" w:color="D0EBF2"/>
            </w:tcBorders>
            <w:shd w:val="clear" w:color="auto" w:fill="D0EBF2"/>
          </w:tcPr>
          <w:p>
            <w:pPr>
              <w:spacing w:after="0"/>
              <w:rPr>
                <w:sz w:val="8"/>
                <w:szCs w:val="8"/>
                <w:color w:val="auto"/>
              </w:rPr>
            </w:pPr>
          </w:p>
        </w:tc>
        <w:tc>
          <w:tcPr>
            <w:tcW w:w="940" w:type="dxa"/>
            <w:vAlign w:val="bottom"/>
            <w:tcBorders>
              <w:top w:val="single" w:sz="8" w:color="231F20"/>
            </w:tcBorders>
            <w:shd w:val="clear" w:color="auto" w:fill="D0EBF2"/>
          </w:tcPr>
          <w:p>
            <w:pPr>
              <w:spacing w:after="0"/>
              <w:rPr>
                <w:sz w:val="8"/>
                <w:szCs w:val="8"/>
                <w:color w:val="auto"/>
              </w:rPr>
            </w:pPr>
          </w:p>
        </w:tc>
        <w:tc>
          <w:tcPr>
            <w:tcW w:w="280" w:type="dxa"/>
            <w:vAlign w:val="bottom"/>
            <w:tcBorders>
              <w:top w:val="single" w:sz="8" w:color="D0EBF2"/>
            </w:tcBorders>
            <w:shd w:val="clear" w:color="auto" w:fill="D0EBF2"/>
          </w:tcPr>
          <w:p>
            <w:pPr>
              <w:spacing w:after="0"/>
              <w:rPr>
                <w:sz w:val="8"/>
                <w:szCs w:val="8"/>
                <w:color w:val="auto"/>
              </w:rPr>
            </w:pPr>
          </w:p>
        </w:tc>
        <w:tc>
          <w:tcPr>
            <w:tcW w:w="540" w:type="dxa"/>
            <w:vAlign w:val="bottom"/>
            <w:tcBorders>
              <w:top w:val="single" w:sz="8" w:color="231F20"/>
            </w:tcBorders>
            <w:shd w:val="clear" w:color="auto" w:fill="D0EBF2"/>
          </w:tcPr>
          <w:p>
            <w:pPr>
              <w:spacing w:after="0"/>
              <w:rPr>
                <w:sz w:val="8"/>
                <w:szCs w:val="8"/>
                <w:color w:val="auto"/>
              </w:rPr>
            </w:pPr>
          </w:p>
        </w:tc>
        <w:tc>
          <w:tcPr>
            <w:tcW w:w="140" w:type="dxa"/>
            <w:vAlign w:val="bottom"/>
            <w:tcBorders>
              <w:top w:val="single" w:sz="8" w:color="231F20"/>
            </w:tcBorders>
            <w:shd w:val="clear" w:color="auto" w:fill="D0EBF2"/>
          </w:tcPr>
          <w:p>
            <w:pPr>
              <w:spacing w:after="0"/>
              <w:rPr>
                <w:sz w:val="8"/>
                <w:szCs w:val="8"/>
                <w:color w:val="auto"/>
              </w:rPr>
            </w:pPr>
          </w:p>
        </w:tc>
        <w:tc>
          <w:tcPr>
            <w:tcW w:w="260" w:type="dxa"/>
            <w:vAlign w:val="bottom"/>
            <w:tcBorders>
              <w:top w:val="single" w:sz="8" w:color="D0EBF2"/>
            </w:tcBorders>
            <w:shd w:val="clear" w:color="auto" w:fill="D0EBF2"/>
          </w:tcPr>
          <w:p>
            <w:pPr>
              <w:spacing w:after="0"/>
              <w:rPr>
                <w:sz w:val="8"/>
                <w:szCs w:val="8"/>
                <w:color w:val="auto"/>
              </w:rPr>
            </w:pPr>
          </w:p>
        </w:tc>
        <w:tc>
          <w:tcPr>
            <w:tcW w:w="940" w:type="dxa"/>
            <w:vAlign w:val="bottom"/>
            <w:tcBorders>
              <w:top w:val="single" w:sz="8" w:color="231F20"/>
            </w:tcBorders>
            <w:shd w:val="clear" w:color="auto" w:fill="D0EBF2"/>
          </w:tcPr>
          <w:p>
            <w:pPr>
              <w:spacing w:after="0"/>
              <w:rPr>
                <w:sz w:val="8"/>
                <w:szCs w:val="8"/>
                <w:color w:val="auto"/>
              </w:rPr>
            </w:pPr>
          </w:p>
        </w:tc>
        <w:tc>
          <w:tcPr>
            <w:tcW w:w="140" w:type="dxa"/>
            <w:vAlign w:val="bottom"/>
            <w:tcBorders>
              <w:top w:val="single" w:sz="8" w:color="D0EBF2"/>
            </w:tcBorders>
            <w:shd w:val="clear" w:color="auto" w:fill="D0EBF2"/>
          </w:tcPr>
          <w:p>
            <w:pPr>
              <w:spacing w:after="0"/>
              <w:rPr>
                <w:sz w:val="8"/>
                <w:szCs w:val="8"/>
                <w:color w:val="auto"/>
              </w:rPr>
            </w:pPr>
          </w:p>
        </w:tc>
        <w:tc>
          <w:tcPr>
            <w:tcW w:w="140" w:type="dxa"/>
            <w:vAlign w:val="bottom"/>
            <w:tcBorders>
              <w:top w:val="single" w:sz="8" w:color="D0EBF2"/>
            </w:tcBorders>
            <w:shd w:val="clear" w:color="auto" w:fill="D0EBF2"/>
          </w:tcPr>
          <w:p>
            <w:pPr>
              <w:spacing w:after="0"/>
              <w:rPr>
                <w:sz w:val="8"/>
                <w:szCs w:val="8"/>
                <w:color w:val="auto"/>
              </w:rPr>
            </w:pPr>
          </w:p>
        </w:tc>
        <w:tc>
          <w:tcPr>
            <w:tcW w:w="100" w:type="dxa"/>
            <w:vAlign w:val="bottom"/>
            <w:tcBorders>
              <w:top w:val="single" w:sz="8" w:color="231F20"/>
            </w:tcBorders>
            <w:shd w:val="clear" w:color="auto" w:fill="D0EBF2"/>
          </w:tcPr>
          <w:p>
            <w:pPr>
              <w:spacing w:after="0"/>
              <w:rPr>
                <w:sz w:val="8"/>
                <w:szCs w:val="8"/>
                <w:color w:val="auto"/>
              </w:rPr>
            </w:pPr>
          </w:p>
        </w:tc>
        <w:tc>
          <w:tcPr>
            <w:tcW w:w="580" w:type="dxa"/>
            <w:vAlign w:val="bottom"/>
            <w:tcBorders>
              <w:top w:val="single" w:sz="8" w:color="231F20"/>
            </w:tcBorders>
            <w:shd w:val="clear" w:color="auto" w:fill="D0EBF2"/>
          </w:tcPr>
          <w:p>
            <w:pPr>
              <w:spacing w:after="0"/>
              <w:rPr>
                <w:sz w:val="8"/>
                <w:szCs w:val="8"/>
                <w:color w:val="auto"/>
              </w:rPr>
            </w:pPr>
          </w:p>
        </w:tc>
        <w:tc>
          <w:tcPr>
            <w:tcW w:w="280" w:type="dxa"/>
            <w:vAlign w:val="bottom"/>
            <w:tcBorders>
              <w:top w:val="single" w:sz="8" w:color="D0EBF2"/>
            </w:tcBorders>
            <w:shd w:val="clear" w:color="auto" w:fill="D0EBF2"/>
          </w:tcPr>
          <w:p>
            <w:pPr>
              <w:spacing w:after="0"/>
              <w:rPr>
                <w:sz w:val="8"/>
                <w:szCs w:val="8"/>
                <w:color w:val="auto"/>
              </w:rPr>
            </w:pPr>
          </w:p>
        </w:tc>
        <w:tc>
          <w:tcPr>
            <w:tcW w:w="940" w:type="dxa"/>
            <w:vAlign w:val="bottom"/>
            <w:tcBorders>
              <w:top w:val="single" w:sz="8" w:color="231F20"/>
            </w:tcBorders>
            <w:shd w:val="clear" w:color="auto" w:fill="D0EBF2"/>
          </w:tcPr>
          <w:p>
            <w:pPr>
              <w:spacing w:after="0"/>
              <w:rPr>
                <w:sz w:val="8"/>
                <w:szCs w:val="8"/>
                <w:color w:val="auto"/>
              </w:rPr>
            </w:pPr>
          </w:p>
        </w:tc>
        <w:tc>
          <w:tcPr>
            <w:tcW w:w="140" w:type="dxa"/>
            <w:vAlign w:val="bottom"/>
            <w:tcBorders>
              <w:top w:val="single" w:sz="8" w:color="D0EBF2"/>
            </w:tcBorders>
            <w:shd w:val="clear" w:color="auto" w:fill="D0EBF2"/>
          </w:tcPr>
          <w:p>
            <w:pPr>
              <w:spacing w:after="0"/>
              <w:rPr>
                <w:sz w:val="8"/>
                <w:szCs w:val="8"/>
                <w:color w:val="auto"/>
              </w:rPr>
            </w:pPr>
          </w:p>
        </w:tc>
        <w:tc>
          <w:tcPr>
            <w:tcW w:w="120" w:type="dxa"/>
            <w:vAlign w:val="bottom"/>
            <w:tcBorders>
              <w:top w:val="single" w:sz="8" w:color="D0EBF2"/>
            </w:tcBorders>
            <w:shd w:val="clear" w:color="auto" w:fill="D0EBF2"/>
          </w:tcPr>
          <w:p>
            <w:pPr>
              <w:spacing w:after="0"/>
              <w:rPr>
                <w:sz w:val="8"/>
                <w:szCs w:val="8"/>
                <w:color w:val="auto"/>
              </w:rPr>
            </w:pPr>
          </w:p>
        </w:tc>
        <w:tc>
          <w:tcPr>
            <w:tcW w:w="120" w:type="dxa"/>
            <w:vAlign w:val="bottom"/>
            <w:tcBorders>
              <w:top w:val="single" w:sz="8" w:color="231F20"/>
            </w:tcBorders>
            <w:shd w:val="clear" w:color="auto" w:fill="D0EBF2"/>
          </w:tcPr>
          <w:p>
            <w:pPr>
              <w:spacing w:after="0"/>
              <w:rPr>
                <w:sz w:val="8"/>
                <w:szCs w:val="8"/>
                <w:color w:val="auto"/>
              </w:rPr>
            </w:pPr>
          </w:p>
        </w:tc>
        <w:tc>
          <w:tcPr>
            <w:tcW w:w="620" w:type="dxa"/>
            <w:vAlign w:val="bottom"/>
            <w:tcBorders>
              <w:top w:val="single" w:sz="8" w:color="231F20"/>
            </w:tcBorders>
            <w:shd w:val="clear" w:color="auto" w:fill="D0EBF2"/>
          </w:tcPr>
          <w:p>
            <w:pPr>
              <w:spacing w:after="0"/>
              <w:rPr>
                <w:sz w:val="8"/>
                <w:szCs w:val="8"/>
                <w:color w:val="auto"/>
              </w:rPr>
            </w:pPr>
          </w:p>
        </w:tc>
        <w:tc>
          <w:tcPr>
            <w:tcW w:w="260" w:type="dxa"/>
            <w:vAlign w:val="bottom"/>
            <w:tcBorders>
              <w:top w:val="single" w:sz="8" w:color="D0EBF2"/>
            </w:tcBorders>
            <w:shd w:val="clear" w:color="auto" w:fill="D0EBF2"/>
          </w:tcPr>
          <w:p>
            <w:pPr>
              <w:spacing w:after="0"/>
              <w:rPr>
                <w:sz w:val="8"/>
                <w:szCs w:val="8"/>
                <w:color w:val="auto"/>
              </w:rPr>
            </w:pPr>
          </w:p>
        </w:tc>
        <w:tc>
          <w:tcPr>
            <w:tcW w:w="160" w:type="dxa"/>
            <w:vAlign w:val="bottom"/>
            <w:tcBorders>
              <w:top w:val="single" w:sz="8" w:color="231F20"/>
            </w:tcBorders>
            <w:shd w:val="clear" w:color="auto" w:fill="D0EBF2"/>
          </w:tcPr>
          <w:p>
            <w:pPr>
              <w:spacing w:after="0"/>
              <w:rPr>
                <w:sz w:val="8"/>
                <w:szCs w:val="8"/>
                <w:color w:val="auto"/>
              </w:rPr>
            </w:pPr>
          </w:p>
        </w:tc>
        <w:tc>
          <w:tcPr>
            <w:tcW w:w="920" w:type="dxa"/>
            <w:vAlign w:val="bottom"/>
            <w:tcBorders>
              <w:top w:val="single" w:sz="8" w:color="231F20"/>
            </w:tcBorders>
            <w:shd w:val="clear" w:color="auto" w:fill="D0EBF2"/>
          </w:tcPr>
          <w:p>
            <w:pPr>
              <w:spacing w:after="0"/>
              <w:rPr>
                <w:sz w:val="8"/>
                <w:szCs w:val="8"/>
                <w:color w:val="auto"/>
              </w:rPr>
            </w:pPr>
          </w:p>
        </w:tc>
        <w:tc>
          <w:tcPr>
            <w:tcW w:w="260" w:type="dxa"/>
            <w:vAlign w:val="bottom"/>
            <w:tcBorders>
              <w:top w:val="single" w:sz="8" w:color="D0EBF2"/>
            </w:tcBorders>
            <w:shd w:val="clear" w:color="auto" w:fill="D0EBF2"/>
          </w:tcPr>
          <w:p>
            <w:pPr>
              <w:spacing w:after="0"/>
              <w:rPr>
                <w:sz w:val="8"/>
                <w:szCs w:val="8"/>
                <w:color w:val="auto"/>
              </w:rPr>
            </w:pPr>
          </w:p>
        </w:tc>
        <w:tc>
          <w:tcPr>
            <w:tcW w:w="100" w:type="dxa"/>
            <w:vAlign w:val="bottom"/>
            <w:tcBorders>
              <w:top w:val="single" w:sz="8" w:color="231F20"/>
            </w:tcBorders>
            <w:shd w:val="clear" w:color="auto" w:fill="D0EBF2"/>
          </w:tcPr>
          <w:p>
            <w:pPr>
              <w:spacing w:after="0"/>
              <w:rPr>
                <w:sz w:val="8"/>
                <w:szCs w:val="8"/>
                <w:color w:val="auto"/>
              </w:rPr>
            </w:pPr>
          </w:p>
        </w:tc>
        <w:tc>
          <w:tcPr>
            <w:tcW w:w="980" w:type="dxa"/>
            <w:vAlign w:val="bottom"/>
            <w:tcBorders>
              <w:top w:val="single" w:sz="8" w:color="231F20"/>
            </w:tcBorders>
            <w:shd w:val="clear" w:color="auto" w:fill="D0EBF2"/>
          </w:tcPr>
          <w:p>
            <w:pPr>
              <w:spacing w:after="0"/>
              <w:rPr>
                <w:sz w:val="8"/>
                <w:szCs w:val="8"/>
                <w:color w:val="auto"/>
              </w:rPr>
            </w:pPr>
          </w:p>
        </w:tc>
        <w:tc>
          <w:tcPr>
            <w:tcW w:w="140" w:type="dxa"/>
            <w:vAlign w:val="bottom"/>
            <w:tcBorders>
              <w:top w:val="single" w:sz="8" w:color="D0EBF2"/>
            </w:tcBorders>
            <w:shd w:val="clear" w:color="auto" w:fill="D0EBF2"/>
          </w:tcPr>
          <w:p>
            <w:pPr>
              <w:spacing w:after="0"/>
              <w:rPr>
                <w:sz w:val="8"/>
                <w:szCs w:val="8"/>
                <w:color w:val="auto"/>
              </w:rPr>
            </w:pPr>
          </w:p>
        </w:tc>
        <w:tc>
          <w:tcPr>
            <w:tcW w:w="120" w:type="dxa"/>
            <w:vAlign w:val="bottom"/>
            <w:tcBorders>
              <w:top w:val="single" w:sz="8" w:color="D0EBF2"/>
            </w:tcBorders>
            <w:shd w:val="clear" w:color="auto" w:fill="D0EBF2"/>
          </w:tcPr>
          <w:p>
            <w:pPr>
              <w:spacing w:after="0"/>
              <w:rPr>
                <w:sz w:val="8"/>
                <w:szCs w:val="8"/>
                <w:color w:val="auto"/>
              </w:rPr>
            </w:pPr>
          </w:p>
        </w:tc>
        <w:tc>
          <w:tcPr>
            <w:tcW w:w="120" w:type="dxa"/>
            <w:vAlign w:val="bottom"/>
            <w:tcBorders>
              <w:top w:val="single" w:sz="8" w:color="231F20"/>
            </w:tcBorders>
            <w:shd w:val="clear" w:color="auto" w:fill="D0EBF2"/>
          </w:tcPr>
          <w:p>
            <w:pPr>
              <w:spacing w:after="0"/>
              <w:rPr>
                <w:sz w:val="8"/>
                <w:szCs w:val="8"/>
                <w:color w:val="auto"/>
              </w:rPr>
            </w:pPr>
          </w:p>
        </w:tc>
        <w:tc>
          <w:tcPr>
            <w:tcW w:w="960" w:type="dxa"/>
            <w:vAlign w:val="bottom"/>
            <w:tcBorders>
              <w:top w:val="single" w:sz="8" w:color="231F20"/>
            </w:tcBorders>
            <w:shd w:val="clear" w:color="auto" w:fill="D0EBF2"/>
          </w:tcPr>
          <w:p>
            <w:pPr>
              <w:spacing w:after="0"/>
              <w:rPr>
                <w:sz w:val="8"/>
                <w:szCs w:val="8"/>
                <w:color w:val="auto"/>
              </w:rPr>
            </w:pPr>
          </w:p>
        </w:tc>
        <w:tc>
          <w:tcPr>
            <w:tcW w:w="260" w:type="dxa"/>
            <w:vAlign w:val="bottom"/>
            <w:tcBorders>
              <w:top w:val="single" w:sz="8" w:color="D0EBF2"/>
            </w:tcBorders>
            <w:shd w:val="clear" w:color="auto" w:fill="D0EBF2"/>
          </w:tcPr>
          <w:p>
            <w:pPr>
              <w:spacing w:after="0"/>
              <w:rPr>
                <w:sz w:val="8"/>
                <w:szCs w:val="8"/>
                <w:color w:val="auto"/>
              </w:rPr>
            </w:pPr>
          </w:p>
        </w:tc>
        <w:tc>
          <w:tcPr>
            <w:tcW w:w="140" w:type="dxa"/>
            <w:vAlign w:val="bottom"/>
            <w:tcBorders>
              <w:top w:val="single" w:sz="8" w:color="231F20"/>
            </w:tcBorders>
            <w:shd w:val="clear" w:color="auto" w:fill="D0EBF2"/>
          </w:tcPr>
          <w:p>
            <w:pPr>
              <w:spacing w:after="0"/>
              <w:rPr>
                <w:sz w:val="8"/>
                <w:szCs w:val="8"/>
                <w:color w:val="auto"/>
              </w:rPr>
            </w:pPr>
          </w:p>
        </w:tc>
        <w:tc>
          <w:tcPr>
            <w:tcW w:w="1000" w:type="dxa"/>
            <w:vAlign w:val="bottom"/>
            <w:tcBorders>
              <w:top w:val="single" w:sz="8" w:color="231F20"/>
            </w:tcBorders>
            <w:shd w:val="clear" w:color="auto" w:fill="D0EBF2"/>
          </w:tcPr>
          <w:p>
            <w:pPr>
              <w:spacing w:after="0"/>
              <w:rPr>
                <w:sz w:val="8"/>
                <w:szCs w:val="8"/>
                <w:color w:val="auto"/>
              </w:rPr>
            </w:pPr>
          </w:p>
        </w:tc>
        <w:tc>
          <w:tcPr>
            <w:tcW w:w="140" w:type="dxa"/>
            <w:vAlign w:val="bottom"/>
            <w:tcBorders>
              <w:top w:val="single" w:sz="8" w:color="D0EBF2"/>
            </w:tcBorders>
            <w:shd w:val="clear" w:color="auto" w:fill="D0EBF2"/>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b w:val="1"/>
                <w:bCs w:val="1"/>
                <w:color w:val="231F20"/>
              </w:rPr>
              <w:t>31, 2021</w:t>
            </w:r>
          </w:p>
        </w:tc>
        <w:tc>
          <w:tcPr>
            <w:tcW w:w="120" w:type="dxa"/>
            <w:vAlign w:val="bottom"/>
            <w:shd w:val="clear" w:color="auto" w:fill="D0EBF2"/>
          </w:tcPr>
          <w:p>
            <w:pPr>
              <w:spacing w:after="0"/>
              <w:rPr>
                <w:sz w:val="13"/>
                <w:szCs w:val="13"/>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102,771,899</w:t>
            </w:r>
          </w:p>
        </w:tc>
        <w:tc>
          <w:tcPr>
            <w:tcW w:w="280" w:type="dxa"/>
            <w:vAlign w:val="bottom"/>
            <w:shd w:val="clear" w:color="auto" w:fill="D0EBF2"/>
          </w:tcPr>
          <w:p>
            <w:pPr>
              <w:spacing w:after="0"/>
              <w:rPr>
                <w:sz w:val="13"/>
                <w:szCs w:val="13"/>
                <w:color w:val="auto"/>
              </w:rPr>
            </w:pPr>
          </w:p>
        </w:tc>
        <w:tc>
          <w:tcPr>
            <w:tcW w:w="540" w:type="dxa"/>
            <w:vAlign w:val="bottom"/>
            <w:shd w:val="clear" w:color="auto" w:fill="D0EBF2"/>
          </w:tcPr>
          <w:p>
            <w:pPr>
              <w:jc w:val="right"/>
              <w:ind w:right="427"/>
              <w:spacing w:after="0"/>
              <w:rPr>
                <w:sz w:val="20"/>
                <w:szCs w:val="20"/>
                <w:color w:val="auto"/>
              </w:rPr>
            </w:pPr>
            <w:r>
              <w:rPr>
                <w:rFonts w:ascii="Arial" w:cs="Arial" w:eastAsia="Arial" w:hAnsi="Arial"/>
                <w:sz w:val="10"/>
                <w:szCs w:val="10"/>
                <w:color w:val="231F20"/>
                <w:w w:val="71"/>
              </w:rPr>
              <w:t>$</w:t>
            </w:r>
          </w:p>
        </w:tc>
        <w:tc>
          <w:tcPr>
            <w:tcW w:w="140" w:type="dxa"/>
            <w:vAlign w:val="bottom"/>
            <w:shd w:val="clear" w:color="auto" w:fill="D0EBF2"/>
          </w:tcPr>
          <w:p>
            <w:pPr>
              <w:jc w:val="right"/>
              <w:spacing w:after="0"/>
              <w:rPr>
                <w:sz w:val="20"/>
                <w:szCs w:val="20"/>
                <w:color w:val="auto"/>
              </w:rPr>
            </w:pPr>
            <w:r>
              <w:rPr>
                <w:rFonts w:ascii="Arial" w:cs="Arial" w:eastAsia="Arial" w:hAnsi="Arial"/>
                <w:sz w:val="11"/>
                <w:szCs w:val="11"/>
                <w:color w:val="231F20"/>
                <w:w w:val="97"/>
              </w:rPr>
              <w:t>10</w:t>
            </w:r>
          </w:p>
        </w:tc>
        <w:tc>
          <w:tcPr>
            <w:tcW w:w="260" w:type="dxa"/>
            <w:vAlign w:val="bottom"/>
            <w:shd w:val="clear" w:color="auto" w:fill="D0EBF2"/>
          </w:tcPr>
          <w:p>
            <w:pPr>
              <w:spacing w:after="0"/>
              <w:rPr>
                <w:sz w:val="13"/>
                <w:szCs w:val="13"/>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5,988,378</w:t>
            </w:r>
          </w:p>
        </w:tc>
        <w:tc>
          <w:tcPr>
            <w:tcW w:w="140" w:type="dxa"/>
            <w:vAlign w:val="bottom"/>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58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1</w:t>
            </w:r>
          </w:p>
        </w:tc>
        <w:tc>
          <w:tcPr>
            <w:tcW w:w="280" w:type="dxa"/>
            <w:vAlign w:val="bottom"/>
            <w:shd w:val="clear" w:color="auto" w:fill="D0EBF2"/>
          </w:tcPr>
          <w:p>
            <w:pPr>
              <w:spacing w:after="0"/>
              <w:rPr>
                <w:sz w:val="13"/>
                <w:szCs w:val="13"/>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(2,317,722)</w:t>
            </w:r>
          </w:p>
        </w:tc>
        <w:tc>
          <w:tcPr>
            <w:tcW w:w="14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20" w:type="dxa"/>
            <w:vAlign w:val="bottom"/>
            <w:shd w:val="clear" w:color="auto" w:fill="D0EBF2"/>
          </w:tcPr>
          <w:p>
            <w:pPr>
              <w:jc w:val="right"/>
              <w:ind w:right="9"/>
              <w:spacing w:after="0"/>
              <w:rPr>
                <w:sz w:val="20"/>
                <w:szCs w:val="20"/>
                <w:color w:val="auto"/>
              </w:rPr>
            </w:pPr>
            <w:r>
              <w:rPr>
                <w:rFonts w:ascii="Arial" w:cs="Arial" w:eastAsia="Arial" w:hAnsi="Arial"/>
                <w:sz w:val="10"/>
                <w:szCs w:val="10"/>
                <w:color w:val="231F20"/>
                <w:w w:val="71"/>
              </w:rPr>
              <w:t>$</w:t>
            </w:r>
          </w:p>
        </w:tc>
        <w:tc>
          <w:tcPr>
            <w:tcW w:w="62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(748)</w:t>
            </w:r>
          </w:p>
        </w:tc>
        <w:tc>
          <w:tcPr>
            <w:tcW w:w="260" w:type="dxa"/>
            <w:vAlign w:val="bottom"/>
            <w:shd w:val="clear" w:color="auto" w:fill="D0EBF2"/>
          </w:tcPr>
          <w:p>
            <w:pPr>
              <w:spacing w:after="0"/>
              <w:rPr>
                <w:sz w:val="13"/>
                <w:szCs w:val="13"/>
                <w:color w:val="auto"/>
              </w:rPr>
            </w:pPr>
          </w:p>
        </w:tc>
        <w:tc>
          <w:tcPr>
            <w:tcW w:w="160" w:type="dxa"/>
            <w:vAlign w:val="bottom"/>
            <w:shd w:val="clear" w:color="auto" w:fill="D0EBF2"/>
          </w:tcPr>
          <w:p>
            <w:pPr>
              <w:jc w:val="right"/>
              <w:ind w:right="23"/>
              <w:spacing w:after="0"/>
              <w:rPr>
                <w:sz w:val="20"/>
                <w:szCs w:val="20"/>
                <w:color w:val="auto"/>
              </w:rPr>
            </w:pPr>
            <w:r>
              <w:rPr>
                <w:rFonts w:ascii="Arial" w:cs="Arial" w:eastAsia="Arial" w:hAnsi="Arial"/>
                <w:sz w:val="11"/>
                <w:szCs w:val="11"/>
                <w:color w:val="231F20"/>
                <w:w w:val="97"/>
              </w:rPr>
              <w:t>$</w:t>
            </w:r>
          </w:p>
        </w:tc>
        <w:tc>
          <w:tcPr>
            <w:tcW w:w="92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609,194</w:t>
            </w:r>
          </w:p>
        </w:tc>
        <w:tc>
          <w:tcPr>
            <w:tcW w:w="260" w:type="dxa"/>
            <w:vAlign w:val="bottom"/>
            <w:shd w:val="clear" w:color="auto" w:fill="D0EBF2"/>
          </w:tcPr>
          <w:p>
            <w:pPr>
              <w:spacing w:after="0"/>
              <w:rPr>
                <w:sz w:val="13"/>
                <w:szCs w:val="13"/>
                <w:color w:val="auto"/>
              </w:rPr>
            </w:pPr>
          </w:p>
        </w:tc>
        <w:tc>
          <w:tcPr>
            <w:tcW w:w="100" w:type="dxa"/>
            <w:vAlign w:val="bottom"/>
            <w:shd w:val="clear" w:color="auto" w:fill="D0EBF2"/>
          </w:tcPr>
          <w:p>
            <w:pPr>
              <w:jc w:val="right"/>
              <w:spacing w:after="0"/>
              <w:rPr>
                <w:sz w:val="20"/>
                <w:szCs w:val="20"/>
                <w:color w:val="auto"/>
              </w:rPr>
            </w:pPr>
            <w:r>
              <w:rPr>
                <w:rFonts w:ascii="Arial" w:cs="Arial" w:eastAsia="Arial" w:hAnsi="Arial"/>
                <w:sz w:val="10"/>
                <w:szCs w:val="10"/>
                <w:color w:val="231F20"/>
                <w:w w:val="71"/>
              </w:rPr>
              <w:t>$</w:t>
            </w:r>
          </w:p>
        </w:tc>
        <w:tc>
          <w:tcPr>
            <w:tcW w:w="98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(399)</w:t>
            </w:r>
          </w:p>
        </w:tc>
        <w:tc>
          <w:tcPr>
            <w:tcW w:w="14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20" w:type="dxa"/>
            <w:vAlign w:val="bottom"/>
            <w:shd w:val="clear" w:color="auto" w:fill="D0EBF2"/>
          </w:tcPr>
          <w:p>
            <w:pPr>
              <w:jc w:val="right"/>
              <w:ind w:right="9"/>
              <w:spacing w:after="0"/>
              <w:rPr>
                <w:sz w:val="20"/>
                <w:szCs w:val="20"/>
                <w:color w:val="auto"/>
              </w:rPr>
            </w:pPr>
            <w:r>
              <w:rPr>
                <w:rFonts w:ascii="Arial" w:cs="Arial" w:eastAsia="Arial" w:hAnsi="Arial"/>
                <w:sz w:val="10"/>
                <w:szCs w:val="10"/>
                <w:color w:val="231F20"/>
                <w:w w:val="71"/>
              </w:rPr>
              <w:t>$</w:t>
            </w:r>
          </w:p>
        </w:tc>
        <w:tc>
          <w:tcPr>
            <w:tcW w:w="96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(125,857)</w:t>
            </w:r>
          </w:p>
        </w:tc>
        <w:tc>
          <w:tcPr>
            <w:tcW w:w="260" w:type="dxa"/>
            <w:vAlign w:val="bottom"/>
            <w:shd w:val="clear" w:color="auto" w:fill="D0EBF2"/>
          </w:tcPr>
          <w:p>
            <w:pPr>
              <w:spacing w:after="0"/>
              <w:rPr>
                <w:sz w:val="13"/>
                <w:szCs w:val="13"/>
                <w:color w:val="auto"/>
              </w:rPr>
            </w:pPr>
          </w:p>
        </w:tc>
        <w:tc>
          <w:tcPr>
            <w:tcW w:w="140" w:type="dxa"/>
            <w:vAlign w:val="bottom"/>
            <w:shd w:val="clear" w:color="auto" w:fill="D0EBF2"/>
          </w:tcPr>
          <w:p>
            <w:pPr>
              <w:jc w:val="right"/>
              <w:ind w:right="29"/>
              <w:spacing w:after="0"/>
              <w:rPr>
                <w:sz w:val="20"/>
                <w:szCs w:val="20"/>
                <w:color w:val="auto"/>
              </w:rPr>
            </w:pPr>
            <w:r>
              <w:rPr>
                <w:rFonts w:ascii="Arial" w:cs="Arial" w:eastAsia="Arial" w:hAnsi="Arial"/>
                <w:sz w:val="10"/>
                <w:szCs w:val="10"/>
                <w:color w:val="231F20"/>
                <w:w w:val="71"/>
              </w:rPr>
              <w:t>$</w:t>
            </w:r>
          </w:p>
        </w:tc>
        <w:tc>
          <w:tcPr>
            <w:tcW w:w="100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482,201</w:t>
            </w:r>
          </w:p>
        </w:tc>
        <w:tc>
          <w:tcPr>
            <w:tcW w:w="14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640" w:type="dxa"/>
            <w:vAlign w:val="bottom"/>
            <w:tcBorders>
              <w:right w:val="single" w:sz="8" w:color="231F20"/>
            </w:tcBorders>
            <w:shd w:val="clear" w:color="auto" w:fill="FDFDFC"/>
          </w:tcPr>
          <w:p>
            <w:pPr>
              <w:spacing w:after="0" w:line="106" w:lineRule="exact"/>
              <w:rPr>
                <w:sz w:val="20"/>
                <w:szCs w:val="20"/>
                <w:color w:val="auto"/>
              </w:rPr>
            </w:pPr>
            <w:r>
              <w:rPr>
                <w:rFonts w:ascii="Arial" w:cs="Arial" w:eastAsia="Arial" w:hAnsi="Arial"/>
                <w:sz w:val="11"/>
                <w:szCs w:val="11"/>
                <w:color w:val="231F20"/>
              </w:rPr>
              <w:t>Issuance of common</w:t>
            </w:r>
          </w:p>
        </w:tc>
        <w:tc>
          <w:tcPr>
            <w:tcW w:w="120" w:type="dxa"/>
            <w:vAlign w:val="bottom"/>
            <w:shd w:val="clear" w:color="auto" w:fill="FDFDFC"/>
          </w:tcPr>
          <w:p>
            <w:pPr>
              <w:spacing w:after="0"/>
              <w:rPr>
                <w:sz w:val="9"/>
                <w:szCs w:val="9"/>
                <w:color w:val="auto"/>
              </w:rPr>
            </w:pPr>
          </w:p>
        </w:tc>
        <w:tc>
          <w:tcPr>
            <w:tcW w:w="940" w:type="dxa"/>
            <w:vAlign w:val="bottom"/>
            <w:shd w:val="clear" w:color="auto" w:fill="FDFDFC"/>
          </w:tcPr>
          <w:p>
            <w:pPr>
              <w:spacing w:after="0"/>
              <w:rPr>
                <w:sz w:val="9"/>
                <w:szCs w:val="9"/>
                <w:color w:val="auto"/>
              </w:rPr>
            </w:pPr>
          </w:p>
        </w:tc>
        <w:tc>
          <w:tcPr>
            <w:tcW w:w="280" w:type="dxa"/>
            <w:vAlign w:val="bottom"/>
            <w:shd w:val="clear" w:color="auto" w:fill="FDFDFC"/>
          </w:tcPr>
          <w:p>
            <w:pPr>
              <w:spacing w:after="0"/>
              <w:rPr>
                <w:sz w:val="9"/>
                <w:szCs w:val="9"/>
                <w:color w:val="auto"/>
              </w:rPr>
            </w:pPr>
          </w:p>
        </w:tc>
        <w:tc>
          <w:tcPr>
            <w:tcW w:w="54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260" w:type="dxa"/>
            <w:vAlign w:val="bottom"/>
            <w:shd w:val="clear" w:color="auto" w:fill="FDFDFC"/>
          </w:tcPr>
          <w:p>
            <w:pPr>
              <w:spacing w:after="0"/>
              <w:rPr>
                <w:sz w:val="9"/>
                <w:szCs w:val="9"/>
                <w:color w:val="auto"/>
              </w:rPr>
            </w:pPr>
          </w:p>
        </w:tc>
        <w:tc>
          <w:tcPr>
            <w:tcW w:w="94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00" w:type="dxa"/>
            <w:vAlign w:val="bottom"/>
            <w:shd w:val="clear" w:color="auto" w:fill="FDFDFC"/>
          </w:tcPr>
          <w:p>
            <w:pPr>
              <w:spacing w:after="0"/>
              <w:rPr>
                <w:sz w:val="9"/>
                <w:szCs w:val="9"/>
                <w:color w:val="auto"/>
              </w:rPr>
            </w:pPr>
          </w:p>
        </w:tc>
        <w:tc>
          <w:tcPr>
            <w:tcW w:w="580" w:type="dxa"/>
            <w:vAlign w:val="bottom"/>
            <w:shd w:val="clear" w:color="auto" w:fill="FDFDFC"/>
          </w:tcPr>
          <w:p>
            <w:pPr>
              <w:spacing w:after="0"/>
              <w:rPr>
                <w:sz w:val="9"/>
                <w:szCs w:val="9"/>
                <w:color w:val="auto"/>
              </w:rPr>
            </w:pPr>
          </w:p>
        </w:tc>
        <w:tc>
          <w:tcPr>
            <w:tcW w:w="280" w:type="dxa"/>
            <w:vAlign w:val="bottom"/>
            <w:shd w:val="clear" w:color="auto" w:fill="FDFDFC"/>
          </w:tcPr>
          <w:p>
            <w:pPr>
              <w:spacing w:after="0"/>
              <w:rPr>
                <w:sz w:val="9"/>
                <w:szCs w:val="9"/>
                <w:color w:val="auto"/>
              </w:rPr>
            </w:pPr>
          </w:p>
        </w:tc>
        <w:tc>
          <w:tcPr>
            <w:tcW w:w="94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620" w:type="dxa"/>
            <w:vAlign w:val="bottom"/>
            <w:shd w:val="clear" w:color="auto" w:fill="FDFDFC"/>
          </w:tcPr>
          <w:p>
            <w:pPr>
              <w:spacing w:after="0"/>
              <w:rPr>
                <w:sz w:val="9"/>
                <w:szCs w:val="9"/>
                <w:color w:val="auto"/>
              </w:rPr>
            </w:pPr>
          </w:p>
        </w:tc>
        <w:tc>
          <w:tcPr>
            <w:tcW w:w="260" w:type="dxa"/>
            <w:vAlign w:val="bottom"/>
            <w:shd w:val="clear" w:color="auto" w:fill="FDFDFC"/>
          </w:tcPr>
          <w:p>
            <w:pPr>
              <w:spacing w:after="0"/>
              <w:rPr>
                <w:sz w:val="9"/>
                <w:szCs w:val="9"/>
                <w:color w:val="auto"/>
              </w:rPr>
            </w:pPr>
          </w:p>
        </w:tc>
        <w:tc>
          <w:tcPr>
            <w:tcW w:w="160" w:type="dxa"/>
            <w:vAlign w:val="bottom"/>
            <w:shd w:val="clear" w:color="auto" w:fill="FDFDFC"/>
          </w:tcPr>
          <w:p>
            <w:pPr>
              <w:spacing w:after="0"/>
              <w:rPr>
                <w:sz w:val="9"/>
                <w:szCs w:val="9"/>
                <w:color w:val="auto"/>
              </w:rPr>
            </w:pPr>
          </w:p>
        </w:tc>
        <w:tc>
          <w:tcPr>
            <w:tcW w:w="920" w:type="dxa"/>
            <w:vAlign w:val="bottom"/>
            <w:shd w:val="clear" w:color="auto" w:fill="FDFDFC"/>
          </w:tcPr>
          <w:p>
            <w:pPr>
              <w:spacing w:after="0"/>
              <w:rPr>
                <w:sz w:val="9"/>
                <w:szCs w:val="9"/>
                <w:color w:val="auto"/>
              </w:rPr>
            </w:pPr>
          </w:p>
        </w:tc>
        <w:tc>
          <w:tcPr>
            <w:tcW w:w="260" w:type="dxa"/>
            <w:vAlign w:val="bottom"/>
            <w:shd w:val="clear" w:color="auto" w:fill="FDFDFC"/>
          </w:tcPr>
          <w:p>
            <w:pPr>
              <w:spacing w:after="0"/>
              <w:rPr>
                <w:sz w:val="9"/>
                <w:szCs w:val="9"/>
                <w:color w:val="auto"/>
              </w:rPr>
            </w:pPr>
          </w:p>
        </w:tc>
        <w:tc>
          <w:tcPr>
            <w:tcW w:w="100" w:type="dxa"/>
            <w:vAlign w:val="bottom"/>
            <w:shd w:val="clear" w:color="auto" w:fill="FDFDFC"/>
          </w:tcPr>
          <w:p>
            <w:pPr>
              <w:spacing w:after="0"/>
              <w:rPr>
                <w:sz w:val="9"/>
                <w:szCs w:val="9"/>
                <w:color w:val="auto"/>
              </w:rPr>
            </w:pPr>
          </w:p>
        </w:tc>
        <w:tc>
          <w:tcPr>
            <w:tcW w:w="98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960" w:type="dxa"/>
            <w:vAlign w:val="bottom"/>
            <w:shd w:val="clear" w:color="auto" w:fill="FDFDFC"/>
          </w:tcPr>
          <w:p>
            <w:pPr>
              <w:spacing w:after="0"/>
              <w:rPr>
                <w:sz w:val="9"/>
                <w:szCs w:val="9"/>
                <w:color w:val="auto"/>
              </w:rPr>
            </w:pPr>
          </w:p>
        </w:tc>
        <w:tc>
          <w:tcPr>
            <w:tcW w:w="26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00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stock upon exercise</w:t>
            </w:r>
          </w:p>
        </w:tc>
        <w:tc>
          <w:tcPr>
            <w:tcW w:w="12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5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58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62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60" w:type="dxa"/>
            <w:vAlign w:val="bottom"/>
            <w:shd w:val="clear" w:color="auto" w:fill="FDFDFC"/>
          </w:tcPr>
          <w:p>
            <w:pPr>
              <w:spacing w:after="0"/>
              <w:rPr>
                <w:sz w:val="11"/>
                <w:szCs w:val="11"/>
                <w:color w:val="auto"/>
              </w:rPr>
            </w:pPr>
          </w:p>
        </w:tc>
        <w:tc>
          <w:tcPr>
            <w:tcW w:w="92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98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96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00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of stock options, net</w:t>
            </w:r>
          </w:p>
        </w:tc>
        <w:tc>
          <w:tcPr>
            <w:tcW w:w="1060" w:type="dxa"/>
            <w:vAlign w:val="bottom"/>
            <w:gridSpan w:val="2"/>
            <w:vMerge w:val="restart"/>
            <w:shd w:val="clear" w:color="auto" w:fill="FDFDFC"/>
          </w:tcPr>
          <w:p>
            <w:pPr>
              <w:jc w:val="right"/>
              <w:spacing w:after="0"/>
              <w:rPr>
                <w:sz w:val="20"/>
                <w:szCs w:val="20"/>
                <w:color w:val="auto"/>
              </w:rPr>
            </w:pPr>
            <w:r>
              <w:rPr>
                <w:rFonts w:ascii="Arial" w:cs="Arial" w:eastAsia="Arial" w:hAnsi="Arial"/>
                <w:sz w:val="11"/>
                <w:szCs w:val="11"/>
                <w:color w:val="231F20"/>
              </w:rPr>
              <w:t>2,507,070</w:t>
            </w:r>
          </w:p>
        </w:tc>
        <w:tc>
          <w:tcPr>
            <w:tcW w:w="280" w:type="dxa"/>
            <w:vAlign w:val="bottom"/>
            <w:shd w:val="clear" w:color="auto" w:fill="FDFDFC"/>
          </w:tcPr>
          <w:p>
            <w:pPr>
              <w:spacing w:after="0"/>
              <w:rPr>
                <w:sz w:val="11"/>
                <w:szCs w:val="11"/>
                <w:color w:val="auto"/>
              </w:rPr>
            </w:pPr>
          </w:p>
        </w:tc>
        <w:tc>
          <w:tcPr>
            <w:tcW w:w="540" w:type="dxa"/>
            <w:vAlign w:val="bottom"/>
            <w:shd w:val="clear" w:color="auto" w:fill="FDFDFC"/>
          </w:tcPr>
          <w:p>
            <w:pPr>
              <w:spacing w:after="0"/>
              <w:rPr>
                <w:sz w:val="11"/>
                <w:szCs w:val="11"/>
                <w:color w:val="auto"/>
              </w:rPr>
            </w:pPr>
          </w:p>
        </w:tc>
        <w:tc>
          <w:tcPr>
            <w:tcW w:w="1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1"/>
                <w:szCs w:val="11"/>
                <w:color w:val="auto"/>
              </w:rPr>
            </w:pPr>
          </w:p>
        </w:tc>
        <w:tc>
          <w:tcPr>
            <w:tcW w:w="1080" w:type="dxa"/>
            <w:vAlign w:val="bottom"/>
            <w:gridSpan w:val="2"/>
            <w:vMerge w:val="restart"/>
            <w:shd w:val="clear" w:color="auto" w:fill="FDFDFC"/>
          </w:tcPr>
          <w:p>
            <w:pPr>
              <w:jc w:val="right"/>
              <w:ind w:right="140"/>
              <w:spacing w:after="0"/>
              <w:rPr>
                <w:sz w:val="20"/>
                <w:szCs w:val="20"/>
                <w:color w:val="auto"/>
              </w:rPr>
            </w:pPr>
            <w:r>
              <w:rPr>
                <w:rFonts w:ascii="Arial" w:cs="Arial" w:eastAsia="Arial" w:hAnsi="Arial"/>
                <w:sz w:val="11"/>
                <w:szCs w:val="11"/>
                <w:color w:val="231F20"/>
              </w:rPr>
              <w:t>—</w:t>
            </w:r>
          </w:p>
        </w:tc>
        <w:tc>
          <w:tcPr>
            <w:tcW w:w="14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5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1080" w:type="dxa"/>
            <w:vAlign w:val="bottom"/>
            <w:gridSpan w:val="2"/>
            <w:vMerge w:val="restart"/>
            <w:shd w:val="clear" w:color="auto" w:fill="FDFDFC"/>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880" w:type="dxa"/>
            <w:vAlign w:val="bottom"/>
            <w:gridSpan w:val="2"/>
            <w:vMerge w:val="restart"/>
            <w:shd w:val="clear" w:color="auto" w:fill="FDFDFC"/>
          </w:tcPr>
          <w:p>
            <w:pPr>
              <w:jc w:val="right"/>
              <w:ind w:right="260"/>
              <w:spacing w:after="0"/>
              <w:rPr>
                <w:sz w:val="20"/>
                <w:szCs w:val="20"/>
                <w:color w:val="auto"/>
              </w:rPr>
            </w:pPr>
            <w:r>
              <w:rPr>
                <w:rFonts w:ascii="Arial" w:cs="Arial" w:eastAsia="Arial" w:hAnsi="Arial"/>
                <w:sz w:val="11"/>
                <w:szCs w:val="11"/>
                <w:color w:val="231F20"/>
              </w:rPr>
              <w:t>—</w:t>
            </w:r>
          </w:p>
        </w:tc>
        <w:tc>
          <w:tcPr>
            <w:tcW w:w="160" w:type="dxa"/>
            <w:vAlign w:val="bottom"/>
            <w:shd w:val="clear" w:color="auto" w:fill="FDFDFC"/>
          </w:tcPr>
          <w:p>
            <w:pPr>
              <w:spacing w:after="0"/>
              <w:rPr>
                <w:sz w:val="11"/>
                <w:szCs w:val="11"/>
                <w:color w:val="auto"/>
              </w:rPr>
            </w:pPr>
          </w:p>
        </w:tc>
        <w:tc>
          <w:tcPr>
            <w:tcW w:w="92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4,745</w:t>
            </w:r>
          </w:p>
        </w:tc>
        <w:tc>
          <w:tcPr>
            <w:tcW w:w="26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1120" w:type="dxa"/>
            <w:vAlign w:val="bottom"/>
            <w:gridSpan w:val="2"/>
            <w:vMerge w:val="restart"/>
            <w:shd w:val="clear" w:color="auto" w:fill="FDFDFC"/>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20" w:type="dxa"/>
            <w:vAlign w:val="bottom"/>
            <w:gridSpan w:val="2"/>
            <w:vMerge w:val="restart"/>
            <w:shd w:val="clear" w:color="auto" w:fill="FDFDFC"/>
          </w:tcPr>
          <w:p>
            <w:pPr>
              <w:jc w:val="right"/>
              <w:ind w:right="260"/>
              <w:spacing w:after="0"/>
              <w:rPr>
                <w:sz w:val="20"/>
                <w:szCs w:val="20"/>
                <w:color w:val="auto"/>
              </w:rPr>
            </w:pPr>
            <w:r>
              <w:rPr>
                <w:rFonts w:ascii="Arial" w:cs="Arial" w:eastAsia="Arial" w:hAnsi="Arial"/>
                <w:sz w:val="11"/>
                <w:szCs w:val="11"/>
                <w:color w:val="231F20"/>
              </w:rPr>
              <w:t>—</w:t>
            </w:r>
          </w:p>
        </w:tc>
        <w:tc>
          <w:tcPr>
            <w:tcW w:w="140" w:type="dxa"/>
            <w:vAlign w:val="bottom"/>
            <w:shd w:val="clear" w:color="auto" w:fill="FDFDFC"/>
          </w:tcPr>
          <w:p>
            <w:pPr>
              <w:spacing w:after="0"/>
              <w:rPr>
                <w:sz w:val="11"/>
                <w:szCs w:val="11"/>
                <w:color w:val="auto"/>
              </w:rPr>
            </w:pPr>
          </w:p>
        </w:tc>
        <w:tc>
          <w:tcPr>
            <w:tcW w:w="100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4,745</w:t>
            </w:r>
          </w:p>
        </w:tc>
        <w:tc>
          <w:tcPr>
            <w:tcW w:w="140" w:type="dxa"/>
            <w:vAlign w:val="bottom"/>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of tax withheld</w:t>
            </w:r>
          </w:p>
        </w:tc>
        <w:tc>
          <w:tcPr>
            <w:tcW w:w="1060" w:type="dxa"/>
            <w:vAlign w:val="bottom"/>
            <w:gridSpan w:val="2"/>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540" w:type="dxa"/>
            <w:vAlign w:val="bottom"/>
            <w:shd w:val="clear" w:color="auto" w:fill="FDFDFC"/>
          </w:tcPr>
          <w:p>
            <w:pPr>
              <w:spacing w:after="0"/>
              <w:rPr>
                <w:sz w:val="13"/>
                <w:szCs w:val="13"/>
                <w:color w:val="auto"/>
              </w:rPr>
            </w:pPr>
          </w:p>
        </w:tc>
        <w:tc>
          <w:tcPr>
            <w:tcW w:w="14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1080" w:type="dxa"/>
            <w:vAlign w:val="bottom"/>
            <w:gridSpan w:val="2"/>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58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108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880" w:type="dxa"/>
            <w:vAlign w:val="bottom"/>
            <w:gridSpan w:val="2"/>
            <w:vMerge w:val="continue"/>
            <w:shd w:val="clear" w:color="auto" w:fill="FDFDFC"/>
          </w:tcPr>
          <w:p>
            <w:pPr>
              <w:spacing w:after="0"/>
              <w:rPr>
                <w:sz w:val="13"/>
                <w:szCs w:val="13"/>
                <w:color w:val="auto"/>
              </w:rPr>
            </w:pPr>
          </w:p>
        </w:tc>
        <w:tc>
          <w:tcPr>
            <w:tcW w:w="160" w:type="dxa"/>
            <w:vAlign w:val="bottom"/>
            <w:shd w:val="clear" w:color="auto" w:fill="FDFDFC"/>
          </w:tcPr>
          <w:p>
            <w:pPr>
              <w:spacing w:after="0"/>
              <w:rPr>
                <w:sz w:val="13"/>
                <w:szCs w:val="13"/>
                <w:color w:val="auto"/>
              </w:rPr>
            </w:pPr>
          </w:p>
        </w:tc>
        <w:tc>
          <w:tcPr>
            <w:tcW w:w="92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112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20" w:type="dxa"/>
            <w:vAlign w:val="bottom"/>
            <w:gridSpan w:val="2"/>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1000" w:type="dxa"/>
            <w:vAlign w:val="bottom"/>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40" w:type="dxa"/>
            <w:vAlign w:val="bottom"/>
            <w:tcBorders>
              <w:right w:val="single" w:sz="8" w:color="231F20"/>
            </w:tcBorders>
            <w:shd w:val="clear" w:color="auto" w:fill="D0EBF2"/>
          </w:tcPr>
          <w:p>
            <w:pPr>
              <w:spacing w:after="0" w:line="109" w:lineRule="exact"/>
              <w:rPr>
                <w:sz w:val="20"/>
                <w:szCs w:val="20"/>
                <w:color w:val="auto"/>
              </w:rPr>
            </w:pPr>
            <w:r>
              <w:rPr>
                <w:rFonts w:ascii="Arial" w:cs="Arial" w:eastAsia="Arial" w:hAnsi="Arial"/>
                <w:sz w:val="11"/>
                <w:szCs w:val="11"/>
                <w:color w:val="231F20"/>
              </w:rPr>
              <w:t>Conversion of</w:t>
            </w:r>
          </w:p>
        </w:tc>
        <w:tc>
          <w:tcPr>
            <w:tcW w:w="120" w:type="dxa"/>
            <w:vAlign w:val="bottom"/>
            <w:shd w:val="clear" w:color="auto" w:fill="D0EBF2"/>
          </w:tcPr>
          <w:p>
            <w:pPr>
              <w:spacing w:after="0"/>
              <w:rPr>
                <w:sz w:val="9"/>
                <w:szCs w:val="9"/>
                <w:color w:val="auto"/>
              </w:rPr>
            </w:pPr>
          </w:p>
        </w:tc>
        <w:tc>
          <w:tcPr>
            <w:tcW w:w="940" w:type="dxa"/>
            <w:vAlign w:val="bottom"/>
            <w:shd w:val="clear" w:color="auto" w:fill="D0EBF2"/>
          </w:tcPr>
          <w:p>
            <w:pPr>
              <w:spacing w:after="0"/>
              <w:rPr>
                <w:sz w:val="9"/>
                <w:szCs w:val="9"/>
                <w:color w:val="auto"/>
              </w:rPr>
            </w:pPr>
          </w:p>
        </w:tc>
        <w:tc>
          <w:tcPr>
            <w:tcW w:w="280" w:type="dxa"/>
            <w:vAlign w:val="bottom"/>
            <w:shd w:val="clear" w:color="auto" w:fill="D0EBF2"/>
          </w:tcPr>
          <w:p>
            <w:pPr>
              <w:spacing w:after="0"/>
              <w:rPr>
                <w:sz w:val="9"/>
                <w:szCs w:val="9"/>
                <w:color w:val="auto"/>
              </w:rPr>
            </w:pPr>
          </w:p>
        </w:tc>
        <w:tc>
          <w:tcPr>
            <w:tcW w:w="54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260" w:type="dxa"/>
            <w:vAlign w:val="bottom"/>
            <w:shd w:val="clear" w:color="auto" w:fill="D0EBF2"/>
          </w:tcPr>
          <w:p>
            <w:pPr>
              <w:spacing w:after="0"/>
              <w:rPr>
                <w:sz w:val="9"/>
                <w:szCs w:val="9"/>
                <w:color w:val="auto"/>
              </w:rPr>
            </w:pPr>
          </w:p>
        </w:tc>
        <w:tc>
          <w:tcPr>
            <w:tcW w:w="94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00" w:type="dxa"/>
            <w:vAlign w:val="bottom"/>
            <w:shd w:val="clear" w:color="auto" w:fill="D0EBF2"/>
          </w:tcPr>
          <w:p>
            <w:pPr>
              <w:spacing w:after="0"/>
              <w:rPr>
                <w:sz w:val="9"/>
                <w:szCs w:val="9"/>
                <w:color w:val="auto"/>
              </w:rPr>
            </w:pPr>
          </w:p>
        </w:tc>
        <w:tc>
          <w:tcPr>
            <w:tcW w:w="580" w:type="dxa"/>
            <w:vAlign w:val="bottom"/>
            <w:shd w:val="clear" w:color="auto" w:fill="D0EBF2"/>
          </w:tcPr>
          <w:p>
            <w:pPr>
              <w:spacing w:after="0"/>
              <w:rPr>
                <w:sz w:val="9"/>
                <w:szCs w:val="9"/>
                <w:color w:val="auto"/>
              </w:rPr>
            </w:pPr>
          </w:p>
        </w:tc>
        <w:tc>
          <w:tcPr>
            <w:tcW w:w="280" w:type="dxa"/>
            <w:vAlign w:val="bottom"/>
            <w:shd w:val="clear" w:color="auto" w:fill="D0EBF2"/>
          </w:tcPr>
          <w:p>
            <w:pPr>
              <w:spacing w:after="0"/>
              <w:rPr>
                <w:sz w:val="9"/>
                <w:szCs w:val="9"/>
                <w:color w:val="auto"/>
              </w:rPr>
            </w:pPr>
          </w:p>
        </w:tc>
        <w:tc>
          <w:tcPr>
            <w:tcW w:w="94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20" w:type="dxa"/>
            <w:vAlign w:val="bottom"/>
            <w:shd w:val="clear" w:color="auto" w:fill="D0EBF2"/>
          </w:tcPr>
          <w:p>
            <w:pPr>
              <w:spacing w:after="0"/>
              <w:rPr>
                <w:sz w:val="9"/>
                <w:szCs w:val="9"/>
                <w:color w:val="auto"/>
              </w:rPr>
            </w:pPr>
          </w:p>
        </w:tc>
        <w:tc>
          <w:tcPr>
            <w:tcW w:w="120" w:type="dxa"/>
            <w:vAlign w:val="bottom"/>
            <w:shd w:val="clear" w:color="auto" w:fill="D0EBF2"/>
          </w:tcPr>
          <w:p>
            <w:pPr>
              <w:spacing w:after="0"/>
              <w:rPr>
                <w:sz w:val="9"/>
                <w:szCs w:val="9"/>
                <w:color w:val="auto"/>
              </w:rPr>
            </w:pPr>
          </w:p>
        </w:tc>
        <w:tc>
          <w:tcPr>
            <w:tcW w:w="620" w:type="dxa"/>
            <w:vAlign w:val="bottom"/>
            <w:shd w:val="clear" w:color="auto" w:fill="D0EBF2"/>
          </w:tcPr>
          <w:p>
            <w:pPr>
              <w:spacing w:after="0"/>
              <w:rPr>
                <w:sz w:val="9"/>
                <w:szCs w:val="9"/>
                <w:color w:val="auto"/>
              </w:rPr>
            </w:pPr>
          </w:p>
        </w:tc>
        <w:tc>
          <w:tcPr>
            <w:tcW w:w="260" w:type="dxa"/>
            <w:vAlign w:val="bottom"/>
            <w:shd w:val="clear" w:color="auto" w:fill="D0EBF2"/>
          </w:tcPr>
          <w:p>
            <w:pPr>
              <w:spacing w:after="0"/>
              <w:rPr>
                <w:sz w:val="9"/>
                <w:szCs w:val="9"/>
                <w:color w:val="auto"/>
              </w:rPr>
            </w:pPr>
          </w:p>
        </w:tc>
        <w:tc>
          <w:tcPr>
            <w:tcW w:w="160" w:type="dxa"/>
            <w:vAlign w:val="bottom"/>
            <w:shd w:val="clear" w:color="auto" w:fill="D0EBF2"/>
          </w:tcPr>
          <w:p>
            <w:pPr>
              <w:spacing w:after="0"/>
              <w:rPr>
                <w:sz w:val="9"/>
                <w:szCs w:val="9"/>
                <w:color w:val="auto"/>
              </w:rPr>
            </w:pPr>
          </w:p>
        </w:tc>
        <w:tc>
          <w:tcPr>
            <w:tcW w:w="920" w:type="dxa"/>
            <w:vAlign w:val="bottom"/>
            <w:shd w:val="clear" w:color="auto" w:fill="D0EBF2"/>
          </w:tcPr>
          <w:p>
            <w:pPr>
              <w:spacing w:after="0"/>
              <w:rPr>
                <w:sz w:val="9"/>
                <w:szCs w:val="9"/>
                <w:color w:val="auto"/>
              </w:rPr>
            </w:pPr>
          </w:p>
        </w:tc>
        <w:tc>
          <w:tcPr>
            <w:tcW w:w="260" w:type="dxa"/>
            <w:vAlign w:val="bottom"/>
            <w:shd w:val="clear" w:color="auto" w:fill="D0EBF2"/>
          </w:tcPr>
          <w:p>
            <w:pPr>
              <w:spacing w:after="0"/>
              <w:rPr>
                <w:sz w:val="9"/>
                <w:szCs w:val="9"/>
                <w:color w:val="auto"/>
              </w:rPr>
            </w:pPr>
          </w:p>
        </w:tc>
        <w:tc>
          <w:tcPr>
            <w:tcW w:w="100" w:type="dxa"/>
            <w:vAlign w:val="bottom"/>
            <w:shd w:val="clear" w:color="auto" w:fill="D0EBF2"/>
          </w:tcPr>
          <w:p>
            <w:pPr>
              <w:spacing w:after="0"/>
              <w:rPr>
                <w:sz w:val="9"/>
                <w:szCs w:val="9"/>
                <w:color w:val="auto"/>
              </w:rPr>
            </w:pPr>
          </w:p>
        </w:tc>
        <w:tc>
          <w:tcPr>
            <w:tcW w:w="98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20" w:type="dxa"/>
            <w:vAlign w:val="bottom"/>
            <w:shd w:val="clear" w:color="auto" w:fill="D0EBF2"/>
          </w:tcPr>
          <w:p>
            <w:pPr>
              <w:spacing w:after="0"/>
              <w:rPr>
                <w:sz w:val="9"/>
                <w:szCs w:val="9"/>
                <w:color w:val="auto"/>
              </w:rPr>
            </w:pPr>
          </w:p>
        </w:tc>
        <w:tc>
          <w:tcPr>
            <w:tcW w:w="120" w:type="dxa"/>
            <w:vAlign w:val="bottom"/>
            <w:shd w:val="clear" w:color="auto" w:fill="D0EBF2"/>
          </w:tcPr>
          <w:p>
            <w:pPr>
              <w:spacing w:after="0"/>
              <w:rPr>
                <w:sz w:val="9"/>
                <w:szCs w:val="9"/>
                <w:color w:val="auto"/>
              </w:rPr>
            </w:pPr>
          </w:p>
        </w:tc>
        <w:tc>
          <w:tcPr>
            <w:tcW w:w="960" w:type="dxa"/>
            <w:vAlign w:val="bottom"/>
            <w:shd w:val="clear" w:color="auto" w:fill="D0EBF2"/>
          </w:tcPr>
          <w:p>
            <w:pPr>
              <w:spacing w:after="0"/>
              <w:rPr>
                <w:sz w:val="9"/>
                <w:szCs w:val="9"/>
                <w:color w:val="auto"/>
              </w:rPr>
            </w:pPr>
          </w:p>
        </w:tc>
        <w:tc>
          <w:tcPr>
            <w:tcW w:w="26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00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non-voting</w:t>
            </w:r>
          </w:p>
        </w:tc>
        <w:tc>
          <w:tcPr>
            <w:tcW w:w="12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5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58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6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160" w:type="dxa"/>
            <w:vAlign w:val="bottom"/>
            <w:shd w:val="clear" w:color="auto" w:fill="D0EBF2"/>
          </w:tcPr>
          <w:p>
            <w:pPr>
              <w:spacing w:after="0"/>
              <w:rPr>
                <w:sz w:val="11"/>
                <w:szCs w:val="11"/>
                <w:color w:val="auto"/>
              </w:rPr>
            </w:pPr>
          </w:p>
        </w:tc>
        <w:tc>
          <w:tcPr>
            <w:tcW w:w="9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98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96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00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common stock</w:t>
            </w:r>
          </w:p>
        </w:tc>
        <w:tc>
          <w:tcPr>
            <w:tcW w:w="12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5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58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6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160" w:type="dxa"/>
            <w:vAlign w:val="bottom"/>
            <w:shd w:val="clear" w:color="auto" w:fill="D0EBF2"/>
          </w:tcPr>
          <w:p>
            <w:pPr>
              <w:spacing w:after="0"/>
              <w:rPr>
                <w:sz w:val="11"/>
                <w:szCs w:val="11"/>
                <w:color w:val="auto"/>
              </w:rPr>
            </w:pPr>
          </w:p>
        </w:tc>
        <w:tc>
          <w:tcPr>
            <w:tcW w:w="9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98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96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00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to voting common</w:t>
            </w:r>
          </w:p>
        </w:tc>
        <w:tc>
          <w:tcPr>
            <w:tcW w:w="1060" w:type="dxa"/>
            <w:vAlign w:val="bottom"/>
            <w:gridSpan w:val="2"/>
            <w:vMerge w:val="restart"/>
            <w:shd w:val="clear" w:color="auto" w:fill="D0EBF2"/>
          </w:tcPr>
          <w:p>
            <w:pPr>
              <w:jc w:val="right"/>
              <w:spacing w:after="0"/>
              <w:rPr>
                <w:sz w:val="20"/>
                <w:szCs w:val="20"/>
                <w:color w:val="auto"/>
              </w:rPr>
            </w:pPr>
            <w:r>
              <w:rPr>
                <w:rFonts w:ascii="Arial" w:cs="Arial" w:eastAsia="Arial" w:hAnsi="Arial"/>
                <w:sz w:val="11"/>
                <w:szCs w:val="11"/>
                <w:color w:val="231F20"/>
              </w:rPr>
              <w:t>4,115,058</w:t>
            </w:r>
          </w:p>
        </w:tc>
        <w:tc>
          <w:tcPr>
            <w:tcW w:w="280" w:type="dxa"/>
            <w:vAlign w:val="bottom"/>
            <w:shd w:val="clear" w:color="auto" w:fill="D0EBF2"/>
          </w:tcPr>
          <w:p>
            <w:pPr>
              <w:spacing w:after="0"/>
              <w:rPr>
                <w:sz w:val="11"/>
                <w:szCs w:val="11"/>
                <w:color w:val="auto"/>
              </w:rPr>
            </w:pPr>
          </w:p>
        </w:tc>
        <w:tc>
          <w:tcPr>
            <w:tcW w:w="540" w:type="dxa"/>
            <w:vAlign w:val="bottom"/>
            <w:shd w:val="clear" w:color="auto" w:fill="D0EBF2"/>
          </w:tcPr>
          <w:p>
            <w:pPr>
              <w:spacing w:after="0"/>
              <w:rPr>
                <w:sz w:val="11"/>
                <w:szCs w:val="11"/>
                <w:color w:val="auto"/>
              </w:rPr>
            </w:pPr>
          </w:p>
        </w:tc>
        <w:tc>
          <w:tcPr>
            <w:tcW w:w="1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1340" w:type="dxa"/>
            <w:vAlign w:val="bottom"/>
            <w:gridSpan w:val="3"/>
            <w:vMerge w:val="restart"/>
            <w:shd w:val="clear" w:color="auto" w:fill="D0EBF2"/>
          </w:tcPr>
          <w:p>
            <w:pPr>
              <w:jc w:val="right"/>
              <w:ind w:right="100"/>
              <w:spacing w:after="0"/>
              <w:rPr>
                <w:sz w:val="20"/>
                <w:szCs w:val="20"/>
                <w:color w:val="auto"/>
              </w:rPr>
            </w:pPr>
            <w:r>
              <w:rPr>
                <w:rFonts w:ascii="Arial" w:cs="Arial" w:eastAsia="Arial" w:hAnsi="Arial"/>
                <w:sz w:val="11"/>
                <w:szCs w:val="11"/>
                <w:color w:val="231F20"/>
              </w:rPr>
              <w:t>(4,115,058)</w:t>
            </w:r>
          </w:p>
        </w:tc>
        <w:tc>
          <w:tcPr>
            <w:tcW w:w="14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5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1080" w:type="dxa"/>
            <w:vAlign w:val="bottom"/>
            <w:gridSpan w:val="2"/>
            <w:vMerge w:val="restart"/>
            <w:shd w:val="clear" w:color="auto" w:fill="D0EBF2"/>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880" w:type="dxa"/>
            <w:vAlign w:val="bottom"/>
            <w:gridSpan w:val="2"/>
            <w:vMerge w:val="restart"/>
            <w:shd w:val="clear" w:color="auto" w:fill="D0EBF2"/>
          </w:tcPr>
          <w:p>
            <w:pPr>
              <w:jc w:val="right"/>
              <w:ind w:right="260"/>
              <w:spacing w:after="0"/>
              <w:rPr>
                <w:sz w:val="20"/>
                <w:szCs w:val="20"/>
                <w:color w:val="auto"/>
              </w:rPr>
            </w:pPr>
            <w:r>
              <w:rPr>
                <w:rFonts w:ascii="Arial" w:cs="Arial" w:eastAsia="Arial" w:hAnsi="Arial"/>
                <w:sz w:val="11"/>
                <w:szCs w:val="11"/>
                <w:color w:val="231F20"/>
              </w:rPr>
              <w:t>—</w:t>
            </w:r>
          </w:p>
        </w:tc>
        <w:tc>
          <w:tcPr>
            <w:tcW w:w="160" w:type="dxa"/>
            <w:vAlign w:val="bottom"/>
            <w:shd w:val="clear" w:color="auto" w:fill="D0EBF2"/>
          </w:tcPr>
          <w:p>
            <w:pPr>
              <w:spacing w:after="0"/>
              <w:rPr>
                <w:sz w:val="11"/>
                <w:szCs w:val="11"/>
                <w:color w:val="auto"/>
              </w:rPr>
            </w:pPr>
          </w:p>
        </w:tc>
        <w:tc>
          <w:tcPr>
            <w:tcW w:w="92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1120" w:type="dxa"/>
            <w:vAlign w:val="bottom"/>
            <w:gridSpan w:val="2"/>
            <w:vMerge w:val="restart"/>
            <w:shd w:val="clear" w:color="auto" w:fill="D0EBF2"/>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1220" w:type="dxa"/>
            <w:vAlign w:val="bottom"/>
            <w:gridSpan w:val="2"/>
            <w:vMerge w:val="restart"/>
            <w:shd w:val="clear" w:color="auto" w:fill="D0EBF2"/>
          </w:tcPr>
          <w:p>
            <w:pPr>
              <w:jc w:val="right"/>
              <w:ind w:right="260"/>
              <w:spacing w:after="0"/>
              <w:rPr>
                <w:sz w:val="20"/>
                <w:szCs w:val="20"/>
                <w:color w:val="auto"/>
              </w:rPr>
            </w:pPr>
            <w:r>
              <w:rPr>
                <w:rFonts w:ascii="Arial" w:cs="Arial" w:eastAsia="Arial" w:hAnsi="Arial"/>
                <w:sz w:val="11"/>
                <w:szCs w:val="11"/>
                <w:color w:val="231F20"/>
              </w:rPr>
              <w:t>—</w:t>
            </w:r>
          </w:p>
        </w:tc>
        <w:tc>
          <w:tcPr>
            <w:tcW w:w="140" w:type="dxa"/>
            <w:vAlign w:val="bottom"/>
            <w:shd w:val="clear" w:color="auto" w:fill="D0EBF2"/>
          </w:tcPr>
          <w:p>
            <w:pPr>
              <w:spacing w:after="0"/>
              <w:rPr>
                <w:sz w:val="11"/>
                <w:szCs w:val="11"/>
                <w:color w:val="auto"/>
              </w:rPr>
            </w:pPr>
          </w:p>
        </w:tc>
        <w:tc>
          <w:tcPr>
            <w:tcW w:w="1140" w:type="dxa"/>
            <w:vAlign w:val="bottom"/>
            <w:gridSpan w:val="2"/>
            <w:vMerge w:val="restart"/>
            <w:shd w:val="clear" w:color="auto" w:fill="D0EBF2"/>
          </w:tcPr>
          <w:p>
            <w:pPr>
              <w:jc w:val="right"/>
              <w:ind w:right="1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154"/>
        </w:trPr>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stock</w:t>
            </w:r>
          </w:p>
        </w:tc>
        <w:tc>
          <w:tcPr>
            <w:tcW w:w="1060" w:type="dxa"/>
            <w:vAlign w:val="bottom"/>
            <w:gridSpan w:val="2"/>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540" w:type="dxa"/>
            <w:vAlign w:val="bottom"/>
            <w:shd w:val="clear" w:color="auto" w:fill="D0EBF2"/>
          </w:tcPr>
          <w:p>
            <w:pPr>
              <w:spacing w:after="0"/>
              <w:rPr>
                <w:sz w:val="13"/>
                <w:szCs w:val="13"/>
                <w:color w:val="auto"/>
              </w:rPr>
            </w:pPr>
          </w:p>
        </w:tc>
        <w:tc>
          <w:tcPr>
            <w:tcW w:w="140" w:type="dxa"/>
            <w:vAlign w:val="bottom"/>
            <w:vMerge w:val="continue"/>
            <w:shd w:val="clear" w:color="auto" w:fill="D0EBF2"/>
          </w:tcPr>
          <w:p>
            <w:pPr>
              <w:spacing w:after="0"/>
              <w:rPr>
                <w:sz w:val="13"/>
                <w:szCs w:val="13"/>
                <w:color w:val="auto"/>
              </w:rPr>
            </w:pPr>
          </w:p>
        </w:tc>
        <w:tc>
          <w:tcPr>
            <w:tcW w:w="1340" w:type="dxa"/>
            <w:vAlign w:val="bottom"/>
            <w:gridSpan w:val="3"/>
            <w:vMerge w:val="continue"/>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58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1080" w:type="dxa"/>
            <w:vAlign w:val="bottom"/>
            <w:gridSpan w:val="2"/>
            <w:vMerge w:val="continue"/>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880" w:type="dxa"/>
            <w:vAlign w:val="bottom"/>
            <w:gridSpan w:val="2"/>
            <w:vMerge w:val="continue"/>
            <w:shd w:val="clear" w:color="auto" w:fill="D0EBF2"/>
          </w:tcPr>
          <w:p>
            <w:pPr>
              <w:spacing w:after="0"/>
              <w:rPr>
                <w:sz w:val="13"/>
                <w:szCs w:val="13"/>
                <w:color w:val="auto"/>
              </w:rPr>
            </w:pPr>
          </w:p>
        </w:tc>
        <w:tc>
          <w:tcPr>
            <w:tcW w:w="160" w:type="dxa"/>
            <w:vAlign w:val="bottom"/>
            <w:shd w:val="clear" w:color="auto" w:fill="D0EBF2"/>
          </w:tcPr>
          <w:p>
            <w:pPr>
              <w:spacing w:after="0"/>
              <w:rPr>
                <w:sz w:val="13"/>
                <w:szCs w:val="13"/>
                <w:color w:val="auto"/>
              </w:rPr>
            </w:pPr>
          </w:p>
        </w:tc>
        <w:tc>
          <w:tcPr>
            <w:tcW w:w="92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1120" w:type="dxa"/>
            <w:vAlign w:val="bottom"/>
            <w:gridSpan w:val="2"/>
            <w:vMerge w:val="continue"/>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220" w:type="dxa"/>
            <w:vAlign w:val="bottom"/>
            <w:gridSpan w:val="2"/>
            <w:vMerge w:val="continue"/>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1140" w:type="dxa"/>
            <w:vAlign w:val="bottom"/>
            <w:gridSpan w:val="2"/>
            <w:vMerge w:val="continue"/>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640" w:type="dxa"/>
            <w:vAlign w:val="bottom"/>
            <w:tcBorders>
              <w:right w:val="single" w:sz="8" w:color="231F20"/>
            </w:tcBorders>
            <w:shd w:val="clear" w:color="auto" w:fill="FDFDFC"/>
          </w:tcPr>
          <w:p>
            <w:pPr>
              <w:spacing w:after="0" w:line="106" w:lineRule="exact"/>
              <w:rPr>
                <w:sz w:val="20"/>
                <w:szCs w:val="20"/>
                <w:color w:val="auto"/>
              </w:rPr>
            </w:pPr>
            <w:r>
              <w:rPr>
                <w:rFonts w:ascii="Arial" w:cs="Arial" w:eastAsia="Arial" w:hAnsi="Arial"/>
                <w:sz w:val="11"/>
                <w:szCs w:val="11"/>
                <w:color w:val="231F20"/>
              </w:rPr>
              <w:t>Issuance of common</w:t>
            </w:r>
          </w:p>
        </w:tc>
        <w:tc>
          <w:tcPr>
            <w:tcW w:w="120" w:type="dxa"/>
            <w:vAlign w:val="bottom"/>
            <w:shd w:val="clear" w:color="auto" w:fill="FDFDFC"/>
          </w:tcPr>
          <w:p>
            <w:pPr>
              <w:spacing w:after="0"/>
              <w:rPr>
                <w:sz w:val="9"/>
                <w:szCs w:val="9"/>
                <w:color w:val="auto"/>
              </w:rPr>
            </w:pPr>
          </w:p>
        </w:tc>
        <w:tc>
          <w:tcPr>
            <w:tcW w:w="940" w:type="dxa"/>
            <w:vAlign w:val="bottom"/>
            <w:shd w:val="clear" w:color="auto" w:fill="FDFDFC"/>
          </w:tcPr>
          <w:p>
            <w:pPr>
              <w:spacing w:after="0"/>
              <w:rPr>
                <w:sz w:val="9"/>
                <w:szCs w:val="9"/>
                <w:color w:val="auto"/>
              </w:rPr>
            </w:pPr>
          </w:p>
        </w:tc>
        <w:tc>
          <w:tcPr>
            <w:tcW w:w="280" w:type="dxa"/>
            <w:vAlign w:val="bottom"/>
            <w:shd w:val="clear" w:color="auto" w:fill="FDFDFC"/>
          </w:tcPr>
          <w:p>
            <w:pPr>
              <w:spacing w:after="0"/>
              <w:rPr>
                <w:sz w:val="9"/>
                <w:szCs w:val="9"/>
                <w:color w:val="auto"/>
              </w:rPr>
            </w:pPr>
          </w:p>
        </w:tc>
        <w:tc>
          <w:tcPr>
            <w:tcW w:w="54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260" w:type="dxa"/>
            <w:vAlign w:val="bottom"/>
            <w:shd w:val="clear" w:color="auto" w:fill="FDFDFC"/>
          </w:tcPr>
          <w:p>
            <w:pPr>
              <w:spacing w:after="0"/>
              <w:rPr>
                <w:sz w:val="9"/>
                <w:szCs w:val="9"/>
                <w:color w:val="auto"/>
              </w:rPr>
            </w:pPr>
          </w:p>
        </w:tc>
        <w:tc>
          <w:tcPr>
            <w:tcW w:w="94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00" w:type="dxa"/>
            <w:vAlign w:val="bottom"/>
            <w:shd w:val="clear" w:color="auto" w:fill="FDFDFC"/>
          </w:tcPr>
          <w:p>
            <w:pPr>
              <w:spacing w:after="0"/>
              <w:rPr>
                <w:sz w:val="9"/>
                <w:szCs w:val="9"/>
                <w:color w:val="auto"/>
              </w:rPr>
            </w:pPr>
          </w:p>
        </w:tc>
        <w:tc>
          <w:tcPr>
            <w:tcW w:w="580" w:type="dxa"/>
            <w:vAlign w:val="bottom"/>
            <w:shd w:val="clear" w:color="auto" w:fill="FDFDFC"/>
          </w:tcPr>
          <w:p>
            <w:pPr>
              <w:spacing w:after="0"/>
              <w:rPr>
                <w:sz w:val="9"/>
                <w:szCs w:val="9"/>
                <w:color w:val="auto"/>
              </w:rPr>
            </w:pPr>
          </w:p>
        </w:tc>
        <w:tc>
          <w:tcPr>
            <w:tcW w:w="280" w:type="dxa"/>
            <w:vAlign w:val="bottom"/>
            <w:shd w:val="clear" w:color="auto" w:fill="FDFDFC"/>
          </w:tcPr>
          <w:p>
            <w:pPr>
              <w:spacing w:after="0"/>
              <w:rPr>
                <w:sz w:val="9"/>
                <w:szCs w:val="9"/>
                <w:color w:val="auto"/>
              </w:rPr>
            </w:pPr>
          </w:p>
        </w:tc>
        <w:tc>
          <w:tcPr>
            <w:tcW w:w="94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620" w:type="dxa"/>
            <w:vAlign w:val="bottom"/>
            <w:shd w:val="clear" w:color="auto" w:fill="FDFDFC"/>
          </w:tcPr>
          <w:p>
            <w:pPr>
              <w:spacing w:after="0"/>
              <w:rPr>
                <w:sz w:val="9"/>
                <w:szCs w:val="9"/>
                <w:color w:val="auto"/>
              </w:rPr>
            </w:pPr>
          </w:p>
        </w:tc>
        <w:tc>
          <w:tcPr>
            <w:tcW w:w="260" w:type="dxa"/>
            <w:vAlign w:val="bottom"/>
            <w:shd w:val="clear" w:color="auto" w:fill="FDFDFC"/>
          </w:tcPr>
          <w:p>
            <w:pPr>
              <w:spacing w:after="0"/>
              <w:rPr>
                <w:sz w:val="9"/>
                <w:szCs w:val="9"/>
                <w:color w:val="auto"/>
              </w:rPr>
            </w:pPr>
          </w:p>
        </w:tc>
        <w:tc>
          <w:tcPr>
            <w:tcW w:w="160" w:type="dxa"/>
            <w:vAlign w:val="bottom"/>
            <w:shd w:val="clear" w:color="auto" w:fill="FDFDFC"/>
          </w:tcPr>
          <w:p>
            <w:pPr>
              <w:spacing w:after="0"/>
              <w:rPr>
                <w:sz w:val="9"/>
                <w:szCs w:val="9"/>
                <w:color w:val="auto"/>
              </w:rPr>
            </w:pPr>
          </w:p>
        </w:tc>
        <w:tc>
          <w:tcPr>
            <w:tcW w:w="920" w:type="dxa"/>
            <w:vAlign w:val="bottom"/>
            <w:shd w:val="clear" w:color="auto" w:fill="FDFDFC"/>
          </w:tcPr>
          <w:p>
            <w:pPr>
              <w:spacing w:after="0"/>
              <w:rPr>
                <w:sz w:val="9"/>
                <w:szCs w:val="9"/>
                <w:color w:val="auto"/>
              </w:rPr>
            </w:pPr>
          </w:p>
        </w:tc>
        <w:tc>
          <w:tcPr>
            <w:tcW w:w="260" w:type="dxa"/>
            <w:vAlign w:val="bottom"/>
            <w:shd w:val="clear" w:color="auto" w:fill="FDFDFC"/>
          </w:tcPr>
          <w:p>
            <w:pPr>
              <w:spacing w:after="0"/>
              <w:rPr>
                <w:sz w:val="9"/>
                <w:szCs w:val="9"/>
                <w:color w:val="auto"/>
              </w:rPr>
            </w:pPr>
          </w:p>
        </w:tc>
        <w:tc>
          <w:tcPr>
            <w:tcW w:w="100" w:type="dxa"/>
            <w:vAlign w:val="bottom"/>
            <w:shd w:val="clear" w:color="auto" w:fill="FDFDFC"/>
          </w:tcPr>
          <w:p>
            <w:pPr>
              <w:spacing w:after="0"/>
              <w:rPr>
                <w:sz w:val="9"/>
                <w:szCs w:val="9"/>
                <w:color w:val="auto"/>
              </w:rPr>
            </w:pPr>
          </w:p>
        </w:tc>
        <w:tc>
          <w:tcPr>
            <w:tcW w:w="98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960" w:type="dxa"/>
            <w:vAlign w:val="bottom"/>
            <w:shd w:val="clear" w:color="auto" w:fill="FDFDFC"/>
          </w:tcPr>
          <w:p>
            <w:pPr>
              <w:spacing w:after="0"/>
              <w:rPr>
                <w:sz w:val="9"/>
                <w:szCs w:val="9"/>
                <w:color w:val="auto"/>
              </w:rPr>
            </w:pPr>
          </w:p>
        </w:tc>
        <w:tc>
          <w:tcPr>
            <w:tcW w:w="26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00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stock upon</w:t>
            </w:r>
          </w:p>
        </w:tc>
        <w:tc>
          <w:tcPr>
            <w:tcW w:w="12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5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58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62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60" w:type="dxa"/>
            <w:vAlign w:val="bottom"/>
            <w:shd w:val="clear" w:color="auto" w:fill="FDFDFC"/>
          </w:tcPr>
          <w:p>
            <w:pPr>
              <w:spacing w:after="0"/>
              <w:rPr>
                <w:sz w:val="11"/>
                <w:szCs w:val="11"/>
                <w:color w:val="auto"/>
              </w:rPr>
            </w:pPr>
          </w:p>
        </w:tc>
        <w:tc>
          <w:tcPr>
            <w:tcW w:w="92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98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96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00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settlement</w:t>
            </w:r>
          </w:p>
        </w:tc>
        <w:tc>
          <w:tcPr>
            <w:tcW w:w="12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5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58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62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60" w:type="dxa"/>
            <w:vAlign w:val="bottom"/>
            <w:shd w:val="clear" w:color="auto" w:fill="FDFDFC"/>
          </w:tcPr>
          <w:p>
            <w:pPr>
              <w:spacing w:after="0"/>
              <w:rPr>
                <w:sz w:val="11"/>
                <w:szCs w:val="11"/>
                <w:color w:val="auto"/>
              </w:rPr>
            </w:pPr>
          </w:p>
        </w:tc>
        <w:tc>
          <w:tcPr>
            <w:tcW w:w="92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98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96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00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of restricted stock</w:t>
            </w:r>
          </w:p>
        </w:tc>
        <w:tc>
          <w:tcPr>
            <w:tcW w:w="1060" w:type="dxa"/>
            <w:vAlign w:val="bottom"/>
            <w:gridSpan w:val="2"/>
            <w:vMerge w:val="restart"/>
            <w:shd w:val="clear" w:color="auto" w:fill="FDFDFC"/>
          </w:tcPr>
          <w:p>
            <w:pPr>
              <w:jc w:val="right"/>
              <w:spacing w:after="0"/>
              <w:rPr>
                <w:sz w:val="20"/>
                <w:szCs w:val="20"/>
                <w:color w:val="auto"/>
              </w:rPr>
            </w:pPr>
            <w:r>
              <w:rPr>
                <w:rFonts w:ascii="Arial" w:cs="Arial" w:eastAsia="Arial" w:hAnsi="Arial"/>
                <w:sz w:val="11"/>
                <w:szCs w:val="11"/>
                <w:color w:val="231F20"/>
              </w:rPr>
              <w:t>111,549</w:t>
            </w:r>
          </w:p>
        </w:tc>
        <w:tc>
          <w:tcPr>
            <w:tcW w:w="280" w:type="dxa"/>
            <w:vAlign w:val="bottom"/>
            <w:shd w:val="clear" w:color="auto" w:fill="FDFDFC"/>
          </w:tcPr>
          <w:p>
            <w:pPr>
              <w:spacing w:after="0"/>
              <w:rPr>
                <w:sz w:val="11"/>
                <w:szCs w:val="11"/>
                <w:color w:val="auto"/>
              </w:rPr>
            </w:pPr>
          </w:p>
        </w:tc>
        <w:tc>
          <w:tcPr>
            <w:tcW w:w="540" w:type="dxa"/>
            <w:vAlign w:val="bottom"/>
            <w:shd w:val="clear" w:color="auto" w:fill="FDFDFC"/>
          </w:tcPr>
          <w:p>
            <w:pPr>
              <w:spacing w:after="0"/>
              <w:rPr>
                <w:sz w:val="11"/>
                <w:szCs w:val="11"/>
                <w:color w:val="auto"/>
              </w:rPr>
            </w:pPr>
          </w:p>
        </w:tc>
        <w:tc>
          <w:tcPr>
            <w:tcW w:w="1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1"/>
                <w:szCs w:val="11"/>
                <w:color w:val="auto"/>
              </w:rPr>
            </w:pPr>
          </w:p>
        </w:tc>
        <w:tc>
          <w:tcPr>
            <w:tcW w:w="1080" w:type="dxa"/>
            <w:vAlign w:val="bottom"/>
            <w:gridSpan w:val="2"/>
            <w:vMerge w:val="restart"/>
            <w:shd w:val="clear" w:color="auto" w:fill="FDFDFC"/>
          </w:tcPr>
          <w:p>
            <w:pPr>
              <w:jc w:val="right"/>
              <w:ind w:right="140"/>
              <w:spacing w:after="0"/>
              <w:rPr>
                <w:sz w:val="20"/>
                <w:szCs w:val="20"/>
                <w:color w:val="auto"/>
              </w:rPr>
            </w:pPr>
            <w:r>
              <w:rPr>
                <w:rFonts w:ascii="Arial" w:cs="Arial" w:eastAsia="Arial" w:hAnsi="Arial"/>
                <w:sz w:val="11"/>
                <w:szCs w:val="11"/>
                <w:color w:val="231F20"/>
              </w:rPr>
              <w:t>—</w:t>
            </w:r>
          </w:p>
        </w:tc>
        <w:tc>
          <w:tcPr>
            <w:tcW w:w="14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5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1080" w:type="dxa"/>
            <w:vAlign w:val="bottom"/>
            <w:gridSpan w:val="2"/>
            <w:vMerge w:val="restart"/>
            <w:shd w:val="clear" w:color="auto" w:fill="FDFDFC"/>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880" w:type="dxa"/>
            <w:vAlign w:val="bottom"/>
            <w:gridSpan w:val="2"/>
            <w:vMerge w:val="restart"/>
            <w:shd w:val="clear" w:color="auto" w:fill="FDFDFC"/>
          </w:tcPr>
          <w:p>
            <w:pPr>
              <w:jc w:val="right"/>
              <w:ind w:right="260"/>
              <w:spacing w:after="0"/>
              <w:rPr>
                <w:sz w:val="20"/>
                <w:szCs w:val="20"/>
                <w:color w:val="auto"/>
              </w:rPr>
            </w:pPr>
            <w:r>
              <w:rPr>
                <w:rFonts w:ascii="Arial" w:cs="Arial" w:eastAsia="Arial" w:hAnsi="Arial"/>
                <w:sz w:val="11"/>
                <w:szCs w:val="11"/>
                <w:color w:val="231F20"/>
              </w:rPr>
              <w:t>—</w:t>
            </w:r>
          </w:p>
        </w:tc>
        <w:tc>
          <w:tcPr>
            <w:tcW w:w="160" w:type="dxa"/>
            <w:vAlign w:val="bottom"/>
            <w:shd w:val="clear" w:color="auto" w:fill="FDFDFC"/>
          </w:tcPr>
          <w:p>
            <w:pPr>
              <w:spacing w:after="0"/>
              <w:rPr>
                <w:sz w:val="11"/>
                <w:szCs w:val="11"/>
                <w:color w:val="auto"/>
              </w:rPr>
            </w:pPr>
          </w:p>
        </w:tc>
        <w:tc>
          <w:tcPr>
            <w:tcW w:w="92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1120" w:type="dxa"/>
            <w:vAlign w:val="bottom"/>
            <w:gridSpan w:val="2"/>
            <w:vMerge w:val="restart"/>
            <w:shd w:val="clear" w:color="auto" w:fill="FDFDFC"/>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20" w:type="dxa"/>
            <w:vAlign w:val="bottom"/>
            <w:gridSpan w:val="2"/>
            <w:vMerge w:val="restart"/>
            <w:shd w:val="clear" w:color="auto" w:fill="FDFDFC"/>
          </w:tcPr>
          <w:p>
            <w:pPr>
              <w:jc w:val="right"/>
              <w:ind w:right="260"/>
              <w:spacing w:after="0"/>
              <w:rPr>
                <w:sz w:val="20"/>
                <w:szCs w:val="20"/>
                <w:color w:val="auto"/>
              </w:rPr>
            </w:pPr>
            <w:r>
              <w:rPr>
                <w:rFonts w:ascii="Arial" w:cs="Arial" w:eastAsia="Arial" w:hAnsi="Arial"/>
                <w:sz w:val="11"/>
                <w:szCs w:val="11"/>
                <w:color w:val="231F20"/>
              </w:rPr>
              <w:t>—</w:t>
            </w:r>
          </w:p>
        </w:tc>
        <w:tc>
          <w:tcPr>
            <w:tcW w:w="140" w:type="dxa"/>
            <w:vAlign w:val="bottom"/>
            <w:shd w:val="clear" w:color="auto" w:fill="FDFDFC"/>
          </w:tcPr>
          <w:p>
            <w:pPr>
              <w:spacing w:after="0"/>
              <w:rPr>
                <w:sz w:val="11"/>
                <w:szCs w:val="11"/>
                <w:color w:val="auto"/>
              </w:rPr>
            </w:pPr>
          </w:p>
        </w:tc>
        <w:tc>
          <w:tcPr>
            <w:tcW w:w="1140" w:type="dxa"/>
            <w:vAlign w:val="bottom"/>
            <w:gridSpan w:val="2"/>
            <w:vMerge w:val="restart"/>
            <w:shd w:val="clear" w:color="auto" w:fill="FDFDFC"/>
          </w:tcPr>
          <w:p>
            <w:pPr>
              <w:jc w:val="right"/>
              <w:ind w:right="1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153"/>
        </w:trPr>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units</w:t>
            </w:r>
          </w:p>
        </w:tc>
        <w:tc>
          <w:tcPr>
            <w:tcW w:w="1060" w:type="dxa"/>
            <w:vAlign w:val="bottom"/>
            <w:gridSpan w:val="2"/>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540" w:type="dxa"/>
            <w:vAlign w:val="bottom"/>
            <w:shd w:val="clear" w:color="auto" w:fill="FDFDFC"/>
          </w:tcPr>
          <w:p>
            <w:pPr>
              <w:spacing w:after="0"/>
              <w:rPr>
                <w:sz w:val="13"/>
                <w:szCs w:val="13"/>
                <w:color w:val="auto"/>
              </w:rPr>
            </w:pPr>
          </w:p>
        </w:tc>
        <w:tc>
          <w:tcPr>
            <w:tcW w:w="14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1080" w:type="dxa"/>
            <w:vAlign w:val="bottom"/>
            <w:gridSpan w:val="2"/>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58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108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880" w:type="dxa"/>
            <w:vAlign w:val="bottom"/>
            <w:gridSpan w:val="2"/>
            <w:vMerge w:val="continue"/>
            <w:shd w:val="clear" w:color="auto" w:fill="FDFDFC"/>
          </w:tcPr>
          <w:p>
            <w:pPr>
              <w:spacing w:after="0"/>
              <w:rPr>
                <w:sz w:val="13"/>
                <w:szCs w:val="13"/>
                <w:color w:val="auto"/>
              </w:rPr>
            </w:pPr>
          </w:p>
        </w:tc>
        <w:tc>
          <w:tcPr>
            <w:tcW w:w="160" w:type="dxa"/>
            <w:vAlign w:val="bottom"/>
            <w:shd w:val="clear" w:color="auto" w:fill="FDFDFC"/>
          </w:tcPr>
          <w:p>
            <w:pPr>
              <w:spacing w:after="0"/>
              <w:rPr>
                <w:sz w:val="13"/>
                <w:szCs w:val="13"/>
                <w:color w:val="auto"/>
              </w:rPr>
            </w:pPr>
          </w:p>
        </w:tc>
        <w:tc>
          <w:tcPr>
            <w:tcW w:w="92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112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20" w:type="dxa"/>
            <w:vAlign w:val="bottom"/>
            <w:gridSpan w:val="2"/>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1140" w:type="dxa"/>
            <w:vAlign w:val="bottom"/>
            <w:gridSpan w:val="2"/>
            <w:vMerge w:val="continue"/>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40" w:type="dxa"/>
            <w:vAlign w:val="bottom"/>
            <w:tcBorders>
              <w:right w:val="single" w:sz="8" w:color="231F20"/>
            </w:tcBorders>
            <w:shd w:val="clear" w:color="auto" w:fill="D0EBF2"/>
          </w:tcPr>
          <w:p>
            <w:pPr>
              <w:spacing w:after="0" w:line="109" w:lineRule="exact"/>
              <w:rPr>
                <w:sz w:val="20"/>
                <w:szCs w:val="20"/>
                <w:color w:val="auto"/>
              </w:rPr>
            </w:pPr>
            <w:r>
              <w:rPr>
                <w:rFonts w:ascii="Arial" w:cs="Arial" w:eastAsia="Arial" w:hAnsi="Arial"/>
                <w:sz w:val="11"/>
                <w:szCs w:val="11"/>
                <w:color w:val="231F20"/>
              </w:rPr>
              <w:t>Issuance of common</w:t>
            </w:r>
          </w:p>
        </w:tc>
        <w:tc>
          <w:tcPr>
            <w:tcW w:w="120" w:type="dxa"/>
            <w:vAlign w:val="bottom"/>
            <w:shd w:val="clear" w:color="auto" w:fill="D0EBF2"/>
          </w:tcPr>
          <w:p>
            <w:pPr>
              <w:spacing w:after="0"/>
              <w:rPr>
                <w:sz w:val="9"/>
                <w:szCs w:val="9"/>
                <w:color w:val="auto"/>
              </w:rPr>
            </w:pPr>
          </w:p>
        </w:tc>
        <w:tc>
          <w:tcPr>
            <w:tcW w:w="940" w:type="dxa"/>
            <w:vAlign w:val="bottom"/>
            <w:shd w:val="clear" w:color="auto" w:fill="D0EBF2"/>
          </w:tcPr>
          <w:p>
            <w:pPr>
              <w:spacing w:after="0"/>
              <w:rPr>
                <w:sz w:val="9"/>
                <w:szCs w:val="9"/>
                <w:color w:val="auto"/>
              </w:rPr>
            </w:pPr>
          </w:p>
        </w:tc>
        <w:tc>
          <w:tcPr>
            <w:tcW w:w="280" w:type="dxa"/>
            <w:vAlign w:val="bottom"/>
            <w:shd w:val="clear" w:color="auto" w:fill="D0EBF2"/>
          </w:tcPr>
          <w:p>
            <w:pPr>
              <w:spacing w:after="0"/>
              <w:rPr>
                <w:sz w:val="9"/>
                <w:szCs w:val="9"/>
                <w:color w:val="auto"/>
              </w:rPr>
            </w:pPr>
          </w:p>
        </w:tc>
        <w:tc>
          <w:tcPr>
            <w:tcW w:w="54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260" w:type="dxa"/>
            <w:vAlign w:val="bottom"/>
            <w:shd w:val="clear" w:color="auto" w:fill="D0EBF2"/>
          </w:tcPr>
          <w:p>
            <w:pPr>
              <w:spacing w:after="0"/>
              <w:rPr>
                <w:sz w:val="9"/>
                <w:szCs w:val="9"/>
                <w:color w:val="auto"/>
              </w:rPr>
            </w:pPr>
          </w:p>
        </w:tc>
        <w:tc>
          <w:tcPr>
            <w:tcW w:w="94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00" w:type="dxa"/>
            <w:vAlign w:val="bottom"/>
            <w:shd w:val="clear" w:color="auto" w:fill="D0EBF2"/>
          </w:tcPr>
          <w:p>
            <w:pPr>
              <w:spacing w:after="0"/>
              <w:rPr>
                <w:sz w:val="9"/>
                <w:szCs w:val="9"/>
                <w:color w:val="auto"/>
              </w:rPr>
            </w:pPr>
          </w:p>
        </w:tc>
        <w:tc>
          <w:tcPr>
            <w:tcW w:w="580" w:type="dxa"/>
            <w:vAlign w:val="bottom"/>
            <w:shd w:val="clear" w:color="auto" w:fill="D0EBF2"/>
          </w:tcPr>
          <w:p>
            <w:pPr>
              <w:spacing w:after="0"/>
              <w:rPr>
                <w:sz w:val="9"/>
                <w:szCs w:val="9"/>
                <w:color w:val="auto"/>
              </w:rPr>
            </w:pPr>
          </w:p>
        </w:tc>
        <w:tc>
          <w:tcPr>
            <w:tcW w:w="280" w:type="dxa"/>
            <w:vAlign w:val="bottom"/>
            <w:shd w:val="clear" w:color="auto" w:fill="D0EBF2"/>
          </w:tcPr>
          <w:p>
            <w:pPr>
              <w:spacing w:after="0"/>
              <w:rPr>
                <w:sz w:val="9"/>
                <w:szCs w:val="9"/>
                <w:color w:val="auto"/>
              </w:rPr>
            </w:pPr>
          </w:p>
        </w:tc>
        <w:tc>
          <w:tcPr>
            <w:tcW w:w="94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20" w:type="dxa"/>
            <w:vAlign w:val="bottom"/>
            <w:shd w:val="clear" w:color="auto" w:fill="D0EBF2"/>
          </w:tcPr>
          <w:p>
            <w:pPr>
              <w:spacing w:after="0"/>
              <w:rPr>
                <w:sz w:val="9"/>
                <w:szCs w:val="9"/>
                <w:color w:val="auto"/>
              </w:rPr>
            </w:pPr>
          </w:p>
        </w:tc>
        <w:tc>
          <w:tcPr>
            <w:tcW w:w="120" w:type="dxa"/>
            <w:vAlign w:val="bottom"/>
            <w:shd w:val="clear" w:color="auto" w:fill="D0EBF2"/>
          </w:tcPr>
          <w:p>
            <w:pPr>
              <w:spacing w:after="0"/>
              <w:rPr>
                <w:sz w:val="9"/>
                <w:szCs w:val="9"/>
                <w:color w:val="auto"/>
              </w:rPr>
            </w:pPr>
          </w:p>
        </w:tc>
        <w:tc>
          <w:tcPr>
            <w:tcW w:w="620" w:type="dxa"/>
            <w:vAlign w:val="bottom"/>
            <w:shd w:val="clear" w:color="auto" w:fill="D0EBF2"/>
          </w:tcPr>
          <w:p>
            <w:pPr>
              <w:spacing w:after="0"/>
              <w:rPr>
                <w:sz w:val="9"/>
                <w:szCs w:val="9"/>
                <w:color w:val="auto"/>
              </w:rPr>
            </w:pPr>
          </w:p>
        </w:tc>
        <w:tc>
          <w:tcPr>
            <w:tcW w:w="260" w:type="dxa"/>
            <w:vAlign w:val="bottom"/>
            <w:shd w:val="clear" w:color="auto" w:fill="D0EBF2"/>
          </w:tcPr>
          <w:p>
            <w:pPr>
              <w:spacing w:after="0"/>
              <w:rPr>
                <w:sz w:val="9"/>
                <w:szCs w:val="9"/>
                <w:color w:val="auto"/>
              </w:rPr>
            </w:pPr>
          </w:p>
        </w:tc>
        <w:tc>
          <w:tcPr>
            <w:tcW w:w="160" w:type="dxa"/>
            <w:vAlign w:val="bottom"/>
            <w:shd w:val="clear" w:color="auto" w:fill="D0EBF2"/>
          </w:tcPr>
          <w:p>
            <w:pPr>
              <w:spacing w:after="0"/>
              <w:rPr>
                <w:sz w:val="9"/>
                <w:szCs w:val="9"/>
                <w:color w:val="auto"/>
              </w:rPr>
            </w:pPr>
          </w:p>
        </w:tc>
        <w:tc>
          <w:tcPr>
            <w:tcW w:w="920" w:type="dxa"/>
            <w:vAlign w:val="bottom"/>
            <w:shd w:val="clear" w:color="auto" w:fill="D0EBF2"/>
          </w:tcPr>
          <w:p>
            <w:pPr>
              <w:spacing w:after="0"/>
              <w:rPr>
                <w:sz w:val="9"/>
                <w:szCs w:val="9"/>
                <w:color w:val="auto"/>
              </w:rPr>
            </w:pPr>
          </w:p>
        </w:tc>
        <w:tc>
          <w:tcPr>
            <w:tcW w:w="260" w:type="dxa"/>
            <w:vAlign w:val="bottom"/>
            <w:shd w:val="clear" w:color="auto" w:fill="D0EBF2"/>
          </w:tcPr>
          <w:p>
            <w:pPr>
              <w:spacing w:after="0"/>
              <w:rPr>
                <w:sz w:val="9"/>
                <w:szCs w:val="9"/>
                <w:color w:val="auto"/>
              </w:rPr>
            </w:pPr>
          </w:p>
        </w:tc>
        <w:tc>
          <w:tcPr>
            <w:tcW w:w="100" w:type="dxa"/>
            <w:vAlign w:val="bottom"/>
            <w:shd w:val="clear" w:color="auto" w:fill="D0EBF2"/>
          </w:tcPr>
          <w:p>
            <w:pPr>
              <w:spacing w:after="0"/>
              <w:rPr>
                <w:sz w:val="9"/>
                <w:szCs w:val="9"/>
                <w:color w:val="auto"/>
              </w:rPr>
            </w:pPr>
          </w:p>
        </w:tc>
        <w:tc>
          <w:tcPr>
            <w:tcW w:w="98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20" w:type="dxa"/>
            <w:vAlign w:val="bottom"/>
            <w:shd w:val="clear" w:color="auto" w:fill="D0EBF2"/>
          </w:tcPr>
          <w:p>
            <w:pPr>
              <w:spacing w:after="0"/>
              <w:rPr>
                <w:sz w:val="9"/>
                <w:szCs w:val="9"/>
                <w:color w:val="auto"/>
              </w:rPr>
            </w:pPr>
          </w:p>
        </w:tc>
        <w:tc>
          <w:tcPr>
            <w:tcW w:w="120" w:type="dxa"/>
            <w:vAlign w:val="bottom"/>
            <w:shd w:val="clear" w:color="auto" w:fill="D0EBF2"/>
          </w:tcPr>
          <w:p>
            <w:pPr>
              <w:spacing w:after="0"/>
              <w:rPr>
                <w:sz w:val="9"/>
                <w:szCs w:val="9"/>
                <w:color w:val="auto"/>
              </w:rPr>
            </w:pPr>
          </w:p>
        </w:tc>
        <w:tc>
          <w:tcPr>
            <w:tcW w:w="960" w:type="dxa"/>
            <w:vAlign w:val="bottom"/>
            <w:shd w:val="clear" w:color="auto" w:fill="D0EBF2"/>
          </w:tcPr>
          <w:p>
            <w:pPr>
              <w:spacing w:after="0"/>
              <w:rPr>
                <w:sz w:val="9"/>
                <w:szCs w:val="9"/>
                <w:color w:val="auto"/>
              </w:rPr>
            </w:pPr>
          </w:p>
        </w:tc>
        <w:tc>
          <w:tcPr>
            <w:tcW w:w="26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00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stock under</w:t>
            </w:r>
          </w:p>
        </w:tc>
        <w:tc>
          <w:tcPr>
            <w:tcW w:w="12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5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58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6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160" w:type="dxa"/>
            <w:vAlign w:val="bottom"/>
            <w:shd w:val="clear" w:color="auto" w:fill="D0EBF2"/>
          </w:tcPr>
          <w:p>
            <w:pPr>
              <w:spacing w:after="0"/>
              <w:rPr>
                <w:sz w:val="11"/>
                <w:szCs w:val="11"/>
                <w:color w:val="auto"/>
              </w:rPr>
            </w:pPr>
          </w:p>
        </w:tc>
        <w:tc>
          <w:tcPr>
            <w:tcW w:w="9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98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96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00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employee stock</w:t>
            </w:r>
          </w:p>
        </w:tc>
        <w:tc>
          <w:tcPr>
            <w:tcW w:w="1060" w:type="dxa"/>
            <w:vAlign w:val="bottom"/>
            <w:gridSpan w:val="2"/>
            <w:vMerge w:val="restart"/>
            <w:shd w:val="clear" w:color="auto" w:fill="D0EBF2"/>
          </w:tcPr>
          <w:p>
            <w:pPr>
              <w:jc w:val="right"/>
              <w:spacing w:after="0"/>
              <w:rPr>
                <w:sz w:val="20"/>
                <w:szCs w:val="20"/>
                <w:color w:val="auto"/>
              </w:rPr>
            </w:pPr>
            <w:r>
              <w:rPr>
                <w:rFonts w:ascii="Arial" w:cs="Arial" w:eastAsia="Arial" w:hAnsi="Arial"/>
                <w:sz w:val="11"/>
                <w:szCs w:val="11"/>
                <w:color w:val="231F20"/>
              </w:rPr>
              <w:t>84,812</w:t>
            </w:r>
          </w:p>
        </w:tc>
        <w:tc>
          <w:tcPr>
            <w:tcW w:w="280" w:type="dxa"/>
            <w:vAlign w:val="bottom"/>
            <w:shd w:val="clear" w:color="auto" w:fill="D0EBF2"/>
          </w:tcPr>
          <w:p>
            <w:pPr>
              <w:spacing w:after="0"/>
              <w:rPr>
                <w:sz w:val="11"/>
                <w:szCs w:val="11"/>
                <w:color w:val="auto"/>
              </w:rPr>
            </w:pPr>
          </w:p>
        </w:tc>
        <w:tc>
          <w:tcPr>
            <w:tcW w:w="540" w:type="dxa"/>
            <w:vAlign w:val="bottom"/>
            <w:shd w:val="clear" w:color="auto" w:fill="D0EBF2"/>
          </w:tcPr>
          <w:p>
            <w:pPr>
              <w:spacing w:after="0"/>
              <w:rPr>
                <w:sz w:val="11"/>
                <w:szCs w:val="11"/>
                <w:color w:val="auto"/>
              </w:rPr>
            </w:pPr>
          </w:p>
        </w:tc>
        <w:tc>
          <w:tcPr>
            <w:tcW w:w="1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1"/>
                <w:szCs w:val="11"/>
                <w:color w:val="auto"/>
              </w:rPr>
            </w:pPr>
          </w:p>
        </w:tc>
        <w:tc>
          <w:tcPr>
            <w:tcW w:w="1080" w:type="dxa"/>
            <w:vAlign w:val="bottom"/>
            <w:gridSpan w:val="2"/>
            <w:vMerge w:val="restart"/>
            <w:shd w:val="clear" w:color="auto" w:fill="D0EBF2"/>
          </w:tcPr>
          <w:p>
            <w:pPr>
              <w:jc w:val="right"/>
              <w:ind w:right="140"/>
              <w:spacing w:after="0"/>
              <w:rPr>
                <w:sz w:val="20"/>
                <w:szCs w:val="20"/>
                <w:color w:val="auto"/>
              </w:rPr>
            </w:pPr>
            <w:r>
              <w:rPr>
                <w:rFonts w:ascii="Arial" w:cs="Arial" w:eastAsia="Arial" w:hAnsi="Arial"/>
                <w:sz w:val="11"/>
                <w:szCs w:val="11"/>
                <w:color w:val="231F20"/>
              </w:rPr>
              <w:t>—</w:t>
            </w:r>
          </w:p>
        </w:tc>
        <w:tc>
          <w:tcPr>
            <w:tcW w:w="14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5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1080" w:type="dxa"/>
            <w:vAlign w:val="bottom"/>
            <w:gridSpan w:val="2"/>
            <w:vMerge w:val="restart"/>
            <w:shd w:val="clear" w:color="auto" w:fill="D0EBF2"/>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880" w:type="dxa"/>
            <w:vAlign w:val="bottom"/>
            <w:gridSpan w:val="2"/>
            <w:vMerge w:val="restart"/>
            <w:shd w:val="clear" w:color="auto" w:fill="D0EBF2"/>
          </w:tcPr>
          <w:p>
            <w:pPr>
              <w:jc w:val="right"/>
              <w:ind w:right="260"/>
              <w:spacing w:after="0"/>
              <w:rPr>
                <w:sz w:val="20"/>
                <w:szCs w:val="20"/>
                <w:color w:val="auto"/>
              </w:rPr>
            </w:pPr>
            <w:r>
              <w:rPr>
                <w:rFonts w:ascii="Arial" w:cs="Arial" w:eastAsia="Arial" w:hAnsi="Arial"/>
                <w:sz w:val="11"/>
                <w:szCs w:val="11"/>
                <w:color w:val="231F20"/>
              </w:rPr>
              <w:t>—</w:t>
            </w:r>
          </w:p>
        </w:tc>
        <w:tc>
          <w:tcPr>
            <w:tcW w:w="160" w:type="dxa"/>
            <w:vAlign w:val="bottom"/>
            <w:shd w:val="clear" w:color="auto" w:fill="D0EBF2"/>
          </w:tcPr>
          <w:p>
            <w:pPr>
              <w:spacing w:after="0"/>
              <w:rPr>
                <w:sz w:val="11"/>
                <w:szCs w:val="11"/>
                <w:color w:val="auto"/>
              </w:rPr>
            </w:pPr>
          </w:p>
        </w:tc>
        <w:tc>
          <w:tcPr>
            <w:tcW w:w="92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1,271</w:t>
            </w:r>
          </w:p>
        </w:tc>
        <w:tc>
          <w:tcPr>
            <w:tcW w:w="26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1120" w:type="dxa"/>
            <w:vAlign w:val="bottom"/>
            <w:gridSpan w:val="2"/>
            <w:vMerge w:val="restart"/>
            <w:shd w:val="clear" w:color="auto" w:fill="D0EBF2"/>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1220" w:type="dxa"/>
            <w:vAlign w:val="bottom"/>
            <w:gridSpan w:val="2"/>
            <w:vMerge w:val="restart"/>
            <w:shd w:val="clear" w:color="auto" w:fill="D0EBF2"/>
          </w:tcPr>
          <w:p>
            <w:pPr>
              <w:jc w:val="right"/>
              <w:ind w:right="260"/>
              <w:spacing w:after="0"/>
              <w:rPr>
                <w:sz w:val="20"/>
                <w:szCs w:val="20"/>
                <w:color w:val="auto"/>
              </w:rPr>
            </w:pPr>
            <w:r>
              <w:rPr>
                <w:rFonts w:ascii="Arial" w:cs="Arial" w:eastAsia="Arial" w:hAnsi="Arial"/>
                <w:sz w:val="11"/>
                <w:szCs w:val="11"/>
                <w:color w:val="231F20"/>
              </w:rPr>
              <w:t>—</w:t>
            </w:r>
          </w:p>
        </w:tc>
        <w:tc>
          <w:tcPr>
            <w:tcW w:w="140" w:type="dxa"/>
            <w:vAlign w:val="bottom"/>
            <w:shd w:val="clear" w:color="auto" w:fill="D0EBF2"/>
          </w:tcPr>
          <w:p>
            <w:pPr>
              <w:spacing w:after="0"/>
              <w:rPr>
                <w:sz w:val="11"/>
                <w:szCs w:val="11"/>
                <w:color w:val="auto"/>
              </w:rPr>
            </w:pPr>
          </w:p>
        </w:tc>
        <w:tc>
          <w:tcPr>
            <w:tcW w:w="100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1,271</w:t>
            </w: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purchase plan</w:t>
            </w:r>
          </w:p>
        </w:tc>
        <w:tc>
          <w:tcPr>
            <w:tcW w:w="1060" w:type="dxa"/>
            <w:vAlign w:val="bottom"/>
            <w:gridSpan w:val="2"/>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540" w:type="dxa"/>
            <w:vAlign w:val="bottom"/>
            <w:shd w:val="clear" w:color="auto" w:fill="D0EBF2"/>
          </w:tcPr>
          <w:p>
            <w:pPr>
              <w:spacing w:after="0"/>
              <w:rPr>
                <w:sz w:val="13"/>
                <w:szCs w:val="13"/>
                <w:color w:val="auto"/>
              </w:rPr>
            </w:pPr>
          </w:p>
        </w:tc>
        <w:tc>
          <w:tcPr>
            <w:tcW w:w="14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1080" w:type="dxa"/>
            <w:vAlign w:val="bottom"/>
            <w:gridSpan w:val="2"/>
            <w:vMerge w:val="continue"/>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58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1080" w:type="dxa"/>
            <w:vAlign w:val="bottom"/>
            <w:gridSpan w:val="2"/>
            <w:vMerge w:val="continue"/>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880" w:type="dxa"/>
            <w:vAlign w:val="bottom"/>
            <w:gridSpan w:val="2"/>
            <w:vMerge w:val="continue"/>
            <w:shd w:val="clear" w:color="auto" w:fill="D0EBF2"/>
          </w:tcPr>
          <w:p>
            <w:pPr>
              <w:spacing w:after="0"/>
              <w:rPr>
                <w:sz w:val="13"/>
                <w:szCs w:val="13"/>
                <w:color w:val="auto"/>
              </w:rPr>
            </w:pPr>
          </w:p>
        </w:tc>
        <w:tc>
          <w:tcPr>
            <w:tcW w:w="160" w:type="dxa"/>
            <w:vAlign w:val="bottom"/>
            <w:shd w:val="clear" w:color="auto" w:fill="D0EBF2"/>
          </w:tcPr>
          <w:p>
            <w:pPr>
              <w:spacing w:after="0"/>
              <w:rPr>
                <w:sz w:val="13"/>
                <w:szCs w:val="13"/>
                <w:color w:val="auto"/>
              </w:rPr>
            </w:pPr>
          </w:p>
        </w:tc>
        <w:tc>
          <w:tcPr>
            <w:tcW w:w="92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1120" w:type="dxa"/>
            <w:vAlign w:val="bottom"/>
            <w:gridSpan w:val="2"/>
            <w:vMerge w:val="continue"/>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220" w:type="dxa"/>
            <w:vAlign w:val="bottom"/>
            <w:gridSpan w:val="2"/>
            <w:vMerge w:val="continue"/>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1000" w:type="dxa"/>
            <w:vAlign w:val="bottom"/>
            <w:vMerge w:val="continue"/>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640" w:type="dxa"/>
            <w:vAlign w:val="bottom"/>
            <w:tcBorders>
              <w:right w:val="single" w:sz="8" w:color="231F20"/>
            </w:tcBorders>
            <w:shd w:val="clear" w:color="auto" w:fill="FDFDFC"/>
          </w:tcPr>
          <w:p>
            <w:pPr>
              <w:spacing w:after="0" w:line="106" w:lineRule="exact"/>
              <w:rPr>
                <w:sz w:val="20"/>
                <w:szCs w:val="20"/>
                <w:color w:val="auto"/>
              </w:rPr>
            </w:pPr>
            <w:r>
              <w:rPr>
                <w:rFonts w:ascii="Arial" w:cs="Arial" w:eastAsia="Arial" w:hAnsi="Arial"/>
                <w:sz w:val="11"/>
                <w:szCs w:val="11"/>
                <w:color w:val="231F20"/>
              </w:rPr>
              <w:t>Issuance of common</w:t>
            </w:r>
          </w:p>
        </w:tc>
        <w:tc>
          <w:tcPr>
            <w:tcW w:w="120" w:type="dxa"/>
            <w:vAlign w:val="bottom"/>
            <w:shd w:val="clear" w:color="auto" w:fill="FDFDFC"/>
          </w:tcPr>
          <w:p>
            <w:pPr>
              <w:spacing w:after="0"/>
              <w:rPr>
                <w:sz w:val="9"/>
                <w:szCs w:val="9"/>
                <w:color w:val="auto"/>
              </w:rPr>
            </w:pPr>
          </w:p>
        </w:tc>
        <w:tc>
          <w:tcPr>
            <w:tcW w:w="940" w:type="dxa"/>
            <w:vAlign w:val="bottom"/>
            <w:shd w:val="clear" w:color="auto" w:fill="FDFDFC"/>
          </w:tcPr>
          <w:p>
            <w:pPr>
              <w:spacing w:after="0"/>
              <w:rPr>
                <w:sz w:val="9"/>
                <w:szCs w:val="9"/>
                <w:color w:val="auto"/>
              </w:rPr>
            </w:pPr>
          </w:p>
        </w:tc>
        <w:tc>
          <w:tcPr>
            <w:tcW w:w="280" w:type="dxa"/>
            <w:vAlign w:val="bottom"/>
            <w:shd w:val="clear" w:color="auto" w:fill="FDFDFC"/>
          </w:tcPr>
          <w:p>
            <w:pPr>
              <w:spacing w:after="0"/>
              <w:rPr>
                <w:sz w:val="9"/>
                <w:szCs w:val="9"/>
                <w:color w:val="auto"/>
              </w:rPr>
            </w:pPr>
          </w:p>
        </w:tc>
        <w:tc>
          <w:tcPr>
            <w:tcW w:w="54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260" w:type="dxa"/>
            <w:vAlign w:val="bottom"/>
            <w:shd w:val="clear" w:color="auto" w:fill="FDFDFC"/>
          </w:tcPr>
          <w:p>
            <w:pPr>
              <w:spacing w:after="0"/>
              <w:rPr>
                <w:sz w:val="9"/>
                <w:szCs w:val="9"/>
                <w:color w:val="auto"/>
              </w:rPr>
            </w:pPr>
          </w:p>
        </w:tc>
        <w:tc>
          <w:tcPr>
            <w:tcW w:w="94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00" w:type="dxa"/>
            <w:vAlign w:val="bottom"/>
            <w:shd w:val="clear" w:color="auto" w:fill="FDFDFC"/>
          </w:tcPr>
          <w:p>
            <w:pPr>
              <w:spacing w:after="0"/>
              <w:rPr>
                <w:sz w:val="9"/>
                <w:szCs w:val="9"/>
                <w:color w:val="auto"/>
              </w:rPr>
            </w:pPr>
          </w:p>
        </w:tc>
        <w:tc>
          <w:tcPr>
            <w:tcW w:w="580" w:type="dxa"/>
            <w:vAlign w:val="bottom"/>
            <w:shd w:val="clear" w:color="auto" w:fill="FDFDFC"/>
          </w:tcPr>
          <w:p>
            <w:pPr>
              <w:spacing w:after="0"/>
              <w:rPr>
                <w:sz w:val="9"/>
                <w:szCs w:val="9"/>
                <w:color w:val="auto"/>
              </w:rPr>
            </w:pPr>
          </w:p>
        </w:tc>
        <w:tc>
          <w:tcPr>
            <w:tcW w:w="280" w:type="dxa"/>
            <w:vAlign w:val="bottom"/>
            <w:shd w:val="clear" w:color="auto" w:fill="FDFDFC"/>
          </w:tcPr>
          <w:p>
            <w:pPr>
              <w:spacing w:after="0"/>
              <w:rPr>
                <w:sz w:val="9"/>
                <w:szCs w:val="9"/>
                <w:color w:val="auto"/>
              </w:rPr>
            </w:pPr>
          </w:p>
        </w:tc>
        <w:tc>
          <w:tcPr>
            <w:tcW w:w="94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620" w:type="dxa"/>
            <w:vAlign w:val="bottom"/>
            <w:shd w:val="clear" w:color="auto" w:fill="FDFDFC"/>
          </w:tcPr>
          <w:p>
            <w:pPr>
              <w:spacing w:after="0"/>
              <w:rPr>
                <w:sz w:val="9"/>
                <w:szCs w:val="9"/>
                <w:color w:val="auto"/>
              </w:rPr>
            </w:pPr>
          </w:p>
        </w:tc>
        <w:tc>
          <w:tcPr>
            <w:tcW w:w="260" w:type="dxa"/>
            <w:vAlign w:val="bottom"/>
            <w:shd w:val="clear" w:color="auto" w:fill="FDFDFC"/>
          </w:tcPr>
          <w:p>
            <w:pPr>
              <w:spacing w:after="0"/>
              <w:rPr>
                <w:sz w:val="9"/>
                <w:szCs w:val="9"/>
                <w:color w:val="auto"/>
              </w:rPr>
            </w:pPr>
          </w:p>
        </w:tc>
        <w:tc>
          <w:tcPr>
            <w:tcW w:w="160" w:type="dxa"/>
            <w:vAlign w:val="bottom"/>
            <w:shd w:val="clear" w:color="auto" w:fill="FDFDFC"/>
          </w:tcPr>
          <w:p>
            <w:pPr>
              <w:spacing w:after="0"/>
              <w:rPr>
                <w:sz w:val="9"/>
                <w:szCs w:val="9"/>
                <w:color w:val="auto"/>
              </w:rPr>
            </w:pPr>
          </w:p>
        </w:tc>
        <w:tc>
          <w:tcPr>
            <w:tcW w:w="920" w:type="dxa"/>
            <w:vAlign w:val="bottom"/>
            <w:shd w:val="clear" w:color="auto" w:fill="FDFDFC"/>
          </w:tcPr>
          <w:p>
            <w:pPr>
              <w:spacing w:after="0"/>
              <w:rPr>
                <w:sz w:val="9"/>
                <w:szCs w:val="9"/>
                <w:color w:val="auto"/>
              </w:rPr>
            </w:pPr>
          </w:p>
        </w:tc>
        <w:tc>
          <w:tcPr>
            <w:tcW w:w="260" w:type="dxa"/>
            <w:vAlign w:val="bottom"/>
            <w:shd w:val="clear" w:color="auto" w:fill="FDFDFC"/>
          </w:tcPr>
          <w:p>
            <w:pPr>
              <w:spacing w:after="0"/>
              <w:rPr>
                <w:sz w:val="9"/>
                <w:szCs w:val="9"/>
                <w:color w:val="auto"/>
              </w:rPr>
            </w:pPr>
          </w:p>
        </w:tc>
        <w:tc>
          <w:tcPr>
            <w:tcW w:w="100" w:type="dxa"/>
            <w:vAlign w:val="bottom"/>
            <w:shd w:val="clear" w:color="auto" w:fill="FDFDFC"/>
          </w:tcPr>
          <w:p>
            <w:pPr>
              <w:spacing w:after="0"/>
              <w:rPr>
                <w:sz w:val="9"/>
                <w:szCs w:val="9"/>
                <w:color w:val="auto"/>
              </w:rPr>
            </w:pPr>
          </w:p>
        </w:tc>
        <w:tc>
          <w:tcPr>
            <w:tcW w:w="98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960" w:type="dxa"/>
            <w:vAlign w:val="bottom"/>
            <w:shd w:val="clear" w:color="auto" w:fill="FDFDFC"/>
          </w:tcPr>
          <w:p>
            <w:pPr>
              <w:spacing w:after="0"/>
              <w:rPr>
                <w:sz w:val="9"/>
                <w:szCs w:val="9"/>
                <w:color w:val="auto"/>
              </w:rPr>
            </w:pPr>
          </w:p>
        </w:tc>
        <w:tc>
          <w:tcPr>
            <w:tcW w:w="26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100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stock as</w:t>
            </w:r>
          </w:p>
        </w:tc>
        <w:tc>
          <w:tcPr>
            <w:tcW w:w="12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5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58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62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60" w:type="dxa"/>
            <w:vAlign w:val="bottom"/>
            <w:shd w:val="clear" w:color="auto" w:fill="FDFDFC"/>
          </w:tcPr>
          <w:p>
            <w:pPr>
              <w:spacing w:after="0"/>
              <w:rPr>
                <w:sz w:val="11"/>
                <w:szCs w:val="11"/>
                <w:color w:val="auto"/>
              </w:rPr>
            </w:pPr>
          </w:p>
        </w:tc>
        <w:tc>
          <w:tcPr>
            <w:tcW w:w="92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98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96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00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consideration</w:t>
            </w:r>
          </w:p>
        </w:tc>
        <w:tc>
          <w:tcPr>
            <w:tcW w:w="1060" w:type="dxa"/>
            <w:vAlign w:val="bottom"/>
            <w:gridSpan w:val="2"/>
            <w:vMerge w:val="restart"/>
            <w:shd w:val="clear" w:color="auto" w:fill="FDFDFC"/>
          </w:tcPr>
          <w:p>
            <w:pPr>
              <w:jc w:val="right"/>
              <w:spacing w:after="0"/>
              <w:rPr>
                <w:sz w:val="20"/>
                <w:szCs w:val="20"/>
                <w:color w:val="auto"/>
              </w:rPr>
            </w:pPr>
            <w:r>
              <w:rPr>
                <w:rFonts w:ascii="Arial" w:cs="Arial" w:eastAsia="Arial" w:hAnsi="Arial"/>
                <w:sz w:val="11"/>
                <w:szCs w:val="11"/>
                <w:color w:val="231F20"/>
              </w:rPr>
              <w:t>200,314</w:t>
            </w:r>
          </w:p>
        </w:tc>
        <w:tc>
          <w:tcPr>
            <w:tcW w:w="280" w:type="dxa"/>
            <w:vAlign w:val="bottom"/>
            <w:shd w:val="clear" w:color="auto" w:fill="FDFDFC"/>
          </w:tcPr>
          <w:p>
            <w:pPr>
              <w:spacing w:after="0"/>
              <w:rPr>
                <w:sz w:val="11"/>
                <w:szCs w:val="11"/>
                <w:color w:val="auto"/>
              </w:rPr>
            </w:pPr>
          </w:p>
        </w:tc>
        <w:tc>
          <w:tcPr>
            <w:tcW w:w="540" w:type="dxa"/>
            <w:vAlign w:val="bottom"/>
            <w:shd w:val="clear" w:color="auto" w:fill="FDFDFC"/>
          </w:tcPr>
          <w:p>
            <w:pPr>
              <w:spacing w:after="0"/>
              <w:rPr>
                <w:sz w:val="11"/>
                <w:szCs w:val="11"/>
                <w:color w:val="auto"/>
              </w:rPr>
            </w:pPr>
          </w:p>
        </w:tc>
        <w:tc>
          <w:tcPr>
            <w:tcW w:w="1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1"/>
                <w:szCs w:val="11"/>
                <w:color w:val="auto"/>
              </w:rPr>
            </w:pPr>
          </w:p>
        </w:tc>
        <w:tc>
          <w:tcPr>
            <w:tcW w:w="1080" w:type="dxa"/>
            <w:vAlign w:val="bottom"/>
            <w:gridSpan w:val="2"/>
            <w:vMerge w:val="restart"/>
            <w:shd w:val="clear" w:color="auto" w:fill="FDFDFC"/>
          </w:tcPr>
          <w:p>
            <w:pPr>
              <w:jc w:val="right"/>
              <w:ind w:right="140"/>
              <w:spacing w:after="0"/>
              <w:rPr>
                <w:sz w:val="20"/>
                <w:szCs w:val="20"/>
                <w:color w:val="auto"/>
              </w:rPr>
            </w:pPr>
            <w:r>
              <w:rPr>
                <w:rFonts w:ascii="Arial" w:cs="Arial" w:eastAsia="Arial" w:hAnsi="Arial"/>
                <w:sz w:val="11"/>
                <w:szCs w:val="11"/>
                <w:color w:val="231F20"/>
              </w:rPr>
              <w:t>—</w:t>
            </w:r>
          </w:p>
        </w:tc>
        <w:tc>
          <w:tcPr>
            <w:tcW w:w="14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5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1080" w:type="dxa"/>
            <w:vAlign w:val="bottom"/>
            <w:gridSpan w:val="2"/>
            <w:vMerge w:val="restart"/>
            <w:shd w:val="clear" w:color="auto" w:fill="FDFDFC"/>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880" w:type="dxa"/>
            <w:vAlign w:val="bottom"/>
            <w:gridSpan w:val="2"/>
            <w:vMerge w:val="restart"/>
            <w:shd w:val="clear" w:color="auto" w:fill="FDFDFC"/>
          </w:tcPr>
          <w:p>
            <w:pPr>
              <w:jc w:val="right"/>
              <w:ind w:right="260"/>
              <w:spacing w:after="0"/>
              <w:rPr>
                <w:sz w:val="20"/>
                <w:szCs w:val="20"/>
                <w:color w:val="auto"/>
              </w:rPr>
            </w:pPr>
            <w:r>
              <w:rPr>
                <w:rFonts w:ascii="Arial" w:cs="Arial" w:eastAsia="Arial" w:hAnsi="Arial"/>
                <w:sz w:val="11"/>
                <w:szCs w:val="11"/>
                <w:color w:val="231F20"/>
              </w:rPr>
              <w:t>—</w:t>
            </w:r>
          </w:p>
        </w:tc>
        <w:tc>
          <w:tcPr>
            <w:tcW w:w="160" w:type="dxa"/>
            <w:vAlign w:val="bottom"/>
            <w:shd w:val="clear" w:color="auto" w:fill="FDFDFC"/>
          </w:tcPr>
          <w:p>
            <w:pPr>
              <w:spacing w:after="0"/>
              <w:rPr>
                <w:sz w:val="11"/>
                <w:szCs w:val="11"/>
                <w:color w:val="auto"/>
              </w:rPr>
            </w:pPr>
          </w:p>
        </w:tc>
        <w:tc>
          <w:tcPr>
            <w:tcW w:w="92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4,287</w:t>
            </w:r>
          </w:p>
        </w:tc>
        <w:tc>
          <w:tcPr>
            <w:tcW w:w="26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1120" w:type="dxa"/>
            <w:vAlign w:val="bottom"/>
            <w:gridSpan w:val="2"/>
            <w:vMerge w:val="restart"/>
            <w:shd w:val="clear" w:color="auto" w:fill="FDFDFC"/>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1220" w:type="dxa"/>
            <w:vAlign w:val="bottom"/>
            <w:gridSpan w:val="2"/>
            <w:vMerge w:val="restart"/>
            <w:shd w:val="clear" w:color="auto" w:fill="FDFDFC"/>
          </w:tcPr>
          <w:p>
            <w:pPr>
              <w:jc w:val="right"/>
              <w:ind w:right="260"/>
              <w:spacing w:after="0"/>
              <w:rPr>
                <w:sz w:val="20"/>
                <w:szCs w:val="20"/>
                <w:color w:val="auto"/>
              </w:rPr>
            </w:pPr>
            <w:r>
              <w:rPr>
                <w:rFonts w:ascii="Arial" w:cs="Arial" w:eastAsia="Arial" w:hAnsi="Arial"/>
                <w:sz w:val="11"/>
                <w:szCs w:val="11"/>
                <w:color w:val="231F20"/>
              </w:rPr>
              <w:t>—</w:t>
            </w:r>
          </w:p>
        </w:tc>
        <w:tc>
          <w:tcPr>
            <w:tcW w:w="140" w:type="dxa"/>
            <w:vAlign w:val="bottom"/>
            <w:shd w:val="clear" w:color="auto" w:fill="FDFDFC"/>
          </w:tcPr>
          <w:p>
            <w:pPr>
              <w:spacing w:after="0"/>
              <w:rPr>
                <w:sz w:val="11"/>
                <w:szCs w:val="11"/>
                <w:color w:val="auto"/>
              </w:rPr>
            </w:pPr>
          </w:p>
        </w:tc>
        <w:tc>
          <w:tcPr>
            <w:tcW w:w="100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4,287</w:t>
            </w:r>
          </w:p>
        </w:tc>
        <w:tc>
          <w:tcPr>
            <w:tcW w:w="140" w:type="dxa"/>
            <w:vAlign w:val="bottom"/>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for acquisition</w:t>
            </w:r>
          </w:p>
        </w:tc>
        <w:tc>
          <w:tcPr>
            <w:tcW w:w="1060" w:type="dxa"/>
            <w:vAlign w:val="bottom"/>
            <w:gridSpan w:val="2"/>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540" w:type="dxa"/>
            <w:vAlign w:val="bottom"/>
            <w:shd w:val="clear" w:color="auto" w:fill="FDFDFC"/>
          </w:tcPr>
          <w:p>
            <w:pPr>
              <w:spacing w:after="0"/>
              <w:rPr>
                <w:sz w:val="13"/>
                <w:szCs w:val="13"/>
                <w:color w:val="auto"/>
              </w:rPr>
            </w:pPr>
          </w:p>
        </w:tc>
        <w:tc>
          <w:tcPr>
            <w:tcW w:w="14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1080" w:type="dxa"/>
            <w:vAlign w:val="bottom"/>
            <w:gridSpan w:val="2"/>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58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108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880" w:type="dxa"/>
            <w:vAlign w:val="bottom"/>
            <w:gridSpan w:val="2"/>
            <w:vMerge w:val="continue"/>
            <w:shd w:val="clear" w:color="auto" w:fill="FDFDFC"/>
          </w:tcPr>
          <w:p>
            <w:pPr>
              <w:spacing w:after="0"/>
              <w:rPr>
                <w:sz w:val="13"/>
                <w:szCs w:val="13"/>
                <w:color w:val="auto"/>
              </w:rPr>
            </w:pPr>
          </w:p>
        </w:tc>
        <w:tc>
          <w:tcPr>
            <w:tcW w:w="160" w:type="dxa"/>
            <w:vAlign w:val="bottom"/>
            <w:shd w:val="clear" w:color="auto" w:fill="FDFDFC"/>
          </w:tcPr>
          <w:p>
            <w:pPr>
              <w:spacing w:after="0"/>
              <w:rPr>
                <w:sz w:val="13"/>
                <w:szCs w:val="13"/>
                <w:color w:val="auto"/>
              </w:rPr>
            </w:pPr>
          </w:p>
        </w:tc>
        <w:tc>
          <w:tcPr>
            <w:tcW w:w="92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112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20" w:type="dxa"/>
            <w:vAlign w:val="bottom"/>
            <w:gridSpan w:val="2"/>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1000" w:type="dxa"/>
            <w:vAlign w:val="bottom"/>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40" w:type="dxa"/>
            <w:vAlign w:val="bottom"/>
            <w:tcBorders>
              <w:right w:val="single" w:sz="8" w:color="231F20"/>
            </w:tcBorders>
            <w:shd w:val="clear" w:color="auto" w:fill="D0EBF2"/>
          </w:tcPr>
          <w:p>
            <w:pPr>
              <w:spacing w:after="0" w:line="109" w:lineRule="exact"/>
              <w:rPr>
                <w:sz w:val="20"/>
                <w:szCs w:val="20"/>
                <w:color w:val="auto"/>
              </w:rPr>
            </w:pPr>
            <w:r>
              <w:rPr>
                <w:rFonts w:ascii="Arial" w:cs="Arial" w:eastAsia="Arial" w:hAnsi="Arial"/>
                <w:sz w:val="11"/>
                <w:szCs w:val="11"/>
                <w:color w:val="231F20"/>
              </w:rPr>
              <w:t>Foreign currency</w:t>
            </w:r>
          </w:p>
        </w:tc>
        <w:tc>
          <w:tcPr>
            <w:tcW w:w="120" w:type="dxa"/>
            <w:vAlign w:val="bottom"/>
            <w:shd w:val="clear" w:color="auto" w:fill="D0EBF2"/>
          </w:tcPr>
          <w:p>
            <w:pPr>
              <w:spacing w:after="0"/>
              <w:rPr>
                <w:sz w:val="9"/>
                <w:szCs w:val="9"/>
                <w:color w:val="auto"/>
              </w:rPr>
            </w:pPr>
          </w:p>
        </w:tc>
        <w:tc>
          <w:tcPr>
            <w:tcW w:w="940" w:type="dxa"/>
            <w:vAlign w:val="bottom"/>
            <w:shd w:val="clear" w:color="auto" w:fill="D0EBF2"/>
          </w:tcPr>
          <w:p>
            <w:pPr>
              <w:spacing w:after="0"/>
              <w:rPr>
                <w:sz w:val="9"/>
                <w:szCs w:val="9"/>
                <w:color w:val="auto"/>
              </w:rPr>
            </w:pPr>
          </w:p>
        </w:tc>
        <w:tc>
          <w:tcPr>
            <w:tcW w:w="280" w:type="dxa"/>
            <w:vAlign w:val="bottom"/>
            <w:shd w:val="clear" w:color="auto" w:fill="D0EBF2"/>
          </w:tcPr>
          <w:p>
            <w:pPr>
              <w:spacing w:after="0"/>
              <w:rPr>
                <w:sz w:val="9"/>
                <w:szCs w:val="9"/>
                <w:color w:val="auto"/>
              </w:rPr>
            </w:pPr>
          </w:p>
        </w:tc>
        <w:tc>
          <w:tcPr>
            <w:tcW w:w="54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260" w:type="dxa"/>
            <w:vAlign w:val="bottom"/>
            <w:shd w:val="clear" w:color="auto" w:fill="D0EBF2"/>
          </w:tcPr>
          <w:p>
            <w:pPr>
              <w:spacing w:after="0"/>
              <w:rPr>
                <w:sz w:val="9"/>
                <w:szCs w:val="9"/>
                <w:color w:val="auto"/>
              </w:rPr>
            </w:pPr>
          </w:p>
        </w:tc>
        <w:tc>
          <w:tcPr>
            <w:tcW w:w="94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00" w:type="dxa"/>
            <w:vAlign w:val="bottom"/>
            <w:shd w:val="clear" w:color="auto" w:fill="D0EBF2"/>
          </w:tcPr>
          <w:p>
            <w:pPr>
              <w:spacing w:after="0"/>
              <w:rPr>
                <w:sz w:val="9"/>
                <w:szCs w:val="9"/>
                <w:color w:val="auto"/>
              </w:rPr>
            </w:pPr>
          </w:p>
        </w:tc>
        <w:tc>
          <w:tcPr>
            <w:tcW w:w="580" w:type="dxa"/>
            <w:vAlign w:val="bottom"/>
            <w:shd w:val="clear" w:color="auto" w:fill="D0EBF2"/>
          </w:tcPr>
          <w:p>
            <w:pPr>
              <w:spacing w:after="0"/>
              <w:rPr>
                <w:sz w:val="9"/>
                <w:szCs w:val="9"/>
                <w:color w:val="auto"/>
              </w:rPr>
            </w:pPr>
          </w:p>
        </w:tc>
        <w:tc>
          <w:tcPr>
            <w:tcW w:w="280" w:type="dxa"/>
            <w:vAlign w:val="bottom"/>
            <w:shd w:val="clear" w:color="auto" w:fill="D0EBF2"/>
          </w:tcPr>
          <w:p>
            <w:pPr>
              <w:spacing w:after="0"/>
              <w:rPr>
                <w:sz w:val="9"/>
                <w:szCs w:val="9"/>
                <w:color w:val="auto"/>
              </w:rPr>
            </w:pPr>
          </w:p>
        </w:tc>
        <w:tc>
          <w:tcPr>
            <w:tcW w:w="94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20" w:type="dxa"/>
            <w:vAlign w:val="bottom"/>
            <w:shd w:val="clear" w:color="auto" w:fill="D0EBF2"/>
          </w:tcPr>
          <w:p>
            <w:pPr>
              <w:spacing w:after="0"/>
              <w:rPr>
                <w:sz w:val="9"/>
                <w:szCs w:val="9"/>
                <w:color w:val="auto"/>
              </w:rPr>
            </w:pPr>
          </w:p>
        </w:tc>
        <w:tc>
          <w:tcPr>
            <w:tcW w:w="120" w:type="dxa"/>
            <w:vAlign w:val="bottom"/>
            <w:shd w:val="clear" w:color="auto" w:fill="D0EBF2"/>
          </w:tcPr>
          <w:p>
            <w:pPr>
              <w:spacing w:after="0"/>
              <w:rPr>
                <w:sz w:val="9"/>
                <w:szCs w:val="9"/>
                <w:color w:val="auto"/>
              </w:rPr>
            </w:pPr>
          </w:p>
        </w:tc>
        <w:tc>
          <w:tcPr>
            <w:tcW w:w="620" w:type="dxa"/>
            <w:vAlign w:val="bottom"/>
            <w:shd w:val="clear" w:color="auto" w:fill="D0EBF2"/>
          </w:tcPr>
          <w:p>
            <w:pPr>
              <w:spacing w:after="0"/>
              <w:rPr>
                <w:sz w:val="9"/>
                <w:szCs w:val="9"/>
                <w:color w:val="auto"/>
              </w:rPr>
            </w:pPr>
          </w:p>
        </w:tc>
        <w:tc>
          <w:tcPr>
            <w:tcW w:w="260" w:type="dxa"/>
            <w:vAlign w:val="bottom"/>
            <w:shd w:val="clear" w:color="auto" w:fill="D0EBF2"/>
          </w:tcPr>
          <w:p>
            <w:pPr>
              <w:spacing w:after="0"/>
              <w:rPr>
                <w:sz w:val="9"/>
                <w:szCs w:val="9"/>
                <w:color w:val="auto"/>
              </w:rPr>
            </w:pPr>
          </w:p>
        </w:tc>
        <w:tc>
          <w:tcPr>
            <w:tcW w:w="160" w:type="dxa"/>
            <w:vAlign w:val="bottom"/>
            <w:shd w:val="clear" w:color="auto" w:fill="D0EBF2"/>
          </w:tcPr>
          <w:p>
            <w:pPr>
              <w:spacing w:after="0"/>
              <w:rPr>
                <w:sz w:val="9"/>
                <w:szCs w:val="9"/>
                <w:color w:val="auto"/>
              </w:rPr>
            </w:pPr>
          </w:p>
        </w:tc>
        <w:tc>
          <w:tcPr>
            <w:tcW w:w="920" w:type="dxa"/>
            <w:vAlign w:val="bottom"/>
            <w:shd w:val="clear" w:color="auto" w:fill="D0EBF2"/>
          </w:tcPr>
          <w:p>
            <w:pPr>
              <w:spacing w:after="0"/>
              <w:rPr>
                <w:sz w:val="9"/>
                <w:szCs w:val="9"/>
                <w:color w:val="auto"/>
              </w:rPr>
            </w:pPr>
          </w:p>
        </w:tc>
        <w:tc>
          <w:tcPr>
            <w:tcW w:w="260" w:type="dxa"/>
            <w:vAlign w:val="bottom"/>
            <w:shd w:val="clear" w:color="auto" w:fill="D0EBF2"/>
          </w:tcPr>
          <w:p>
            <w:pPr>
              <w:spacing w:after="0"/>
              <w:rPr>
                <w:sz w:val="9"/>
                <w:szCs w:val="9"/>
                <w:color w:val="auto"/>
              </w:rPr>
            </w:pPr>
          </w:p>
        </w:tc>
        <w:tc>
          <w:tcPr>
            <w:tcW w:w="100" w:type="dxa"/>
            <w:vAlign w:val="bottom"/>
            <w:shd w:val="clear" w:color="auto" w:fill="D0EBF2"/>
          </w:tcPr>
          <w:p>
            <w:pPr>
              <w:spacing w:after="0"/>
              <w:rPr>
                <w:sz w:val="9"/>
                <w:szCs w:val="9"/>
                <w:color w:val="auto"/>
              </w:rPr>
            </w:pPr>
          </w:p>
        </w:tc>
        <w:tc>
          <w:tcPr>
            <w:tcW w:w="98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20" w:type="dxa"/>
            <w:vAlign w:val="bottom"/>
            <w:shd w:val="clear" w:color="auto" w:fill="D0EBF2"/>
          </w:tcPr>
          <w:p>
            <w:pPr>
              <w:spacing w:after="0"/>
              <w:rPr>
                <w:sz w:val="9"/>
                <w:szCs w:val="9"/>
                <w:color w:val="auto"/>
              </w:rPr>
            </w:pPr>
          </w:p>
        </w:tc>
        <w:tc>
          <w:tcPr>
            <w:tcW w:w="120" w:type="dxa"/>
            <w:vAlign w:val="bottom"/>
            <w:shd w:val="clear" w:color="auto" w:fill="D0EBF2"/>
          </w:tcPr>
          <w:p>
            <w:pPr>
              <w:spacing w:after="0"/>
              <w:rPr>
                <w:sz w:val="9"/>
                <w:szCs w:val="9"/>
                <w:color w:val="auto"/>
              </w:rPr>
            </w:pPr>
          </w:p>
        </w:tc>
        <w:tc>
          <w:tcPr>
            <w:tcW w:w="960" w:type="dxa"/>
            <w:vAlign w:val="bottom"/>
            <w:shd w:val="clear" w:color="auto" w:fill="D0EBF2"/>
          </w:tcPr>
          <w:p>
            <w:pPr>
              <w:spacing w:after="0"/>
              <w:rPr>
                <w:sz w:val="9"/>
                <w:szCs w:val="9"/>
                <w:color w:val="auto"/>
              </w:rPr>
            </w:pPr>
          </w:p>
        </w:tc>
        <w:tc>
          <w:tcPr>
            <w:tcW w:w="26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1000" w:type="dxa"/>
            <w:vAlign w:val="bottom"/>
            <w:shd w:val="clear" w:color="auto" w:fill="D0EBF2"/>
          </w:tcPr>
          <w:p>
            <w:pPr>
              <w:spacing w:after="0"/>
              <w:rPr>
                <w:sz w:val="9"/>
                <w:szCs w:val="9"/>
                <w:color w:val="auto"/>
              </w:rPr>
            </w:pPr>
          </w:p>
        </w:tc>
        <w:tc>
          <w:tcPr>
            <w:tcW w:w="140" w:type="dxa"/>
            <w:vAlign w:val="bottom"/>
            <w:shd w:val="clear" w:color="auto" w:fill="D0EBF2"/>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translation</w:t>
            </w:r>
          </w:p>
        </w:tc>
        <w:tc>
          <w:tcPr>
            <w:tcW w:w="120" w:type="dxa"/>
            <w:vAlign w:val="bottom"/>
            <w:shd w:val="clear" w:color="auto" w:fill="D0EBF2"/>
          </w:tcPr>
          <w:p>
            <w:pPr>
              <w:spacing w:after="0"/>
              <w:rPr>
                <w:sz w:val="11"/>
                <w:szCs w:val="11"/>
                <w:color w:val="auto"/>
              </w:rPr>
            </w:pPr>
          </w:p>
        </w:tc>
        <w:tc>
          <w:tcPr>
            <w:tcW w:w="122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540" w:type="dxa"/>
            <w:vAlign w:val="bottom"/>
            <w:shd w:val="clear" w:color="auto" w:fill="D0EBF2"/>
          </w:tcPr>
          <w:p>
            <w:pPr>
              <w:spacing w:after="0"/>
              <w:rPr>
                <w:sz w:val="11"/>
                <w:szCs w:val="11"/>
                <w:color w:val="auto"/>
              </w:rPr>
            </w:pPr>
          </w:p>
        </w:tc>
        <w:tc>
          <w:tcPr>
            <w:tcW w:w="1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1"/>
                <w:szCs w:val="11"/>
                <w:color w:val="auto"/>
              </w:rPr>
            </w:pPr>
          </w:p>
        </w:tc>
        <w:tc>
          <w:tcPr>
            <w:tcW w:w="1080" w:type="dxa"/>
            <w:vAlign w:val="bottom"/>
            <w:gridSpan w:val="2"/>
            <w:vMerge w:val="restart"/>
            <w:shd w:val="clear" w:color="auto" w:fill="D0EBF2"/>
          </w:tcPr>
          <w:p>
            <w:pPr>
              <w:jc w:val="right"/>
              <w:ind w:right="140"/>
              <w:spacing w:after="0"/>
              <w:rPr>
                <w:sz w:val="20"/>
                <w:szCs w:val="20"/>
                <w:color w:val="auto"/>
              </w:rPr>
            </w:pPr>
            <w:r>
              <w:rPr>
                <w:rFonts w:ascii="Arial" w:cs="Arial" w:eastAsia="Arial" w:hAnsi="Arial"/>
                <w:sz w:val="11"/>
                <w:szCs w:val="11"/>
                <w:color w:val="231F20"/>
              </w:rPr>
              <w:t>—</w:t>
            </w:r>
          </w:p>
        </w:tc>
        <w:tc>
          <w:tcPr>
            <w:tcW w:w="14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5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1080" w:type="dxa"/>
            <w:vAlign w:val="bottom"/>
            <w:gridSpan w:val="2"/>
            <w:vMerge w:val="restart"/>
            <w:shd w:val="clear" w:color="auto" w:fill="D0EBF2"/>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880" w:type="dxa"/>
            <w:vAlign w:val="bottom"/>
            <w:gridSpan w:val="2"/>
            <w:vMerge w:val="restart"/>
            <w:shd w:val="clear" w:color="auto" w:fill="D0EBF2"/>
          </w:tcPr>
          <w:p>
            <w:pPr>
              <w:jc w:val="right"/>
              <w:ind w:right="260"/>
              <w:spacing w:after="0"/>
              <w:rPr>
                <w:sz w:val="20"/>
                <w:szCs w:val="20"/>
                <w:color w:val="auto"/>
              </w:rPr>
            </w:pPr>
            <w:r>
              <w:rPr>
                <w:rFonts w:ascii="Arial" w:cs="Arial" w:eastAsia="Arial" w:hAnsi="Arial"/>
                <w:sz w:val="11"/>
                <w:szCs w:val="11"/>
                <w:color w:val="231F20"/>
              </w:rPr>
              <w:t>—</w:t>
            </w:r>
          </w:p>
        </w:tc>
        <w:tc>
          <w:tcPr>
            <w:tcW w:w="160" w:type="dxa"/>
            <w:vAlign w:val="bottom"/>
            <w:shd w:val="clear" w:color="auto" w:fill="D0EBF2"/>
          </w:tcPr>
          <w:p>
            <w:pPr>
              <w:spacing w:after="0"/>
              <w:rPr>
                <w:sz w:val="11"/>
                <w:szCs w:val="11"/>
                <w:color w:val="auto"/>
              </w:rPr>
            </w:pPr>
          </w:p>
        </w:tc>
        <w:tc>
          <w:tcPr>
            <w:tcW w:w="92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1120" w:type="dxa"/>
            <w:vAlign w:val="bottom"/>
            <w:gridSpan w:val="2"/>
            <w:vMerge w:val="restart"/>
            <w:shd w:val="clear" w:color="auto" w:fill="D0EBF2"/>
          </w:tcPr>
          <w:p>
            <w:pPr>
              <w:jc w:val="right"/>
              <w:ind w:right="120"/>
              <w:spacing w:after="0"/>
              <w:rPr>
                <w:sz w:val="20"/>
                <w:szCs w:val="20"/>
                <w:color w:val="auto"/>
              </w:rPr>
            </w:pPr>
            <w:r>
              <w:rPr>
                <w:rFonts w:ascii="Arial" w:cs="Arial" w:eastAsia="Arial" w:hAnsi="Arial"/>
                <w:sz w:val="11"/>
                <w:szCs w:val="11"/>
                <w:color w:val="231F20"/>
              </w:rPr>
              <w:t>(1,513)</w:t>
            </w:r>
          </w:p>
        </w:tc>
        <w:tc>
          <w:tcPr>
            <w:tcW w:w="12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1220" w:type="dxa"/>
            <w:vAlign w:val="bottom"/>
            <w:gridSpan w:val="2"/>
            <w:vMerge w:val="restart"/>
            <w:shd w:val="clear" w:color="auto" w:fill="D0EBF2"/>
          </w:tcPr>
          <w:p>
            <w:pPr>
              <w:jc w:val="right"/>
              <w:ind w:right="260"/>
              <w:spacing w:after="0"/>
              <w:rPr>
                <w:sz w:val="20"/>
                <w:szCs w:val="20"/>
                <w:color w:val="auto"/>
              </w:rPr>
            </w:pPr>
            <w:r>
              <w:rPr>
                <w:rFonts w:ascii="Arial" w:cs="Arial" w:eastAsia="Arial" w:hAnsi="Arial"/>
                <w:sz w:val="11"/>
                <w:szCs w:val="11"/>
                <w:color w:val="231F20"/>
              </w:rPr>
              <w:t>—</w:t>
            </w:r>
          </w:p>
        </w:tc>
        <w:tc>
          <w:tcPr>
            <w:tcW w:w="140" w:type="dxa"/>
            <w:vAlign w:val="bottom"/>
            <w:shd w:val="clear" w:color="auto" w:fill="D0EBF2"/>
          </w:tcPr>
          <w:p>
            <w:pPr>
              <w:spacing w:after="0"/>
              <w:rPr>
                <w:sz w:val="11"/>
                <w:szCs w:val="11"/>
                <w:color w:val="auto"/>
              </w:rPr>
            </w:pPr>
          </w:p>
        </w:tc>
        <w:tc>
          <w:tcPr>
            <w:tcW w:w="1140" w:type="dxa"/>
            <w:vAlign w:val="bottom"/>
            <w:gridSpan w:val="2"/>
            <w:vMerge w:val="restart"/>
            <w:shd w:val="clear" w:color="auto" w:fill="D0EBF2"/>
          </w:tcPr>
          <w:p>
            <w:pPr>
              <w:jc w:val="right"/>
              <w:ind w:right="100"/>
              <w:spacing w:after="0"/>
              <w:rPr>
                <w:sz w:val="20"/>
                <w:szCs w:val="20"/>
                <w:color w:val="auto"/>
              </w:rPr>
            </w:pPr>
            <w:r>
              <w:rPr>
                <w:rFonts w:ascii="Arial" w:cs="Arial" w:eastAsia="Arial" w:hAnsi="Arial"/>
                <w:sz w:val="11"/>
                <w:szCs w:val="11"/>
                <w:color w:val="231F20"/>
              </w:rPr>
              <w:t>(1,513)</w:t>
            </w:r>
          </w:p>
        </w:tc>
        <w:tc>
          <w:tcPr>
            <w:tcW w:w="0" w:type="dxa"/>
            <w:vAlign w:val="bottom"/>
          </w:tcPr>
          <w:p>
            <w:pPr>
              <w:spacing w:after="0"/>
              <w:rPr>
                <w:sz w:val="1"/>
                <w:szCs w:val="1"/>
                <w:color w:val="auto"/>
              </w:rPr>
            </w:pPr>
          </w:p>
        </w:tc>
      </w:tr>
      <w:tr>
        <w:trPr>
          <w:trHeight w:val="154"/>
        </w:trPr>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adjustment</w:t>
            </w:r>
          </w:p>
        </w:tc>
        <w:tc>
          <w:tcPr>
            <w:tcW w:w="120" w:type="dxa"/>
            <w:vAlign w:val="bottom"/>
            <w:shd w:val="clear" w:color="auto" w:fill="D0EBF2"/>
          </w:tcPr>
          <w:p>
            <w:pPr>
              <w:spacing w:after="0"/>
              <w:rPr>
                <w:sz w:val="13"/>
                <w:szCs w:val="13"/>
                <w:color w:val="auto"/>
              </w:rPr>
            </w:pPr>
          </w:p>
        </w:tc>
        <w:tc>
          <w:tcPr>
            <w:tcW w:w="1220" w:type="dxa"/>
            <w:vAlign w:val="bottom"/>
            <w:gridSpan w:val="2"/>
            <w:vMerge w:val="continue"/>
            <w:shd w:val="clear" w:color="auto" w:fill="D0EBF2"/>
          </w:tcPr>
          <w:p>
            <w:pPr>
              <w:spacing w:after="0"/>
              <w:rPr>
                <w:sz w:val="13"/>
                <w:szCs w:val="13"/>
                <w:color w:val="auto"/>
              </w:rPr>
            </w:pPr>
          </w:p>
        </w:tc>
        <w:tc>
          <w:tcPr>
            <w:tcW w:w="540" w:type="dxa"/>
            <w:vAlign w:val="bottom"/>
            <w:shd w:val="clear" w:color="auto" w:fill="D0EBF2"/>
          </w:tcPr>
          <w:p>
            <w:pPr>
              <w:spacing w:after="0"/>
              <w:rPr>
                <w:sz w:val="13"/>
                <w:szCs w:val="13"/>
                <w:color w:val="auto"/>
              </w:rPr>
            </w:pPr>
          </w:p>
        </w:tc>
        <w:tc>
          <w:tcPr>
            <w:tcW w:w="14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1080" w:type="dxa"/>
            <w:vAlign w:val="bottom"/>
            <w:gridSpan w:val="2"/>
            <w:vMerge w:val="continue"/>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58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1080" w:type="dxa"/>
            <w:vAlign w:val="bottom"/>
            <w:gridSpan w:val="2"/>
            <w:vMerge w:val="continue"/>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880" w:type="dxa"/>
            <w:vAlign w:val="bottom"/>
            <w:gridSpan w:val="2"/>
            <w:vMerge w:val="continue"/>
            <w:shd w:val="clear" w:color="auto" w:fill="D0EBF2"/>
          </w:tcPr>
          <w:p>
            <w:pPr>
              <w:spacing w:after="0"/>
              <w:rPr>
                <w:sz w:val="13"/>
                <w:szCs w:val="13"/>
                <w:color w:val="auto"/>
              </w:rPr>
            </w:pPr>
          </w:p>
        </w:tc>
        <w:tc>
          <w:tcPr>
            <w:tcW w:w="160" w:type="dxa"/>
            <w:vAlign w:val="bottom"/>
            <w:shd w:val="clear" w:color="auto" w:fill="D0EBF2"/>
          </w:tcPr>
          <w:p>
            <w:pPr>
              <w:spacing w:after="0"/>
              <w:rPr>
                <w:sz w:val="13"/>
                <w:szCs w:val="13"/>
                <w:color w:val="auto"/>
              </w:rPr>
            </w:pPr>
          </w:p>
        </w:tc>
        <w:tc>
          <w:tcPr>
            <w:tcW w:w="92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1120" w:type="dxa"/>
            <w:vAlign w:val="bottom"/>
            <w:gridSpan w:val="2"/>
            <w:vMerge w:val="continue"/>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220" w:type="dxa"/>
            <w:vAlign w:val="bottom"/>
            <w:gridSpan w:val="2"/>
            <w:vMerge w:val="continue"/>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1140" w:type="dxa"/>
            <w:vAlign w:val="bottom"/>
            <w:gridSpan w:val="2"/>
            <w:vMerge w:val="continue"/>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640" w:type="dxa"/>
            <w:vAlign w:val="bottom"/>
            <w:tcBorders>
              <w:right w:val="single" w:sz="8" w:color="231F20"/>
            </w:tcBorders>
            <w:shd w:val="clear" w:color="auto" w:fill="FDFDFC"/>
          </w:tcPr>
          <w:p>
            <w:pPr>
              <w:spacing w:after="0" w:line="106" w:lineRule="exact"/>
              <w:rPr>
                <w:sz w:val="20"/>
                <w:szCs w:val="20"/>
                <w:color w:val="auto"/>
              </w:rPr>
            </w:pPr>
            <w:r>
              <w:rPr>
                <w:rFonts w:ascii="Arial" w:cs="Arial" w:eastAsia="Arial" w:hAnsi="Arial"/>
                <w:sz w:val="11"/>
                <w:szCs w:val="11"/>
                <w:color w:val="231F20"/>
              </w:rPr>
              <w:t>Stock-based</w:t>
            </w:r>
          </w:p>
        </w:tc>
        <w:tc>
          <w:tcPr>
            <w:tcW w:w="120" w:type="dxa"/>
            <w:vAlign w:val="bottom"/>
            <w:shd w:val="clear" w:color="auto" w:fill="FDFDFC"/>
          </w:tcPr>
          <w:p>
            <w:pPr>
              <w:spacing w:after="0"/>
              <w:rPr>
                <w:sz w:val="9"/>
                <w:szCs w:val="9"/>
                <w:color w:val="auto"/>
              </w:rPr>
            </w:pPr>
          </w:p>
        </w:tc>
        <w:tc>
          <w:tcPr>
            <w:tcW w:w="122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540" w:type="dxa"/>
            <w:vAlign w:val="bottom"/>
            <w:shd w:val="clear" w:color="auto" w:fill="FDFDFC"/>
          </w:tcPr>
          <w:p>
            <w:pPr>
              <w:spacing w:after="0"/>
              <w:rPr>
                <w:sz w:val="9"/>
                <w:szCs w:val="9"/>
                <w:color w:val="auto"/>
              </w:rPr>
            </w:pPr>
          </w:p>
        </w:tc>
        <w:tc>
          <w:tcPr>
            <w:tcW w:w="1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9"/>
                <w:szCs w:val="9"/>
                <w:color w:val="auto"/>
              </w:rPr>
            </w:pPr>
          </w:p>
        </w:tc>
        <w:tc>
          <w:tcPr>
            <w:tcW w:w="1080" w:type="dxa"/>
            <w:vAlign w:val="bottom"/>
            <w:gridSpan w:val="2"/>
            <w:vMerge w:val="restart"/>
            <w:shd w:val="clear" w:color="auto" w:fill="FDFDFC"/>
          </w:tcPr>
          <w:p>
            <w:pPr>
              <w:jc w:val="right"/>
              <w:ind w:right="140"/>
              <w:spacing w:after="0"/>
              <w:rPr>
                <w:sz w:val="20"/>
                <w:szCs w:val="20"/>
                <w:color w:val="auto"/>
              </w:rPr>
            </w:pPr>
            <w:r>
              <w:rPr>
                <w:rFonts w:ascii="Arial" w:cs="Arial" w:eastAsia="Arial" w:hAnsi="Arial"/>
                <w:sz w:val="11"/>
                <w:szCs w:val="11"/>
                <w:color w:val="231F20"/>
              </w:rPr>
              <w:t>—</w:t>
            </w:r>
          </w:p>
        </w:tc>
        <w:tc>
          <w:tcPr>
            <w:tcW w:w="140" w:type="dxa"/>
            <w:vAlign w:val="bottom"/>
            <w:shd w:val="clear" w:color="auto" w:fill="FDFDFC"/>
          </w:tcPr>
          <w:p>
            <w:pPr>
              <w:spacing w:after="0"/>
              <w:rPr>
                <w:sz w:val="9"/>
                <w:szCs w:val="9"/>
                <w:color w:val="auto"/>
              </w:rPr>
            </w:pPr>
          </w:p>
        </w:tc>
        <w:tc>
          <w:tcPr>
            <w:tcW w:w="100" w:type="dxa"/>
            <w:vAlign w:val="bottom"/>
            <w:shd w:val="clear" w:color="auto" w:fill="FDFDFC"/>
          </w:tcPr>
          <w:p>
            <w:pPr>
              <w:spacing w:after="0"/>
              <w:rPr>
                <w:sz w:val="9"/>
                <w:szCs w:val="9"/>
                <w:color w:val="auto"/>
              </w:rPr>
            </w:pPr>
          </w:p>
        </w:tc>
        <w:tc>
          <w:tcPr>
            <w:tcW w:w="5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9"/>
                <w:szCs w:val="9"/>
                <w:color w:val="auto"/>
              </w:rPr>
            </w:pPr>
          </w:p>
        </w:tc>
        <w:tc>
          <w:tcPr>
            <w:tcW w:w="1080" w:type="dxa"/>
            <w:vAlign w:val="bottom"/>
            <w:gridSpan w:val="2"/>
            <w:vMerge w:val="restart"/>
            <w:shd w:val="clear" w:color="auto" w:fill="FDFDFC"/>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880" w:type="dxa"/>
            <w:vAlign w:val="bottom"/>
            <w:gridSpan w:val="2"/>
            <w:vMerge w:val="restart"/>
            <w:shd w:val="clear" w:color="auto" w:fill="FDFDFC"/>
          </w:tcPr>
          <w:p>
            <w:pPr>
              <w:jc w:val="right"/>
              <w:ind w:right="260"/>
              <w:spacing w:after="0"/>
              <w:rPr>
                <w:sz w:val="20"/>
                <w:szCs w:val="20"/>
                <w:color w:val="auto"/>
              </w:rPr>
            </w:pPr>
            <w:r>
              <w:rPr>
                <w:rFonts w:ascii="Arial" w:cs="Arial" w:eastAsia="Arial" w:hAnsi="Arial"/>
                <w:sz w:val="11"/>
                <w:szCs w:val="11"/>
                <w:color w:val="231F20"/>
              </w:rPr>
              <w:t>—</w:t>
            </w:r>
          </w:p>
        </w:tc>
        <w:tc>
          <w:tcPr>
            <w:tcW w:w="160" w:type="dxa"/>
            <w:vAlign w:val="bottom"/>
            <w:shd w:val="clear" w:color="auto" w:fill="FDFDFC"/>
          </w:tcPr>
          <w:p>
            <w:pPr>
              <w:spacing w:after="0"/>
              <w:rPr>
                <w:sz w:val="9"/>
                <w:szCs w:val="9"/>
                <w:color w:val="auto"/>
              </w:rPr>
            </w:pPr>
          </w:p>
        </w:tc>
        <w:tc>
          <w:tcPr>
            <w:tcW w:w="92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30,259</w:t>
            </w:r>
          </w:p>
        </w:tc>
        <w:tc>
          <w:tcPr>
            <w:tcW w:w="260" w:type="dxa"/>
            <w:vAlign w:val="bottom"/>
            <w:shd w:val="clear" w:color="auto" w:fill="FDFDFC"/>
          </w:tcPr>
          <w:p>
            <w:pPr>
              <w:spacing w:after="0"/>
              <w:rPr>
                <w:sz w:val="9"/>
                <w:szCs w:val="9"/>
                <w:color w:val="auto"/>
              </w:rPr>
            </w:pPr>
          </w:p>
        </w:tc>
        <w:tc>
          <w:tcPr>
            <w:tcW w:w="100" w:type="dxa"/>
            <w:vAlign w:val="bottom"/>
            <w:shd w:val="clear" w:color="auto" w:fill="FDFDFC"/>
          </w:tcPr>
          <w:p>
            <w:pPr>
              <w:spacing w:after="0"/>
              <w:rPr>
                <w:sz w:val="9"/>
                <w:szCs w:val="9"/>
                <w:color w:val="auto"/>
              </w:rPr>
            </w:pPr>
          </w:p>
        </w:tc>
        <w:tc>
          <w:tcPr>
            <w:tcW w:w="1120" w:type="dxa"/>
            <w:vAlign w:val="bottom"/>
            <w:gridSpan w:val="2"/>
            <w:vMerge w:val="restart"/>
            <w:shd w:val="clear" w:color="auto" w:fill="FDFDFC"/>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1220" w:type="dxa"/>
            <w:vAlign w:val="bottom"/>
            <w:gridSpan w:val="2"/>
            <w:vMerge w:val="restart"/>
            <w:shd w:val="clear" w:color="auto" w:fill="FDFDFC"/>
          </w:tcPr>
          <w:p>
            <w:pPr>
              <w:jc w:val="right"/>
              <w:ind w:right="260"/>
              <w:spacing w:after="0"/>
              <w:rPr>
                <w:sz w:val="20"/>
                <w:szCs w:val="20"/>
                <w:color w:val="auto"/>
              </w:rPr>
            </w:pPr>
            <w:r>
              <w:rPr>
                <w:rFonts w:ascii="Arial" w:cs="Arial" w:eastAsia="Arial" w:hAnsi="Arial"/>
                <w:sz w:val="11"/>
                <w:szCs w:val="11"/>
                <w:color w:val="231F20"/>
              </w:rPr>
              <w:t>—</w:t>
            </w:r>
          </w:p>
        </w:tc>
        <w:tc>
          <w:tcPr>
            <w:tcW w:w="140" w:type="dxa"/>
            <w:vAlign w:val="bottom"/>
            <w:shd w:val="clear" w:color="auto" w:fill="FDFDFC"/>
          </w:tcPr>
          <w:p>
            <w:pPr>
              <w:spacing w:after="0"/>
              <w:rPr>
                <w:sz w:val="9"/>
                <w:szCs w:val="9"/>
                <w:color w:val="auto"/>
              </w:rPr>
            </w:pPr>
          </w:p>
        </w:tc>
        <w:tc>
          <w:tcPr>
            <w:tcW w:w="100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30,259</w:t>
            </w:r>
          </w:p>
        </w:tc>
        <w:tc>
          <w:tcPr>
            <w:tcW w:w="140" w:type="dxa"/>
            <w:vAlign w:val="bottom"/>
            <w:shd w:val="clear" w:color="auto" w:fill="FDFD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compensation</w:t>
            </w:r>
          </w:p>
        </w:tc>
        <w:tc>
          <w:tcPr>
            <w:tcW w:w="120" w:type="dxa"/>
            <w:vAlign w:val="bottom"/>
            <w:shd w:val="clear" w:color="auto" w:fill="FDFDFC"/>
          </w:tcPr>
          <w:p>
            <w:pPr>
              <w:spacing w:after="0"/>
              <w:rPr>
                <w:sz w:val="13"/>
                <w:szCs w:val="13"/>
                <w:color w:val="auto"/>
              </w:rPr>
            </w:pPr>
          </w:p>
        </w:tc>
        <w:tc>
          <w:tcPr>
            <w:tcW w:w="1220" w:type="dxa"/>
            <w:vAlign w:val="bottom"/>
            <w:gridSpan w:val="2"/>
            <w:vMerge w:val="continue"/>
            <w:shd w:val="clear" w:color="auto" w:fill="FDFDFC"/>
          </w:tcPr>
          <w:p>
            <w:pPr>
              <w:spacing w:after="0"/>
              <w:rPr>
                <w:sz w:val="13"/>
                <w:szCs w:val="13"/>
                <w:color w:val="auto"/>
              </w:rPr>
            </w:pPr>
          </w:p>
        </w:tc>
        <w:tc>
          <w:tcPr>
            <w:tcW w:w="540" w:type="dxa"/>
            <w:vAlign w:val="bottom"/>
            <w:shd w:val="clear" w:color="auto" w:fill="FDFDFC"/>
          </w:tcPr>
          <w:p>
            <w:pPr>
              <w:spacing w:after="0"/>
              <w:rPr>
                <w:sz w:val="13"/>
                <w:szCs w:val="13"/>
                <w:color w:val="auto"/>
              </w:rPr>
            </w:pPr>
          </w:p>
        </w:tc>
        <w:tc>
          <w:tcPr>
            <w:tcW w:w="14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1080" w:type="dxa"/>
            <w:vAlign w:val="bottom"/>
            <w:gridSpan w:val="2"/>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58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108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880" w:type="dxa"/>
            <w:vAlign w:val="bottom"/>
            <w:gridSpan w:val="2"/>
            <w:vMerge w:val="continue"/>
            <w:shd w:val="clear" w:color="auto" w:fill="FDFDFC"/>
          </w:tcPr>
          <w:p>
            <w:pPr>
              <w:spacing w:after="0"/>
              <w:rPr>
                <w:sz w:val="13"/>
                <w:szCs w:val="13"/>
                <w:color w:val="auto"/>
              </w:rPr>
            </w:pPr>
          </w:p>
        </w:tc>
        <w:tc>
          <w:tcPr>
            <w:tcW w:w="160" w:type="dxa"/>
            <w:vAlign w:val="bottom"/>
            <w:shd w:val="clear" w:color="auto" w:fill="FDFDFC"/>
          </w:tcPr>
          <w:p>
            <w:pPr>
              <w:spacing w:after="0"/>
              <w:rPr>
                <w:sz w:val="13"/>
                <w:szCs w:val="13"/>
                <w:color w:val="auto"/>
              </w:rPr>
            </w:pPr>
          </w:p>
        </w:tc>
        <w:tc>
          <w:tcPr>
            <w:tcW w:w="92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112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20" w:type="dxa"/>
            <w:vAlign w:val="bottom"/>
            <w:gridSpan w:val="2"/>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1000" w:type="dxa"/>
            <w:vAlign w:val="bottom"/>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640" w:type="dxa"/>
            <w:vAlign w:val="bottom"/>
            <w:tcBorders>
              <w:right w:val="single" w:sz="8" w:color="231F20"/>
            </w:tcBorders>
            <w:shd w:val="clear" w:color="auto" w:fill="D0EBF2"/>
          </w:tcPr>
          <w:p>
            <w:pPr>
              <w:spacing w:after="0"/>
              <w:rPr>
                <w:sz w:val="20"/>
                <w:szCs w:val="20"/>
                <w:color w:val="auto"/>
              </w:rPr>
            </w:pPr>
            <w:r>
              <w:rPr>
                <w:rFonts w:ascii="Arial" w:cs="Arial" w:eastAsia="Arial" w:hAnsi="Arial"/>
                <w:sz w:val="11"/>
                <w:szCs w:val="11"/>
                <w:color w:val="231F20"/>
              </w:rPr>
              <w:t>Net loss</w:t>
            </w:r>
          </w:p>
        </w:tc>
        <w:tc>
          <w:tcPr>
            <w:tcW w:w="120" w:type="dxa"/>
            <w:vAlign w:val="bottom"/>
            <w:shd w:val="clear" w:color="auto" w:fill="D0EBF2"/>
          </w:tcPr>
          <w:p>
            <w:pPr>
              <w:spacing w:after="0"/>
              <w:rPr>
                <w:sz w:val="13"/>
                <w:szCs w:val="13"/>
                <w:color w:val="auto"/>
              </w:rPr>
            </w:pPr>
          </w:p>
        </w:tc>
        <w:tc>
          <w:tcPr>
            <w:tcW w:w="1220" w:type="dxa"/>
            <w:vAlign w:val="bottom"/>
            <w:gridSpan w:val="2"/>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540" w:type="dxa"/>
            <w:vAlign w:val="bottom"/>
            <w:shd w:val="clear" w:color="auto" w:fill="D0EBF2"/>
          </w:tcPr>
          <w:p>
            <w:pPr>
              <w:spacing w:after="0"/>
              <w:rPr>
                <w:sz w:val="13"/>
                <w:szCs w:val="13"/>
                <w:color w:val="auto"/>
              </w:rPr>
            </w:pPr>
          </w:p>
        </w:tc>
        <w:tc>
          <w:tcPr>
            <w:tcW w:w="1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3"/>
                <w:szCs w:val="13"/>
                <w:color w:val="auto"/>
              </w:rPr>
            </w:pPr>
          </w:p>
        </w:tc>
        <w:tc>
          <w:tcPr>
            <w:tcW w:w="1080" w:type="dxa"/>
            <w:vAlign w:val="bottom"/>
            <w:gridSpan w:val="2"/>
            <w:shd w:val="clear" w:color="auto" w:fill="D0EBF2"/>
          </w:tcPr>
          <w:p>
            <w:pPr>
              <w:jc w:val="right"/>
              <w:ind w:right="140"/>
              <w:spacing w:after="0"/>
              <w:rPr>
                <w:sz w:val="20"/>
                <w:szCs w:val="20"/>
                <w:color w:val="auto"/>
              </w:rPr>
            </w:pPr>
            <w:r>
              <w:rPr>
                <w:rFonts w:ascii="Arial" w:cs="Arial" w:eastAsia="Arial" w:hAnsi="Arial"/>
                <w:sz w:val="11"/>
                <w:szCs w:val="11"/>
                <w:color w:val="231F20"/>
              </w:rPr>
              <w:t>—</w:t>
            </w:r>
          </w:p>
        </w:tc>
        <w:tc>
          <w:tcPr>
            <w:tcW w:w="14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58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3"/>
                <w:szCs w:val="13"/>
                <w:color w:val="auto"/>
              </w:rPr>
            </w:pPr>
          </w:p>
        </w:tc>
        <w:tc>
          <w:tcPr>
            <w:tcW w:w="1080" w:type="dxa"/>
            <w:vAlign w:val="bottom"/>
            <w:gridSpan w:val="2"/>
            <w:shd w:val="clear" w:color="auto" w:fill="D0EBF2"/>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880" w:type="dxa"/>
            <w:vAlign w:val="bottom"/>
            <w:gridSpan w:val="2"/>
            <w:shd w:val="clear" w:color="auto" w:fill="D0EBF2"/>
          </w:tcPr>
          <w:p>
            <w:pPr>
              <w:jc w:val="right"/>
              <w:ind w:right="260"/>
              <w:spacing w:after="0"/>
              <w:rPr>
                <w:sz w:val="20"/>
                <w:szCs w:val="20"/>
                <w:color w:val="auto"/>
              </w:rPr>
            </w:pPr>
            <w:r>
              <w:rPr>
                <w:rFonts w:ascii="Arial" w:cs="Arial" w:eastAsia="Arial" w:hAnsi="Arial"/>
                <w:sz w:val="11"/>
                <w:szCs w:val="11"/>
                <w:color w:val="231F20"/>
              </w:rPr>
              <w:t>—</w:t>
            </w:r>
          </w:p>
        </w:tc>
        <w:tc>
          <w:tcPr>
            <w:tcW w:w="160" w:type="dxa"/>
            <w:vAlign w:val="bottom"/>
            <w:shd w:val="clear" w:color="auto" w:fill="D0EBF2"/>
          </w:tcPr>
          <w:p>
            <w:pPr>
              <w:spacing w:after="0"/>
              <w:rPr>
                <w:sz w:val="13"/>
                <w:szCs w:val="13"/>
                <w:color w:val="auto"/>
              </w:rPr>
            </w:pPr>
          </w:p>
        </w:tc>
        <w:tc>
          <w:tcPr>
            <w:tcW w:w="92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1120" w:type="dxa"/>
            <w:vAlign w:val="bottom"/>
            <w:gridSpan w:val="2"/>
            <w:shd w:val="clear" w:color="auto" w:fill="D0EBF2"/>
          </w:tcPr>
          <w:p>
            <w:pPr>
              <w:jc w:val="right"/>
              <w:ind w:right="14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220" w:type="dxa"/>
            <w:vAlign w:val="bottom"/>
            <w:gridSpan w:val="2"/>
            <w:shd w:val="clear" w:color="auto" w:fill="D0EBF2"/>
          </w:tcPr>
          <w:p>
            <w:pPr>
              <w:jc w:val="right"/>
              <w:ind w:right="240"/>
              <w:spacing w:after="0"/>
              <w:rPr>
                <w:sz w:val="20"/>
                <w:szCs w:val="20"/>
                <w:color w:val="auto"/>
              </w:rPr>
            </w:pPr>
            <w:r>
              <w:rPr>
                <w:rFonts w:ascii="Arial" w:cs="Arial" w:eastAsia="Arial" w:hAnsi="Arial"/>
                <w:sz w:val="11"/>
                <w:szCs w:val="11"/>
                <w:color w:val="231F20"/>
              </w:rPr>
              <w:t>(39,347)</w:t>
            </w:r>
          </w:p>
        </w:tc>
        <w:tc>
          <w:tcPr>
            <w:tcW w:w="140" w:type="dxa"/>
            <w:vAlign w:val="bottom"/>
            <w:shd w:val="clear" w:color="auto" w:fill="D0EBF2"/>
          </w:tcPr>
          <w:p>
            <w:pPr>
              <w:spacing w:after="0"/>
              <w:rPr>
                <w:sz w:val="13"/>
                <w:szCs w:val="13"/>
                <w:color w:val="auto"/>
              </w:rPr>
            </w:pPr>
          </w:p>
        </w:tc>
        <w:tc>
          <w:tcPr>
            <w:tcW w:w="1140" w:type="dxa"/>
            <w:vAlign w:val="bottom"/>
            <w:gridSpan w:val="2"/>
            <w:shd w:val="clear" w:color="auto" w:fill="D0EBF2"/>
          </w:tcPr>
          <w:p>
            <w:pPr>
              <w:jc w:val="right"/>
              <w:ind w:right="100"/>
              <w:spacing w:after="0"/>
              <w:rPr>
                <w:sz w:val="20"/>
                <w:szCs w:val="20"/>
                <w:color w:val="auto"/>
              </w:rPr>
            </w:pPr>
            <w:r>
              <w:rPr>
                <w:rFonts w:ascii="Arial" w:cs="Arial" w:eastAsia="Arial" w:hAnsi="Arial"/>
                <w:sz w:val="11"/>
                <w:szCs w:val="11"/>
                <w:color w:val="231F20"/>
              </w:rPr>
              <w:t>(39,347)</w:t>
            </w:r>
          </w:p>
        </w:tc>
        <w:tc>
          <w:tcPr>
            <w:tcW w:w="0" w:type="dxa"/>
            <w:vAlign w:val="bottom"/>
          </w:tcPr>
          <w:p>
            <w:pPr>
              <w:spacing w:after="0"/>
              <w:rPr>
                <w:sz w:val="1"/>
                <w:szCs w:val="1"/>
                <w:color w:val="auto"/>
              </w:rPr>
            </w:pPr>
          </w:p>
        </w:tc>
      </w:tr>
      <w:tr>
        <w:trPr>
          <w:trHeight w:val="76"/>
        </w:trPr>
        <w:tc>
          <w:tcPr>
            <w:tcW w:w="1640" w:type="dxa"/>
            <w:vAlign w:val="bottom"/>
            <w:tcBorders>
              <w:top w:val="single" w:sz="8" w:color="D0EBF2"/>
              <w:right w:val="single" w:sz="8" w:color="231F20"/>
            </w:tcBorders>
            <w:shd w:val="clear" w:color="auto" w:fill="FDFDFC"/>
          </w:tcPr>
          <w:p>
            <w:pPr>
              <w:spacing w:after="0" w:line="76" w:lineRule="exact"/>
              <w:rPr>
                <w:sz w:val="20"/>
                <w:szCs w:val="20"/>
                <w:color w:val="auto"/>
              </w:rPr>
            </w:pPr>
            <w:r>
              <w:rPr>
                <w:rFonts w:ascii="Arial" w:cs="Arial" w:eastAsia="Arial" w:hAnsi="Arial"/>
                <w:sz w:val="8"/>
                <w:szCs w:val="8"/>
                <w:b w:val="1"/>
                <w:bCs w:val="1"/>
                <w:color w:val="231F20"/>
              </w:rPr>
              <w:t>Balances at December</w:t>
            </w:r>
          </w:p>
        </w:tc>
        <w:tc>
          <w:tcPr>
            <w:tcW w:w="120" w:type="dxa"/>
            <w:vAlign w:val="bottom"/>
            <w:tcBorders>
              <w:top w:val="single" w:sz="8" w:color="D0EBF2"/>
            </w:tcBorders>
            <w:shd w:val="clear" w:color="auto" w:fill="FDFDFC"/>
          </w:tcPr>
          <w:p>
            <w:pPr>
              <w:spacing w:after="0"/>
              <w:rPr>
                <w:sz w:val="6"/>
                <w:szCs w:val="6"/>
                <w:color w:val="auto"/>
              </w:rPr>
            </w:pPr>
          </w:p>
        </w:tc>
        <w:tc>
          <w:tcPr>
            <w:tcW w:w="940" w:type="dxa"/>
            <w:vAlign w:val="bottom"/>
            <w:tcBorders>
              <w:top w:val="single" w:sz="8" w:color="231F20"/>
            </w:tcBorders>
            <w:shd w:val="clear" w:color="auto" w:fill="FDFDFC"/>
          </w:tcPr>
          <w:p>
            <w:pPr>
              <w:spacing w:after="0"/>
              <w:rPr>
                <w:sz w:val="6"/>
                <w:szCs w:val="6"/>
                <w:color w:val="auto"/>
              </w:rPr>
            </w:pPr>
          </w:p>
        </w:tc>
        <w:tc>
          <w:tcPr>
            <w:tcW w:w="280" w:type="dxa"/>
            <w:vAlign w:val="bottom"/>
            <w:tcBorders>
              <w:top w:val="single" w:sz="8" w:color="D0EBF2"/>
            </w:tcBorders>
            <w:shd w:val="clear" w:color="auto" w:fill="FDFDFC"/>
          </w:tcPr>
          <w:p>
            <w:pPr>
              <w:spacing w:after="0"/>
              <w:rPr>
                <w:sz w:val="6"/>
                <w:szCs w:val="6"/>
                <w:color w:val="auto"/>
              </w:rPr>
            </w:pPr>
          </w:p>
        </w:tc>
        <w:tc>
          <w:tcPr>
            <w:tcW w:w="540" w:type="dxa"/>
            <w:vAlign w:val="bottom"/>
            <w:tcBorders>
              <w:top w:val="single" w:sz="8" w:color="231F20"/>
            </w:tcBorders>
            <w:shd w:val="clear" w:color="auto" w:fill="FDFDFC"/>
          </w:tcPr>
          <w:p>
            <w:pPr>
              <w:spacing w:after="0"/>
              <w:rPr>
                <w:sz w:val="6"/>
                <w:szCs w:val="6"/>
                <w:color w:val="auto"/>
              </w:rPr>
            </w:pPr>
          </w:p>
        </w:tc>
        <w:tc>
          <w:tcPr>
            <w:tcW w:w="140" w:type="dxa"/>
            <w:vAlign w:val="bottom"/>
            <w:tcBorders>
              <w:top w:val="single" w:sz="8" w:color="231F20"/>
            </w:tcBorders>
            <w:shd w:val="clear" w:color="auto" w:fill="FDFDFC"/>
          </w:tcPr>
          <w:p>
            <w:pPr>
              <w:spacing w:after="0"/>
              <w:rPr>
                <w:sz w:val="6"/>
                <w:szCs w:val="6"/>
                <w:color w:val="auto"/>
              </w:rPr>
            </w:pPr>
          </w:p>
        </w:tc>
        <w:tc>
          <w:tcPr>
            <w:tcW w:w="260" w:type="dxa"/>
            <w:vAlign w:val="bottom"/>
            <w:tcBorders>
              <w:top w:val="single" w:sz="8" w:color="D0EBF2"/>
            </w:tcBorders>
            <w:shd w:val="clear" w:color="auto" w:fill="FDFDFC"/>
          </w:tcPr>
          <w:p>
            <w:pPr>
              <w:spacing w:after="0"/>
              <w:rPr>
                <w:sz w:val="6"/>
                <w:szCs w:val="6"/>
                <w:color w:val="auto"/>
              </w:rPr>
            </w:pPr>
          </w:p>
        </w:tc>
        <w:tc>
          <w:tcPr>
            <w:tcW w:w="940" w:type="dxa"/>
            <w:vAlign w:val="bottom"/>
            <w:tcBorders>
              <w:top w:val="single" w:sz="8" w:color="231F20"/>
            </w:tcBorders>
            <w:shd w:val="clear" w:color="auto" w:fill="FDFDFC"/>
          </w:tcPr>
          <w:p>
            <w:pPr>
              <w:spacing w:after="0"/>
              <w:rPr>
                <w:sz w:val="6"/>
                <w:szCs w:val="6"/>
                <w:color w:val="auto"/>
              </w:rPr>
            </w:pPr>
          </w:p>
        </w:tc>
        <w:tc>
          <w:tcPr>
            <w:tcW w:w="140" w:type="dxa"/>
            <w:vAlign w:val="bottom"/>
            <w:tcBorders>
              <w:top w:val="single" w:sz="8" w:color="D0EBF2"/>
            </w:tcBorders>
            <w:shd w:val="clear" w:color="auto" w:fill="FDFDFC"/>
          </w:tcPr>
          <w:p>
            <w:pPr>
              <w:spacing w:after="0"/>
              <w:rPr>
                <w:sz w:val="6"/>
                <w:szCs w:val="6"/>
                <w:color w:val="auto"/>
              </w:rPr>
            </w:pPr>
          </w:p>
        </w:tc>
        <w:tc>
          <w:tcPr>
            <w:tcW w:w="140" w:type="dxa"/>
            <w:vAlign w:val="bottom"/>
            <w:tcBorders>
              <w:top w:val="single" w:sz="8" w:color="D0EBF2"/>
            </w:tcBorders>
            <w:shd w:val="clear" w:color="auto" w:fill="FDFDFC"/>
          </w:tcPr>
          <w:p>
            <w:pPr>
              <w:spacing w:after="0"/>
              <w:rPr>
                <w:sz w:val="6"/>
                <w:szCs w:val="6"/>
                <w:color w:val="auto"/>
              </w:rPr>
            </w:pPr>
          </w:p>
        </w:tc>
        <w:tc>
          <w:tcPr>
            <w:tcW w:w="100" w:type="dxa"/>
            <w:vAlign w:val="bottom"/>
            <w:tcBorders>
              <w:top w:val="single" w:sz="8" w:color="231F20"/>
            </w:tcBorders>
            <w:shd w:val="clear" w:color="auto" w:fill="FDFDFC"/>
          </w:tcPr>
          <w:p>
            <w:pPr>
              <w:spacing w:after="0"/>
              <w:rPr>
                <w:sz w:val="6"/>
                <w:szCs w:val="6"/>
                <w:color w:val="auto"/>
              </w:rPr>
            </w:pPr>
          </w:p>
        </w:tc>
        <w:tc>
          <w:tcPr>
            <w:tcW w:w="580" w:type="dxa"/>
            <w:vAlign w:val="bottom"/>
            <w:tcBorders>
              <w:top w:val="single" w:sz="8" w:color="231F20"/>
            </w:tcBorders>
            <w:shd w:val="clear" w:color="auto" w:fill="FDFDFC"/>
          </w:tcPr>
          <w:p>
            <w:pPr>
              <w:spacing w:after="0"/>
              <w:rPr>
                <w:sz w:val="6"/>
                <w:szCs w:val="6"/>
                <w:color w:val="auto"/>
              </w:rPr>
            </w:pPr>
          </w:p>
        </w:tc>
        <w:tc>
          <w:tcPr>
            <w:tcW w:w="280" w:type="dxa"/>
            <w:vAlign w:val="bottom"/>
            <w:tcBorders>
              <w:top w:val="single" w:sz="8" w:color="D0EBF2"/>
            </w:tcBorders>
            <w:shd w:val="clear" w:color="auto" w:fill="FDFDFC"/>
          </w:tcPr>
          <w:p>
            <w:pPr>
              <w:spacing w:after="0"/>
              <w:rPr>
                <w:sz w:val="6"/>
                <w:szCs w:val="6"/>
                <w:color w:val="auto"/>
              </w:rPr>
            </w:pPr>
          </w:p>
        </w:tc>
        <w:tc>
          <w:tcPr>
            <w:tcW w:w="940" w:type="dxa"/>
            <w:vAlign w:val="bottom"/>
            <w:tcBorders>
              <w:top w:val="single" w:sz="8" w:color="231F20"/>
            </w:tcBorders>
            <w:shd w:val="clear" w:color="auto" w:fill="FDFDFC"/>
          </w:tcPr>
          <w:p>
            <w:pPr>
              <w:spacing w:after="0"/>
              <w:rPr>
                <w:sz w:val="6"/>
                <w:szCs w:val="6"/>
                <w:color w:val="auto"/>
              </w:rPr>
            </w:pPr>
          </w:p>
        </w:tc>
        <w:tc>
          <w:tcPr>
            <w:tcW w:w="140" w:type="dxa"/>
            <w:vAlign w:val="bottom"/>
            <w:tcBorders>
              <w:top w:val="single" w:sz="8" w:color="D0EBF2"/>
            </w:tcBorders>
            <w:shd w:val="clear" w:color="auto" w:fill="FDFDFC"/>
          </w:tcPr>
          <w:p>
            <w:pPr>
              <w:spacing w:after="0"/>
              <w:rPr>
                <w:sz w:val="6"/>
                <w:szCs w:val="6"/>
                <w:color w:val="auto"/>
              </w:rPr>
            </w:pPr>
          </w:p>
        </w:tc>
        <w:tc>
          <w:tcPr>
            <w:tcW w:w="120" w:type="dxa"/>
            <w:vAlign w:val="bottom"/>
            <w:tcBorders>
              <w:top w:val="single" w:sz="8" w:color="D0EBF2"/>
            </w:tcBorders>
            <w:shd w:val="clear" w:color="auto" w:fill="FDFDFC"/>
          </w:tcPr>
          <w:p>
            <w:pPr>
              <w:spacing w:after="0"/>
              <w:rPr>
                <w:sz w:val="6"/>
                <w:szCs w:val="6"/>
                <w:color w:val="auto"/>
              </w:rPr>
            </w:pPr>
          </w:p>
        </w:tc>
        <w:tc>
          <w:tcPr>
            <w:tcW w:w="120" w:type="dxa"/>
            <w:vAlign w:val="bottom"/>
            <w:tcBorders>
              <w:top w:val="single" w:sz="8" w:color="231F20"/>
            </w:tcBorders>
            <w:shd w:val="clear" w:color="auto" w:fill="FDFDFC"/>
          </w:tcPr>
          <w:p>
            <w:pPr>
              <w:spacing w:after="0"/>
              <w:rPr>
                <w:sz w:val="6"/>
                <w:szCs w:val="6"/>
                <w:color w:val="auto"/>
              </w:rPr>
            </w:pPr>
          </w:p>
        </w:tc>
        <w:tc>
          <w:tcPr>
            <w:tcW w:w="620" w:type="dxa"/>
            <w:vAlign w:val="bottom"/>
            <w:tcBorders>
              <w:top w:val="single" w:sz="8" w:color="231F20"/>
            </w:tcBorders>
            <w:shd w:val="clear" w:color="auto" w:fill="FDFDFC"/>
          </w:tcPr>
          <w:p>
            <w:pPr>
              <w:spacing w:after="0"/>
              <w:rPr>
                <w:sz w:val="6"/>
                <w:szCs w:val="6"/>
                <w:color w:val="auto"/>
              </w:rPr>
            </w:pPr>
          </w:p>
        </w:tc>
        <w:tc>
          <w:tcPr>
            <w:tcW w:w="260" w:type="dxa"/>
            <w:vAlign w:val="bottom"/>
            <w:tcBorders>
              <w:top w:val="single" w:sz="8" w:color="D0EBF2"/>
            </w:tcBorders>
            <w:shd w:val="clear" w:color="auto" w:fill="FDFDFC"/>
          </w:tcPr>
          <w:p>
            <w:pPr>
              <w:spacing w:after="0"/>
              <w:rPr>
                <w:sz w:val="6"/>
                <w:szCs w:val="6"/>
                <w:color w:val="auto"/>
              </w:rPr>
            </w:pPr>
          </w:p>
        </w:tc>
        <w:tc>
          <w:tcPr>
            <w:tcW w:w="160" w:type="dxa"/>
            <w:vAlign w:val="bottom"/>
            <w:tcBorders>
              <w:top w:val="single" w:sz="8" w:color="231F20"/>
            </w:tcBorders>
            <w:shd w:val="clear" w:color="auto" w:fill="FDFDFC"/>
          </w:tcPr>
          <w:p>
            <w:pPr>
              <w:spacing w:after="0"/>
              <w:rPr>
                <w:sz w:val="6"/>
                <w:szCs w:val="6"/>
                <w:color w:val="auto"/>
              </w:rPr>
            </w:pPr>
          </w:p>
        </w:tc>
        <w:tc>
          <w:tcPr>
            <w:tcW w:w="920" w:type="dxa"/>
            <w:vAlign w:val="bottom"/>
            <w:tcBorders>
              <w:top w:val="single" w:sz="8" w:color="231F20"/>
            </w:tcBorders>
            <w:shd w:val="clear" w:color="auto" w:fill="FDFDFC"/>
          </w:tcPr>
          <w:p>
            <w:pPr>
              <w:spacing w:after="0"/>
              <w:rPr>
                <w:sz w:val="6"/>
                <w:szCs w:val="6"/>
                <w:color w:val="auto"/>
              </w:rPr>
            </w:pPr>
          </w:p>
        </w:tc>
        <w:tc>
          <w:tcPr>
            <w:tcW w:w="260" w:type="dxa"/>
            <w:vAlign w:val="bottom"/>
            <w:tcBorders>
              <w:top w:val="single" w:sz="8" w:color="D0EBF2"/>
            </w:tcBorders>
            <w:shd w:val="clear" w:color="auto" w:fill="FDFDFC"/>
          </w:tcPr>
          <w:p>
            <w:pPr>
              <w:spacing w:after="0"/>
              <w:rPr>
                <w:sz w:val="6"/>
                <w:szCs w:val="6"/>
                <w:color w:val="auto"/>
              </w:rPr>
            </w:pPr>
          </w:p>
        </w:tc>
        <w:tc>
          <w:tcPr>
            <w:tcW w:w="100" w:type="dxa"/>
            <w:vAlign w:val="bottom"/>
            <w:tcBorders>
              <w:top w:val="single" w:sz="8" w:color="231F20"/>
            </w:tcBorders>
            <w:shd w:val="clear" w:color="auto" w:fill="FDFDFC"/>
          </w:tcPr>
          <w:p>
            <w:pPr>
              <w:spacing w:after="0"/>
              <w:rPr>
                <w:sz w:val="6"/>
                <w:szCs w:val="6"/>
                <w:color w:val="auto"/>
              </w:rPr>
            </w:pPr>
          </w:p>
        </w:tc>
        <w:tc>
          <w:tcPr>
            <w:tcW w:w="980" w:type="dxa"/>
            <w:vAlign w:val="bottom"/>
            <w:tcBorders>
              <w:top w:val="single" w:sz="8" w:color="231F20"/>
            </w:tcBorders>
            <w:shd w:val="clear" w:color="auto" w:fill="FDFDFC"/>
          </w:tcPr>
          <w:p>
            <w:pPr>
              <w:spacing w:after="0"/>
              <w:rPr>
                <w:sz w:val="6"/>
                <w:szCs w:val="6"/>
                <w:color w:val="auto"/>
              </w:rPr>
            </w:pPr>
          </w:p>
        </w:tc>
        <w:tc>
          <w:tcPr>
            <w:tcW w:w="140" w:type="dxa"/>
            <w:vAlign w:val="bottom"/>
            <w:tcBorders>
              <w:top w:val="single" w:sz="8" w:color="D0EBF2"/>
            </w:tcBorders>
            <w:shd w:val="clear" w:color="auto" w:fill="FDFDFC"/>
          </w:tcPr>
          <w:p>
            <w:pPr>
              <w:spacing w:after="0"/>
              <w:rPr>
                <w:sz w:val="6"/>
                <w:szCs w:val="6"/>
                <w:color w:val="auto"/>
              </w:rPr>
            </w:pPr>
          </w:p>
        </w:tc>
        <w:tc>
          <w:tcPr>
            <w:tcW w:w="120" w:type="dxa"/>
            <w:vAlign w:val="bottom"/>
            <w:tcBorders>
              <w:top w:val="single" w:sz="8" w:color="D0EBF2"/>
            </w:tcBorders>
            <w:shd w:val="clear" w:color="auto" w:fill="FDFDFC"/>
          </w:tcPr>
          <w:p>
            <w:pPr>
              <w:spacing w:after="0"/>
              <w:rPr>
                <w:sz w:val="6"/>
                <w:szCs w:val="6"/>
                <w:color w:val="auto"/>
              </w:rPr>
            </w:pPr>
          </w:p>
        </w:tc>
        <w:tc>
          <w:tcPr>
            <w:tcW w:w="120" w:type="dxa"/>
            <w:vAlign w:val="bottom"/>
            <w:tcBorders>
              <w:top w:val="single" w:sz="8" w:color="231F20"/>
            </w:tcBorders>
            <w:shd w:val="clear" w:color="auto" w:fill="FDFDFC"/>
          </w:tcPr>
          <w:p>
            <w:pPr>
              <w:spacing w:after="0"/>
              <w:rPr>
                <w:sz w:val="6"/>
                <w:szCs w:val="6"/>
                <w:color w:val="auto"/>
              </w:rPr>
            </w:pPr>
          </w:p>
        </w:tc>
        <w:tc>
          <w:tcPr>
            <w:tcW w:w="960" w:type="dxa"/>
            <w:vAlign w:val="bottom"/>
            <w:tcBorders>
              <w:top w:val="single" w:sz="8" w:color="231F20"/>
            </w:tcBorders>
            <w:shd w:val="clear" w:color="auto" w:fill="FDFDFC"/>
          </w:tcPr>
          <w:p>
            <w:pPr>
              <w:spacing w:after="0"/>
              <w:rPr>
                <w:sz w:val="6"/>
                <w:szCs w:val="6"/>
                <w:color w:val="auto"/>
              </w:rPr>
            </w:pPr>
          </w:p>
        </w:tc>
        <w:tc>
          <w:tcPr>
            <w:tcW w:w="260" w:type="dxa"/>
            <w:vAlign w:val="bottom"/>
            <w:tcBorders>
              <w:top w:val="single" w:sz="8" w:color="D0EBF2"/>
            </w:tcBorders>
            <w:shd w:val="clear" w:color="auto" w:fill="FDFDFC"/>
          </w:tcPr>
          <w:p>
            <w:pPr>
              <w:spacing w:after="0"/>
              <w:rPr>
                <w:sz w:val="6"/>
                <w:szCs w:val="6"/>
                <w:color w:val="auto"/>
              </w:rPr>
            </w:pPr>
          </w:p>
        </w:tc>
        <w:tc>
          <w:tcPr>
            <w:tcW w:w="140" w:type="dxa"/>
            <w:vAlign w:val="bottom"/>
            <w:tcBorders>
              <w:top w:val="single" w:sz="8" w:color="231F20"/>
            </w:tcBorders>
            <w:shd w:val="clear" w:color="auto" w:fill="FDFDFC"/>
          </w:tcPr>
          <w:p>
            <w:pPr>
              <w:spacing w:after="0"/>
              <w:rPr>
                <w:sz w:val="6"/>
                <w:szCs w:val="6"/>
                <w:color w:val="auto"/>
              </w:rPr>
            </w:pPr>
          </w:p>
        </w:tc>
        <w:tc>
          <w:tcPr>
            <w:tcW w:w="1000" w:type="dxa"/>
            <w:vAlign w:val="bottom"/>
            <w:tcBorders>
              <w:top w:val="single" w:sz="8" w:color="231F20"/>
            </w:tcBorders>
            <w:shd w:val="clear" w:color="auto" w:fill="FDFDFC"/>
          </w:tcPr>
          <w:p>
            <w:pPr>
              <w:spacing w:after="0"/>
              <w:rPr>
                <w:sz w:val="6"/>
                <w:szCs w:val="6"/>
                <w:color w:val="auto"/>
              </w:rPr>
            </w:pPr>
          </w:p>
        </w:tc>
        <w:tc>
          <w:tcPr>
            <w:tcW w:w="140" w:type="dxa"/>
            <w:vAlign w:val="bottom"/>
            <w:tcBorders>
              <w:top w:val="single" w:sz="8" w:color="D0EBF2"/>
            </w:tcBorders>
            <w:shd w:val="clear" w:color="auto" w:fill="FDFDFC"/>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b w:val="1"/>
                <w:bCs w:val="1"/>
                <w:color w:val="231F20"/>
              </w:rPr>
              <w:t>31, 2022</w:t>
            </w:r>
          </w:p>
        </w:tc>
        <w:tc>
          <w:tcPr>
            <w:tcW w:w="120" w:type="dxa"/>
            <w:vAlign w:val="bottom"/>
            <w:shd w:val="clear" w:color="auto" w:fill="FDFDFC"/>
          </w:tcPr>
          <w:p>
            <w:pPr>
              <w:spacing w:after="0"/>
              <w:rPr>
                <w:sz w:val="13"/>
                <w:szCs w:val="13"/>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109,790,702</w:t>
            </w:r>
          </w:p>
        </w:tc>
        <w:tc>
          <w:tcPr>
            <w:tcW w:w="280" w:type="dxa"/>
            <w:vAlign w:val="bottom"/>
            <w:shd w:val="clear" w:color="auto" w:fill="FDFDFC"/>
          </w:tcPr>
          <w:p>
            <w:pPr>
              <w:spacing w:after="0"/>
              <w:rPr>
                <w:sz w:val="13"/>
                <w:szCs w:val="13"/>
                <w:color w:val="auto"/>
              </w:rPr>
            </w:pPr>
          </w:p>
        </w:tc>
        <w:tc>
          <w:tcPr>
            <w:tcW w:w="540" w:type="dxa"/>
            <w:vAlign w:val="bottom"/>
            <w:shd w:val="clear" w:color="auto" w:fill="FDFDFC"/>
          </w:tcPr>
          <w:p>
            <w:pPr>
              <w:jc w:val="right"/>
              <w:ind w:right="427"/>
              <w:spacing w:after="0"/>
              <w:rPr>
                <w:sz w:val="20"/>
                <w:szCs w:val="20"/>
                <w:color w:val="auto"/>
              </w:rPr>
            </w:pPr>
            <w:r>
              <w:rPr>
                <w:rFonts w:ascii="Arial" w:cs="Arial" w:eastAsia="Arial" w:hAnsi="Arial"/>
                <w:sz w:val="10"/>
                <w:szCs w:val="10"/>
                <w:color w:val="231F20"/>
                <w:w w:val="71"/>
              </w:rPr>
              <w:t>$</w:t>
            </w:r>
          </w:p>
        </w:tc>
        <w:tc>
          <w:tcPr>
            <w:tcW w:w="140" w:type="dxa"/>
            <w:vAlign w:val="bottom"/>
            <w:shd w:val="clear" w:color="auto" w:fill="FDFDFC"/>
          </w:tcPr>
          <w:p>
            <w:pPr>
              <w:jc w:val="right"/>
              <w:spacing w:after="0"/>
              <w:rPr>
                <w:sz w:val="20"/>
                <w:szCs w:val="20"/>
                <w:color w:val="auto"/>
              </w:rPr>
            </w:pPr>
            <w:r>
              <w:rPr>
                <w:rFonts w:ascii="Arial" w:cs="Arial" w:eastAsia="Arial" w:hAnsi="Arial"/>
                <w:sz w:val="11"/>
                <w:szCs w:val="11"/>
                <w:color w:val="231F20"/>
                <w:w w:val="97"/>
              </w:rPr>
              <w:t>10</w:t>
            </w:r>
          </w:p>
        </w:tc>
        <w:tc>
          <w:tcPr>
            <w:tcW w:w="260" w:type="dxa"/>
            <w:vAlign w:val="bottom"/>
            <w:shd w:val="clear" w:color="auto" w:fill="FDFDFC"/>
          </w:tcPr>
          <w:p>
            <w:pPr>
              <w:spacing w:after="0"/>
              <w:rPr>
                <w:sz w:val="13"/>
                <w:szCs w:val="13"/>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1,873,320</w:t>
            </w:r>
          </w:p>
        </w:tc>
        <w:tc>
          <w:tcPr>
            <w:tcW w:w="140" w:type="dxa"/>
            <w:vAlign w:val="bottom"/>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100" w:type="dxa"/>
            <w:vAlign w:val="bottom"/>
            <w:shd w:val="clear" w:color="auto" w:fill="FDFDFC"/>
          </w:tcPr>
          <w:p>
            <w:pPr>
              <w:jc w:val="right"/>
              <w:spacing w:after="0"/>
              <w:rPr>
                <w:sz w:val="20"/>
                <w:szCs w:val="20"/>
                <w:color w:val="auto"/>
              </w:rPr>
            </w:pPr>
            <w:r>
              <w:rPr>
                <w:rFonts w:ascii="Arial" w:cs="Arial" w:eastAsia="Arial" w:hAnsi="Arial"/>
                <w:sz w:val="10"/>
                <w:szCs w:val="10"/>
                <w:color w:val="231F20"/>
                <w:w w:val="71"/>
              </w:rPr>
              <w:t>$</w:t>
            </w:r>
          </w:p>
        </w:tc>
        <w:tc>
          <w:tcPr>
            <w:tcW w:w="58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1</w:t>
            </w:r>
          </w:p>
        </w:tc>
        <w:tc>
          <w:tcPr>
            <w:tcW w:w="280" w:type="dxa"/>
            <w:vAlign w:val="bottom"/>
            <w:shd w:val="clear" w:color="auto" w:fill="FDFDFC"/>
          </w:tcPr>
          <w:p>
            <w:pPr>
              <w:spacing w:after="0"/>
              <w:rPr>
                <w:sz w:val="13"/>
                <w:szCs w:val="13"/>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(2,317,722)</w:t>
            </w:r>
          </w:p>
        </w:tc>
        <w:tc>
          <w:tcPr>
            <w:tcW w:w="14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0" w:type="dxa"/>
            <w:vAlign w:val="bottom"/>
            <w:shd w:val="clear" w:color="auto" w:fill="FDFDFC"/>
          </w:tcPr>
          <w:p>
            <w:pPr>
              <w:jc w:val="right"/>
              <w:ind w:right="9"/>
              <w:spacing w:after="0"/>
              <w:rPr>
                <w:sz w:val="20"/>
                <w:szCs w:val="20"/>
                <w:color w:val="auto"/>
              </w:rPr>
            </w:pPr>
            <w:r>
              <w:rPr>
                <w:rFonts w:ascii="Arial" w:cs="Arial" w:eastAsia="Arial" w:hAnsi="Arial"/>
                <w:sz w:val="10"/>
                <w:szCs w:val="10"/>
                <w:color w:val="231F20"/>
                <w:w w:val="71"/>
              </w:rPr>
              <w:t>$</w:t>
            </w:r>
          </w:p>
        </w:tc>
        <w:tc>
          <w:tcPr>
            <w:tcW w:w="62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(748)</w:t>
            </w:r>
          </w:p>
        </w:tc>
        <w:tc>
          <w:tcPr>
            <w:tcW w:w="260" w:type="dxa"/>
            <w:vAlign w:val="bottom"/>
            <w:shd w:val="clear" w:color="auto" w:fill="FDFDFC"/>
          </w:tcPr>
          <w:p>
            <w:pPr>
              <w:spacing w:after="0"/>
              <w:rPr>
                <w:sz w:val="13"/>
                <w:szCs w:val="13"/>
                <w:color w:val="auto"/>
              </w:rPr>
            </w:pPr>
          </w:p>
        </w:tc>
        <w:tc>
          <w:tcPr>
            <w:tcW w:w="160" w:type="dxa"/>
            <w:vAlign w:val="bottom"/>
            <w:shd w:val="clear" w:color="auto" w:fill="FDFDFC"/>
          </w:tcPr>
          <w:p>
            <w:pPr>
              <w:jc w:val="right"/>
              <w:ind w:right="23"/>
              <w:spacing w:after="0"/>
              <w:rPr>
                <w:sz w:val="20"/>
                <w:szCs w:val="20"/>
                <w:color w:val="auto"/>
              </w:rPr>
            </w:pPr>
            <w:r>
              <w:rPr>
                <w:rFonts w:ascii="Arial" w:cs="Arial" w:eastAsia="Arial" w:hAnsi="Arial"/>
                <w:sz w:val="11"/>
                <w:szCs w:val="11"/>
                <w:color w:val="231F20"/>
                <w:w w:val="97"/>
              </w:rPr>
              <w:t>$</w:t>
            </w:r>
          </w:p>
        </w:tc>
        <w:tc>
          <w:tcPr>
            <w:tcW w:w="92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649,756</w:t>
            </w:r>
          </w:p>
        </w:tc>
        <w:tc>
          <w:tcPr>
            <w:tcW w:w="260" w:type="dxa"/>
            <w:vAlign w:val="bottom"/>
            <w:shd w:val="clear" w:color="auto" w:fill="FDFDFC"/>
          </w:tcPr>
          <w:p>
            <w:pPr>
              <w:spacing w:after="0"/>
              <w:rPr>
                <w:sz w:val="13"/>
                <w:szCs w:val="13"/>
                <w:color w:val="auto"/>
              </w:rPr>
            </w:pPr>
          </w:p>
        </w:tc>
        <w:tc>
          <w:tcPr>
            <w:tcW w:w="100" w:type="dxa"/>
            <w:vAlign w:val="bottom"/>
            <w:shd w:val="clear" w:color="auto" w:fill="FDFDFC"/>
          </w:tcPr>
          <w:p>
            <w:pPr>
              <w:jc w:val="right"/>
              <w:spacing w:after="0"/>
              <w:rPr>
                <w:sz w:val="20"/>
                <w:szCs w:val="20"/>
                <w:color w:val="auto"/>
              </w:rPr>
            </w:pPr>
            <w:r>
              <w:rPr>
                <w:rFonts w:ascii="Arial" w:cs="Arial" w:eastAsia="Arial" w:hAnsi="Arial"/>
                <w:sz w:val="10"/>
                <w:szCs w:val="10"/>
                <w:color w:val="231F20"/>
                <w:w w:val="71"/>
              </w:rPr>
              <w:t>$</w:t>
            </w:r>
          </w:p>
        </w:tc>
        <w:tc>
          <w:tcPr>
            <w:tcW w:w="98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(1,912)</w:t>
            </w:r>
          </w:p>
        </w:tc>
        <w:tc>
          <w:tcPr>
            <w:tcW w:w="14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0" w:type="dxa"/>
            <w:vAlign w:val="bottom"/>
            <w:shd w:val="clear" w:color="auto" w:fill="FDFDFC"/>
          </w:tcPr>
          <w:p>
            <w:pPr>
              <w:jc w:val="right"/>
              <w:ind w:right="9"/>
              <w:spacing w:after="0"/>
              <w:rPr>
                <w:sz w:val="20"/>
                <w:szCs w:val="20"/>
                <w:color w:val="auto"/>
              </w:rPr>
            </w:pPr>
            <w:r>
              <w:rPr>
                <w:rFonts w:ascii="Arial" w:cs="Arial" w:eastAsia="Arial" w:hAnsi="Arial"/>
                <w:sz w:val="10"/>
                <w:szCs w:val="10"/>
                <w:color w:val="231F20"/>
                <w:w w:val="71"/>
              </w:rPr>
              <w:t>$</w:t>
            </w:r>
          </w:p>
        </w:tc>
        <w:tc>
          <w:tcPr>
            <w:tcW w:w="96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(165,204)</w:t>
            </w:r>
          </w:p>
        </w:tc>
        <w:tc>
          <w:tcPr>
            <w:tcW w:w="260" w:type="dxa"/>
            <w:vAlign w:val="bottom"/>
            <w:shd w:val="clear" w:color="auto" w:fill="FDFDFC"/>
          </w:tcPr>
          <w:p>
            <w:pPr>
              <w:spacing w:after="0"/>
              <w:rPr>
                <w:sz w:val="13"/>
                <w:szCs w:val="13"/>
                <w:color w:val="auto"/>
              </w:rPr>
            </w:pPr>
          </w:p>
        </w:tc>
        <w:tc>
          <w:tcPr>
            <w:tcW w:w="140" w:type="dxa"/>
            <w:vAlign w:val="bottom"/>
            <w:shd w:val="clear" w:color="auto" w:fill="FDFDFC"/>
          </w:tcPr>
          <w:p>
            <w:pPr>
              <w:jc w:val="right"/>
              <w:ind w:right="29"/>
              <w:spacing w:after="0"/>
              <w:rPr>
                <w:sz w:val="20"/>
                <w:szCs w:val="20"/>
                <w:color w:val="auto"/>
              </w:rPr>
            </w:pPr>
            <w:r>
              <w:rPr>
                <w:rFonts w:ascii="Arial" w:cs="Arial" w:eastAsia="Arial" w:hAnsi="Arial"/>
                <w:sz w:val="10"/>
                <w:szCs w:val="10"/>
                <w:color w:val="231F20"/>
                <w:w w:val="71"/>
              </w:rPr>
              <w:t>$</w:t>
            </w:r>
          </w:p>
        </w:tc>
        <w:tc>
          <w:tcPr>
            <w:tcW w:w="100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481,903</w:t>
            </w:r>
          </w:p>
        </w:tc>
        <w:tc>
          <w:tcPr>
            <w:tcW w:w="14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5840" w:h="12240" w:orient="landscape"/>
          <w:cols w:equalWidth="0" w:num="1">
            <w:col w:w="13600"/>
          </w:cols>
          <w:pgMar w:left="1120" w:top="1398" w:right="112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112</w:t>
      </w:r>
    </w:p>
    <w:p>
      <w:pPr>
        <w:sectPr>
          <w:pgSz w:w="15840" w:h="12240" w:orient="landscape"/>
          <w:cols w:equalWidth="0" w:num="1">
            <w:col w:w="13600"/>
          </w:cols>
          <w:pgMar w:left="1120" w:top="1398" w:right="1120" w:bottom="508" w:gutter="0" w:footer="0" w:header="0"/>
          <w:type w:val="continuous"/>
        </w:sectPr>
      </w:pPr>
    </w:p>
    <w:bookmarkStart w:id="113" w:name="page114"/>
    <w:bookmarkEnd w:id="113"/>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D0EBF2"/>
          </w:tcPr>
          <w:p>
            <w:pPr>
              <w:spacing w:after="0"/>
              <w:rPr>
                <w:sz w:val="20"/>
                <w:szCs w:val="20"/>
                <w:color w:val="auto"/>
              </w:rPr>
            </w:pPr>
            <w:r>
              <w:rPr>
                <w:rFonts w:ascii="Arial" w:cs="Arial" w:eastAsia="Arial" w:hAnsi="Arial"/>
                <w:sz w:val="11"/>
                <w:szCs w:val="11"/>
                <w:color w:val="231F20"/>
              </w:rPr>
              <w:t>Issuance of common</w:t>
            </w:r>
          </w:p>
        </w:tc>
        <w:tc>
          <w:tcPr>
            <w:tcW w:w="120" w:type="dxa"/>
            <w:vAlign w:val="bottom"/>
            <w:shd w:val="clear" w:color="auto" w:fill="D0EBF2"/>
          </w:tcPr>
          <w:p>
            <w:pPr>
              <w:spacing w:after="0"/>
              <w:rPr>
                <w:sz w:val="10"/>
                <w:szCs w:val="10"/>
                <w:color w:val="auto"/>
              </w:rPr>
            </w:pPr>
          </w:p>
        </w:tc>
        <w:tc>
          <w:tcPr>
            <w:tcW w:w="94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94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720" w:type="dxa"/>
            <w:vAlign w:val="bottom"/>
            <w:shd w:val="clear" w:color="auto" w:fill="D0EBF2"/>
          </w:tcPr>
          <w:p>
            <w:pPr>
              <w:spacing w:after="0"/>
              <w:rPr>
                <w:sz w:val="10"/>
                <w:szCs w:val="10"/>
                <w:color w:val="auto"/>
              </w:rPr>
            </w:pPr>
          </w:p>
        </w:tc>
        <w:tc>
          <w:tcPr>
            <w:tcW w:w="22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200" w:type="dxa"/>
            <w:vAlign w:val="bottom"/>
            <w:shd w:val="clear" w:color="auto" w:fill="D0EBF2"/>
          </w:tcPr>
          <w:p>
            <w:pPr>
              <w:spacing w:after="0"/>
              <w:rPr>
                <w:sz w:val="10"/>
                <w:szCs w:val="10"/>
                <w:color w:val="auto"/>
              </w:rPr>
            </w:pPr>
          </w:p>
        </w:tc>
        <w:tc>
          <w:tcPr>
            <w:tcW w:w="54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320" w:type="dxa"/>
            <w:vAlign w:val="bottom"/>
            <w:shd w:val="clear" w:color="auto" w:fill="D0EBF2"/>
          </w:tcPr>
          <w:p>
            <w:pPr>
              <w:spacing w:after="0"/>
              <w:rPr>
                <w:sz w:val="10"/>
                <w:szCs w:val="10"/>
                <w:color w:val="auto"/>
              </w:rPr>
            </w:pPr>
          </w:p>
        </w:tc>
        <w:tc>
          <w:tcPr>
            <w:tcW w:w="76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680" w:type="dxa"/>
            <w:vAlign w:val="bottom"/>
            <w:shd w:val="clear" w:color="auto" w:fill="D0EBF2"/>
          </w:tcPr>
          <w:p>
            <w:pPr>
              <w:spacing w:after="0"/>
              <w:rPr>
                <w:sz w:val="10"/>
                <w:szCs w:val="10"/>
                <w:color w:val="auto"/>
              </w:rPr>
            </w:pPr>
          </w:p>
        </w:tc>
        <w:tc>
          <w:tcPr>
            <w:tcW w:w="140" w:type="dxa"/>
            <w:vAlign w:val="bottom"/>
            <w:shd w:val="clear" w:color="auto" w:fill="D0EBF2"/>
          </w:tcPr>
          <w:p>
            <w:pPr>
              <w:spacing w:after="0"/>
              <w:rPr>
                <w:sz w:val="10"/>
                <w:szCs w:val="10"/>
                <w:color w:val="auto"/>
              </w:rPr>
            </w:pPr>
          </w:p>
        </w:tc>
        <w:tc>
          <w:tcPr>
            <w:tcW w:w="120" w:type="dxa"/>
            <w:vAlign w:val="bottom"/>
            <w:shd w:val="clear" w:color="auto" w:fill="D0EBF2"/>
          </w:tcPr>
          <w:p>
            <w:pPr>
              <w:spacing w:after="0"/>
              <w:rPr>
                <w:sz w:val="10"/>
                <w:szCs w:val="10"/>
                <w:color w:val="auto"/>
              </w:rPr>
            </w:pPr>
          </w:p>
        </w:tc>
        <w:tc>
          <w:tcPr>
            <w:tcW w:w="340" w:type="dxa"/>
            <w:vAlign w:val="bottom"/>
            <w:shd w:val="clear" w:color="auto" w:fill="D0EBF2"/>
          </w:tcPr>
          <w:p>
            <w:pPr>
              <w:spacing w:after="0"/>
              <w:rPr>
                <w:sz w:val="10"/>
                <w:szCs w:val="10"/>
                <w:color w:val="auto"/>
              </w:rPr>
            </w:pPr>
          </w:p>
        </w:tc>
        <w:tc>
          <w:tcPr>
            <w:tcW w:w="74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740" w:type="dxa"/>
            <w:vAlign w:val="bottom"/>
            <w:shd w:val="clear" w:color="auto" w:fill="D0EBF2"/>
          </w:tcPr>
          <w:p>
            <w:pPr>
              <w:spacing w:after="0"/>
              <w:rPr>
                <w:sz w:val="10"/>
                <w:szCs w:val="10"/>
                <w:color w:val="auto"/>
              </w:rPr>
            </w:pPr>
          </w:p>
        </w:tc>
        <w:tc>
          <w:tcPr>
            <w:tcW w:w="140" w:type="dxa"/>
            <w:vAlign w:val="bottom"/>
            <w:shd w:val="clear" w:color="auto" w:fill="D0EBF2"/>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stock in connection</w:t>
            </w:r>
          </w:p>
        </w:tc>
        <w:tc>
          <w:tcPr>
            <w:tcW w:w="12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720" w:type="dxa"/>
            <w:vAlign w:val="bottom"/>
            <w:shd w:val="clear" w:color="auto" w:fill="D0EBF2"/>
          </w:tcPr>
          <w:p>
            <w:pPr>
              <w:spacing w:after="0"/>
              <w:rPr>
                <w:sz w:val="11"/>
                <w:szCs w:val="11"/>
                <w:color w:val="auto"/>
              </w:rPr>
            </w:pPr>
          </w:p>
        </w:tc>
        <w:tc>
          <w:tcPr>
            <w:tcW w:w="2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200" w:type="dxa"/>
            <w:vAlign w:val="bottom"/>
            <w:shd w:val="clear" w:color="auto" w:fill="D0EBF2"/>
          </w:tcPr>
          <w:p>
            <w:pPr>
              <w:spacing w:after="0"/>
              <w:rPr>
                <w:sz w:val="11"/>
                <w:szCs w:val="11"/>
                <w:color w:val="auto"/>
              </w:rPr>
            </w:pPr>
          </w:p>
        </w:tc>
        <w:tc>
          <w:tcPr>
            <w:tcW w:w="5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320" w:type="dxa"/>
            <w:vAlign w:val="bottom"/>
            <w:shd w:val="clear" w:color="auto" w:fill="D0EBF2"/>
          </w:tcPr>
          <w:p>
            <w:pPr>
              <w:spacing w:after="0"/>
              <w:rPr>
                <w:sz w:val="11"/>
                <w:szCs w:val="11"/>
                <w:color w:val="auto"/>
              </w:rPr>
            </w:pPr>
          </w:p>
        </w:tc>
        <w:tc>
          <w:tcPr>
            <w:tcW w:w="76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68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with public offering,</w:t>
            </w:r>
          </w:p>
        </w:tc>
        <w:tc>
          <w:tcPr>
            <w:tcW w:w="12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720" w:type="dxa"/>
            <w:vAlign w:val="bottom"/>
            <w:shd w:val="clear" w:color="auto" w:fill="D0EBF2"/>
          </w:tcPr>
          <w:p>
            <w:pPr>
              <w:spacing w:after="0"/>
              <w:rPr>
                <w:sz w:val="11"/>
                <w:szCs w:val="11"/>
                <w:color w:val="auto"/>
              </w:rPr>
            </w:pPr>
          </w:p>
        </w:tc>
        <w:tc>
          <w:tcPr>
            <w:tcW w:w="2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200" w:type="dxa"/>
            <w:vAlign w:val="bottom"/>
            <w:shd w:val="clear" w:color="auto" w:fill="D0EBF2"/>
          </w:tcPr>
          <w:p>
            <w:pPr>
              <w:spacing w:after="0"/>
              <w:rPr>
                <w:sz w:val="11"/>
                <w:szCs w:val="11"/>
                <w:color w:val="auto"/>
              </w:rPr>
            </w:pPr>
          </w:p>
        </w:tc>
        <w:tc>
          <w:tcPr>
            <w:tcW w:w="5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320" w:type="dxa"/>
            <w:vAlign w:val="bottom"/>
            <w:shd w:val="clear" w:color="auto" w:fill="D0EBF2"/>
          </w:tcPr>
          <w:p>
            <w:pPr>
              <w:spacing w:after="0"/>
              <w:rPr>
                <w:sz w:val="11"/>
                <w:szCs w:val="11"/>
                <w:color w:val="auto"/>
              </w:rPr>
            </w:pPr>
          </w:p>
        </w:tc>
        <w:tc>
          <w:tcPr>
            <w:tcW w:w="76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68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net of</w:t>
            </w:r>
          </w:p>
        </w:tc>
        <w:tc>
          <w:tcPr>
            <w:tcW w:w="12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720" w:type="dxa"/>
            <w:vAlign w:val="bottom"/>
            <w:shd w:val="clear" w:color="auto" w:fill="D0EBF2"/>
          </w:tcPr>
          <w:p>
            <w:pPr>
              <w:spacing w:after="0"/>
              <w:rPr>
                <w:sz w:val="11"/>
                <w:szCs w:val="11"/>
                <w:color w:val="auto"/>
              </w:rPr>
            </w:pPr>
          </w:p>
        </w:tc>
        <w:tc>
          <w:tcPr>
            <w:tcW w:w="2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200" w:type="dxa"/>
            <w:vAlign w:val="bottom"/>
            <w:shd w:val="clear" w:color="auto" w:fill="D0EBF2"/>
          </w:tcPr>
          <w:p>
            <w:pPr>
              <w:spacing w:after="0"/>
              <w:rPr>
                <w:sz w:val="11"/>
                <w:szCs w:val="11"/>
                <w:color w:val="auto"/>
              </w:rPr>
            </w:pPr>
          </w:p>
        </w:tc>
        <w:tc>
          <w:tcPr>
            <w:tcW w:w="5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320" w:type="dxa"/>
            <w:vAlign w:val="bottom"/>
            <w:shd w:val="clear" w:color="auto" w:fill="D0EBF2"/>
          </w:tcPr>
          <w:p>
            <w:pPr>
              <w:spacing w:after="0"/>
              <w:rPr>
                <w:sz w:val="11"/>
                <w:szCs w:val="11"/>
                <w:color w:val="auto"/>
              </w:rPr>
            </w:pPr>
          </w:p>
        </w:tc>
        <w:tc>
          <w:tcPr>
            <w:tcW w:w="76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68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underwriter</w:t>
            </w:r>
          </w:p>
        </w:tc>
        <w:tc>
          <w:tcPr>
            <w:tcW w:w="12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720" w:type="dxa"/>
            <w:vAlign w:val="bottom"/>
            <w:shd w:val="clear" w:color="auto" w:fill="D0EBF2"/>
          </w:tcPr>
          <w:p>
            <w:pPr>
              <w:spacing w:after="0"/>
              <w:rPr>
                <w:sz w:val="11"/>
                <w:szCs w:val="11"/>
                <w:color w:val="auto"/>
              </w:rPr>
            </w:pPr>
          </w:p>
        </w:tc>
        <w:tc>
          <w:tcPr>
            <w:tcW w:w="2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200" w:type="dxa"/>
            <w:vAlign w:val="bottom"/>
            <w:shd w:val="clear" w:color="auto" w:fill="D0EBF2"/>
          </w:tcPr>
          <w:p>
            <w:pPr>
              <w:spacing w:after="0"/>
              <w:rPr>
                <w:sz w:val="11"/>
                <w:szCs w:val="11"/>
                <w:color w:val="auto"/>
              </w:rPr>
            </w:pPr>
          </w:p>
        </w:tc>
        <w:tc>
          <w:tcPr>
            <w:tcW w:w="5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320" w:type="dxa"/>
            <w:vAlign w:val="bottom"/>
            <w:shd w:val="clear" w:color="auto" w:fill="D0EBF2"/>
          </w:tcPr>
          <w:p>
            <w:pPr>
              <w:spacing w:after="0"/>
              <w:rPr>
                <w:sz w:val="11"/>
                <w:szCs w:val="11"/>
                <w:color w:val="auto"/>
              </w:rPr>
            </w:pPr>
          </w:p>
        </w:tc>
        <w:tc>
          <w:tcPr>
            <w:tcW w:w="76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68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discounts and</w:t>
            </w:r>
          </w:p>
        </w:tc>
        <w:tc>
          <w:tcPr>
            <w:tcW w:w="12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720" w:type="dxa"/>
            <w:vAlign w:val="bottom"/>
            <w:shd w:val="clear" w:color="auto" w:fill="D0EBF2"/>
          </w:tcPr>
          <w:p>
            <w:pPr>
              <w:spacing w:after="0"/>
              <w:rPr>
                <w:sz w:val="11"/>
                <w:szCs w:val="11"/>
                <w:color w:val="auto"/>
              </w:rPr>
            </w:pPr>
          </w:p>
        </w:tc>
        <w:tc>
          <w:tcPr>
            <w:tcW w:w="2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200" w:type="dxa"/>
            <w:vAlign w:val="bottom"/>
            <w:shd w:val="clear" w:color="auto" w:fill="D0EBF2"/>
          </w:tcPr>
          <w:p>
            <w:pPr>
              <w:spacing w:after="0"/>
              <w:rPr>
                <w:sz w:val="11"/>
                <w:szCs w:val="11"/>
                <w:color w:val="auto"/>
              </w:rPr>
            </w:pPr>
          </w:p>
        </w:tc>
        <w:tc>
          <w:tcPr>
            <w:tcW w:w="5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320" w:type="dxa"/>
            <w:vAlign w:val="bottom"/>
            <w:shd w:val="clear" w:color="auto" w:fill="D0EBF2"/>
          </w:tcPr>
          <w:p>
            <w:pPr>
              <w:spacing w:after="0"/>
              <w:rPr>
                <w:sz w:val="11"/>
                <w:szCs w:val="11"/>
                <w:color w:val="auto"/>
              </w:rPr>
            </w:pPr>
          </w:p>
        </w:tc>
        <w:tc>
          <w:tcPr>
            <w:tcW w:w="76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68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commissions</w:t>
            </w:r>
          </w:p>
        </w:tc>
        <w:tc>
          <w:tcPr>
            <w:tcW w:w="1060" w:type="dxa"/>
            <w:vAlign w:val="bottom"/>
            <w:gridSpan w:val="2"/>
            <w:shd w:val="clear" w:color="auto" w:fill="D0EBF2"/>
          </w:tcPr>
          <w:p>
            <w:pPr>
              <w:jc w:val="right"/>
              <w:spacing w:after="0"/>
              <w:rPr>
                <w:sz w:val="20"/>
                <w:szCs w:val="20"/>
                <w:color w:val="auto"/>
              </w:rPr>
            </w:pPr>
            <w:r>
              <w:rPr>
                <w:rFonts w:ascii="Arial" w:cs="Arial" w:eastAsia="Arial" w:hAnsi="Arial"/>
                <w:sz w:val="11"/>
                <w:szCs w:val="11"/>
                <w:color w:val="231F20"/>
              </w:rPr>
              <w:t>8,500,000</w:t>
            </w: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1</w:t>
            </w:r>
          </w:p>
        </w:tc>
        <w:tc>
          <w:tcPr>
            <w:tcW w:w="260" w:type="dxa"/>
            <w:vAlign w:val="bottom"/>
            <w:shd w:val="clear" w:color="auto" w:fill="D0EBF2"/>
          </w:tcPr>
          <w:p>
            <w:pPr>
              <w:spacing w:after="0"/>
              <w:rPr>
                <w:sz w:val="13"/>
                <w:szCs w:val="13"/>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3"/>
                <w:szCs w:val="13"/>
                <w:color w:val="auto"/>
              </w:rPr>
            </w:pPr>
          </w:p>
        </w:tc>
        <w:tc>
          <w:tcPr>
            <w:tcW w:w="720" w:type="dxa"/>
            <w:vAlign w:val="bottom"/>
            <w:shd w:val="clear" w:color="auto" w:fill="D0EBF2"/>
          </w:tcPr>
          <w:p>
            <w:pPr>
              <w:spacing w:after="0"/>
              <w:rPr>
                <w:sz w:val="13"/>
                <w:szCs w:val="13"/>
                <w:color w:val="auto"/>
              </w:rPr>
            </w:pPr>
          </w:p>
        </w:tc>
        <w:tc>
          <w:tcPr>
            <w:tcW w:w="480" w:type="dxa"/>
            <w:vAlign w:val="bottom"/>
            <w:gridSpan w:val="2"/>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D0EBF2"/>
          </w:tcPr>
          <w:p>
            <w:pPr>
              <w:spacing w:after="0"/>
              <w:rPr>
                <w:sz w:val="13"/>
                <w:szCs w:val="13"/>
                <w:color w:val="auto"/>
              </w:rPr>
            </w:pPr>
          </w:p>
        </w:tc>
        <w:tc>
          <w:tcPr>
            <w:tcW w:w="800" w:type="dxa"/>
            <w:vAlign w:val="bottom"/>
            <w:gridSpan w:val="2"/>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D0EBF2"/>
          </w:tcPr>
          <w:p>
            <w:pPr>
              <w:spacing w:after="0"/>
              <w:rPr>
                <w:sz w:val="13"/>
                <w:szCs w:val="13"/>
                <w:color w:val="auto"/>
              </w:rPr>
            </w:pPr>
          </w:p>
        </w:tc>
        <w:tc>
          <w:tcPr>
            <w:tcW w:w="76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261,119</w:t>
            </w:r>
          </w:p>
        </w:tc>
        <w:tc>
          <w:tcPr>
            <w:tcW w:w="260" w:type="dxa"/>
            <w:vAlign w:val="bottom"/>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820" w:type="dxa"/>
            <w:vAlign w:val="bottom"/>
            <w:gridSpan w:val="2"/>
            <w:shd w:val="clear" w:color="auto" w:fill="D0EBF2"/>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3"/>
                <w:szCs w:val="13"/>
                <w:color w:val="auto"/>
              </w:rPr>
            </w:pPr>
          </w:p>
        </w:tc>
        <w:tc>
          <w:tcPr>
            <w:tcW w:w="340" w:type="dxa"/>
            <w:vAlign w:val="bottom"/>
            <w:shd w:val="clear" w:color="auto" w:fill="D0EBF2"/>
          </w:tcPr>
          <w:p>
            <w:pPr>
              <w:spacing w:after="0"/>
              <w:rPr>
                <w:sz w:val="13"/>
                <w:szCs w:val="13"/>
                <w:color w:val="auto"/>
              </w:rPr>
            </w:pPr>
          </w:p>
        </w:tc>
        <w:tc>
          <w:tcPr>
            <w:tcW w:w="1000" w:type="dxa"/>
            <w:vAlign w:val="bottom"/>
            <w:gridSpan w:val="2"/>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D0EBF2"/>
          </w:tcPr>
          <w:p>
            <w:pPr>
              <w:spacing w:after="0"/>
              <w:rPr>
                <w:sz w:val="13"/>
                <w:szCs w:val="13"/>
                <w:color w:val="auto"/>
              </w:rPr>
            </w:pPr>
          </w:p>
        </w:tc>
        <w:tc>
          <w:tcPr>
            <w:tcW w:w="7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261,120</w:t>
            </w:r>
          </w:p>
        </w:tc>
        <w:tc>
          <w:tcPr>
            <w:tcW w:w="14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FDFDFC"/>
          </w:tcPr>
          <w:p>
            <w:pPr>
              <w:spacing w:after="0" w:line="120" w:lineRule="exact"/>
              <w:rPr>
                <w:sz w:val="20"/>
                <w:szCs w:val="20"/>
                <w:color w:val="auto"/>
              </w:rPr>
            </w:pPr>
            <w:r>
              <w:rPr>
                <w:rFonts w:ascii="Arial" w:cs="Arial" w:eastAsia="Arial" w:hAnsi="Arial"/>
                <w:sz w:val="11"/>
                <w:szCs w:val="11"/>
                <w:color w:val="231F20"/>
              </w:rPr>
              <w:t>Costs incurred in</w:t>
            </w:r>
          </w:p>
        </w:tc>
        <w:tc>
          <w:tcPr>
            <w:tcW w:w="120" w:type="dxa"/>
            <w:vAlign w:val="bottom"/>
            <w:shd w:val="clear" w:color="auto" w:fill="FDFDFC"/>
          </w:tcPr>
          <w:p>
            <w:pPr>
              <w:spacing w:after="0"/>
              <w:rPr>
                <w:sz w:val="10"/>
                <w:szCs w:val="10"/>
                <w:color w:val="auto"/>
              </w:rPr>
            </w:pPr>
          </w:p>
        </w:tc>
        <w:tc>
          <w:tcPr>
            <w:tcW w:w="94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94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720" w:type="dxa"/>
            <w:vAlign w:val="bottom"/>
            <w:shd w:val="clear" w:color="auto" w:fill="FDFDFC"/>
          </w:tcPr>
          <w:p>
            <w:pPr>
              <w:spacing w:after="0"/>
              <w:rPr>
                <w:sz w:val="10"/>
                <w:szCs w:val="10"/>
                <w:color w:val="auto"/>
              </w:rPr>
            </w:pPr>
          </w:p>
        </w:tc>
        <w:tc>
          <w:tcPr>
            <w:tcW w:w="22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200" w:type="dxa"/>
            <w:vAlign w:val="bottom"/>
            <w:shd w:val="clear" w:color="auto" w:fill="FDFDFC"/>
          </w:tcPr>
          <w:p>
            <w:pPr>
              <w:spacing w:after="0"/>
              <w:rPr>
                <w:sz w:val="10"/>
                <w:szCs w:val="10"/>
                <w:color w:val="auto"/>
              </w:rPr>
            </w:pPr>
          </w:p>
        </w:tc>
        <w:tc>
          <w:tcPr>
            <w:tcW w:w="54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320" w:type="dxa"/>
            <w:vAlign w:val="bottom"/>
            <w:shd w:val="clear" w:color="auto" w:fill="FDFDFC"/>
          </w:tcPr>
          <w:p>
            <w:pPr>
              <w:spacing w:after="0"/>
              <w:rPr>
                <w:sz w:val="10"/>
                <w:szCs w:val="10"/>
                <w:color w:val="auto"/>
              </w:rPr>
            </w:pPr>
          </w:p>
        </w:tc>
        <w:tc>
          <w:tcPr>
            <w:tcW w:w="76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400" w:type="dxa"/>
            <w:vAlign w:val="bottom"/>
            <w:shd w:val="clear" w:color="auto" w:fill="FDFDFC"/>
          </w:tcPr>
          <w:p>
            <w:pPr>
              <w:spacing w:after="0"/>
              <w:rPr>
                <w:sz w:val="10"/>
                <w:szCs w:val="10"/>
                <w:color w:val="auto"/>
              </w:rPr>
            </w:pPr>
          </w:p>
        </w:tc>
        <w:tc>
          <w:tcPr>
            <w:tcW w:w="68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120" w:type="dxa"/>
            <w:vAlign w:val="bottom"/>
            <w:shd w:val="clear" w:color="auto" w:fill="FDFDFC"/>
          </w:tcPr>
          <w:p>
            <w:pPr>
              <w:spacing w:after="0"/>
              <w:rPr>
                <w:sz w:val="10"/>
                <w:szCs w:val="10"/>
                <w:color w:val="auto"/>
              </w:rPr>
            </w:pPr>
          </w:p>
        </w:tc>
        <w:tc>
          <w:tcPr>
            <w:tcW w:w="340" w:type="dxa"/>
            <w:vAlign w:val="bottom"/>
            <w:shd w:val="clear" w:color="auto" w:fill="FDFDFC"/>
          </w:tcPr>
          <w:p>
            <w:pPr>
              <w:spacing w:after="0"/>
              <w:rPr>
                <w:sz w:val="10"/>
                <w:szCs w:val="10"/>
                <w:color w:val="auto"/>
              </w:rPr>
            </w:pPr>
          </w:p>
        </w:tc>
        <w:tc>
          <w:tcPr>
            <w:tcW w:w="74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400" w:type="dxa"/>
            <w:vAlign w:val="bottom"/>
            <w:shd w:val="clear" w:color="auto" w:fill="FDFDFC"/>
          </w:tcPr>
          <w:p>
            <w:pPr>
              <w:spacing w:after="0"/>
              <w:rPr>
                <w:sz w:val="10"/>
                <w:szCs w:val="10"/>
                <w:color w:val="auto"/>
              </w:rPr>
            </w:pPr>
          </w:p>
        </w:tc>
        <w:tc>
          <w:tcPr>
            <w:tcW w:w="74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connection with</w:t>
            </w:r>
          </w:p>
        </w:tc>
        <w:tc>
          <w:tcPr>
            <w:tcW w:w="120" w:type="dxa"/>
            <w:vAlign w:val="bottom"/>
            <w:shd w:val="clear" w:color="auto" w:fill="FDFDFC"/>
          </w:tcPr>
          <w:p>
            <w:pPr>
              <w:spacing w:after="0"/>
              <w:rPr>
                <w:sz w:val="11"/>
                <w:szCs w:val="11"/>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300" w:type="dxa"/>
            <w:vAlign w:val="bottom"/>
            <w:shd w:val="clear" w:color="auto" w:fill="FDFDFC"/>
          </w:tcPr>
          <w:p>
            <w:pPr>
              <w:spacing w:after="0"/>
              <w:rPr>
                <w:sz w:val="11"/>
                <w:szCs w:val="11"/>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1"/>
                <w:szCs w:val="11"/>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300" w:type="dxa"/>
            <w:vAlign w:val="bottom"/>
            <w:shd w:val="clear" w:color="auto" w:fill="FDFDFC"/>
          </w:tcPr>
          <w:p>
            <w:pPr>
              <w:spacing w:after="0"/>
              <w:rPr>
                <w:sz w:val="11"/>
                <w:szCs w:val="11"/>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720" w:type="dxa"/>
            <w:vAlign w:val="bottom"/>
            <w:shd w:val="clear" w:color="auto" w:fill="FDFDFC"/>
          </w:tcPr>
          <w:p>
            <w:pPr>
              <w:spacing w:after="0"/>
              <w:rPr>
                <w:sz w:val="11"/>
                <w:szCs w:val="11"/>
                <w:color w:val="auto"/>
              </w:rPr>
            </w:pPr>
          </w:p>
        </w:tc>
        <w:tc>
          <w:tcPr>
            <w:tcW w:w="48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FDFDFC"/>
          </w:tcPr>
          <w:p>
            <w:pPr>
              <w:spacing w:after="0"/>
              <w:rPr>
                <w:sz w:val="11"/>
                <w:szCs w:val="11"/>
                <w:color w:val="auto"/>
              </w:rPr>
            </w:pPr>
          </w:p>
        </w:tc>
        <w:tc>
          <w:tcPr>
            <w:tcW w:w="8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FDFDFC"/>
          </w:tcPr>
          <w:p>
            <w:pPr>
              <w:spacing w:after="0"/>
              <w:rPr>
                <w:sz w:val="11"/>
                <w:szCs w:val="11"/>
                <w:color w:val="auto"/>
              </w:rPr>
            </w:pPr>
          </w:p>
        </w:tc>
        <w:tc>
          <w:tcPr>
            <w:tcW w:w="76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(1,062)</w:t>
            </w:r>
          </w:p>
        </w:tc>
        <w:tc>
          <w:tcPr>
            <w:tcW w:w="260" w:type="dxa"/>
            <w:vAlign w:val="bottom"/>
            <w:shd w:val="clear" w:color="auto" w:fill="FDFDFC"/>
          </w:tcPr>
          <w:p>
            <w:pPr>
              <w:spacing w:after="0"/>
              <w:rPr>
                <w:sz w:val="11"/>
                <w:szCs w:val="11"/>
                <w:color w:val="auto"/>
              </w:rPr>
            </w:pPr>
          </w:p>
        </w:tc>
        <w:tc>
          <w:tcPr>
            <w:tcW w:w="400" w:type="dxa"/>
            <w:vAlign w:val="bottom"/>
            <w:shd w:val="clear" w:color="auto" w:fill="FDFDFC"/>
          </w:tcPr>
          <w:p>
            <w:pPr>
              <w:spacing w:after="0"/>
              <w:rPr>
                <w:sz w:val="11"/>
                <w:szCs w:val="11"/>
                <w:color w:val="auto"/>
              </w:rPr>
            </w:pPr>
          </w:p>
        </w:tc>
        <w:tc>
          <w:tcPr>
            <w:tcW w:w="820" w:type="dxa"/>
            <w:vAlign w:val="bottom"/>
            <w:gridSpan w:val="2"/>
            <w:vMerge w:val="restart"/>
            <w:shd w:val="clear" w:color="auto" w:fill="FDFDFC"/>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11"/>
                <w:szCs w:val="11"/>
                <w:color w:val="auto"/>
              </w:rPr>
            </w:pPr>
          </w:p>
        </w:tc>
        <w:tc>
          <w:tcPr>
            <w:tcW w:w="340" w:type="dxa"/>
            <w:vAlign w:val="bottom"/>
            <w:shd w:val="clear" w:color="auto" w:fill="FDFDFC"/>
          </w:tcPr>
          <w:p>
            <w:pPr>
              <w:spacing w:after="0"/>
              <w:rPr>
                <w:sz w:val="11"/>
                <w:szCs w:val="11"/>
                <w:color w:val="auto"/>
              </w:rPr>
            </w:pPr>
          </w:p>
        </w:tc>
        <w:tc>
          <w:tcPr>
            <w:tcW w:w="10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FDFDFC"/>
          </w:tcPr>
          <w:p>
            <w:pPr>
              <w:spacing w:after="0"/>
              <w:rPr>
                <w:sz w:val="11"/>
                <w:szCs w:val="11"/>
                <w:color w:val="auto"/>
              </w:rPr>
            </w:pPr>
          </w:p>
        </w:tc>
        <w:tc>
          <w:tcPr>
            <w:tcW w:w="880" w:type="dxa"/>
            <w:vAlign w:val="bottom"/>
            <w:gridSpan w:val="2"/>
            <w:vMerge w:val="restart"/>
            <w:shd w:val="clear" w:color="auto" w:fill="FDFDFC"/>
          </w:tcPr>
          <w:p>
            <w:pPr>
              <w:jc w:val="right"/>
              <w:ind w:right="100"/>
              <w:spacing w:after="0"/>
              <w:rPr>
                <w:sz w:val="20"/>
                <w:szCs w:val="20"/>
                <w:color w:val="auto"/>
              </w:rPr>
            </w:pPr>
            <w:r>
              <w:rPr>
                <w:rFonts w:ascii="Arial" w:cs="Arial" w:eastAsia="Arial" w:hAnsi="Arial"/>
                <w:sz w:val="11"/>
                <w:szCs w:val="11"/>
                <w:color w:val="231F20"/>
              </w:rPr>
              <w:t>(1,062)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public offering</w:t>
            </w:r>
          </w:p>
        </w:tc>
        <w:tc>
          <w:tcPr>
            <w:tcW w:w="120" w:type="dxa"/>
            <w:vAlign w:val="bottom"/>
            <w:shd w:val="clear" w:color="auto" w:fill="FDFDFC"/>
          </w:tcPr>
          <w:p>
            <w:pPr>
              <w:spacing w:after="0"/>
              <w:rPr>
                <w:sz w:val="13"/>
                <w:szCs w:val="13"/>
                <w:color w:val="auto"/>
              </w:rPr>
            </w:pPr>
          </w:p>
        </w:tc>
        <w:tc>
          <w:tcPr>
            <w:tcW w:w="94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94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720" w:type="dxa"/>
            <w:vAlign w:val="bottom"/>
            <w:shd w:val="clear" w:color="auto" w:fill="FDFDFC"/>
          </w:tcPr>
          <w:p>
            <w:pPr>
              <w:spacing w:after="0"/>
              <w:rPr>
                <w:sz w:val="13"/>
                <w:szCs w:val="13"/>
                <w:color w:val="auto"/>
              </w:rPr>
            </w:pPr>
          </w:p>
        </w:tc>
        <w:tc>
          <w:tcPr>
            <w:tcW w:w="480" w:type="dxa"/>
            <w:vAlign w:val="bottom"/>
            <w:gridSpan w:val="2"/>
            <w:vMerge w:val="continue"/>
            <w:shd w:val="clear" w:color="auto" w:fill="FDFDFC"/>
          </w:tcPr>
          <w:p>
            <w:pPr>
              <w:spacing w:after="0"/>
              <w:rPr>
                <w:sz w:val="13"/>
                <w:szCs w:val="13"/>
                <w:color w:val="auto"/>
              </w:rPr>
            </w:pPr>
          </w:p>
        </w:tc>
        <w:tc>
          <w:tcPr>
            <w:tcW w:w="200" w:type="dxa"/>
            <w:vAlign w:val="bottom"/>
            <w:shd w:val="clear" w:color="auto" w:fill="FDFDFC"/>
          </w:tcPr>
          <w:p>
            <w:pPr>
              <w:spacing w:after="0"/>
              <w:rPr>
                <w:sz w:val="13"/>
                <w:szCs w:val="13"/>
                <w:color w:val="auto"/>
              </w:rPr>
            </w:pPr>
          </w:p>
        </w:tc>
        <w:tc>
          <w:tcPr>
            <w:tcW w:w="800" w:type="dxa"/>
            <w:vAlign w:val="bottom"/>
            <w:gridSpan w:val="2"/>
            <w:vMerge w:val="continue"/>
            <w:shd w:val="clear" w:color="auto" w:fill="FDFDFC"/>
          </w:tcPr>
          <w:p>
            <w:pPr>
              <w:spacing w:after="0"/>
              <w:rPr>
                <w:sz w:val="13"/>
                <w:szCs w:val="13"/>
                <w:color w:val="auto"/>
              </w:rPr>
            </w:pPr>
          </w:p>
        </w:tc>
        <w:tc>
          <w:tcPr>
            <w:tcW w:w="320" w:type="dxa"/>
            <w:vAlign w:val="bottom"/>
            <w:shd w:val="clear" w:color="auto" w:fill="FDFDFC"/>
          </w:tcPr>
          <w:p>
            <w:pPr>
              <w:spacing w:after="0"/>
              <w:rPr>
                <w:sz w:val="13"/>
                <w:szCs w:val="13"/>
                <w:color w:val="auto"/>
              </w:rPr>
            </w:pPr>
          </w:p>
        </w:tc>
        <w:tc>
          <w:tcPr>
            <w:tcW w:w="76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82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340" w:type="dxa"/>
            <w:vAlign w:val="bottom"/>
            <w:shd w:val="clear" w:color="auto" w:fill="FDFDFC"/>
          </w:tcPr>
          <w:p>
            <w:pPr>
              <w:spacing w:after="0"/>
              <w:rPr>
                <w:sz w:val="13"/>
                <w:szCs w:val="13"/>
                <w:color w:val="auto"/>
              </w:rPr>
            </w:pPr>
          </w:p>
        </w:tc>
        <w:tc>
          <w:tcPr>
            <w:tcW w:w="1000" w:type="dxa"/>
            <w:vAlign w:val="bottom"/>
            <w:gridSpan w:val="2"/>
            <w:vMerge w:val="continue"/>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880" w:type="dxa"/>
            <w:vAlign w:val="bottom"/>
            <w:gridSpan w:val="2"/>
            <w:vMerge w:val="continue"/>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D0EBF2"/>
          </w:tcPr>
          <w:p>
            <w:pPr>
              <w:spacing w:after="0" w:line="121" w:lineRule="exact"/>
              <w:rPr>
                <w:sz w:val="20"/>
                <w:szCs w:val="20"/>
                <w:color w:val="auto"/>
              </w:rPr>
            </w:pPr>
            <w:r>
              <w:rPr>
                <w:rFonts w:ascii="Arial" w:cs="Arial" w:eastAsia="Arial" w:hAnsi="Arial"/>
                <w:sz w:val="11"/>
                <w:szCs w:val="11"/>
                <w:color w:val="231F20"/>
              </w:rPr>
              <w:t>Issuance of treasury</w:t>
            </w:r>
          </w:p>
        </w:tc>
        <w:tc>
          <w:tcPr>
            <w:tcW w:w="120" w:type="dxa"/>
            <w:vAlign w:val="bottom"/>
            <w:shd w:val="clear" w:color="auto" w:fill="D0EBF2"/>
          </w:tcPr>
          <w:p>
            <w:pPr>
              <w:spacing w:after="0"/>
              <w:rPr>
                <w:sz w:val="10"/>
                <w:szCs w:val="10"/>
                <w:color w:val="auto"/>
              </w:rPr>
            </w:pPr>
          </w:p>
        </w:tc>
        <w:tc>
          <w:tcPr>
            <w:tcW w:w="94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94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720" w:type="dxa"/>
            <w:vAlign w:val="bottom"/>
            <w:shd w:val="clear" w:color="auto" w:fill="D0EBF2"/>
          </w:tcPr>
          <w:p>
            <w:pPr>
              <w:spacing w:after="0"/>
              <w:rPr>
                <w:sz w:val="10"/>
                <w:szCs w:val="10"/>
                <w:color w:val="auto"/>
              </w:rPr>
            </w:pPr>
          </w:p>
        </w:tc>
        <w:tc>
          <w:tcPr>
            <w:tcW w:w="22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200" w:type="dxa"/>
            <w:vAlign w:val="bottom"/>
            <w:shd w:val="clear" w:color="auto" w:fill="D0EBF2"/>
          </w:tcPr>
          <w:p>
            <w:pPr>
              <w:spacing w:after="0"/>
              <w:rPr>
                <w:sz w:val="10"/>
                <w:szCs w:val="10"/>
                <w:color w:val="auto"/>
              </w:rPr>
            </w:pPr>
          </w:p>
        </w:tc>
        <w:tc>
          <w:tcPr>
            <w:tcW w:w="54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320" w:type="dxa"/>
            <w:vAlign w:val="bottom"/>
            <w:shd w:val="clear" w:color="auto" w:fill="D0EBF2"/>
          </w:tcPr>
          <w:p>
            <w:pPr>
              <w:spacing w:after="0"/>
              <w:rPr>
                <w:sz w:val="10"/>
                <w:szCs w:val="10"/>
                <w:color w:val="auto"/>
              </w:rPr>
            </w:pPr>
          </w:p>
        </w:tc>
        <w:tc>
          <w:tcPr>
            <w:tcW w:w="76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680" w:type="dxa"/>
            <w:vAlign w:val="bottom"/>
            <w:shd w:val="clear" w:color="auto" w:fill="D0EBF2"/>
          </w:tcPr>
          <w:p>
            <w:pPr>
              <w:spacing w:after="0"/>
              <w:rPr>
                <w:sz w:val="10"/>
                <w:szCs w:val="10"/>
                <w:color w:val="auto"/>
              </w:rPr>
            </w:pPr>
          </w:p>
        </w:tc>
        <w:tc>
          <w:tcPr>
            <w:tcW w:w="140" w:type="dxa"/>
            <w:vAlign w:val="bottom"/>
            <w:shd w:val="clear" w:color="auto" w:fill="D0EBF2"/>
          </w:tcPr>
          <w:p>
            <w:pPr>
              <w:spacing w:after="0"/>
              <w:rPr>
                <w:sz w:val="10"/>
                <w:szCs w:val="10"/>
                <w:color w:val="auto"/>
              </w:rPr>
            </w:pPr>
          </w:p>
        </w:tc>
        <w:tc>
          <w:tcPr>
            <w:tcW w:w="120" w:type="dxa"/>
            <w:vAlign w:val="bottom"/>
            <w:shd w:val="clear" w:color="auto" w:fill="D0EBF2"/>
          </w:tcPr>
          <w:p>
            <w:pPr>
              <w:spacing w:after="0"/>
              <w:rPr>
                <w:sz w:val="10"/>
                <w:szCs w:val="10"/>
                <w:color w:val="auto"/>
              </w:rPr>
            </w:pPr>
          </w:p>
        </w:tc>
        <w:tc>
          <w:tcPr>
            <w:tcW w:w="340" w:type="dxa"/>
            <w:vAlign w:val="bottom"/>
            <w:shd w:val="clear" w:color="auto" w:fill="D0EBF2"/>
          </w:tcPr>
          <w:p>
            <w:pPr>
              <w:spacing w:after="0"/>
              <w:rPr>
                <w:sz w:val="10"/>
                <w:szCs w:val="10"/>
                <w:color w:val="auto"/>
              </w:rPr>
            </w:pPr>
          </w:p>
        </w:tc>
        <w:tc>
          <w:tcPr>
            <w:tcW w:w="74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740" w:type="dxa"/>
            <w:vAlign w:val="bottom"/>
            <w:shd w:val="clear" w:color="auto" w:fill="D0EBF2"/>
          </w:tcPr>
          <w:p>
            <w:pPr>
              <w:spacing w:after="0"/>
              <w:rPr>
                <w:sz w:val="10"/>
                <w:szCs w:val="10"/>
                <w:color w:val="auto"/>
              </w:rPr>
            </w:pPr>
          </w:p>
        </w:tc>
        <w:tc>
          <w:tcPr>
            <w:tcW w:w="140" w:type="dxa"/>
            <w:vAlign w:val="bottom"/>
            <w:shd w:val="clear" w:color="auto" w:fill="D0EBF2"/>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stock under equity</w:t>
            </w:r>
          </w:p>
        </w:tc>
        <w:tc>
          <w:tcPr>
            <w:tcW w:w="120" w:type="dxa"/>
            <w:vAlign w:val="bottom"/>
            <w:shd w:val="clear" w:color="auto" w:fill="D0EBF2"/>
          </w:tcPr>
          <w:p>
            <w:pPr>
              <w:spacing w:after="0"/>
              <w:rPr>
                <w:sz w:val="11"/>
                <w:szCs w:val="11"/>
                <w:color w:val="auto"/>
              </w:rPr>
            </w:pPr>
          </w:p>
        </w:tc>
        <w:tc>
          <w:tcPr>
            <w:tcW w:w="9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1"/>
                <w:szCs w:val="11"/>
                <w:color w:val="auto"/>
              </w:rPr>
            </w:pPr>
          </w:p>
        </w:tc>
        <w:tc>
          <w:tcPr>
            <w:tcW w:w="9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1220" w:type="dxa"/>
            <w:vAlign w:val="bottom"/>
            <w:gridSpan w:val="3"/>
            <w:vMerge w:val="restart"/>
            <w:shd w:val="clear" w:color="auto" w:fill="D0EBF2"/>
          </w:tcPr>
          <w:p>
            <w:pPr>
              <w:jc w:val="right"/>
              <w:spacing w:after="0"/>
              <w:rPr>
                <w:sz w:val="20"/>
                <w:szCs w:val="20"/>
                <w:color w:val="auto"/>
              </w:rPr>
            </w:pPr>
            <w:r>
              <w:rPr>
                <w:rFonts w:ascii="Arial" w:cs="Arial" w:eastAsia="Arial" w:hAnsi="Arial"/>
                <w:sz w:val="11"/>
                <w:szCs w:val="11"/>
                <w:color w:val="231F20"/>
              </w:rPr>
              <w:t>2,677</w:t>
            </w:r>
          </w:p>
        </w:tc>
        <w:tc>
          <w:tcPr>
            <w:tcW w:w="260" w:type="dxa"/>
            <w:vAlign w:val="bottom"/>
            <w:shd w:val="clear" w:color="auto" w:fill="D0EBF2"/>
          </w:tcPr>
          <w:p>
            <w:pPr>
              <w:spacing w:after="0"/>
              <w:rPr>
                <w:sz w:val="11"/>
                <w:szCs w:val="11"/>
                <w:color w:val="auto"/>
              </w:rPr>
            </w:pPr>
          </w:p>
        </w:tc>
        <w:tc>
          <w:tcPr>
            <w:tcW w:w="200" w:type="dxa"/>
            <w:vAlign w:val="bottom"/>
            <w:shd w:val="clear" w:color="auto" w:fill="D0EBF2"/>
          </w:tcPr>
          <w:p>
            <w:pPr>
              <w:spacing w:after="0"/>
              <w:rPr>
                <w:sz w:val="11"/>
                <w:szCs w:val="11"/>
                <w:color w:val="auto"/>
              </w:rPr>
            </w:pPr>
          </w:p>
        </w:tc>
        <w:tc>
          <w:tcPr>
            <w:tcW w:w="5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1</w:t>
            </w:r>
          </w:p>
        </w:tc>
        <w:tc>
          <w:tcPr>
            <w:tcW w:w="260" w:type="dxa"/>
            <w:vAlign w:val="bottom"/>
            <w:shd w:val="clear" w:color="auto" w:fill="D0EBF2"/>
          </w:tcPr>
          <w:p>
            <w:pPr>
              <w:spacing w:after="0"/>
              <w:rPr>
                <w:sz w:val="11"/>
                <w:szCs w:val="11"/>
                <w:color w:val="auto"/>
              </w:rPr>
            </w:pPr>
          </w:p>
        </w:tc>
        <w:tc>
          <w:tcPr>
            <w:tcW w:w="320" w:type="dxa"/>
            <w:vAlign w:val="bottom"/>
            <w:shd w:val="clear" w:color="auto" w:fill="D0EBF2"/>
          </w:tcPr>
          <w:p>
            <w:pPr>
              <w:spacing w:after="0"/>
              <w:rPr>
                <w:sz w:val="11"/>
                <w:szCs w:val="11"/>
                <w:color w:val="auto"/>
              </w:rPr>
            </w:pPr>
          </w:p>
        </w:tc>
        <w:tc>
          <w:tcPr>
            <w:tcW w:w="76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(1)</w:t>
            </w: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820" w:type="dxa"/>
            <w:vAlign w:val="bottom"/>
            <w:gridSpan w:val="2"/>
            <w:vMerge w:val="restart"/>
            <w:shd w:val="clear" w:color="auto" w:fill="D0EBF2"/>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100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D0EBF2"/>
          </w:tcPr>
          <w:p>
            <w:pPr>
              <w:spacing w:after="0"/>
              <w:rPr>
                <w:sz w:val="11"/>
                <w:szCs w:val="11"/>
                <w:color w:val="auto"/>
              </w:rPr>
            </w:pPr>
          </w:p>
        </w:tc>
        <w:tc>
          <w:tcPr>
            <w:tcW w:w="880" w:type="dxa"/>
            <w:vAlign w:val="bottom"/>
            <w:gridSpan w:val="2"/>
            <w:vMerge w:val="restart"/>
            <w:shd w:val="clear" w:color="auto" w:fill="D0EBF2"/>
          </w:tcPr>
          <w:p>
            <w:pPr>
              <w:jc w:val="right"/>
              <w:ind w:right="1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incentive plans</w:t>
            </w:r>
          </w:p>
        </w:tc>
        <w:tc>
          <w:tcPr>
            <w:tcW w:w="120" w:type="dxa"/>
            <w:vAlign w:val="bottom"/>
            <w:shd w:val="clear" w:color="auto" w:fill="D0EBF2"/>
          </w:tcPr>
          <w:p>
            <w:pPr>
              <w:spacing w:after="0"/>
              <w:rPr>
                <w:sz w:val="13"/>
                <w:szCs w:val="13"/>
                <w:color w:val="auto"/>
              </w:rPr>
            </w:pPr>
          </w:p>
        </w:tc>
        <w:tc>
          <w:tcPr>
            <w:tcW w:w="94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94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1220" w:type="dxa"/>
            <w:vAlign w:val="bottom"/>
            <w:gridSpan w:val="3"/>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200" w:type="dxa"/>
            <w:vAlign w:val="bottom"/>
            <w:shd w:val="clear" w:color="auto" w:fill="D0EBF2"/>
          </w:tcPr>
          <w:p>
            <w:pPr>
              <w:spacing w:after="0"/>
              <w:rPr>
                <w:sz w:val="13"/>
                <w:szCs w:val="13"/>
                <w:color w:val="auto"/>
              </w:rPr>
            </w:pPr>
          </w:p>
        </w:tc>
        <w:tc>
          <w:tcPr>
            <w:tcW w:w="54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320" w:type="dxa"/>
            <w:vAlign w:val="bottom"/>
            <w:shd w:val="clear" w:color="auto" w:fill="D0EBF2"/>
          </w:tcPr>
          <w:p>
            <w:pPr>
              <w:spacing w:after="0"/>
              <w:rPr>
                <w:sz w:val="13"/>
                <w:szCs w:val="13"/>
                <w:color w:val="auto"/>
              </w:rPr>
            </w:pPr>
          </w:p>
        </w:tc>
        <w:tc>
          <w:tcPr>
            <w:tcW w:w="76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820" w:type="dxa"/>
            <w:vAlign w:val="bottom"/>
            <w:gridSpan w:val="2"/>
            <w:vMerge w:val="continue"/>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340" w:type="dxa"/>
            <w:vAlign w:val="bottom"/>
            <w:shd w:val="clear" w:color="auto" w:fill="D0EBF2"/>
          </w:tcPr>
          <w:p>
            <w:pPr>
              <w:spacing w:after="0"/>
              <w:rPr>
                <w:sz w:val="13"/>
                <w:szCs w:val="13"/>
                <w:color w:val="auto"/>
              </w:rPr>
            </w:pPr>
          </w:p>
        </w:tc>
        <w:tc>
          <w:tcPr>
            <w:tcW w:w="1000" w:type="dxa"/>
            <w:vAlign w:val="bottom"/>
            <w:gridSpan w:val="2"/>
            <w:vMerge w:val="continue"/>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880" w:type="dxa"/>
            <w:vAlign w:val="bottom"/>
            <w:gridSpan w:val="2"/>
            <w:vMerge w:val="continue"/>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FDFDFC"/>
          </w:tcPr>
          <w:p>
            <w:pPr>
              <w:spacing w:after="0" w:line="120" w:lineRule="exact"/>
              <w:rPr>
                <w:sz w:val="20"/>
                <w:szCs w:val="20"/>
                <w:color w:val="auto"/>
              </w:rPr>
            </w:pPr>
            <w:r>
              <w:rPr>
                <w:rFonts w:ascii="Arial" w:cs="Arial" w:eastAsia="Arial" w:hAnsi="Arial"/>
                <w:sz w:val="11"/>
                <w:szCs w:val="11"/>
                <w:color w:val="231F20"/>
              </w:rPr>
              <w:t>Issuance of common</w:t>
            </w:r>
          </w:p>
        </w:tc>
        <w:tc>
          <w:tcPr>
            <w:tcW w:w="120" w:type="dxa"/>
            <w:vAlign w:val="bottom"/>
            <w:shd w:val="clear" w:color="auto" w:fill="FDFDFC"/>
          </w:tcPr>
          <w:p>
            <w:pPr>
              <w:spacing w:after="0"/>
              <w:rPr>
                <w:sz w:val="10"/>
                <w:szCs w:val="10"/>
                <w:color w:val="auto"/>
              </w:rPr>
            </w:pPr>
          </w:p>
        </w:tc>
        <w:tc>
          <w:tcPr>
            <w:tcW w:w="94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94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720" w:type="dxa"/>
            <w:vAlign w:val="bottom"/>
            <w:shd w:val="clear" w:color="auto" w:fill="FDFDFC"/>
          </w:tcPr>
          <w:p>
            <w:pPr>
              <w:spacing w:after="0"/>
              <w:rPr>
                <w:sz w:val="10"/>
                <w:szCs w:val="10"/>
                <w:color w:val="auto"/>
              </w:rPr>
            </w:pPr>
          </w:p>
        </w:tc>
        <w:tc>
          <w:tcPr>
            <w:tcW w:w="22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200" w:type="dxa"/>
            <w:vAlign w:val="bottom"/>
            <w:shd w:val="clear" w:color="auto" w:fill="FDFDFC"/>
          </w:tcPr>
          <w:p>
            <w:pPr>
              <w:spacing w:after="0"/>
              <w:rPr>
                <w:sz w:val="10"/>
                <w:szCs w:val="10"/>
                <w:color w:val="auto"/>
              </w:rPr>
            </w:pPr>
          </w:p>
        </w:tc>
        <w:tc>
          <w:tcPr>
            <w:tcW w:w="54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320" w:type="dxa"/>
            <w:vAlign w:val="bottom"/>
            <w:shd w:val="clear" w:color="auto" w:fill="FDFDFC"/>
          </w:tcPr>
          <w:p>
            <w:pPr>
              <w:spacing w:after="0"/>
              <w:rPr>
                <w:sz w:val="10"/>
                <w:szCs w:val="10"/>
                <w:color w:val="auto"/>
              </w:rPr>
            </w:pPr>
          </w:p>
        </w:tc>
        <w:tc>
          <w:tcPr>
            <w:tcW w:w="76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400" w:type="dxa"/>
            <w:vAlign w:val="bottom"/>
            <w:shd w:val="clear" w:color="auto" w:fill="FDFDFC"/>
          </w:tcPr>
          <w:p>
            <w:pPr>
              <w:spacing w:after="0"/>
              <w:rPr>
                <w:sz w:val="10"/>
                <w:szCs w:val="10"/>
                <w:color w:val="auto"/>
              </w:rPr>
            </w:pPr>
          </w:p>
        </w:tc>
        <w:tc>
          <w:tcPr>
            <w:tcW w:w="68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120" w:type="dxa"/>
            <w:vAlign w:val="bottom"/>
            <w:shd w:val="clear" w:color="auto" w:fill="FDFDFC"/>
          </w:tcPr>
          <w:p>
            <w:pPr>
              <w:spacing w:after="0"/>
              <w:rPr>
                <w:sz w:val="10"/>
                <w:szCs w:val="10"/>
                <w:color w:val="auto"/>
              </w:rPr>
            </w:pPr>
          </w:p>
        </w:tc>
        <w:tc>
          <w:tcPr>
            <w:tcW w:w="340" w:type="dxa"/>
            <w:vAlign w:val="bottom"/>
            <w:shd w:val="clear" w:color="auto" w:fill="FDFDFC"/>
          </w:tcPr>
          <w:p>
            <w:pPr>
              <w:spacing w:after="0"/>
              <w:rPr>
                <w:sz w:val="10"/>
                <w:szCs w:val="10"/>
                <w:color w:val="auto"/>
              </w:rPr>
            </w:pPr>
          </w:p>
        </w:tc>
        <w:tc>
          <w:tcPr>
            <w:tcW w:w="74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400" w:type="dxa"/>
            <w:vAlign w:val="bottom"/>
            <w:shd w:val="clear" w:color="auto" w:fill="FDFDFC"/>
          </w:tcPr>
          <w:p>
            <w:pPr>
              <w:spacing w:after="0"/>
              <w:rPr>
                <w:sz w:val="10"/>
                <w:szCs w:val="10"/>
                <w:color w:val="auto"/>
              </w:rPr>
            </w:pPr>
          </w:p>
        </w:tc>
        <w:tc>
          <w:tcPr>
            <w:tcW w:w="74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stock upon exercise</w:t>
            </w:r>
          </w:p>
        </w:tc>
        <w:tc>
          <w:tcPr>
            <w:tcW w:w="12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300" w:type="dxa"/>
            <w:vAlign w:val="bottom"/>
            <w:shd w:val="clear" w:color="auto" w:fill="FDFDFC"/>
          </w:tcPr>
          <w:p>
            <w:pPr>
              <w:spacing w:after="0"/>
              <w:rPr>
                <w:sz w:val="11"/>
                <w:szCs w:val="11"/>
                <w:color w:val="auto"/>
              </w:rPr>
            </w:pPr>
          </w:p>
        </w:tc>
        <w:tc>
          <w:tcPr>
            <w:tcW w:w="38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300" w:type="dxa"/>
            <w:vAlign w:val="bottom"/>
            <w:shd w:val="clear" w:color="auto" w:fill="FDFDFC"/>
          </w:tcPr>
          <w:p>
            <w:pPr>
              <w:spacing w:after="0"/>
              <w:rPr>
                <w:sz w:val="11"/>
                <w:szCs w:val="11"/>
                <w:color w:val="auto"/>
              </w:rPr>
            </w:pPr>
          </w:p>
        </w:tc>
        <w:tc>
          <w:tcPr>
            <w:tcW w:w="38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720" w:type="dxa"/>
            <w:vAlign w:val="bottom"/>
            <w:shd w:val="clear" w:color="auto" w:fill="FDFDFC"/>
          </w:tcPr>
          <w:p>
            <w:pPr>
              <w:spacing w:after="0"/>
              <w:rPr>
                <w:sz w:val="11"/>
                <w:szCs w:val="11"/>
                <w:color w:val="auto"/>
              </w:rPr>
            </w:pPr>
          </w:p>
        </w:tc>
        <w:tc>
          <w:tcPr>
            <w:tcW w:w="22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200" w:type="dxa"/>
            <w:vAlign w:val="bottom"/>
            <w:shd w:val="clear" w:color="auto" w:fill="FDFDFC"/>
          </w:tcPr>
          <w:p>
            <w:pPr>
              <w:spacing w:after="0"/>
              <w:rPr>
                <w:sz w:val="11"/>
                <w:szCs w:val="11"/>
                <w:color w:val="auto"/>
              </w:rPr>
            </w:pPr>
          </w:p>
        </w:tc>
        <w:tc>
          <w:tcPr>
            <w:tcW w:w="54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320" w:type="dxa"/>
            <w:vAlign w:val="bottom"/>
            <w:shd w:val="clear" w:color="auto" w:fill="FDFDFC"/>
          </w:tcPr>
          <w:p>
            <w:pPr>
              <w:spacing w:after="0"/>
              <w:rPr>
                <w:sz w:val="11"/>
                <w:szCs w:val="11"/>
                <w:color w:val="auto"/>
              </w:rPr>
            </w:pPr>
          </w:p>
        </w:tc>
        <w:tc>
          <w:tcPr>
            <w:tcW w:w="76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400" w:type="dxa"/>
            <w:vAlign w:val="bottom"/>
            <w:shd w:val="clear" w:color="auto" w:fill="FDFDFC"/>
          </w:tcPr>
          <w:p>
            <w:pPr>
              <w:spacing w:after="0"/>
              <w:rPr>
                <w:sz w:val="11"/>
                <w:szCs w:val="11"/>
                <w:color w:val="auto"/>
              </w:rPr>
            </w:pPr>
          </w:p>
        </w:tc>
        <w:tc>
          <w:tcPr>
            <w:tcW w:w="68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340" w:type="dxa"/>
            <w:vAlign w:val="bottom"/>
            <w:shd w:val="clear" w:color="auto" w:fill="FDFDFC"/>
          </w:tcPr>
          <w:p>
            <w:pPr>
              <w:spacing w:after="0"/>
              <w:rPr>
                <w:sz w:val="11"/>
                <w:szCs w:val="11"/>
                <w:color w:val="auto"/>
              </w:rPr>
            </w:pPr>
          </w:p>
        </w:tc>
        <w:tc>
          <w:tcPr>
            <w:tcW w:w="74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400" w:type="dxa"/>
            <w:vAlign w:val="bottom"/>
            <w:shd w:val="clear" w:color="auto" w:fill="FDFDFC"/>
          </w:tcPr>
          <w:p>
            <w:pPr>
              <w:spacing w:after="0"/>
              <w:rPr>
                <w:sz w:val="11"/>
                <w:szCs w:val="11"/>
                <w:color w:val="auto"/>
              </w:rPr>
            </w:pPr>
          </w:p>
        </w:tc>
        <w:tc>
          <w:tcPr>
            <w:tcW w:w="7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of stock options, net</w:t>
            </w:r>
          </w:p>
        </w:tc>
        <w:tc>
          <w:tcPr>
            <w:tcW w:w="1060" w:type="dxa"/>
            <w:vAlign w:val="bottom"/>
            <w:gridSpan w:val="2"/>
            <w:vMerge w:val="restart"/>
            <w:shd w:val="clear" w:color="auto" w:fill="FDFDFC"/>
          </w:tcPr>
          <w:p>
            <w:pPr>
              <w:jc w:val="right"/>
              <w:spacing w:after="0"/>
              <w:rPr>
                <w:sz w:val="20"/>
                <w:szCs w:val="20"/>
                <w:color w:val="auto"/>
              </w:rPr>
            </w:pPr>
            <w:r>
              <w:rPr>
                <w:rFonts w:ascii="Arial" w:cs="Arial" w:eastAsia="Arial" w:hAnsi="Arial"/>
                <w:sz w:val="11"/>
                <w:szCs w:val="11"/>
                <w:color w:val="231F20"/>
              </w:rPr>
              <w:t>3,339,587</w:t>
            </w:r>
          </w:p>
        </w:tc>
        <w:tc>
          <w:tcPr>
            <w:tcW w:w="280" w:type="dxa"/>
            <w:vAlign w:val="bottom"/>
            <w:shd w:val="clear" w:color="auto" w:fill="FDFDFC"/>
          </w:tcPr>
          <w:p>
            <w:pPr>
              <w:spacing w:after="0"/>
              <w:rPr>
                <w:sz w:val="11"/>
                <w:szCs w:val="11"/>
                <w:color w:val="auto"/>
              </w:rPr>
            </w:pPr>
          </w:p>
        </w:tc>
        <w:tc>
          <w:tcPr>
            <w:tcW w:w="300" w:type="dxa"/>
            <w:vAlign w:val="bottom"/>
            <w:shd w:val="clear" w:color="auto" w:fill="FDFDFC"/>
          </w:tcPr>
          <w:p>
            <w:pPr>
              <w:spacing w:after="0"/>
              <w:rPr>
                <w:sz w:val="11"/>
                <w:szCs w:val="11"/>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1"/>
                <w:szCs w:val="11"/>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300" w:type="dxa"/>
            <w:vAlign w:val="bottom"/>
            <w:shd w:val="clear" w:color="auto" w:fill="FDFDFC"/>
          </w:tcPr>
          <w:p>
            <w:pPr>
              <w:spacing w:after="0"/>
              <w:rPr>
                <w:sz w:val="11"/>
                <w:szCs w:val="11"/>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720" w:type="dxa"/>
            <w:vAlign w:val="bottom"/>
            <w:shd w:val="clear" w:color="auto" w:fill="FDFDFC"/>
          </w:tcPr>
          <w:p>
            <w:pPr>
              <w:spacing w:after="0"/>
              <w:rPr>
                <w:sz w:val="11"/>
                <w:szCs w:val="11"/>
                <w:color w:val="auto"/>
              </w:rPr>
            </w:pPr>
          </w:p>
        </w:tc>
        <w:tc>
          <w:tcPr>
            <w:tcW w:w="48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FDFDFC"/>
          </w:tcPr>
          <w:p>
            <w:pPr>
              <w:spacing w:after="0"/>
              <w:rPr>
                <w:sz w:val="11"/>
                <w:szCs w:val="11"/>
                <w:color w:val="auto"/>
              </w:rPr>
            </w:pPr>
          </w:p>
        </w:tc>
        <w:tc>
          <w:tcPr>
            <w:tcW w:w="8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FDFDFC"/>
          </w:tcPr>
          <w:p>
            <w:pPr>
              <w:spacing w:after="0"/>
              <w:rPr>
                <w:sz w:val="11"/>
                <w:szCs w:val="11"/>
                <w:color w:val="auto"/>
              </w:rPr>
            </w:pPr>
          </w:p>
        </w:tc>
        <w:tc>
          <w:tcPr>
            <w:tcW w:w="76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1,877</w:t>
            </w:r>
          </w:p>
        </w:tc>
        <w:tc>
          <w:tcPr>
            <w:tcW w:w="260" w:type="dxa"/>
            <w:vAlign w:val="bottom"/>
            <w:shd w:val="clear" w:color="auto" w:fill="FDFDFC"/>
          </w:tcPr>
          <w:p>
            <w:pPr>
              <w:spacing w:after="0"/>
              <w:rPr>
                <w:sz w:val="11"/>
                <w:szCs w:val="11"/>
                <w:color w:val="auto"/>
              </w:rPr>
            </w:pPr>
          </w:p>
        </w:tc>
        <w:tc>
          <w:tcPr>
            <w:tcW w:w="400" w:type="dxa"/>
            <w:vAlign w:val="bottom"/>
            <w:shd w:val="clear" w:color="auto" w:fill="FDFDFC"/>
          </w:tcPr>
          <w:p>
            <w:pPr>
              <w:spacing w:after="0"/>
              <w:rPr>
                <w:sz w:val="11"/>
                <w:szCs w:val="11"/>
                <w:color w:val="auto"/>
              </w:rPr>
            </w:pPr>
          </w:p>
        </w:tc>
        <w:tc>
          <w:tcPr>
            <w:tcW w:w="820" w:type="dxa"/>
            <w:vAlign w:val="bottom"/>
            <w:gridSpan w:val="2"/>
            <w:vMerge w:val="restart"/>
            <w:shd w:val="clear" w:color="auto" w:fill="FDFDFC"/>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11"/>
                <w:szCs w:val="11"/>
                <w:color w:val="auto"/>
              </w:rPr>
            </w:pPr>
          </w:p>
        </w:tc>
        <w:tc>
          <w:tcPr>
            <w:tcW w:w="340" w:type="dxa"/>
            <w:vAlign w:val="bottom"/>
            <w:shd w:val="clear" w:color="auto" w:fill="FDFDFC"/>
          </w:tcPr>
          <w:p>
            <w:pPr>
              <w:spacing w:after="0"/>
              <w:rPr>
                <w:sz w:val="11"/>
                <w:szCs w:val="11"/>
                <w:color w:val="auto"/>
              </w:rPr>
            </w:pPr>
          </w:p>
        </w:tc>
        <w:tc>
          <w:tcPr>
            <w:tcW w:w="10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FDFDFC"/>
          </w:tcPr>
          <w:p>
            <w:pPr>
              <w:spacing w:after="0"/>
              <w:rPr>
                <w:sz w:val="11"/>
                <w:szCs w:val="11"/>
                <w:color w:val="auto"/>
              </w:rPr>
            </w:pPr>
          </w:p>
        </w:tc>
        <w:tc>
          <w:tcPr>
            <w:tcW w:w="7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1,877</w:t>
            </w:r>
          </w:p>
        </w:tc>
        <w:tc>
          <w:tcPr>
            <w:tcW w:w="140" w:type="dxa"/>
            <w:vAlign w:val="bottom"/>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of tax withheld</w:t>
            </w:r>
          </w:p>
        </w:tc>
        <w:tc>
          <w:tcPr>
            <w:tcW w:w="1060" w:type="dxa"/>
            <w:vAlign w:val="bottom"/>
            <w:gridSpan w:val="2"/>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94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720" w:type="dxa"/>
            <w:vAlign w:val="bottom"/>
            <w:shd w:val="clear" w:color="auto" w:fill="FDFDFC"/>
          </w:tcPr>
          <w:p>
            <w:pPr>
              <w:spacing w:after="0"/>
              <w:rPr>
                <w:sz w:val="13"/>
                <w:szCs w:val="13"/>
                <w:color w:val="auto"/>
              </w:rPr>
            </w:pPr>
          </w:p>
        </w:tc>
        <w:tc>
          <w:tcPr>
            <w:tcW w:w="480" w:type="dxa"/>
            <w:vAlign w:val="bottom"/>
            <w:gridSpan w:val="2"/>
            <w:vMerge w:val="continue"/>
            <w:shd w:val="clear" w:color="auto" w:fill="FDFDFC"/>
          </w:tcPr>
          <w:p>
            <w:pPr>
              <w:spacing w:after="0"/>
              <w:rPr>
                <w:sz w:val="13"/>
                <w:szCs w:val="13"/>
                <w:color w:val="auto"/>
              </w:rPr>
            </w:pPr>
          </w:p>
        </w:tc>
        <w:tc>
          <w:tcPr>
            <w:tcW w:w="200" w:type="dxa"/>
            <w:vAlign w:val="bottom"/>
            <w:shd w:val="clear" w:color="auto" w:fill="FDFDFC"/>
          </w:tcPr>
          <w:p>
            <w:pPr>
              <w:spacing w:after="0"/>
              <w:rPr>
                <w:sz w:val="13"/>
                <w:szCs w:val="13"/>
                <w:color w:val="auto"/>
              </w:rPr>
            </w:pPr>
          </w:p>
        </w:tc>
        <w:tc>
          <w:tcPr>
            <w:tcW w:w="800" w:type="dxa"/>
            <w:vAlign w:val="bottom"/>
            <w:gridSpan w:val="2"/>
            <w:vMerge w:val="continue"/>
            <w:shd w:val="clear" w:color="auto" w:fill="FDFDFC"/>
          </w:tcPr>
          <w:p>
            <w:pPr>
              <w:spacing w:after="0"/>
              <w:rPr>
                <w:sz w:val="13"/>
                <w:szCs w:val="13"/>
                <w:color w:val="auto"/>
              </w:rPr>
            </w:pPr>
          </w:p>
        </w:tc>
        <w:tc>
          <w:tcPr>
            <w:tcW w:w="320" w:type="dxa"/>
            <w:vAlign w:val="bottom"/>
            <w:shd w:val="clear" w:color="auto" w:fill="FDFDFC"/>
          </w:tcPr>
          <w:p>
            <w:pPr>
              <w:spacing w:after="0"/>
              <w:rPr>
                <w:sz w:val="13"/>
                <w:szCs w:val="13"/>
                <w:color w:val="auto"/>
              </w:rPr>
            </w:pPr>
          </w:p>
        </w:tc>
        <w:tc>
          <w:tcPr>
            <w:tcW w:w="76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82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340" w:type="dxa"/>
            <w:vAlign w:val="bottom"/>
            <w:shd w:val="clear" w:color="auto" w:fill="FDFDFC"/>
          </w:tcPr>
          <w:p>
            <w:pPr>
              <w:spacing w:after="0"/>
              <w:rPr>
                <w:sz w:val="13"/>
                <w:szCs w:val="13"/>
                <w:color w:val="auto"/>
              </w:rPr>
            </w:pPr>
          </w:p>
        </w:tc>
        <w:tc>
          <w:tcPr>
            <w:tcW w:w="1000" w:type="dxa"/>
            <w:vAlign w:val="bottom"/>
            <w:gridSpan w:val="2"/>
            <w:vMerge w:val="continue"/>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740" w:type="dxa"/>
            <w:vAlign w:val="bottom"/>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D0EBF2"/>
          </w:tcPr>
          <w:p>
            <w:pPr>
              <w:spacing w:after="0" w:line="121" w:lineRule="exact"/>
              <w:rPr>
                <w:sz w:val="20"/>
                <w:szCs w:val="20"/>
                <w:color w:val="auto"/>
              </w:rPr>
            </w:pPr>
            <w:r>
              <w:rPr>
                <w:rFonts w:ascii="Arial" w:cs="Arial" w:eastAsia="Arial" w:hAnsi="Arial"/>
                <w:sz w:val="11"/>
                <w:szCs w:val="11"/>
                <w:color w:val="231F20"/>
              </w:rPr>
              <w:t>Issuance of common</w:t>
            </w:r>
          </w:p>
        </w:tc>
        <w:tc>
          <w:tcPr>
            <w:tcW w:w="120" w:type="dxa"/>
            <w:vAlign w:val="bottom"/>
            <w:shd w:val="clear" w:color="auto" w:fill="D0EBF2"/>
          </w:tcPr>
          <w:p>
            <w:pPr>
              <w:spacing w:after="0"/>
              <w:rPr>
                <w:sz w:val="10"/>
                <w:szCs w:val="10"/>
                <w:color w:val="auto"/>
              </w:rPr>
            </w:pPr>
          </w:p>
        </w:tc>
        <w:tc>
          <w:tcPr>
            <w:tcW w:w="94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94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720" w:type="dxa"/>
            <w:vAlign w:val="bottom"/>
            <w:shd w:val="clear" w:color="auto" w:fill="D0EBF2"/>
          </w:tcPr>
          <w:p>
            <w:pPr>
              <w:spacing w:after="0"/>
              <w:rPr>
                <w:sz w:val="10"/>
                <w:szCs w:val="10"/>
                <w:color w:val="auto"/>
              </w:rPr>
            </w:pPr>
          </w:p>
        </w:tc>
        <w:tc>
          <w:tcPr>
            <w:tcW w:w="22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200" w:type="dxa"/>
            <w:vAlign w:val="bottom"/>
            <w:shd w:val="clear" w:color="auto" w:fill="D0EBF2"/>
          </w:tcPr>
          <w:p>
            <w:pPr>
              <w:spacing w:after="0"/>
              <w:rPr>
                <w:sz w:val="10"/>
                <w:szCs w:val="10"/>
                <w:color w:val="auto"/>
              </w:rPr>
            </w:pPr>
          </w:p>
        </w:tc>
        <w:tc>
          <w:tcPr>
            <w:tcW w:w="54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320" w:type="dxa"/>
            <w:vAlign w:val="bottom"/>
            <w:shd w:val="clear" w:color="auto" w:fill="D0EBF2"/>
          </w:tcPr>
          <w:p>
            <w:pPr>
              <w:spacing w:after="0"/>
              <w:rPr>
                <w:sz w:val="10"/>
                <w:szCs w:val="10"/>
                <w:color w:val="auto"/>
              </w:rPr>
            </w:pPr>
          </w:p>
        </w:tc>
        <w:tc>
          <w:tcPr>
            <w:tcW w:w="76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680" w:type="dxa"/>
            <w:vAlign w:val="bottom"/>
            <w:shd w:val="clear" w:color="auto" w:fill="D0EBF2"/>
          </w:tcPr>
          <w:p>
            <w:pPr>
              <w:spacing w:after="0"/>
              <w:rPr>
                <w:sz w:val="10"/>
                <w:szCs w:val="10"/>
                <w:color w:val="auto"/>
              </w:rPr>
            </w:pPr>
          </w:p>
        </w:tc>
        <w:tc>
          <w:tcPr>
            <w:tcW w:w="140" w:type="dxa"/>
            <w:vAlign w:val="bottom"/>
            <w:shd w:val="clear" w:color="auto" w:fill="D0EBF2"/>
          </w:tcPr>
          <w:p>
            <w:pPr>
              <w:spacing w:after="0"/>
              <w:rPr>
                <w:sz w:val="10"/>
                <w:szCs w:val="10"/>
                <w:color w:val="auto"/>
              </w:rPr>
            </w:pPr>
          </w:p>
        </w:tc>
        <w:tc>
          <w:tcPr>
            <w:tcW w:w="120" w:type="dxa"/>
            <w:vAlign w:val="bottom"/>
            <w:shd w:val="clear" w:color="auto" w:fill="D0EBF2"/>
          </w:tcPr>
          <w:p>
            <w:pPr>
              <w:spacing w:after="0"/>
              <w:rPr>
                <w:sz w:val="10"/>
                <w:szCs w:val="10"/>
                <w:color w:val="auto"/>
              </w:rPr>
            </w:pPr>
          </w:p>
        </w:tc>
        <w:tc>
          <w:tcPr>
            <w:tcW w:w="340" w:type="dxa"/>
            <w:vAlign w:val="bottom"/>
            <w:shd w:val="clear" w:color="auto" w:fill="D0EBF2"/>
          </w:tcPr>
          <w:p>
            <w:pPr>
              <w:spacing w:after="0"/>
              <w:rPr>
                <w:sz w:val="10"/>
                <w:szCs w:val="10"/>
                <w:color w:val="auto"/>
              </w:rPr>
            </w:pPr>
          </w:p>
        </w:tc>
        <w:tc>
          <w:tcPr>
            <w:tcW w:w="74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740" w:type="dxa"/>
            <w:vAlign w:val="bottom"/>
            <w:shd w:val="clear" w:color="auto" w:fill="D0EBF2"/>
          </w:tcPr>
          <w:p>
            <w:pPr>
              <w:spacing w:after="0"/>
              <w:rPr>
                <w:sz w:val="10"/>
                <w:szCs w:val="10"/>
                <w:color w:val="auto"/>
              </w:rPr>
            </w:pPr>
          </w:p>
        </w:tc>
        <w:tc>
          <w:tcPr>
            <w:tcW w:w="140" w:type="dxa"/>
            <w:vAlign w:val="bottom"/>
            <w:shd w:val="clear" w:color="auto" w:fill="D0EBF2"/>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stock upon</w:t>
            </w:r>
          </w:p>
        </w:tc>
        <w:tc>
          <w:tcPr>
            <w:tcW w:w="12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720" w:type="dxa"/>
            <w:vAlign w:val="bottom"/>
            <w:shd w:val="clear" w:color="auto" w:fill="D0EBF2"/>
          </w:tcPr>
          <w:p>
            <w:pPr>
              <w:spacing w:after="0"/>
              <w:rPr>
                <w:sz w:val="11"/>
                <w:szCs w:val="11"/>
                <w:color w:val="auto"/>
              </w:rPr>
            </w:pPr>
          </w:p>
        </w:tc>
        <w:tc>
          <w:tcPr>
            <w:tcW w:w="2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200" w:type="dxa"/>
            <w:vAlign w:val="bottom"/>
            <w:shd w:val="clear" w:color="auto" w:fill="D0EBF2"/>
          </w:tcPr>
          <w:p>
            <w:pPr>
              <w:spacing w:after="0"/>
              <w:rPr>
                <w:sz w:val="11"/>
                <w:szCs w:val="11"/>
                <w:color w:val="auto"/>
              </w:rPr>
            </w:pPr>
          </w:p>
        </w:tc>
        <w:tc>
          <w:tcPr>
            <w:tcW w:w="5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320" w:type="dxa"/>
            <w:vAlign w:val="bottom"/>
            <w:shd w:val="clear" w:color="auto" w:fill="D0EBF2"/>
          </w:tcPr>
          <w:p>
            <w:pPr>
              <w:spacing w:after="0"/>
              <w:rPr>
                <w:sz w:val="11"/>
                <w:szCs w:val="11"/>
                <w:color w:val="auto"/>
              </w:rPr>
            </w:pPr>
          </w:p>
        </w:tc>
        <w:tc>
          <w:tcPr>
            <w:tcW w:w="76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68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settlement</w:t>
            </w:r>
          </w:p>
        </w:tc>
        <w:tc>
          <w:tcPr>
            <w:tcW w:w="12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720" w:type="dxa"/>
            <w:vAlign w:val="bottom"/>
            <w:shd w:val="clear" w:color="auto" w:fill="D0EBF2"/>
          </w:tcPr>
          <w:p>
            <w:pPr>
              <w:spacing w:after="0"/>
              <w:rPr>
                <w:sz w:val="11"/>
                <w:szCs w:val="11"/>
                <w:color w:val="auto"/>
              </w:rPr>
            </w:pPr>
          </w:p>
        </w:tc>
        <w:tc>
          <w:tcPr>
            <w:tcW w:w="2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200" w:type="dxa"/>
            <w:vAlign w:val="bottom"/>
            <w:shd w:val="clear" w:color="auto" w:fill="D0EBF2"/>
          </w:tcPr>
          <w:p>
            <w:pPr>
              <w:spacing w:after="0"/>
              <w:rPr>
                <w:sz w:val="11"/>
                <w:szCs w:val="11"/>
                <w:color w:val="auto"/>
              </w:rPr>
            </w:pPr>
          </w:p>
        </w:tc>
        <w:tc>
          <w:tcPr>
            <w:tcW w:w="5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320" w:type="dxa"/>
            <w:vAlign w:val="bottom"/>
            <w:shd w:val="clear" w:color="auto" w:fill="D0EBF2"/>
          </w:tcPr>
          <w:p>
            <w:pPr>
              <w:spacing w:after="0"/>
              <w:rPr>
                <w:sz w:val="11"/>
                <w:szCs w:val="11"/>
                <w:color w:val="auto"/>
              </w:rPr>
            </w:pPr>
          </w:p>
        </w:tc>
        <w:tc>
          <w:tcPr>
            <w:tcW w:w="76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68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of restricted stock</w:t>
            </w:r>
          </w:p>
        </w:tc>
        <w:tc>
          <w:tcPr>
            <w:tcW w:w="1060" w:type="dxa"/>
            <w:vAlign w:val="bottom"/>
            <w:gridSpan w:val="2"/>
            <w:vMerge w:val="restart"/>
            <w:shd w:val="clear" w:color="auto" w:fill="D0EBF2"/>
          </w:tcPr>
          <w:p>
            <w:pPr>
              <w:jc w:val="right"/>
              <w:spacing w:after="0"/>
              <w:rPr>
                <w:sz w:val="20"/>
                <w:szCs w:val="20"/>
                <w:color w:val="auto"/>
              </w:rPr>
            </w:pPr>
            <w:r>
              <w:rPr>
                <w:rFonts w:ascii="Arial" w:cs="Arial" w:eastAsia="Arial" w:hAnsi="Arial"/>
                <w:sz w:val="11"/>
                <w:szCs w:val="11"/>
                <w:color w:val="231F20"/>
              </w:rPr>
              <w:t>1,192,362</w:t>
            </w: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1"/>
                <w:szCs w:val="11"/>
                <w:color w:val="auto"/>
              </w:rPr>
            </w:pPr>
          </w:p>
        </w:tc>
        <w:tc>
          <w:tcPr>
            <w:tcW w:w="9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720" w:type="dxa"/>
            <w:vAlign w:val="bottom"/>
            <w:shd w:val="clear" w:color="auto" w:fill="D0EBF2"/>
          </w:tcPr>
          <w:p>
            <w:pPr>
              <w:spacing w:after="0"/>
              <w:rPr>
                <w:sz w:val="11"/>
                <w:szCs w:val="11"/>
                <w:color w:val="auto"/>
              </w:rPr>
            </w:pPr>
          </w:p>
        </w:tc>
        <w:tc>
          <w:tcPr>
            <w:tcW w:w="48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D0EBF2"/>
          </w:tcPr>
          <w:p>
            <w:pPr>
              <w:spacing w:after="0"/>
              <w:rPr>
                <w:sz w:val="11"/>
                <w:szCs w:val="11"/>
                <w:color w:val="auto"/>
              </w:rPr>
            </w:pPr>
          </w:p>
        </w:tc>
        <w:tc>
          <w:tcPr>
            <w:tcW w:w="80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D0EBF2"/>
          </w:tcPr>
          <w:p>
            <w:pPr>
              <w:spacing w:after="0"/>
              <w:rPr>
                <w:sz w:val="11"/>
                <w:szCs w:val="11"/>
                <w:color w:val="auto"/>
              </w:rPr>
            </w:pPr>
          </w:p>
        </w:tc>
        <w:tc>
          <w:tcPr>
            <w:tcW w:w="76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820" w:type="dxa"/>
            <w:vAlign w:val="bottom"/>
            <w:gridSpan w:val="2"/>
            <w:vMerge w:val="restart"/>
            <w:shd w:val="clear" w:color="auto" w:fill="D0EBF2"/>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100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D0EBF2"/>
          </w:tcPr>
          <w:p>
            <w:pPr>
              <w:spacing w:after="0"/>
              <w:rPr>
                <w:sz w:val="11"/>
                <w:szCs w:val="11"/>
                <w:color w:val="auto"/>
              </w:rPr>
            </w:pPr>
          </w:p>
        </w:tc>
        <w:tc>
          <w:tcPr>
            <w:tcW w:w="880" w:type="dxa"/>
            <w:vAlign w:val="bottom"/>
            <w:gridSpan w:val="2"/>
            <w:vMerge w:val="restart"/>
            <w:shd w:val="clear" w:color="auto" w:fill="D0EBF2"/>
          </w:tcPr>
          <w:p>
            <w:pPr>
              <w:jc w:val="right"/>
              <w:ind w:right="1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units</w:t>
            </w:r>
          </w:p>
        </w:tc>
        <w:tc>
          <w:tcPr>
            <w:tcW w:w="1060" w:type="dxa"/>
            <w:vAlign w:val="bottom"/>
            <w:gridSpan w:val="2"/>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94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720" w:type="dxa"/>
            <w:vAlign w:val="bottom"/>
            <w:shd w:val="clear" w:color="auto" w:fill="D0EBF2"/>
          </w:tcPr>
          <w:p>
            <w:pPr>
              <w:spacing w:after="0"/>
              <w:rPr>
                <w:sz w:val="13"/>
                <w:szCs w:val="13"/>
                <w:color w:val="auto"/>
              </w:rPr>
            </w:pPr>
          </w:p>
        </w:tc>
        <w:tc>
          <w:tcPr>
            <w:tcW w:w="480" w:type="dxa"/>
            <w:vAlign w:val="bottom"/>
            <w:gridSpan w:val="2"/>
            <w:vMerge w:val="continue"/>
            <w:shd w:val="clear" w:color="auto" w:fill="D0EBF2"/>
          </w:tcPr>
          <w:p>
            <w:pPr>
              <w:spacing w:after="0"/>
              <w:rPr>
                <w:sz w:val="13"/>
                <w:szCs w:val="13"/>
                <w:color w:val="auto"/>
              </w:rPr>
            </w:pPr>
          </w:p>
        </w:tc>
        <w:tc>
          <w:tcPr>
            <w:tcW w:w="200" w:type="dxa"/>
            <w:vAlign w:val="bottom"/>
            <w:shd w:val="clear" w:color="auto" w:fill="D0EBF2"/>
          </w:tcPr>
          <w:p>
            <w:pPr>
              <w:spacing w:after="0"/>
              <w:rPr>
                <w:sz w:val="13"/>
                <w:szCs w:val="13"/>
                <w:color w:val="auto"/>
              </w:rPr>
            </w:pPr>
          </w:p>
        </w:tc>
        <w:tc>
          <w:tcPr>
            <w:tcW w:w="800" w:type="dxa"/>
            <w:vAlign w:val="bottom"/>
            <w:gridSpan w:val="2"/>
            <w:vMerge w:val="continue"/>
            <w:shd w:val="clear" w:color="auto" w:fill="D0EBF2"/>
          </w:tcPr>
          <w:p>
            <w:pPr>
              <w:spacing w:after="0"/>
              <w:rPr>
                <w:sz w:val="13"/>
                <w:szCs w:val="13"/>
                <w:color w:val="auto"/>
              </w:rPr>
            </w:pPr>
          </w:p>
        </w:tc>
        <w:tc>
          <w:tcPr>
            <w:tcW w:w="320" w:type="dxa"/>
            <w:vAlign w:val="bottom"/>
            <w:shd w:val="clear" w:color="auto" w:fill="D0EBF2"/>
          </w:tcPr>
          <w:p>
            <w:pPr>
              <w:spacing w:after="0"/>
              <w:rPr>
                <w:sz w:val="13"/>
                <w:szCs w:val="13"/>
                <w:color w:val="auto"/>
              </w:rPr>
            </w:pPr>
          </w:p>
        </w:tc>
        <w:tc>
          <w:tcPr>
            <w:tcW w:w="76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820" w:type="dxa"/>
            <w:vAlign w:val="bottom"/>
            <w:gridSpan w:val="2"/>
            <w:vMerge w:val="continue"/>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340" w:type="dxa"/>
            <w:vAlign w:val="bottom"/>
            <w:shd w:val="clear" w:color="auto" w:fill="D0EBF2"/>
          </w:tcPr>
          <w:p>
            <w:pPr>
              <w:spacing w:after="0"/>
              <w:rPr>
                <w:sz w:val="13"/>
                <w:szCs w:val="13"/>
                <w:color w:val="auto"/>
              </w:rPr>
            </w:pPr>
          </w:p>
        </w:tc>
        <w:tc>
          <w:tcPr>
            <w:tcW w:w="1000" w:type="dxa"/>
            <w:vAlign w:val="bottom"/>
            <w:gridSpan w:val="2"/>
            <w:vMerge w:val="continue"/>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880" w:type="dxa"/>
            <w:vAlign w:val="bottom"/>
            <w:gridSpan w:val="2"/>
            <w:vMerge w:val="continue"/>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FDFDFC"/>
          </w:tcPr>
          <w:p>
            <w:pPr>
              <w:spacing w:after="0" w:line="120" w:lineRule="exact"/>
              <w:rPr>
                <w:sz w:val="20"/>
                <w:szCs w:val="20"/>
                <w:color w:val="auto"/>
              </w:rPr>
            </w:pPr>
            <w:r>
              <w:rPr>
                <w:rFonts w:ascii="Arial" w:cs="Arial" w:eastAsia="Arial" w:hAnsi="Arial"/>
                <w:sz w:val="11"/>
                <w:szCs w:val="11"/>
                <w:color w:val="231F20"/>
              </w:rPr>
              <w:t>Issuance of common</w:t>
            </w:r>
          </w:p>
        </w:tc>
        <w:tc>
          <w:tcPr>
            <w:tcW w:w="1060" w:type="dxa"/>
            <w:vAlign w:val="bottom"/>
            <w:gridSpan w:val="2"/>
            <w:vMerge w:val="restart"/>
            <w:shd w:val="clear" w:color="auto" w:fill="FDFDFC"/>
          </w:tcPr>
          <w:p>
            <w:pPr>
              <w:jc w:val="right"/>
              <w:spacing w:after="0"/>
              <w:rPr>
                <w:sz w:val="20"/>
                <w:szCs w:val="20"/>
                <w:color w:val="auto"/>
              </w:rPr>
            </w:pPr>
            <w:r>
              <w:rPr>
                <w:rFonts w:ascii="Arial" w:cs="Arial" w:eastAsia="Arial" w:hAnsi="Arial"/>
                <w:sz w:val="11"/>
                <w:szCs w:val="11"/>
                <w:color w:val="231F20"/>
              </w:rPr>
              <w:t>42,498</w:t>
            </w: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0"/>
                <w:szCs w:val="10"/>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0"/>
                <w:szCs w:val="10"/>
                <w:color w:val="auto"/>
              </w:rPr>
            </w:pPr>
          </w:p>
        </w:tc>
        <w:tc>
          <w:tcPr>
            <w:tcW w:w="720" w:type="dxa"/>
            <w:vAlign w:val="bottom"/>
            <w:shd w:val="clear" w:color="auto" w:fill="FDFDFC"/>
          </w:tcPr>
          <w:p>
            <w:pPr>
              <w:spacing w:after="0"/>
              <w:rPr>
                <w:sz w:val="10"/>
                <w:szCs w:val="10"/>
                <w:color w:val="auto"/>
              </w:rPr>
            </w:pPr>
          </w:p>
        </w:tc>
        <w:tc>
          <w:tcPr>
            <w:tcW w:w="48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FDFDFC"/>
          </w:tcPr>
          <w:p>
            <w:pPr>
              <w:spacing w:after="0"/>
              <w:rPr>
                <w:sz w:val="10"/>
                <w:szCs w:val="10"/>
                <w:color w:val="auto"/>
              </w:rPr>
            </w:pPr>
          </w:p>
        </w:tc>
        <w:tc>
          <w:tcPr>
            <w:tcW w:w="8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FDFDFC"/>
          </w:tcPr>
          <w:p>
            <w:pPr>
              <w:spacing w:after="0"/>
              <w:rPr>
                <w:sz w:val="10"/>
                <w:szCs w:val="10"/>
                <w:color w:val="auto"/>
              </w:rPr>
            </w:pPr>
          </w:p>
        </w:tc>
        <w:tc>
          <w:tcPr>
            <w:tcW w:w="76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1,196</w:t>
            </w:r>
          </w:p>
        </w:tc>
        <w:tc>
          <w:tcPr>
            <w:tcW w:w="260" w:type="dxa"/>
            <w:vAlign w:val="bottom"/>
            <w:shd w:val="clear" w:color="auto" w:fill="FDFDFC"/>
          </w:tcPr>
          <w:p>
            <w:pPr>
              <w:spacing w:after="0"/>
              <w:rPr>
                <w:sz w:val="10"/>
                <w:szCs w:val="10"/>
                <w:color w:val="auto"/>
              </w:rPr>
            </w:pPr>
          </w:p>
        </w:tc>
        <w:tc>
          <w:tcPr>
            <w:tcW w:w="400" w:type="dxa"/>
            <w:vAlign w:val="bottom"/>
            <w:shd w:val="clear" w:color="auto" w:fill="FDFDFC"/>
          </w:tcPr>
          <w:p>
            <w:pPr>
              <w:spacing w:after="0"/>
              <w:rPr>
                <w:sz w:val="10"/>
                <w:szCs w:val="10"/>
                <w:color w:val="auto"/>
              </w:rPr>
            </w:pPr>
          </w:p>
        </w:tc>
        <w:tc>
          <w:tcPr>
            <w:tcW w:w="820" w:type="dxa"/>
            <w:vAlign w:val="bottom"/>
            <w:gridSpan w:val="2"/>
            <w:vMerge w:val="restart"/>
            <w:shd w:val="clear" w:color="auto" w:fill="FDFDFC"/>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10"/>
                <w:szCs w:val="10"/>
                <w:color w:val="auto"/>
              </w:rPr>
            </w:pPr>
          </w:p>
        </w:tc>
        <w:tc>
          <w:tcPr>
            <w:tcW w:w="340" w:type="dxa"/>
            <w:vAlign w:val="bottom"/>
            <w:shd w:val="clear" w:color="auto" w:fill="FDFDFC"/>
          </w:tcPr>
          <w:p>
            <w:pPr>
              <w:spacing w:after="0"/>
              <w:rPr>
                <w:sz w:val="10"/>
                <w:szCs w:val="10"/>
                <w:color w:val="auto"/>
              </w:rPr>
            </w:pPr>
          </w:p>
        </w:tc>
        <w:tc>
          <w:tcPr>
            <w:tcW w:w="10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FDFDFC"/>
          </w:tcPr>
          <w:p>
            <w:pPr>
              <w:spacing w:after="0"/>
              <w:rPr>
                <w:sz w:val="10"/>
                <w:szCs w:val="10"/>
                <w:color w:val="auto"/>
              </w:rPr>
            </w:pPr>
          </w:p>
        </w:tc>
        <w:tc>
          <w:tcPr>
            <w:tcW w:w="7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1,196</w:t>
            </w:r>
          </w:p>
        </w:tc>
        <w:tc>
          <w:tcPr>
            <w:tcW w:w="140" w:type="dxa"/>
            <w:vAlign w:val="bottom"/>
            <w:shd w:val="clear" w:color="auto" w:fill="FDFD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stock for retention bonus</w:t>
            </w:r>
          </w:p>
        </w:tc>
        <w:tc>
          <w:tcPr>
            <w:tcW w:w="1060" w:type="dxa"/>
            <w:vAlign w:val="bottom"/>
            <w:gridSpan w:val="2"/>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94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720" w:type="dxa"/>
            <w:vAlign w:val="bottom"/>
            <w:shd w:val="clear" w:color="auto" w:fill="FDFDFC"/>
          </w:tcPr>
          <w:p>
            <w:pPr>
              <w:spacing w:after="0"/>
              <w:rPr>
                <w:sz w:val="13"/>
                <w:szCs w:val="13"/>
                <w:color w:val="auto"/>
              </w:rPr>
            </w:pPr>
          </w:p>
        </w:tc>
        <w:tc>
          <w:tcPr>
            <w:tcW w:w="480" w:type="dxa"/>
            <w:vAlign w:val="bottom"/>
            <w:gridSpan w:val="2"/>
            <w:vMerge w:val="continue"/>
            <w:shd w:val="clear" w:color="auto" w:fill="FDFDFC"/>
          </w:tcPr>
          <w:p>
            <w:pPr>
              <w:spacing w:after="0"/>
              <w:rPr>
                <w:sz w:val="13"/>
                <w:szCs w:val="13"/>
                <w:color w:val="auto"/>
              </w:rPr>
            </w:pPr>
          </w:p>
        </w:tc>
        <w:tc>
          <w:tcPr>
            <w:tcW w:w="200" w:type="dxa"/>
            <w:vAlign w:val="bottom"/>
            <w:shd w:val="clear" w:color="auto" w:fill="FDFDFC"/>
          </w:tcPr>
          <w:p>
            <w:pPr>
              <w:spacing w:after="0"/>
              <w:rPr>
                <w:sz w:val="13"/>
                <w:szCs w:val="13"/>
                <w:color w:val="auto"/>
              </w:rPr>
            </w:pPr>
          </w:p>
        </w:tc>
        <w:tc>
          <w:tcPr>
            <w:tcW w:w="800" w:type="dxa"/>
            <w:vAlign w:val="bottom"/>
            <w:gridSpan w:val="2"/>
            <w:vMerge w:val="continue"/>
            <w:shd w:val="clear" w:color="auto" w:fill="FDFDFC"/>
          </w:tcPr>
          <w:p>
            <w:pPr>
              <w:spacing w:after="0"/>
              <w:rPr>
                <w:sz w:val="13"/>
                <w:szCs w:val="13"/>
                <w:color w:val="auto"/>
              </w:rPr>
            </w:pPr>
          </w:p>
        </w:tc>
        <w:tc>
          <w:tcPr>
            <w:tcW w:w="320" w:type="dxa"/>
            <w:vAlign w:val="bottom"/>
            <w:shd w:val="clear" w:color="auto" w:fill="FDFDFC"/>
          </w:tcPr>
          <w:p>
            <w:pPr>
              <w:spacing w:after="0"/>
              <w:rPr>
                <w:sz w:val="13"/>
                <w:szCs w:val="13"/>
                <w:color w:val="auto"/>
              </w:rPr>
            </w:pPr>
          </w:p>
        </w:tc>
        <w:tc>
          <w:tcPr>
            <w:tcW w:w="76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82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340" w:type="dxa"/>
            <w:vAlign w:val="bottom"/>
            <w:shd w:val="clear" w:color="auto" w:fill="FDFDFC"/>
          </w:tcPr>
          <w:p>
            <w:pPr>
              <w:spacing w:after="0"/>
              <w:rPr>
                <w:sz w:val="13"/>
                <w:szCs w:val="13"/>
                <w:color w:val="auto"/>
              </w:rPr>
            </w:pPr>
          </w:p>
        </w:tc>
        <w:tc>
          <w:tcPr>
            <w:tcW w:w="1000" w:type="dxa"/>
            <w:vAlign w:val="bottom"/>
            <w:gridSpan w:val="2"/>
            <w:vMerge w:val="continue"/>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740" w:type="dxa"/>
            <w:vAlign w:val="bottom"/>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D0EBF2"/>
          </w:tcPr>
          <w:p>
            <w:pPr>
              <w:spacing w:after="0" w:line="121" w:lineRule="exact"/>
              <w:rPr>
                <w:sz w:val="20"/>
                <w:szCs w:val="20"/>
                <w:color w:val="auto"/>
              </w:rPr>
            </w:pPr>
            <w:r>
              <w:rPr>
                <w:rFonts w:ascii="Arial" w:cs="Arial" w:eastAsia="Arial" w:hAnsi="Arial"/>
                <w:sz w:val="11"/>
                <w:szCs w:val="11"/>
                <w:color w:val="231F20"/>
              </w:rPr>
              <w:t>Issuance of common</w:t>
            </w:r>
          </w:p>
        </w:tc>
        <w:tc>
          <w:tcPr>
            <w:tcW w:w="120" w:type="dxa"/>
            <w:vAlign w:val="bottom"/>
            <w:shd w:val="clear" w:color="auto" w:fill="D0EBF2"/>
          </w:tcPr>
          <w:p>
            <w:pPr>
              <w:spacing w:after="0"/>
              <w:rPr>
                <w:sz w:val="10"/>
                <w:szCs w:val="10"/>
                <w:color w:val="auto"/>
              </w:rPr>
            </w:pPr>
          </w:p>
        </w:tc>
        <w:tc>
          <w:tcPr>
            <w:tcW w:w="94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94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720" w:type="dxa"/>
            <w:vAlign w:val="bottom"/>
            <w:shd w:val="clear" w:color="auto" w:fill="D0EBF2"/>
          </w:tcPr>
          <w:p>
            <w:pPr>
              <w:spacing w:after="0"/>
              <w:rPr>
                <w:sz w:val="10"/>
                <w:szCs w:val="10"/>
                <w:color w:val="auto"/>
              </w:rPr>
            </w:pPr>
          </w:p>
        </w:tc>
        <w:tc>
          <w:tcPr>
            <w:tcW w:w="22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200" w:type="dxa"/>
            <w:vAlign w:val="bottom"/>
            <w:shd w:val="clear" w:color="auto" w:fill="D0EBF2"/>
          </w:tcPr>
          <w:p>
            <w:pPr>
              <w:spacing w:after="0"/>
              <w:rPr>
                <w:sz w:val="10"/>
                <w:szCs w:val="10"/>
                <w:color w:val="auto"/>
              </w:rPr>
            </w:pPr>
          </w:p>
        </w:tc>
        <w:tc>
          <w:tcPr>
            <w:tcW w:w="54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320" w:type="dxa"/>
            <w:vAlign w:val="bottom"/>
            <w:shd w:val="clear" w:color="auto" w:fill="D0EBF2"/>
          </w:tcPr>
          <w:p>
            <w:pPr>
              <w:spacing w:after="0"/>
              <w:rPr>
                <w:sz w:val="10"/>
                <w:szCs w:val="10"/>
                <w:color w:val="auto"/>
              </w:rPr>
            </w:pPr>
          </w:p>
        </w:tc>
        <w:tc>
          <w:tcPr>
            <w:tcW w:w="76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680" w:type="dxa"/>
            <w:vAlign w:val="bottom"/>
            <w:shd w:val="clear" w:color="auto" w:fill="D0EBF2"/>
          </w:tcPr>
          <w:p>
            <w:pPr>
              <w:spacing w:after="0"/>
              <w:rPr>
                <w:sz w:val="10"/>
                <w:szCs w:val="10"/>
                <w:color w:val="auto"/>
              </w:rPr>
            </w:pPr>
          </w:p>
        </w:tc>
        <w:tc>
          <w:tcPr>
            <w:tcW w:w="140" w:type="dxa"/>
            <w:vAlign w:val="bottom"/>
            <w:shd w:val="clear" w:color="auto" w:fill="D0EBF2"/>
          </w:tcPr>
          <w:p>
            <w:pPr>
              <w:spacing w:after="0"/>
              <w:rPr>
                <w:sz w:val="10"/>
                <w:szCs w:val="10"/>
                <w:color w:val="auto"/>
              </w:rPr>
            </w:pPr>
          </w:p>
        </w:tc>
        <w:tc>
          <w:tcPr>
            <w:tcW w:w="120" w:type="dxa"/>
            <w:vAlign w:val="bottom"/>
            <w:shd w:val="clear" w:color="auto" w:fill="D0EBF2"/>
          </w:tcPr>
          <w:p>
            <w:pPr>
              <w:spacing w:after="0"/>
              <w:rPr>
                <w:sz w:val="10"/>
                <w:szCs w:val="10"/>
                <w:color w:val="auto"/>
              </w:rPr>
            </w:pPr>
          </w:p>
        </w:tc>
        <w:tc>
          <w:tcPr>
            <w:tcW w:w="340" w:type="dxa"/>
            <w:vAlign w:val="bottom"/>
            <w:shd w:val="clear" w:color="auto" w:fill="D0EBF2"/>
          </w:tcPr>
          <w:p>
            <w:pPr>
              <w:spacing w:after="0"/>
              <w:rPr>
                <w:sz w:val="10"/>
                <w:szCs w:val="10"/>
                <w:color w:val="auto"/>
              </w:rPr>
            </w:pPr>
          </w:p>
        </w:tc>
        <w:tc>
          <w:tcPr>
            <w:tcW w:w="74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740" w:type="dxa"/>
            <w:vAlign w:val="bottom"/>
            <w:shd w:val="clear" w:color="auto" w:fill="D0EBF2"/>
          </w:tcPr>
          <w:p>
            <w:pPr>
              <w:spacing w:after="0"/>
              <w:rPr>
                <w:sz w:val="10"/>
                <w:szCs w:val="10"/>
                <w:color w:val="auto"/>
              </w:rPr>
            </w:pPr>
          </w:p>
        </w:tc>
        <w:tc>
          <w:tcPr>
            <w:tcW w:w="140" w:type="dxa"/>
            <w:vAlign w:val="bottom"/>
            <w:shd w:val="clear" w:color="auto" w:fill="D0EBF2"/>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stock under</w:t>
            </w:r>
          </w:p>
        </w:tc>
        <w:tc>
          <w:tcPr>
            <w:tcW w:w="12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720" w:type="dxa"/>
            <w:vAlign w:val="bottom"/>
            <w:shd w:val="clear" w:color="auto" w:fill="D0EBF2"/>
          </w:tcPr>
          <w:p>
            <w:pPr>
              <w:spacing w:after="0"/>
              <w:rPr>
                <w:sz w:val="11"/>
                <w:szCs w:val="11"/>
                <w:color w:val="auto"/>
              </w:rPr>
            </w:pPr>
          </w:p>
        </w:tc>
        <w:tc>
          <w:tcPr>
            <w:tcW w:w="2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200" w:type="dxa"/>
            <w:vAlign w:val="bottom"/>
            <w:shd w:val="clear" w:color="auto" w:fill="D0EBF2"/>
          </w:tcPr>
          <w:p>
            <w:pPr>
              <w:spacing w:after="0"/>
              <w:rPr>
                <w:sz w:val="11"/>
                <w:szCs w:val="11"/>
                <w:color w:val="auto"/>
              </w:rPr>
            </w:pPr>
          </w:p>
        </w:tc>
        <w:tc>
          <w:tcPr>
            <w:tcW w:w="5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320" w:type="dxa"/>
            <w:vAlign w:val="bottom"/>
            <w:shd w:val="clear" w:color="auto" w:fill="D0EBF2"/>
          </w:tcPr>
          <w:p>
            <w:pPr>
              <w:spacing w:after="0"/>
              <w:rPr>
                <w:sz w:val="11"/>
                <w:szCs w:val="11"/>
                <w:color w:val="auto"/>
              </w:rPr>
            </w:pPr>
          </w:p>
        </w:tc>
        <w:tc>
          <w:tcPr>
            <w:tcW w:w="76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68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employee stock</w:t>
            </w:r>
          </w:p>
        </w:tc>
        <w:tc>
          <w:tcPr>
            <w:tcW w:w="1060" w:type="dxa"/>
            <w:vAlign w:val="bottom"/>
            <w:gridSpan w:val="2"/>
            <w:vMerge w:val="restart"/>
            <w:shd w:val="clear" w:color="auto" w:fill="D0EBF2"/>
          </w:tcPr>
          <w:p>
            <w:pPr>
              <w:jc w:val="right"/>
              <w:spacing w:after="0"/>
              <w:rPr>
                <w:sz w:val="20"/>
                <w:szCs w:val="20"/>
                <w:color w:val="auto"/>
              </w:rPr>
            </w:pPr>
            <w:r>
              <w:rPr>
                <w:rFonts w:ascii="Arial" w:cs="Arial" w:eastAsia="Arial" w:hAnsi="Arial"/>
                <w:sz w:val="11"/>
                <w:szCs w:val="11"/>
                <w:color w:val="231F20"/>
              </w:rPr>
              <w:t>145,058</w:t>
            </w: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1"/>
                <w:szCs w:val="11"/>
                <w:color w:val="auto"/>
              </w:rPr>
            </w:pPr>
          </w:p>
        </w:tc>
        <w:tc>
          <w:tcPr>
            <w:tcW w:w="9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720" w:type="dxa"/>
            <w:vAlign w:val="bottom"/>
            <w:shd w:val="clear" w:color="auto" w:fill="D0EBF2"/>
          </w:tcPr>
          <w:p>
            <w:pPr>
              <w:spacing w:after="0"/>
              <w:rPr>
                <w:sz w:val="11"/>
                <w:szCs w:val="11"/>
                <w:color w:val="auto"/>
              </w:rPr>
            </w:pPr>
          </w:p>
        </w:tc>
        <w:tc>
          <w:tcPr>
            <w:tcW w:w="48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D0EBF2"/>
          </w:tcPr>
          <w:p>
            <w:pPr>
              <w:spacing w:after="0"/>
              <w:rPr>
                <w:sz w:val="11"/>
                <w:szCs w:val="11"/>
                <w:color w:val="auto"/>
              </w:rPr>
            </w:pPr>
          </w:p>
        </w:tc>
        <w:tc>
          <w:tcPr>
            <w:tcW w:w="80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D0EBF2"/>
          </w:tcPr>
          <w:p>
            <w:pPr>
              <w:spacing w:after="0"/>
              <w:rPr>
                <w:sz w:val="11"/>
                <w:szCs w:val="11"/>
                <w:color w:val="auto"/>
              </w:rPr>
            </w:pPr>
          </w:p>
        </w:tc>
        <w:tc>
          <w:tcPr>
            <w:tcW w:w="76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2,691</w:t>
            </w: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820" w:type="dxa"/>
            <w:vAlign w:val="bottom"/>
            <w:gridSpan w:val="2"/>
            <w:vMerge w:val="restart"/>
            <w:shd w:val="clear" w:color="auto" w:fill="D0EBF2"/>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100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D0EBF2"/>
          </w:tcPr>
          <w:p>
            <w:pPr>
              <w:spacing w:after="0"/>
              <w:rPr>
                <w:sz w:val="11"/>
                <w:szCs w:val="11"/>
                <w:color w:val="auto"/>
              </w:rPr>
            </w:pPr>
          </w:p>
        </w:tc>
        <w:tc>
          <w:tcPr>
            <w:tcW w:w="7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2,691</w:t>
            </w: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purchase plan</w:t>
            </w:r>
          </w:p>
        </w:tc>
        <w:tc>
          <w:tcPr>
            <w:tcW w:w="1060" w:type="dxa"/>
            <w:vAlign w:val="bottom"/>
            <w:gridSpan w:val="2"/>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94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720" w:type="dxa"/>
            <w:vAlign w:val="bottom"/>
            <w:shd w:val="clear" w:color="auto" w:fill="D0EBF2"/>
          </w:tcPr>
          <w:p>
            <w:pPr>
              <w:spacing w:after="0"/>
              <w:rPr>
                <w:sz w:val="13"/>
                <w:szCs w:val="13"/>
                <w:color w:val="auto"/>
              </w:rPr>
            </w:pPr>
          </w:p>
        </w:tc>
        <w:tc>
          <w:tcPr>
            <w:tcW w:w="480" w:type="dxa"/>
            <w:vAlign w:val="bottom"/>
            <w:gridSpan w:val="2"/>
            <w:vMerge w:val="continue"/>
            <w:shd w:val="clear" w:color="auto" w:fill="D0EBF2"/>
          </w:tcPr>
          <w:p>
            <w:pPr>
              <w:spacing w:after="0"/>
              <w:rPr>
                <w:sz w:val="13"/>
                <w:szCs w:val="13"/>
                <w:color w:val="auto"/>
              </w:rPr>
            </w:pPr>
          </w:p>
        </w:tc>
        <w:tc>
          <w:tcPr>
            <w:tcW w:w="200" w:type="dxa"/>
            <w:vAlign w:val="bottom"/>
            <w:shd w:val="clear" w:color="auto" w:fill="D0EBF2"/>
          </w:tcPr>
          <w:p>
            <w:pPr>
              <w:spacing w:after="0"/>
              <w:rPr>
                <w:sz w:val="13"/>
                <w:szCs w:val="13"/>
                <w:color w:val="auto"/>
              </w:rPr>
            </w:pPr>
          </w:p>
        </w:tc>
        <w:tc>
          <w:tcPr>
            <w:tcW w:w="800" w:type="dxa"/>
            <w:vAlign w:val="bottom"/>
            <w:gridSpan w:val="2"/>
            <w:vMerge w:val="continue"/>
            <w:shd w:val="clear" w:color="auto" w:fill="D0EBF2"/>
          </w:tcPr>
          <w:p>
            <w:pPr>
              <w:spacing w:after="0"/>
              <w:rPr>
                <w:sz w:val="13"/>
                <w:szCs w:val="13"/>
                <w:color w:val="auto"/>
              </w:rPr>
            </w:pPr>
          </w:p>
        </w:tc>
        <w:tc>
          <w:tcPr>
            <w:tcW w:w="320" w:type="dxa"/>
            <w:vAlign w:val="bottom"/>
            <w:shd w:val="clear" w:color="auto" w:fill="D0EBF2"/>
          </w:tcPr>
          <w:p>
            <w:pPr>
              <w:spacing w:after="0"/>
              <w:rPr>
                <w:sz w:val="13"/>
                <w:szCs w:val="13"/>
                <w:color w:val="auto"/>
              </w:rPr>
            </w:pPr>
          </w:p>
        </w:tc>
        <w:tc>
          <w:tcPr>
            <w:tcW w:w="76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820" w:type="dxa"/>
            <w:vAlign w:val="bottom"/>
            <w:gridSpan w:val="2"/>
            <w:vMerge w:val="continue"/>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340" w:type="dxa"/>
            <w:vAlign w:val="bottom"/>
            <w:shd w:val="clear" w:color="auto" w:fill="D0EBF2"/>
          </w:tcPr>
          <w:p>
            <w:pPr>
              <w:spacing w:after="0"/>
              <w:rPr>
                <w:sz w:val="13"/>
                <w:szCs w:val="13"/>
                <w:color w:val="auto"/>
              </w:rPr>
            </w:pPr>
          </w:p>
        </w:tc>
        <w:tc>
          <w:tcPr>
            <w:tcW w:w="1000" w:type="dxa"/>
            <w:vAlign w:val="bottom"/>
            <w:gridSpan w:val="2"/>
            <w:vMerge w:val="continue"/>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740" w:type="dxa"/>
            <w:vAlign w:val="bottom"/>
            <w:vMerge w:val="continue"/>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FDFDFC"/>
          </w:tcPr>
          <w:p>
            <w:pPr>
              <w:spacing w:after="0" w:line="120" w:lineRule="exact"/>
              <w:rPr>
                <w:sz w:val="20"/>
                <w:szCs w:val="20"/>
                <w:color w:val="auto"/>
              </w:rPr>
            </w:pPr>
            <w:r>
              <w:rPr>
                <w:rFonts w:ascii="Arial" w:cs="Arial" w:eastAsia="Arial" w:hAnsi="Arial"/>
                <w:sz w:val="11"/>
                <w:szCs w:val="11"/>
                <w:color w:val="231F20"/>
              </w:rPr>
              <w:t>Foreign currency</w:t>
            </w:r>
          </w:p>
        </w:tc>
        <w:tc>
          <w:tcPr>
            <w:tcW w:w="120" w:type="dxa"/>
            <w:vAlign w:val="bottom"/>
            <w:shd w:val="clear" w:color="auto" w:fill="FDFDFC"/>
          </w:tcPr>
          <w:p>
            <w:pPr>
              <w:spacing w:after="0"/>
              <w:rPr>
                <w:sz w:val="10"/>
                <w:szCs w:val="10"/>
                <w:color w:val="auto"/>
              </w:rPr>
            </w:pPr>
          </w:p>
        </w:tc>
        <w:tc>
          <w:tcPr>
            <w:tcW w:w="94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94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720" w:type="dxa"/>
            <w:vAlign w:val="bottom"/>
            <w:shd w:val="clear" w:color="auto" w:fill="FDFDFC"/>
          </w:tcPr>
          <w:p>
            <w:pPr>
              <w:spacing w:after="0"/>
              <w:rPr>
                <w:sz w:val="10"/>
                <w:szCs w:val="10"/>
                <w:color w:val="auto"/>
              </w:rPr>
            </w:pPr>
          </w:p>
        </w:tc>
        <w:tc>
          <w:tcPr>
            <w:tcW w:w="22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200" w:type="dxa"/>
            <w:vAlign w:val="bottom"/>
            <w:shd w:val="clear" w:color="auto" w:fill="FDFDFC"/>
          </w:tcPr>
          <w:p>
            <w:pPr>
              <w:spacing w:after="0"/>
              <w:rPr>
                <w:sz w:val="10"/>
                <w:szCs w:val="10"/>
                <w:color w:val="auto"/>
              </w:rPr>
            </w:pPr>
          </w:p>
        </w:tc>
        <w:tc>
          <w:tcPr>
            <w:tcW w:w="54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320" w:type="dxa"/>
            <w:vAlign w:val="bottom"/>
            <w:shd w:val="clear" w:color="auto" w:fill="FDFDFC"/>
          </w:tcPr>
          <w:p>
            <w:pPr>
              <w:spacing w:after="0"/>
              <w:rPr>
                <w:sz w:val="10"/>
                <w:szCs w:val="10"/>
                <w:color w:val="auto"/>
              </w:rPr>
            </w:pPr>
          </w:p>
        </w:tc>
        <w:tc>
          <w:tcPr>
            <w:tcW w:w="76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400" w:type="dxa"/>
            <w:vAlign w:val="bottom"/>
            <w:shd w:val="clear" w:color="auto" w:fill="FDFDFC"/>
          </w:tcPr>
          <w:p>
            <w:pPr>
              <w:spacing w:after="0"/>
              <w:rPr>
                <w:sz w:val="10"/>
                <w:szCs w:val="10"/>
                <w:color w:val="auto"/>
              </w:rPr>
            </w:pPr>
          </w:p>
        </w:tc>
        <w:tc>
          <w:tcPr>
            <w:tcW w:w="68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120" w:type="dxa"/>
            <w:vAlign w:val="bottom"/>
            <w:shd w:val="clear" w:color="auto" w:fill="FDFDFC"/>
          </w:tcPr>
          <w:p>
            <w:pPr>
              <w:spacing w:after="0"/>
              <w:rPr>
                <w:sz w:val="10"/>
                <w:szCs w:val="10"/>
                <w:color w:val="auto"/>
              </w:rPr>
            </w:pPr>
          </w:p>
        </w:tc>
        <w:tc>
          <w:tcPr>
            <w:tcW w:w="340" w:type="dxa"/>
            <w:vAlign w:val="bottom"/>
            <w:shd w:val="clear" w:color="auto" w:fill="FDFDFC"/>
          </w:tcPr>
          <w:p>
            <w:pPr>
              <w:spacing w:after="0"/>
              <w:rPr>
                <w:sz w:val="10"/>
                <w:szCs w:val="10"/>
                <w:color w:val="auto"/>
              </w:rPr>
            </w:pPr>
          </w:p>
        </w:tc>
        <w:tc>
          <w:tcPr>
            <w:tcW w:w="74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400" w:type="dxa"/>
            <w:vAlign w:val="bottom"/>
            <w:shd w:val="clear" w:color="auto" w:fill="FDFDFC"/>
          </w:tcPr>
          <w:p>
            <w:pPr>
              <w:spacing w:after="0"/>
              <w:rPr>
                <w:sz w:val="10"/>
                <w:szCs w:val="10"/>
                <w:color w:val="auto"/>
              </w:rPr>
            </w:pPr>
          </w:p>
        </w:tc>
        <w:tc>
          <w:tcPr>
            <w:tcW w:w="74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translation</w:t>
            </w:r>
          </w:p>
        </w:tc>
        <w:tc>
          <w:tcPr>
            <w:tcW w:w="120" w:type="dxa"/>
            <w:vAlign w:val="bottom"/>
            <w:shd w:val="clear" w:color="auto" w:fill="FDFDFC"/>
          </w:tcPr>
          <w:p>
            <w:pPr>
              <w:spacing w:after="0"/>
              <w:rPr>
                <w:sz w:val="11"/>
                <w:szCs w:val="11"/>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300" w:type="dxa"/>
            <w:vAlign w:val="bottom"/>
            <w:shd w:val="clear" w:color="auto" w:fill="FDFDFC"/>
          </w:tcPr>
          <w:p>
            <w:pPr>
              <w:spacing w:after="0"/>
              <w:rPr>
                <w:sz w:val="11"/>
                <w:szCs w:val="11"/>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1"/>
                <w:szCs w:val="11"/>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300" w:type="dxa"/>
            <w:vAlign w:val="bottom"/>
            <w:shd w:val="clear" w:color="auto" w:fill="FDFDFC"/>
          </w:tcPr>
          <w:p>
            <w:pPr>
              <w:spacing w:after="0"/>
              <w:rPr>
                <w:sz w:val="11"/>
                <w:szCs w:val="11"/>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720" w:type="dxa"/>
            <w:vAlign w:val="bottom"/>
            <w:shd w:val="clear" w:color="auto" w:fill="FDFDFC"/>
          </w:tcPr>
          <w:p>
            <w:pPr>
              <w:spacing w:after="0"/>
              <w:rPr>
                <w:sz w:val="11"/>
                <w:szCs w:val="11"/>
                <w:color w:val="auto"/>
              </w:rPr>
            </w:pPr>
          </w:p>
        </w:tc>
        <w:tc>
          <w:tcPr>
            <w:tcW w:w="48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FDFDFC"/>
          </w:tcPr>
          <w:p>
            <w:pPr>
              <w:spacing w:after="0"/>
              <w:rPr>
                <w:sz w:val="11"/>
                <w:szCs w:val="11"/>
                <w:color w:val="auto"/>
              </w:rPr>
            </w:pPr>
          </w:p>
        </w:tc>
        <w:tc>
          <w:tcPr>
            <w:tcW w:w="8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FDFDFC"/>
          </w:tcPr>
          <w:p>
            <w:pPr>
              <w:spacing w:after="0"/>
              <w:rPr>
                <w:sz w:val="11"/>
                <w:szCs w:val="11"/>
                <w:color w:val="auto"/>
              </w:rPr>
            </w:pPr>
          </w:p>
        </w:tc>
        <w:tc>
          <w:tcPr>
            <w:tcW w:w="76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1"/>
                <w:szCs w:val="11"/>
                <w:color w:val="auto"/>
              </w:rPr>
            </w:pPr>
          </w:p>
        </w:tc>
        <w:tc>
          <w:tcPr>
            <w:tcW w:w="400" w:type="dxa"/>
            <w:vAlign w:val="bottom"/>
            <w:shd w:val="clear" w:color="auto" w:fill="FDFDFC"/>
          </w:tcPr>
          <w:p>
            <w:pPr>
              <w:spacing w:after="0"/>
              <w:rPr>
                <w:sz w:val="11"/>
                <w:szCs w:val="11"/>
                <w:color w:val="auto"/>
              </w:rPr>
            </w:pPr>
          </w:p>
        </w:tc>
        <w:tc>
          <w:tcPr>
            <w:tcW w:w="6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3,232</w:t>
            </w: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340" w:type="dxa"/>
            <w:vAlign w:val="bottom"/>
            <w:shd w:val="clear" w:color="auto" w:fill="FDFDFC"/>
          </w:tcPr>
          <w:p>
            <w:pPr>
              <w:spacing w:after="0"/>
              <w:rPr>
                <w:sz w:val="11"/>
                <w:szCs w:val="11"/>
                <w:color w:val="auto"/>
              </w:rPr>
            </w:pPr>
          </w:p>
        </w:tc>
        <w:tc>
          <w:tcPr>
            <w:tcW w:w="10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FDFDFC"/>
          </w:tcPr>
          <w:p>
            <w:pPr>
              <w:spacing w:after="0"/>
              <w:rPr>
                <w:sz w:val="11"/>
                <w:szCs w:val="11"/>
                <w:color w:val="auto"/>
              </w:rPr>
            </w:pPr>
          </w:p>
        </w:tc>
        <w:tc>
          <w:tcPr>
            <w:tcW w:w="7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3,232</w:t>
            </w:r>
          </w:p>
        </w:tc>
        <w:tc>
          <w:tcPr>
            <w:tcW w:w="140" w:type="dxa"/>
            <w:vAlign w:val="bottom"/>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adjustment</w:t>
            </w:r>
          </w:p>
        </w:tc>
        <w:tc>
          <w:tcPr>
            <w:tcW w:w="120" w:type="dxa"/>
            <w:vAlign w:val="bottom"/>
            <w:shd w:val="clear" w:color="auto" w:fill="FDFDFC"/>
          </w:tcPr>
          <w:p>
            <w:pPr>
              <w:spacing w:after="0"/>
              <w:rPr>
                <w:sz w:val="13"/>
                <w:szCs w:val="13"/>
                <w:color w:val="auto"/>
              </w:rPr>
            </w:pPr>
          </w:p>
        </w:tc>
        <w:tc>
          <w:tcPr>
            <w:tcW w:w="94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94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720" w:type="dxa"/>
            <w:vAlign w:val="bottom"/>
            <w:shd w:val="clear" w:color="auto" w:fill="FDFDFC"/>
          </w:tcPr>
          <w:p>
            <w:pPr>
              <w:spacing w:after="0"/>
              <w:rPr>
                <w:sz w:val="13"/>
                <w:szCs w:val="13"/>
                <w:color w:val="auto"/>
              </w:rPr>
            </w:pPr>
          </w:p>
        </w:tc>
        <w:tc>
          <w:tcPr>
            <w:tcW w:w="480" w:type="dxa"/>
            <w:vAlign w:val="bottom"/>
            <w:gridSpan w:val="2"/>
            <w:vMerge w:val="continue"/>
            <w:shd w:val="clear" w:color="auto" w:fill="FDFDFC"/>
          </w:tcPr>
          <w:p>
            <w:pPr>
              <w:spacing w:after="0"/>
              <w:rPr>
                <w:sz w:val="13"/>
                <w:szCs w:val="13"/>
                <w:color w:val="auto"/>
              </w:rPr>
            </w:pPr>
          </w:p>
        </w:tc>
        <w:tc>
          <w:tcPr>
            <w:tcW w:w="200" w:type="dxa"/>
            <w:vAlign w:val="bottom"/>
            <w:shd w:val="clear" w:color="auto" w:fill="FDFDFC"/>
          </w:tcPr>
          <w:p>
            <w:pPr>
              <w:spacing w:after="0"/>
              <w:rPr>
                <w:sz w:val="13"/>
                <w:szCs w:val="13"/>
                <w:color w:val="auto"/>
              </w:rPr>
            </w:pPr>
          </w:p>
        </w:tc>
        <w:tc>
          <w:tcPr>
            <w:tcW w:w="800" w:type="dxa"/>
            <w:vAlign w:val="bottom"/>
            <w:gridSpan w:val="2"/>
            <w:vMerge w:val="continue"/>
            <w:shd w:val="clear" w:color="auto" w:fill="FDFDFC"/>
          </w:tcPr>
          <w:p>
            <w:pPr>
              <w:spacing w:after="0"/>
              <w:rPr>
                <w:sz w:val="13"/>
                <w:szCs w:val="13"/>
                <w:color w:val="auto"/>
              </w:rPr>
            </w:pPr>
          </w:p>
        </w:tc>
        <w:tc>
          <w:tcPr>
            <w:tcW w:w="320" w:type="dxa"/>
            <w:vAlign w:val="bottom"/>
            <w:shd w:val="clear" w:color="auto" w:fill="FDFDFC"/>
          </w:tcPr>
          <w:p>
            <w:pPr>
              <w:spacing w:after="0"/>
              <w:rPr>
                <w:sz w:val="13"/>
                <w:szCs w:val="13"/>
                <w:color w:val="auto"/>
              </w:rPr>
            </w:pPr>
          </w:p>
        </w:tc>
        <w:tc>
          <w:tcPr>
            <w:tcW w:w="76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680" w:type="dxa"/>
            <w:vAlign w:val="bottom"/>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340" w:type="dxa"/>
            <w:vAlign w:val="bottom"/>
            <w:shd w:val="clear" w:color="auto" w:fill="FDFDFC"/>
          </w:tcPr>
          <w:p>
            <w:pPr>
              <w:spacing w:after="0"/>
              <w:rPr>
                <w:sz w:val="13"/>
                <w:szCs w:val="13"/>
                <w:color w:val="auto"/>
              </w:rPr>
            </w:pPr>
          </w:p>
        </w:tc>
        <w:tc>
          <w:tcPr>
            <w:tcW w:w="1000" w:type="dxa"/>
            <w:vAlign w:val="bottom"/>
            <w:gridSpan w:val="2"/>
            <w:vMerge w:val="continue"/>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740" w:type="dxa"/>
            <w:vAlign w:val="bottom"/>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D0EBF2"/>
          </w:tcPr>
          <w:p>
            <w:pPr>
              <w:spacing w:after="0" w:line="120" w:lineRule="exact"/>
              <w:rPr>
                <w:sz w:val="20"/>
                <w:szCs w:val="20"/>
                <w:color w:val="auto"/>
              </w:rPr>
            </w:pPr>
            <w:r>
              <w:rPr>
                <w:rFonts w:ascii="Arial" w:cs="Arial" w:eastAsia="Arial" w:hAnsi="Arial"/>
                <w:sz w:val="11"/>
                <w:szCs w:val="11"/>
                <w:color w:val="231F20"/>
              </w:rPr>
              <w:t>Stock-based</w:t>
            </w:r>
          </w:p>
        </w:tc>
        <w:tc>
          <w:tcPr>
            <w:tcW w:w="120" w:type="dxa"/>
            <w:vAlign w:val="bottom"/>
            <w:shd w:val="clear" w:color="auto" w:fill="D0EBF2"/>
          </w:tcPr>
          <w:p>
            <w:pPr>
              <w:spacing w:after="0"/>
              <w:rPr>
                <w:sz w:val="10"/>
                <w:szCs w:val="10"/>
                <w:color w:val="auto"/>
              </w:rPr>
            </w:pPr>
          </w:p>
        </w:tc>
        <w:tc>
          <w:tcPr>
            <w:tcW w:w="9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0"/>
                <w:szCs w:val="10"/>
                <w:color w:val="auto"/>
              </w:rPr>
            </w:pPr>
          </w:p>
        </w:tc>
        <w:tc>
          <w:tcPr>
            <w:tcW w:w="9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0"/>
                <w:szCs w:val="10"/>
                <w:color w:val="auto"/>
              </w:rPr>
            </w:pPr>
          </w:p>
        </w:tc>
        <w:tc>
          <w:tcPr>
            <w:tcW w:w="720" w:type="dxa"/>
            <w:vAlign w:val="bottom"/>
            <w:shd w:val="clear" w:color="auto" w:fill="D0EBF2"/>
          </w:tcPr>
          <w:p>
            <w:pPr>
              <w:spacing w:after="0"/>
              <w:rPr>
                <w:sz w:val="10"/>
                <w:szCs w:val="10"/>
                <w:color w:val="auto"/>
              </w:rPr>
            </w:pPr>
          </w:p>
        </w:tc>
        <w:tc>
          <w:tcPr>
            <w:tcW w:w="48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D0EBF2"/>
          </w:tcPr>
          <w:p>
            <w:pPr>
              <w:spacing w:after="0"/>
              <w:rPr>
                <w:sz w:val="10"/>
                <w:szCs w:val="10"/>
                <w:color w:val="auto"/>
              </w:rPr>
            </w:pPr>
          </w:p>
        </w:tc>
        <w:tc>
          <w:tcPr>
            <w:tcW w:w="80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D0EBF2"/>
          </w:tcPr>
          <w:p>
            <w:pPr>
              <w:spacing w:after="0"/>
              <w:rPr>
                <w:sz w:val="10"/>
                <w:szCs w:val="10"/>
                <w:color w:val="auto"/>
              </w:rPr>
            </w:pPr>
          </w:p>
        </w:tc>
        <w:tc>
          <w:tcPr>
            <w:tcW w:w="76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43,726</w:t>
            </w: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820" w:type="dxa"/>
            <w:vAlign w:val="bottom"/>
            <w:gridSpan w:val="2"/>
            <w:vMerge w:val="restart"/>
            <w:shd w:val="clear" w:color="auto" w:fill="D0EBF2"/>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0"/>
                <w:szCs w:val="10"/>
                <w:color w:val="auto"/>
              </w:rPr>
            </w:pPr>
          </w:p>
        </w:tc>
        <w:tc>
          <w:tcPr>
            <w:tcW w:w="340" w:type="dxa"/>
            <w:vAlign w:val="bottom"/>
            <w:shd w:val="clear" w:color="auto" w:fill="D0EBF2"/>
          </w:tcPr>
          <w:p>
            <w:pPr>
              <w:spacing w:after="0"/>
              <w:rPr>
                <w:sz w:val="10"/>
                <w:szCs w:val="10"/>
                <w:color w:val="auto"/>
              </w:rPr>
            </w:pPr>
          </w:p>
        </w:tc>
        <w:tc>
          <w:tcPr>
            <w:tcW w:w="100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D0EBF2"/>
          </w:tcPr>
          <w:p>
            <w:pPr>
              <w:spacing w:after="0"/>
              <w:rPr>
                <w:sz w:val="10"/>
                <w:szCs w:val="10"/>
                <w:color w:val="auto"/>
              </w:rPr>
            </w:pPr>
          </w:p>
        </w:tc>
        <w:tc>
          <w:tcPr>
            <w:tcW w:w="7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43,726</w:t>
            </w:r>
          </w:p>
        </w:tc>
        <w:tc>
          <w:tcPr>
            <w:tcW w:w="140" w:type="dxa"/>
            <w:vAlign w:val="bottom"/>
            <w:shd w:val="clear" w:color="auto" w:fill="D0EBF2"/>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compensation</w:t>
            </w:r>
          </w:p>
        </w:tc>
        <w:tc>
          <w:tcPr>
            <w:tcW w:w="120" w:type="dxa"/>
            <w:vAlign w:val="bottom"/>
            <w:shd w:val="clear" w:color="auto" w:fill="D0EBF2"/>
          </w:tcPr>
          <w:p>
            <w:pPr>
              <w:spacing w:after="0"/>
              <w:rPr>
                <w:sz w:val="13"/>
                <w:szCs w:val="13"/>
                <w:color w:val="auto"/>
              </w:rPr>
            </w:pPr>
          </w:p>
        </w:tc>
        <w:tc>
          <w:tcPr>
            <w:tcW w:w="94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94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720" w:type="dxa"/>
            <w:vAlign w:val="bottom"/>
            <w:shd w:val="clear" w:color="auto" w:fill="D0EBF2"/>
          </w:tcPr>
          <w:p>
            <w:pPr>
              <w:spacing w:after="0"/>
              <w:rPr>
                <w:sz w:val="13"/>
                <w:szCs w:val="13"/>
                <w:color w:val="auto"/>
              </w:rPr>
            </w:pPr>
          </w:p>
        </w:tc>
        <w:tc>
          <w:tcPr>
            <w:tcW w:w="480" w:type="dxa"/>
            <w:vAlign w:val="bottom"/>
            <w:gridSpan w:val="2"/>
            <w:vMerge w:val="continue"/>
            <w:shd w:val="clear" w:color="auto" w:fill="D0EBF2"/>
          </w:tcPr>
          <w:p>
            <w:pPr>
              <w:spacing w:after="0"/>
              <w:rPr>
                <w:sz w:val="13"/>
                <w:szCs w:val="13"/>
                <w:color w:val="auto"/>
              </w:rPr>
            </w:pPr>
          </w:p>
        </w:tc>
        <w:tc>
          <w:tcPr>
            <w:tcW w:w="200" w:type="dxa"/>
            <w:vAlign w:val="bottom"/>
            <w:shd w:val="clear" w:color="auto" w:fill="D0EBF2"/>
          </w:tcPr>
          <w:p>
            <w:pPr>
              <w:spacing w:after="0"/>
              <w:rPr>
                <w:sz w:val="13"/>
                <w:szCs w:val="13"/>
                <w:color w:val="auto"/>
              </w:rPr>
            </w:pPr>
          </w:p>
        </w:tc>
        <w:tc>
          <w:tcPr>
            <w:tcW w:w="800" w:type="dxa"/>
            <w:vAlign w:val="bottom"/>
            <w:gridSpan w:val="2"/>
            <w:vMerge w:val="continue"/>
            <w:shd w:val="clear" w:color="auto" w:fill="D0EBF2"/>
          </w:tcPr>
          <w:p>
            <w:pPr>
              <w:spacing w:after="0"/>
              <w:rPr>
                <w:sz w:val="13"/>
                <w:szCs w:val="13"/>
                <w:color w:val="auto"/>
              </w:rPr>
            </w:pPr>
          </w:p>
        </w:tc>
        <w:tc>
          <w:tcPr>
            <w:tcW w:w="320" w:type="dxa"/>
            <w:vAlign w:val="bottom"/>
            <w:shd w:val="clear" w:color="auto" w:fill="D0EBF2"/>
          </w:tcPr>
          <w:p>
            <w:pPr>
              <w:spacing w:after="0"/>
              <w:rPr>
                <w:sz w:val="13"/>
                <w:szCs w:val="13"/>
                <w:color w:val="auto"/>
              </w:rPr>
            </w:pPr>
          </w:p>
        </w:tc>
        <w:tc>
          <w:tcPr>
            <w:tcW w:w="76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820" w:type="dxa"/>
            <w:vAlign w:val="bottom"/>
            <w:gridSpan w:val="2"/>
            <w:vMerge w:val="continue"/>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340" w:type="dxa"/>
            <w:vAlign w:val="bottom"/>
            <w:shd w:val="clear" w:color="auto" w:fill="D0EBF2"/>
          </w:tcPr>
          <w:p>
            <w:pPr>
              <w:spacing w:after="0"/>
              <w:rPr>
                <w:sz w:val="13"/>
                <w:szCs w:val="13"/>
                <w:color w:val="auto"/>
              </w:rPr>
            </w:pPr>
          </w:p>
        </w:tc>
        <w:tc>
          <w:tcPr>
            <w:tcW w:w="1000" w:type="dxa"/>
            <w:vAlign w:val="bottom"/>
            <w:gridSpan w:val="2"/>
            <w:vMerge w:val="continue"/>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740" w:type="dxa"/>
            <w:vAlign w:val="bottom"/>
            <w:vMerge w:val="continue"/>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40" w:type="dxa"/>
            <w:vAlign w:val="bottom"/>
            <w:tcBorders>
              <w:right w:val="single" w:sz="8" w:color="231F20"/>
            </w:tcBorders>
            <w:shd w:val="clear" w:color="auto" w:fill="FDFDFC"/>
          </w:tcPr>
          <w:p>
            <w:pPr>
              <w:spacing w:after="0"/>
              <w:rPr>
                <w:sz w:val="20"/>
                <w:szCs w:val="20"/>
                <w:color w:val="auto"/>
              </w:rPr>
            </w:pPr>
            <w:r>
              <w:rPr>
                <w:rFonts w:ascii="Arial" w:cs="Arial" w:eastAsia="Arial" w:hAnsi="Arial"/>
                <w:sz w:val="11"/>
                <w:szCs w:val="11"/>
                <w:color w:val="231F20"/>
              </w:rPr>
              <w:t>Net loss</w:t>
            </w:r>
          </w:p>
        </w:tc>
        <w:tc>
          <w:tcPr>
            <w:tcW w:w="120" w:type="dxa"/>
            <w:vAlign w:val="bottom"/>
            <w:shd w:val="clear" w:color="auto" w:fill="FDFDFC"/>
          </w:tcPr>
          <w:p>
            <w:pPr>
              <w:spacing w:after="0"/>
              <w:rPr>
                <w:sz w:val="12"/>
                <w:szCs w:val="12"/>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2"/>
                <w:szCs w:val="12"/>
                <w:color w:val="auto"/>
              </w:rPr>
            </w:pPr>
          </w:p>
        </w:tc>
        <w:tc>
          <w:tcPr>
            <w:tcW w:w="300" w:type="dxa"/>
            <w:vAlign w:val="bottom"/>
            <w:shd w:val="clear" w:color="auto" w:fill="FDFDFC"/>
          </w:tcPr>
          <w:p>
            <w:pPr>
              <w:spacing w:after="0"/>
              <w:rPr>
                <w:sz w:val="12"/>
                <w:szCs w:val="12"/>
                <w:color w:val="auto"/>
              </w:rPr>
            </w:pPr>
          </w:p>
        </w:tc>
        <w:tc>
          <w:tcPr>
            <w:tcW w:w="38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2"/>
                <w:szCs w:val="12"/>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2"/>
                <w:szCs w:val="12"/>
                <w:color w:val="auto"/>
              </w:rPr>
            </w:pPr>
          </w:p>
        </w:tc>
        <w:tc>
          <w:tcPr>
            <w:tcW w:w="300" w:type="dxa"/>
            <w:vAlign w:val="bottom"/>
            <w:shd w:val="clear" w:color="auto" w:fill="FDFDFC"/>
          </w:tcPr>
          <w:p>
            <w:pPr>
              <w:spacing w:after="0"/>
              <w:rPr>
                <w:sz w:val="12"/>
                <w:szCs w:val="12"/>
                <w:color w:val="auto"/>
              </w:rPr>
            </w:pPr>
          </w:p>
        </w:tc>
        <w:tc>
          <w:tcPr>
            <w:tcW w:w="38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2"/>
                <w:szCs w:val="12"/>
                <w:color w:val="auto"/>
              </w:rPr>
            </w:pPr>
          </w:p>
        </w:tc>
        <w:tc>
          <w:tcPr>
            <w:tcW w:w="720" w:type="dxa"/>
            <w:vAlign w:val="bottom"/>
            <w:shd w:val="clear" w:color="auto" w:fill="FDFDFC"/>
          </w:tcPr>
          <w:p>
            <w:pPr>
              <w:spacing w:after="0"/>
              <w:rPr>
                <w:sz w:val="12"/>
                <w:szCs w:val="12"/>
                <w:color w:val="auto"/>
              </w:rPr>
            </w:pPr>
          </w:p>
        </w:tc>
        <w:tc>
          <w:tcPr>
            <w:tcW w:w="480" w:type="dxa"/>
            <w:vAlign w:val="bottom"/>
            <w:gridSpan w:val="2"/>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FDFDFC"/>
          </w:tcPr>
          <w:p>
            <w:pPr>
              <w:spacing w:after="0"/>
              <w:rPr>
                <w:sz w:val="12"/>
                <w:szCs w:val="12"/>
                <w:color w:val="auto"/>
              </w:rPr>
            </w:pPr>
          </w:p>
        </w:tc>
        <w:tc>
          <w:tcPr>
            <w:tcW w:w="800" w:type="dxa"/>
            <w:vAlign w:val="bottom"/>
            <w:gridSpan w:val="2"/>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FDFDFC"/>
          </w:tcPr>
          <w:p>
            <w:pPr>
              <w:spacing w:after="0"/>
              <w:rPr>
                <w:sz w:val="12"/>
                <w:szCs w:val="12"/>
                <w:color w:val="auto"/>
              </w:rPr>
            </w:pPr>
          </w:p>
        </w:tc>
        <w:tc>
          <w:tcPr>
            <w:tcW w:w="76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2"/>
                <w:szCs w:val="12"/>
                <w:color w:val="auto"/>
              </w:rPr>
            </w:pPr>
          </w:p>
        </w:tc>
        <w:tc>
          <w:tcPr>
            <w:tcW w:w="400" w:type="dxa"/>
            <w:vAlign w:val="bottom"/>
            <w:shd w:val="clear" w:color="auto" w:fill="FDFDFC"/>
          </w:tcPr>
          <w:p>
            <w:pPr>
              <w:spacing w:after="0"/>
              <w:rPr>
                <w:sz w:val="12"/>
                <w:szCs w:val="12"/>
                <w:color w:val="auto"/>
              </w:rPr>
            </w:pPr>
          </w:p>
        </w:tc>
        <w:tc>
          <w:tcPr>
            <w:tcW w:w="820" w:type="dxa"/>
            <w:vAlign w:val="bottom"/>
            <w:gridSpan w:val="2"/>
            <w:shd w:val="clear" w:color="auto" w:fill="FDFDFC"/>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12"/>
                <w:szCs w:val="12"/>
                <w:color w:val="auto"/>
              </w:rPr>
            </w:pPr>
          </w:p>
        </w:tc>
        <w:tc>
          <w:tcPr>
            <w:tcW w:w="340" w:type="dxa"/>
            <w:vAlign w:val="bottom"/>
            <w:shd w:val="clear" w:color="auto" w:fill="FDFDFC"/>
          </w:tcPr>
          <w:p>
            <w:pPr>
              <w:spacing w:after="0"/>
              <w:rPr>
                <w:sz w:val="12"/>
                <w:szCs w:val="12"/>
                <w:color w:val="auto"/>
              </w:rPr>
            </w:pPr>
          </w:p>
        </w:tc>
        <w:tc>
          <w:tcPr>
            <w:tcW w:w="1000" w:type="dxa"/>
            <w:vAlign w:val="bottom"/>
            <w:gridSpan w:val="2"/>
            <w:shd w:val="clear" w:color="auto" w:fill="FDFDFC"/>
          </w:tcPr>
          <w:p>
            <w:pPr>
              <w:jc w:val="right"/>
              <w:ind w:right="240"/>
              <w:spacing w:after="0"/>
              <w:rPr>
                <w:sz w:val="20"/>
                <w:szCs w:val="20"/>
                <w:color w:val="auto"/>
              </w:rPr>
            </w:pPr>
            <w:r>
              <w:rPr>
                <w:rFonts w:ascii="Arial" w:cs="Arial" w:eastAsia="Arial" w:hAnsi="Arial"/>
                <w:sz w:val="11"/>
                <w:szCs w:val="11"/>
                <w:color w:val="231F20"/>
              </w:rPr>
              <w:t>(8,566)</w:t>
            </w:r>
          </w:p>
        </w:tc>
        <w:tc>
          <w:tcPr>
            <w:tcW w:w="400" w:type="dxa"/>
            <w:vAlign w:val="bottom"/>
            <w:shd w:val="clear" w:color="auto" w:fill="FDFDFC"/>
          </w:tcPr>
          <w:p>
            <w:pPr>
              <w:spacing w:after="0"/>
              <w:rPr>
                <w:sz w:val="12"/>
                <w:szCs w:val="12"/>
                <w:color w:val="auto"/>
              </w:rPr>
            </w:pPr>
          </w:p>
        </w:tc>
        <w:tc>
          <w:tcPr>
            <w:tcW w:w="880" w:type="dxa"/>
            <w:vAlign w:val="bottom"/>
            <w:gridSpan w:val="2"/>
            <w:shd w:val="clear" w:color="auto" w:fill="FDFDFC"/>
          </w:tcPr>
          <w:p>
            <w:pPr>
              <w:jc w:val="right"/>
              <w:ind w:right="100"/>
              <w:spacing w:after="0"/>
              <w:rPr>
                <w:sz w:val="20"/>
                <w:szCs w:val="20"/>
                <w:color w:val="auto"/>
              </w:rPr>
            </w:pPr>
            <w:r>
              <w:rPr>
                <w:rFonts w:ascii="Arial" w:cs="Arial" w:eastAsia="Arial" w:hAnsi="Arial"/>
                <w:sz w:val="11"/>
                <w:szCs w:val="11"/>
                <w:color w:val="231F20"/>
              </w:rPr>
              <w:t>(8,566)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640" w:type="dxa"/>
            <w:vAlign w:val="bottom"/>
            <w:tcBorders>
              <w:top w:val="single" w:sz="8" w:color="D0EBF2"/>
              <w:right w:val="single" w:sz="8" w:color="231F20"/>
            </w:tcBorders>
            <w:shd w:val="clear" w:color="auto" w:fill="D0EBF2"/>
          </w:tcPr>
          <w:p>
            <w:pPr>
              <w:spacing w:after="0" w:line="109" w:lineRule="exact"/>
              <w:rPr>
                <w:sz w:val="20"/>
                <w:szCs w:val="20"/>
                <w:color w:val="auto"/>
              </w:rPr>
            </w:pPr>
            <w:r>
              <w:rPr>
                <w:rFonts w:ascii="Arial" w:cs="Arial" w:eastAsia="Arial" w:hAnsi="Arial"/>
                <w:sz w:val="11"/>
                <w:szCs w:val="11"/>
                <w:b w:val="1"/>
                <w:bCs w:val="1"/>
                <w:color w:val="231F20"/>
              </w:rPr>
              <w:t>Balances at December</w:t>
            </w:r>
          </w:p>
        </w:tc>
        <w:tc>
          <w:tcPr>
            <w:tcW w:w="120" w:type="dxa"/>
            <w:vAlign w:val="bottom"/>
            <w:tcBorders>
              <w:top w:val="single" w:sz="8" w:color="D0EBF2"/>
            </w:tcBorders>
            <w:shd w:val="clear" w:color="auto" w:fill="D0EBF2"/>
          </w:tcPr>
          <w:p>
            <w:pPr>
              <w:spacing w:after="0"/>
              <w:rPr>
                <w:sz w:val="9"/>
                <w:szCs w:val="9"/>
                <w:color w:val="auto"/>
              </w:rPr>
            </w:pPr>
          </w:p>
        </w:tc>
        <w:tc>
          <w:tcPr>
            <w:tcW w:w="940" w:type="dxa"/>
            <w:vAlign w:val="bottom"/>
            <w:tcBorders>
              <w:top w:val="single" w:sz="8" w:color="231F20"/>
            </w:tcBorders>
            <w:shd w:val="clear" w:color="auto" w:fill="D0EBF2"/>
          </w:tcPr>
          <w:p>
            <w:pPr>
              <w:spacing w:after="0"/>
              <w:rPr>
                <w:sz w:val="9"/>
                <w:szCs w:val="9"/>
                <w:color w:val="auto"/>
              </w:rPr>
            </w:pPr>
          </w:p>
        </w:tc>
        <w:tc>
          <w:tcPr>
            <w:tcW w:w="280" w:type="dxa"/>
            <w:vAlign w:val="bottom"/>
            <w:tcBorders>
              <w:top w:val="single" w:sz="8" w:color="D0EBF2"/>
            </w:tcBorders>
            <w:shd w:val="clear" w:color="auto" w:fill="D0EBF2"/>
          </w:tcPr>
          <w:p>
            <w:pPr>
              <w:spacing w:after="0"/>
              <w:rPr>
                <w:sz w:val="9"/>
                <w:szCs w:val="9"/>
                <w:color w:val="auto"/>
              </w:rPr>
            </w:pPr>
          </w:p>
        </w:tc>
        <w:tc>
          <w:tcPr>
            <w:tcW w:w="300" w:type="dxa"/>
            <w:vAlign w:val="bottom"/>
            <w:tcBorders>
              <w:top w:val="single" w:sz="8" w:color="231F20"/>
            </w:tcBorders>
            <w:shd w:val="clear" w:color="auto" w:fill="D0EBF2"/>
          </w:tcPr>
          <w:p>
            <w:pPr>
              <w:spacing w:after="0"/>
              <w:rPr>
                <w:sz w:val="9"/>
                <w:szCs w:val="9"/>
                <w:color w:val="auto"/>
              </w:rPr>
            </w:pPr>
          </w:p>
        </w:tc>
        <w:tc>
          <w:tcPr>
            <w:tcW w:w="380" w:type="dxa"/>
            <w:vAlign w:val="bottom"/>
            <w:tcBorders>
              <w:top w:val="single" w:sz="8" w:color="231F20"/>
            </w:tcBorders>
            <w:shd w:val="clear" w:color="auto" w:fill="D0EBF2"/>
          </w:tcPr>
          <w:p>
            <w:pPr>
              <w:spacing w:after="0"/>
              <w:rPr>
                <w:sz w:val="9"/>
                <w:szCs w:val="9"/>
                <w:color w:val="auto"/>
              </w:rPr>
            </w:pPr>
          </w:p>
        </w:tc>
        <w:tc>
          <w:tcPr>
            <w:tcW w:w="260" w:type="dxa"/>
            <w:vAlign w:val="bottom"/>
            <w:tcBorders>
              <w:top w:val="single" w:sz="8" w:color="D0EBF2"/>
            </w:tcBorders>
            <w:shd w:val="clear" w:color="auto" w:fill="D0EBF2"/>
          </w:tcPr>
          <w:p>
            <w:pPr>
              <w:spacing w:after="0"/>
              <w:rPr>
                <w:sz w:val="9"/>
                <w:szCs w:val="9"/>
                <w:color w:val="auto"/>
              </w:rPr>
            </w:pPr>
          </w:p>
        </w:tc>
        <w:tc>
          <w:tcPr>
            <w:tcW w:w="940" w:type="dxa"/>
            <w:vAlign w:val="bottom"/>
            <w:tcBorders>
              <w:top w:val="single" w:sz="8" w:color="231F20"/>
            </w:tcBorders>
            <w:shd w:val="clear" w:color="auto" w:fill="D0EBF2"/>
          </w:tcPr>
          <w:p>
            <w:pPr>
              <w:spacing w:after="0"/>
              <w:rPr>
                <w:sz w:val="9"/>
                <w:szCs w:val="9"/>
                <w:color w:val="auto"/>
              </w:rPr>
            </w:pPr>
          </w:p>
        </w:tc>
        <w:tc>
          <w:tcPr>
            <w:tcW w:w="280" w:type="dxa"/>
            <w:vAlign w:val="bottom"/>
            <w:tcBorders>
              <w:top w:val="single" w:sz="8" w:color="D0EBF2"/>
            </w:tcBorders>
            <w:shd w:val="clear" w:color="auto" w:fill="D0EBF2"/>
          </w:tcPr>
          <w:p>
            <w:pPr>
              <w:spacing w:after="0"/>
              <w:rPr>
                <w:sz w:val="9"/>
                <w:szCs w:val="9"/>
                <w:color w:val="auto"/>
              </w:rPr>
            </w:pPr>
          </w:p>
        </w:tc>
        <w:tc>
          <w:tcPr>
            <w:tcW w:w="300" w:type="dxa"/>
            <w:vAlign w:val="bottom"/>
            <w:tcBorders>
              <w:top w:val="single" w:sz="8" w:color="231F20"/>
            </w:tcBorders>
            <w:shd w:val="clear" w:color="auto" w:fill="D0EBF2"/>
          </w:tcPr>
          <w:p>
            <w:pPr>
              <w:spacing w:after="0"/>
              <w:rPr>
                <w:sz w:val="9"/>
                <w:szCs w:val="9"/>
                <w:color w:val="auto"/>
              </w:rPr>
            </w:pPr>
          </w:p>
        </w:tc>
        <w:tc>
          <w:tcPr>
            <w:tcW w:w="380" w:type="dxa"/>
            <w:vAlign w:val="bottom"/>
            <w:tcBorders>
              <w:top w:val="single" w:sz="8" w:color="231F20"/>
            </w:tcBorders>
            <w:shd w:val="clear" w:color="auto" w:fill="D0EBF2"/>
          </w:tcPr>
          <w:p>
            <w:pPr>
              <w:spacing w:after="0"/>
              <w:rPr>
                <w:sz w:val="9"/>
                <w:szCs w:val="9"/>
                <w:color w:val="auto"/>
              </w:rPr>
            </w:pPr>
          </w:p>
        </w:tc>
        <w:tc>
          <w:tcPr>
            <w:tcW w:w="280" w:type="dxa"/>
            <w:vAlign w:val="bottom"/>
            <w:tcBorders>
              <w:top w:val="single" w:sz="8" w:color="D0EBF2"/>
            </w:tcBorders>
            <w:shd w:val="clear" w:color="auto" w:fill="D0EBF2"/>
          </w:tcPr>
          <w:p>
            <w:pPr>
              <w:spacing w:after="0"/>
              <w:rPr>
                <w:sz w:val="9"/>
                <w:szCs w:val="9"/>
                <w:color w:val="auto"/>
              </w:rPr>
            </w:pPr>
          </w:p>
        </w:tc>
        <w:tc>
          <w:tcPr>
            <w:tcW w:w="720" w:type="dxa"/>
            <w:vAlign w:val="bottom"/>
            <w:tcBorders>
              <w:top w:val="single" w:sz="8" w:color="231F20"/>
            </w:tcBorders>
            <w:shd w:val="clear" w:color="auto" w:fill="D0EBF2"/>
          </w:tcPr>
          <w:p>
            <w:pPr>
              <w:spacing w:after="0"/>
              <w:rPr>
                <w:sz w:val="9"/>
                <w:szCs w:val="9"/>
                <w:color w:val="auto"/>
              </w:rPr>
            </w:pPr>
          </w:p>
        </w:tc>
        <w:tc>
          <w:tcPr>
            <w:tcW w:w="220" w:type="dxa"/>
            <w:vAlign w:val="bottom"/>
            <w:tcBorders>
              <w:top w:val="single" w:sz="8" w:color="231F20"/>
            </w:tcBorders>
            <w:shd w:val="clear" w:color="auto" w:fill="D0EBF2"/>
          </w:tcPr>
          <w:p>
            <w:pPr>
              <w:spacing w:after="0"/>
              <w:rPr>
                <w:sz w:val="9"/>
                <w:szCs w:val="9"/>
                <w:color w:val="auto"/>
              </w:rPr>
            </w:pPr>
          </w:p>
        </w:tc>
        <w:tc>
          <w:tcPr>
            <w:tcW w:w="260" w:type="dxa"/>
            <w:vAlign w:val="bottom"/>
            <w:tcBorders>
              <w:top w:val="single" w:sz="8" w:color="D0EBF2"/>
            </w:tcBorders>
            <w:shd w:val="clear" w:color="auto" w:fill="D0EBF2"/>
          </w:tcPr>
          <w:p>
            <w:pPr>
              <w:spacing w:after="0"/>
              <w:rPr>
                <w:sz w:val="9"/>
                <w:szCs w:val="9"/>
                <w:color w:val="auto"/>
              </w:rPr>
            </w:pPr>
          </w:p>
        </w:tc>
        <w:tc>
          <w:tcPr>
            <w:tcW w:w="200" w:type="dxa"/>
            <w:vAlign w:val="bottom"/>
            <w:tcBorders>
              <w:top w:val="single" w:sz="8" w:color="231F20"/>
            </w:tcBorders>
            <w:shd w:val="clear" w:color="auto" w:fill="D0EBF2"/>
          </w:tcPr>
          <w:p>
            <w:pPr>
              <w:spacing w:after="0"/>
              <w:rPr>
                <w:sz w:val="9"/>
                <w:szCs w:val="9"/>
                <w:color w:val="auto"/>
              </w:rPr>
            </w:pPr>
          </w:p>
        </w:tc>
        <w:tc>
          <w:tcPr>
            <w:tcW w:w="540" w:type="dxa"/>
            <w:vAlign w:val="bottom"/>
            <w:tcBorders>
              <w:top w:val="single" w:sz="8" w:color="231F20"/>
            </w:tcBorders>
            <w:shd w:val="clear" w:color="auto" w:fill="D0EBF2"/>
          </w:tcPr>
          <w:p>
            <w:pPr>
              <w:spacing w:after="0"/>
              <w:rPr>
                <w:sz w:val="9"/>
                <w:szCs w:val="9"/>
                <w:color w:val="auto"/>
              </w:rPr>
            </w:pPr>
          </w:p>
        </w:tc>
        <w:tc>
          <w:tcPr>
            <w:tcW w:w="260" w:type="dxa"/>
            <w:vAlign w:val="bottom"/>
            <w:tcBorders>
              <w:top w:val="single" w:sz="8" w:color="D0EBF2"/>
            </w:tcBorders>
            <w:shd w:val="clear" w:color="auto" w:fill="D0EBF2"/>
          </w:tcPr>
          <w:p>
            <w:pPr>
              <w:spacing w:after="0"/>
              <w:rPr>
                <w:sz w:val="9"/>
                <w:szCs w:val="9"/>
                <w:color w:val="auto"/>
              </w:rPr>
            </w:pPr>
          </w:p>
        </w:tc>
        <w:tc>
          <w:tcPr>
            <w:tcW w:w="320" w:type="dxa"/>
            <w:vAlign w:val="bottom"/>
            <w:tcBorders>
              <w:top w:val="single" w:sz="8" w:color="231F20"/>
            </w:tcBorders>
            <w:shd w:val="clear" w:color="auto" w:fill="D0EBF2"/>
          </w:tcPr>
          <w:p>
            <w:pPr>
              <w:spacing w:after="0"/>
              <w:rPr>
                <w:sz w:val="9"/>
                <w:szCs w:val="9"/>
                <w:color w:val="auto"/>
              </w:rPr>
            </w:pPr>
          </w:p>
        </w:tc>
        <w:tc>
          <w:tcPr>
            <w:tcW w:w="760" w:type="dxa"/>
            <w:vAlign w:val="bottom"/>
            <w:tcBorders>
              <w:top w:val="single" w:sz="8" w:color="231F20"/>
            </w:tcBorders>
            <w:shd w:val="clear" w:color="auto" w:fill="D0EBF2"/>
          </w:tcPr>
          <w:p>
            <w:pPr>
              <w:spacing w:after="0"/>
              <w:rPr>
                <w:sz w:val="9"/>
                <w:szCs w:val="9"/>
                <w:color w:val="auto"/>
              </w:rPr>
            </w:pPr>
          </w:p>
        </w:tc>
        <w:tc>
          <w:tcPr>
            <w:tcW w:w="260" w:type="dxa"/>
            <w:vAlign w:val="bottom"/>
            <w:tcBorders>
              <w:top w:val="single" w:sz="8" w:color="D0EBF2"/>
            </w:tcBorders>
            <w:shd w:val="clear" w:color="auto" w:fill="D0EBF2"/>
          </w:tcPr>
          <w:p>
            <w:pPr>
              <w:spacing w:after="0"/>
              <w:rPr>
                <w:sz w:val="9"/>
                <w:szCs w:val="9"/>
                <w:color w:val="auto"/>
              </w:rPr>
            </w:pPr>
          </w:p>
        </w:tc>
        <w:tc>
          <w:tcPr>
            <w:tcW w:w="400" w:type="dxa"/>
            <w:vAlign w:val="bottom"/>
            <w:tcBorders>
              <w:top w:val="single" w:sz="8" w:color="231F20"/>
            </w:tcBorders>
            <w:shd w:val="clear" w:color="auto" w:fill="D0EBF2"/>
          </w:tcPr>
          <w:p>
            <w:pPr>
              <w:spacing w:after="0"/>
              <w:rPr>
                <w:sz w:val="9"/>
                <w:szCs w:val="9"/>
                <w:color w:val="auto"/>
              </w:rPr>
            </w:pPr>
          </w:p>
        </w:tc>
        <w:tc>
          <w:tcPr>
            <w:tcW w:w="680" w:type="dxa"/>
            <w:vAlign w:val="bottom"/>
            <w:tcBorders>
              <w:top w:val="single" w:sz="8" w:color="231F20"/>
            </w:tcBorders>
            <w:shd w:val="clear" w:color="auto" w:fill="D0EBF2"/>
          </w:tcPr>
          <w:p>
            <w:pPr>
              <w:spacing w:after="0"/>
              <w:rPr>
                <w:sz w:val="9"/>
                <w:szCs w:val="9"/>
                <w:color w:val="auto"/>
              </w:rPr>
            </w:pPr>
          </w:p>
        </w:tc>
        <w:tc>
          <w:tcPr>
            <w:tcW w:w="140" w:type="dxa"/>
            <w:vAlign w:val="bottom"/>
            <w:tcBorders>
              <w:top w:val="single" w:sz="8" w:color="D0EBF2"/>
            </w:tcBorders>
            <w:shd w:val="clear" w:color="auto" w:fill="D0EBF2"/>
          </w:tcPr>
          <w:p>
            <w:pPr>
              <w:spacing w:after="0"/>
              <w:rPr>
                <w:sz w:val="9"/>
                <w:szCs w:val="9"/>
                <w:color w:val="auto"/>
              </w:rPr>
            </w:pPr>
          </w:p>
        </w:tc>
        <w:tc>
          <w:tcPr>
            <w:tcW w:w="120" w:type="dxa"/>
            <w:vAlign w:val="bottom"/>
            <w:tcBorders>
              <w:top w:val="single" w:sz="8" w:color="D0EBF2"/>
            </w:tcBorders>
            <w:shd w:val="clear" w:color="auto" w:fill="D0EBF2"/>
          </w:tcPr>
          <w:p>
            <w:pPr>
              <w:spacing w:after="0"/>
              <w:rPr>
                <w:sz w:val="9"/>
                <w:szCs w:val="9"/>
                <w:color w:val="auto"/>
              </w:rPr>
            </w:pPr>
          </w:p>
        </w:tc>
        <w:tc>
          <w:tcPr>
            <w:tcW w:w="340" w:type="dxa"/>
            <w:vAlign w:val="bottom"/>
            <w:tcBorders>
              <w:top w:val="single" w:sz="8" w:color="231F20"/>
            </w:tcBorders>
            <w:shd w:val="clear" w:color="auto" w:fill="D0EBF2"/>
          </w:tcPr>
          <w:p>
            <w:pPr>
              <w:spacing w:after="0"/>
              <w:rPr>
                <w:sz w:val="9"/>
                <w:szCs w:val="9"/>
                <w:color w:val="auto"/>
              </w:rPr>
            </w:pPr>
          </w:p>
        </w:tc>
        <w:tc>
          <w:tcPr>
            <w:tcW w:w="740" w:type="dxa"/>
            <w:vAlign w:val="bottom"/>
            <w:tcBorders>
              <w:top w:val="single" w:sz="8" w:color="231F20"/>
            </w:tcBorders>
            <w:shd w:val="clear" w:color="auto" w:fill="D0EBF2"/>
          </w:tcPr>
          <w:p>
            <w:pPr>
              <w:spacing w:after="0"/>
              <w:rPr>
                <w:sz w:val="9"/>
                <w:szCs w:val="9"/>
                <w:color w:val="auto"/>
              </w:rPr>
            </w:pPr>
          </w:p>
        </w:tc>
        <w:tc>
          <w:tcPr>
            <w:tcW w:w="260" w:type="dxa"/>
            <w:vAlign w:val="bottom"/>
            <w:tcBorders>
              <w:top w:val="single" w:sz="8" w:color="D0EBF2"/>
            </w:tcBorders>
            <w:shd w:val="clear" w:color="auto" w:fill="D0EBF2"/>
          </w:tcPr>
          <w:p>
            <w:pPr>
              <w:spacing w:after="0"/>
              <w:rPr>
                <w:sz w:val="9"/>
                <w:szCs w:val="9"/>
                <w:color w:val="auto"/>
              </w:rPr>
            </w:pPr>
          </w:p>
        </w:tc>
        <w:tc>
          <w:tcPr>
            <w:tcW w:w="400" w:type="dxa"/>
            <w:vAlign w:val="bottom"/>
            <w:tcBorders>
              <w:top w:val="single" w:sz="8" w:color="231F20"/>
            </w:tcBorders>
            <w:shd w:val="clear" w:color="auto" w:fill="D0EBF2"/>
          </w:tcPr>
          <w:p>
            <w:pPr>
              <w:spacing w:after="0"/>
              <w:rPr>
                <w:sz w:val="9"/>
                <w:szCs w:val="9"/>
                <w:color w:val="auto"/>
              </w:rPr>
            </w:pPr>
          </w:p>
        </w:tc>
        <w:tc>
          <w:tcPr>
            <w:tcW w:w="740" w:type="dxa"/>
            <w:vAlign w:val="bottom"/>
            <w:tcBorders>
              <w:top w:val="single" w:sz="8" w:color="231F20"/>
            </w:tcBorders>
            <w:shd w:val="clear" w:color="auto" w:fill="D0EBF2"/>
          </w:tcPr>
          <w:p>
            <w:pPr>
              <w:spacing w:after="0"/>
              <w:rPr>
                <w:sz w:val="9"/>
                <w:szCs w:val="9"/>
                <w:color w:val="auto"/>
              </w:rPr>
            </w:pPr>
          </w:p>
        </w:tc>
        <w:tc>
          <w:tcPr>
            <w:tcW w:w="140" w:type="dxa"/>
            <w:vAlign w:val="bottom"/>
            <w:tcBorders>
              <w:top w:val="single" w:sz="8" w:color="D0EBF2"/>
            </w:tcBorders>
            <w:shd w:val="clear" w:color="auto" w:fill="D0EBF2"/>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b w:val="1"/>
                <w:bCs w:val="1"/>
                <w:color w:val="231F20"/>
              </w:rPr>
              <w:t>31, 2023</w:t>
            </w:r>
          </w:p>
        </w:tc>
        <w:tc>
          <w:tcPr>
            <w:tcW w:w="120" w:type="dxa"/>
            <w:vAlign w:val="bottom"/>
            <w:shd w:val="clear" w:color="auto" w:fill="D0EBF2"/>
          </w:tcPr>
          <w:p>
            <w:pPr>
              <w:spacing w:after="0"/>
              <w:rPr>
                <w:sz w:val="13"/>
                <w:szCs w:val="13"/>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123,010,207</w:t>
            </w: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jc w:val="right"/>
              <w:ind w:right="189"/>
              <w:spacing w:after="0"/>
              <w:rPr>
                <w:sz w:val="20"/>
                <w:szCs w:val="20"/>
                <w:color w:val="auto"/>
              </w:rPr>
            </w:pPr>
            <w:r>
              <w:rPr>
                <w:rFonts w:ascii="Arial" w:cs="Arial" w:eastAsia="Arial" w:hAnsi="Arial"/>
                <w:sz w:val="10"/>
                <w:szCs w:val="10"/>
                <w:color w:val="231F20"/>
                <w:w w:val="71"/>
              </w:rPr>
              <w:t>$</w:t>
            </w:r>
          </w:p>
        </w:tc>
        <w:tc>
          <w:tcPr>
            <w:tcW w:w="38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11</w:t>
            </w:r>
          </w:p>
        </w:tc>
        <w:tc>
          <w:tcPr>
            <w:tcW w:w="260" w:type="dxa"/>
            <w:vAlign w:val="bottom"/>
            <w:shd w:val="clear" w:color="auto" w:fill="D0EBF2"/>
          </w:tcPr>
          <w:p>
            <w:pPr>
              <w:spacing w:after="0"/>
              <w:rPr>
                <w:sz w:val="13"/>
                <w:szCs w:val="13"/>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1,873,320</w:t>
            </w: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jc w:val="right"/>
              <w:ind w:right="189"/>
              <w:spacing w:after="0"/>
              <w:rPr>
                <w:sz w:val="20"/>
                <w:szCs w:val="20"/>
                <w:color w:val="auto"/>
              </w:rPr>
            </w:pPr>
            <w:r>
              <w:rPr>
                <w:rFonts w:ascii="Arial" w:cs="Arial" w:eastAsia="Arial" w:hAnsi="Arial"/>
                <w:sz w:val="10"/>
                <w:szCs w:val="10"/>
                <w:color w:val="231F20"/>
                <w:w w:val="71"/>
              </w:rPr>
              <w:t>$</w:t>
            </w:r>
          </w:p>
        </w:tc>
        <w:tc>
          <w:tcPr>
            <w:tcW w:w="38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1</w:t>
            </w:r>
          </w:p>
        </w:tc>
        <w:tc>
          <w:tcPr>
            <w:tcW w:w="280" w:type="dxa"/>
            <w:vAlign w:val="bottom"/>
            <w:shd w:val="clear" w:color="auto" w:fill="D0EBF2"/>
          </w:tcPr>
          <w:p>
            <w:pPr>
              <w:spacing w:after="0"/>
              <w:rPr>
                <w:sz w:val="13"/>
                <w:szCs w:val="13"/>
                <w:color w:val="auto"/>
              </w:rPr>
            </w:pPr>
          </w:p>
        </w:tc>
        <w:tc>
          <w:tcPr>
            <w:tcW w:w="940" w:type="dxa"/>
            <w:vAlign w:val="bottom"/>
            <w:gridSpan w:val="2"/>
            <w:shd w:val="clear" w:color="auto" w:fill="D0EBF2"/>
          </w:tcPr>
          <w:p>
            <w:pPr>
              <w:jc w:val="right"/>
              <w:spacing w:after="0"/>
              <w:rPr>
                <w:sz w:val="20"/>
                <w:szCs w:val="20"/>
                <w:color w:val="auto"/>
              </w:rPr>
            </w:pPr>
            <w:r>
              <w:rPr>
                <w:rFonts w:ascii="Arial" w:cs="Arial" w:eastAsia="Arial" w:hAnsi="Arial"/>
                <w:sz w:val="11"/>
                <w:szCs w:val="11"/>
                <w:color w:val="231F20"/>
              </w:rPr>
              <w:t>(2,315,045)</w:t>
            </w:r>
          </w:p>
        </w:tc>
        <w:tc>
          <w:tcPr>
            <w:tcW w:w="260" w:type="dxa"/>
            <w:vAlign w:val="bottom"/>
            <w:shd w:val="clear" w:color="auto" w:fill="D0EBF2"/>
          </w:tcPr>
          <w:p>
            <w:pPr>
              <w:spacing w:after="0"/>
              <w:rPr>
                <w:sz w:val="13"/>
                <w:szCs w:val="13"/>
                <w:color w:val="auto"/>
              </w:rPr>
            </w:pPr>
          </w:p>
        </w:tc>
        <w:tc>
          <w:tcPr>
            <w:tcW w:w="200" w:type="dxa"/>
            <w:vAlign w:val="bottom"/>
            <w:shd w:val="clear" w:color="auto" w:fill="D0EBF2"/>
          </w:tcPr>
          <w:p>
            <w:pPr>
              <w:jc w:val="right"/>
              <w:ind w:right="89"/>
              <w:spacing w:after="0"/>
              <w:rPr>
                <w:sz w:val="20"/>
                <w:szCs w:val="20"/>
                <w:color w:val="auto"/>
              </w:rPr>
            </w:pPr>
            <w:r>
              <w:rPr>
                <w:rFonts w:ascii="Arial" w:cs="Arial" w:eastAsia="Arial" w:hAnsi="Arial"/>
                <w:sz w:val="10"/>
                <w:szCs w:val="10"/>
                <w:color w:val="231F20"/>
                <w:w w:val="71"/>
              </w:rPr>
              <w:t>$</w:t>
            </w:r>
          </w:p>
        </w:tc>
        <w:tc>
          <w:tcPr>
            <w:tcW w:w="5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(747)</w:t>
            </w:r>
          </w:p>
        </w:tc>
        <w:tc>
          <w:tcPr>
            <w:tcW w:w="260" w:type="dxa"/>
            <w:vAlign w:val="bottom"/>
            <w:shd w:val="clear" w:color="auto" w:fill="D0EBF2"/>
          </w:tcPr>
          <w:p>
            <w:pPr>
              <w:spacing w:after="0"/>
              <w:rPr>
                <w:sz w:val="13"/>
                <w:szCs w:val="13"/>
                <w:color w:val="auto"/>
              </w:rPr>
            </w:pPr>
          </w:p>
        </w:tc>
        <w:tc>
          <w:tcPr>
            <w:tcW w:w="320" w:type="dxa"/>
            <w:vAlign w:val="bottom"/>
            <w:shd w:val="clear" w:color="auto" w:fill="D0EBF2"/>
          </w:tcPr>
          <w:p>
            <w:pPr>
              <w:jc w:val="right"/>
              <w:ind w:right="183"/>
              <w:spacing w:after="0"/>
              <w:rPr>
                <w:sz w:val="20"/>
                <w:szCs w:val="20"/>
                <w:color w:val="auto"/>
              </w:rPr>
            </w:pPr>
            <w:r>
              <w:rPr>
                <w:rFonts w:ascii="Arial" w:cs="Arial" w:eastAsia="Arial" w:hAnsi="Arial"/>
                <w:sz w:val="11"/>
                <w:szCs w:val="11"/>
                <w:color w:val="231F20"/>
                <w:w w:val="97"/>
              </w:rPr>
              <w:t>$</w:t>
            </w:r>
          </w:p>
        </w:tc>
        <w:tc>
          <w:tcPr>
            <w:tcW w:w="76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959,302</w:t>
            </w:r>
          </w:p>
        </w:tc>
        <w:tc>
          <w:tcPr>
            <w:tcW w:w="260" w:type="dxa"/>
            <w:vAlign w:val="bottom"/>
            <w:shd w:val="clear" w:color="auto" w:fill="D0EBF2"/>
          </w:tcPr>
          <w:p>
            <w:pPr>
              <w:spacing w:after="0"/>
              <w:rPr>
                <w:sz w:val="13"/>
                <w:szCs w:val="13"/>
                <w:color w:val="auto"/>
              </w:rPr>
            </w:pPr>
          </w:p>
        </w:tc>
        <w:tc>
          <w:tcPr>
            <w:tcW w:w="400" w:type="dxa"/>
            <w:vAlign w:val="bottom"/>
            <w:shd w:val="clear" w:color="auto" w:fill="D0EBF2"/>
          </w:tcPr>
          <w:p>
            <w:pPr>
              <w:jc w:val="right"/>
              <w:ind w:right="289"/>
              <w:spacing w:after="0"/>
              <w:rPr>
                <w:sz w:val="20"/>
                <w:szCs w:val="20"/>
                <w:color w:val="auto"/>
              </w:rPr>
            </w:pPr>
            <w:r>
              <w:rPr>
                <w:rFonts w:ascii="Arial" w:cs="Arial" w:eastAsia="Arial" w:hAnsi="Arial"/>
                <w:sz w:val="10"/>
                <w:szCs w:val="10"/>
                <w:color w:val="231F20"/>
                <w:w w:val="71"/>
              </w:rPr>
              <w:t>$</w:t>
            </w:r>
          </w:p>
        </w:tc>
        <w:tc>
          <w:tcPr>
            <w:tcW w:w="68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1,320</w:t>
            </w:r>
          </w:p>
        </w:tc>
        <w:tc>
          <w:tcPr>
            <w:tcW w:w="14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340" w:type="dxa"/>
            <w:vAlign w:val="bottom"/>
            <w:shd w:val="clear" w:color="auto" w:fill="D0EBF2"/>
          </w:tcPr>
          <w:p>
            <w:pPr>
              <w:jc w:val="right"/>
              <w:ind w:right="229"/>
              <w:spacing w:after="0"/>
              <w:rPr>
                <w:sz w:val="20"/>
                <w:szCs w:val="20"/>
                <w:color w:val="auto"/>
              </w:rPr>
            </w:pPr>
            <w:r>
              <w:rPr>
                <w:rFonts w:ascii="Arial" w:cs="Arial" w:eastAsia="Arial" w:hAnsi="Arial"/>
                <w:sz w:val="10"/>
                <w:szCs w:val="10"/>
                <w:color w:val="231F20"/>
                <w:w w:val="71"/>
              </w:rPr>
              <w:t>$</w:t>
            </w:r>
          </w:p>
        </w:tc>
        <w:tc>
          <w:tcPr>
            <w:tcW w:w="7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(173,770)</w:t>
            </w:r>
          </w:p>
        </w:tc>
        <w:tc>
          <w:tcPr>
            <w:tcW w:w="260" w:type="dxa"/>
            <w:vAlign w:val="bottom"/>
            <w:shd w:val="clear" w:color="auto" w:fill="D0EBF2"/>
          </w:tcPr>
          <w:p>
            <w:pPr>
              <w:spacing w:after="0"/>
              <w:rPr>
                <w:sz w:val="13"/>
                <w:szCs w:val="13"/>
                <w:color w:val="auto"/>
              </w:rPr>
            </w:pPr>
          </w:p>
        </w:tc>
        <w:tc>
          <w:tcPr>
            <w:tcW w:w="400" w:type="dxa"/>
            <w:vAlign w:val="bottom"/>
            <w:shd w:val="clear" w:color="auto" w:fill="D0EBF2"/>
          </w:tcPr>
          <w:p>
            <w:pPr>
              <w:jc w:val="right"/>
              <w:ind w:right="289"/>
              <w:spacing w:after="0"/>
              <w:rPr>
                <w:sz w:val="20"/>
                <w:szCs w:val="20"/>
                <w:color w:val="auto"/>
              </w:rPr>
            </w:pPr>
            <w:r>
              <w:rPr>
                <w:rFonts w:ascii="Arial" w:cs="Arial" w:eastAsia="Arial" w:hAnsi="Arial"/>
                <w:sz w:val="10"/>
                <w:szCs w:val="10"/>
                <w:color w:val="231F20"/>
                <w:w w:val="71"/>
              </w:rPr>
              <w:t>$</w:t>
            </w:r>
          </w:p>
        </w:tc>
        <w:tc>
          <w:tcPr>
            <w:tcW w:w="7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786,117</w:t>
            </w:r>
          </w:p>
        </w:tc>
        <w:tc>
          <w:tcPr>
            <w:tcW w:w="14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FDFDFC"/>
          </w:tcPr>
          <w:p>
            <w:pPr>
              <w:spacing w:after="0" w:line="120" w:lineRule="exact"/>
              <w:rPr>
                <w:sz w:val="20"/>
                <w:szCs w:val="20"/>
                <w:color w:val="auto"/>
              </w:rPr>
            </w:pPr>
            <w:r>
              <w:rPr>
                <w:rFonts w:ascii="Arial" w:cs="Arial" w:eastAsia="Arial" w:hAnsi="Arial"/>
                <w:sz w:val="11"/>
                <w:szCs w:val="11"/>
                <w:color w:val="231F20"/>
              </w:rPr>
              <w:t>Issuance of common</w:t>
            </w:r>
          </w:p>
        </w:tc>
        <w:tc>
          <w:tcPr>
            <w:tcW w:w="120" w:type="dxa"/>
            <w:vAlign w:val="bottom"/>
            <w:shd w:val="clear" w:color="auto" w:fill="FDFDFC"/>
          </w:tcPr>
          <w:p>
            <w:pPr>
              <w:spacing w:after="0"/>
              <w:rPr>
                <w:sz w:val="10"/>
                <w:szCs w:val="10"/>
                <w:color w:val="auto"/>
              </w:rPr>
            </w:pPr>
          </w:p>
        </w:tc>
        <w:tc>
          <w:tcPr>
            <w:tcW w:w="94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94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720" w:type="dxa"/>
            <w:vAlign w:val="bottom"/>
            <w:shd w:val="clear" w:color="auto" w:fill="FDFDFC"/>
          </w:tcPr>
          <w:p>
            <w:pPr>
              <w:spacing w:after="0"/>
              <w:rPr>
                <w:sz w:val="10"/>
                <w:szCs w:val="10"/>
                <w:color w:val="auto"/>
              </w:rPr>
            </w:pPr>
          </w:p>
        </w:tc>
        <w:tc>
          <w:tcPr>
            <w:tcW w:w="22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200" w:type="dxa"/>
            <w:vAlign w:val="bottom"/>
            <w:shd w:val="clear" w:color="auto" w:fill="FDFDFC"/>
          </w:tcPr>
          <w:p>
            <w:pPr>
              <w:spacing w:after="0"/>
              <w:rPr>
                <w:sz w:val="10"/>
                <w:szCs w:val="10"/>
                <w:color w:val="auto"/>
              </w:rPr>
            </w:pPr>
          </w:p>
        </w:tc>
        <w:tc>
          <w:tcPr>
            <w:tcW w:w="54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320" w:type="dxa"/>
            <w:vAlign w:val="bottom"/>
            <w:shd w:val="clear" w:color="auto" w:fill="FDFDFC"/>
          </w:tcPr>
          <w:p>
            <w:pPr>
              <w:spacing w:after="0"/>
              <w:rPr>
                <w:sz w:val="10"/>
                <w:szCs w:val="10"/>
                <w:color w:val="auto"/>
              </w:rPr>
            </w:pPr>
          </w:p>
        </w:tc>
        <w:tc>
          <w:tcPr>
            <w:tcW w:w="76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400" w:type="dxa"/>
            <w:vAlign w:val="bottom"/>
            <w:shd w:val="clear" w:color="auto" w:fill="FDFDFC"/>
          </w:tcPr>
          <w:p>
            <w:pPr>
              <w:spacing w:after="0"/>
              <w:rPr>
                <w:sz w:val="10"/>
                <w:szCs w:val="10"/>
                <w:color w:val="auto"/>
              </w:rPr>
            </w:pPr>
          </w:p>
        </w:tc>
        <w:tc>
          <w:tcPr>
            <w:tcW w:w="68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120" w:type="dxa"/>
            <w:vAlign w:val="bottom"/>
            <w:shd w:val="clear" w:color="auto" w:fill="FDFDFC"/>
          </w:tcPr>
          <w:p>
            <w:pPr>
              <w:spacing w:after="0"/>
              <w:rPr>
                <w:sz w:val="10"/>
                <w:szCs w:val="10"/>
                <w:color w:val="auto"/>
              </w:rPr>
            </w:pPr>
          </w:p>
        </w:tc>
        <w:tc>
          <w:tcPr>
            <w:tcW w:w="340" w:type="dxa"/>
            <w:vAlign w:val="bottom"/>
            <w:shd w:val="clear" w:color="auto" w:fill="FDFDFC"/>
          </w:tcPr>
          <w:p>
            <w:pPr>
              <w:spacing w:after="0"/>
              <w:rPr>
                <w:sz w:val="10"/>
                <w:szCs w:val="10"/>
                <w:color w:val="auto"/>
              </w:rPr>
            </w:pPr>
          </w:p>
        </w:tc>
        <w:tc>
          <w:tcPr>
            <w:tcW w:w="74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400" w:type="dxa"/>
            <w:vAlign w:val="bottom"/>
            <w:shd w:val="clear" w:color="auto" w:fill="FDFDFC"/>
          </w:tcPr>
          <w:p>
            <w:pPr>
              <w:spacing w:after="0"/>
              <w:rPr>
                <w:sz w:val="10"/>
                <w:szCs w:val="10"/>
                <w:color w:val="auto"/>
              </w:rPr>
            </w:pPr>
          </w:p>
        </w:tc>
        <w:tc>
          <w:tcPr>
            <w:tcW w:w="74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stock upon exercise</w:t>
            </w:r>
          </w:p>
        </w:tc>
        <w:tc>
          <w:tcPr>
            <w:tcW w:w="12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300" w:type="dxa"/>
            <w:vAlign w:val="bottom"/>
            <w:shd w:val="clear" w:color="auto" w:fill="FDFDFC"/>
          </w:tcPr>
          <w:p>
            <w:pPr>
              <w:spacing w:after="0"/>
              <w:rPr>
                <w:sz w:val="11"/>
                <w:szCs w:val="11"/>
                <w:color w:val="auto"/>
              </w:rPr>
            </w:pPr>
          </w:p>
        </w:tc>
        <w:tc>
          <w:tcPr>
            <w:tcW w:w="38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94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300" w:type="dxa"/>
            <w:vAlign w:val="bottom"/>
            <w:shd w:val="clear" w:color="auto" w:fill="FDFDFC"/>
          </w:tcPr>
          <w:p>
            <w:pPr>
              <w:spacing w:after="0"/>
              <w:rPr>
                <w:sz w:val="11"/>
                <w:szCs w:val="11"/>
                <w:color w:val="auto"/>
              </w:rPr>
            </w:pPr>
          </w:p>
        </w:tc>
        <w:tc>
          <w:tcPr>
            <w:tcW w:w="380" w:type="dxa"/>
            <w:vAlign w:val="bottom"/>
            <w:shd w:val="clear" w:color="auto" w:fill="FDFDFC"/>
          </w:tcPr>
          <w:p>
            <w:pPr>
              <w:spacing w:after="0"/>
              <w:rPr>
                <w:sz w:val="11"/>
                <w:szCs w:val="11"/>
                <w:color w:val="auto"/>
              </w:rPr>
            </w:pPr>
          </w:p>
        </w:tc>
        <w:tc>
          <w:tcPr>
            <w:tcW w:w="280" w:type="dxa"/>
            <w:vAlign w:val="bottom"/>
            <w:shd w:val="clear" w:color="auto" w:fill="FDFDFC"/>
          </w:tcPr>
          <w:p>
            <w:pPr>
              <w:spacing w:after="0"/>
              <w:rPr>
                <w:sz w:val="11"/>
                <w:szCs w:val="11"/>
                <w:color w:val="auto"/>
              </w:rPr>
            </w:pPr>
          </w:p>
        </w:tc>
        <w:tc>
          <w:tcPr>
            <w:tcW w:w="720" w:type="dxa"/>
            <w:vAlign w:val="bottom"/>
            <w:shd w:val="clear" w:color="auto" w:fill="FDFDFC"/>
          </w:tcPr>
          <w:p>
            <w:pPr>
              <w:spacing w:after="0"/>
              <w:rPr>
                <w:sz w:val="11"/>
                <w:szCs w:val="11"/>
                <w:color w:val="auto"/>
              </w:rPr>
            </w:pPr>
          </w:p>
        </w:tc>
        <w:tc>
          <w:tcPr>
            <w:tcW w:w="22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200" w:type="dxa"/>
            <w:vAlign w:val="bottom"/>
            <w:shd w:val="clear" w:color="auto" w:fill="FDFDFC"/>
          </w:tcPr>
          <w:p>
            <w:pPr>
              <w:spacing w:after="0"/>
              <w:rPr>
                <w:sz w:val="11"/>
                <w:szCs w:val="11"/>
                <w:color w:val="auto"/>
              </w:rPr>
            </w:pPr>
          </w:p>
        </w:tc>
        <w:tc>
          <w:tcPr>
            <w:tcW w:w="54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320" w:type="dxa"/>
            <w:vAlign w:val="bottom"/>
            <w:shd w:val="clear" w:color="auto" w:fill="FDFDFC"/>
          </w:tcPr>
          <w:p>
            <w:pPr>
              <w:spacing w:after="0"/>
              <w:rPr>
                <w:sz w:val="11"/>
                <w:szCs w:val="11"/>
                <w:color w:val="auto"/>
              </w:rPr>
            </w:pPr>
          </w:p>
        </w:tc>
        <w:tc>
          <w:tcPr>
            <w:tcW w:w="76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400" w:type="dxa"/>
            <w:vAlign w:val="bottom"/>
            <w:shd w:val="clear" w:color="auto" w:fill="FDFDFC"/>
          </w:tcPr>
          <w:p>
            <w:pPr>
              <w:spacing w:after="0"/>
              <w:rPr>
                <w:sz w:val="11"/>
                <w:szCs w:val="11"/>
                <w:color w:val="auto"/>
              </w:rPr>
            </w:pPr>
          </w:p>
        </w:tc>
        <w:tc>
          <w:tcPr>
            <w:tcW w:w="68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340" w:type="dxa"/>
            <w:vAlign w:val="bottom"/>
            <w:shd w:val="clear" w:color="auto" w:fill="FDFDFC"/>
          </w:tcPr>
          <w:p>
            <w:pPr>
              <w:spacing w:after="0"/>
              <w:rPr>
                <w:sz w:val="11"/>
                <w:szCs w:val="11"/>
                <w:color w:val="auto"/>
              </w:rPr>
            </w:pPr>
          </w:p>
        </w:tc>
        <w:tc>
          <w:tcPr>
            <w:tcW w:w="740" w:type="dxa"/>
            <w:vAlign w:val="bottom"/>
            <w:shd w:val="clear" w:color="auto" w:fill="FDFDFC"/>
          </w:tcPr>
          <w:p>
            <w:pPr>
              <w:spacing w:after="0"/>
              <w:rPr>
                <w:sz w:val="11"/>
                <w:szCs w:val="11"/>
                <w:color w:val="auto"/>
              </w:rPr>
            </w:pPr>
          </w:p>
        </w:tc>
        <w:tc>
          <w:tcPr>
            <w:tcW w:w="260" w:type="dxa"/>
            <w:vAlign w:val="bottom"/>
            <w:shd w:val="clear" w:color="auto" w:fill="FDFDFC"/>
          </w:tcPr>
          <w:p>
            <w:pPr>
              <w:spacing w:after="0"/>
              <w:rPr>
                <w:sz w:val="11"/>
                <w:szCs w:val="11"/>
                <w:color w:val="auto"/>
              </w:rPr>
            </w:pPr>
          </w:p>
        </w:tc>
        <w:tc>
          <w:tcPr>
            <w:tcW w:w="400" w:type="dxa"/>
            <w:vAlign w:val="bottom"/>
            <w:shd w:val="clear" w:color="auto" w:fill="FDFDFC"/>
          </w:tcPr>
          <w:p>
            <w:pPr>
              <w:spacing w:after="0"/>
              <w:rPr>
                <w:sz w:val="11"/>
                <w:szCs w:val="11"/>
                <w:color w:val="auto"/>
              </w:rPr>
            </w:pPr>
          </w:p>
        </w:tc>
        <w:tc>
          <w:tcPr>
            <w:tcW w:w="740" w:type="dxa"/>
            <w:vAlign w:val="bottom"/>
            <w:shd w:val="clear" w:color="auto" w:fill="FDFDFC"/>
          </w:tcPr>
          <w:p>
            <w:pPr>
              <w:spacing w:after="0"/>
              <w:rPr>
                <w:sz w:val="11"/>
                <w:szCs w:val="11"/>
                <w:color w:val="auto"/>
              </w:rPr>
            </w:pPr>
          </w:p>
        </w:tc>
        <w:tc>
          <w:tcPr>
            <w:tcW w:w="140" w:type="dxa"/>
            <w:vAlign w:val="bottom"/>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of stock options, net</w:t>
            </w:r>
          </w:p>
        </w:tc>
        <w:tc>
          <w:tcPr>
            <w:tcW w:w="1060" w:type="dxa"/>
            <w:vAlign w:val="bottom"/>
            <w:gridSpan w:val="2"/>
            <w:vMerge w:val="restart"/>
            <w:shd w:val="clear" w:color="auto" w:fill="FDFDFC"/>
          </w:tcPr>
          <w:p>
            <w:pPr>
              <w:jc w:val="right"/>
              <w:spacing w:after="0"/>
              <w:rPr>
                <w:sz w:val="20"/>
                <w:szCs w:val="20"/>
                <w:color w:val="auto"/>
              </w:rPr>
            </w:pPr>
            <w:r>
              <w:rPr>
                <w:rFonts w:ascii="Arial" w:cs="Arial" w:eastAsia="Arial" w:hAnsi="Arial"/>
                <w:sz w:val="11"/>
                <w:szCs w:val="11"/>
                <w:color w:val="231F20"/>
              </w:rPr>
              <w:t>1,799,325</w:t>
            </w:r>
          </w:p>
        </w:tc>
        <w:tc>
          <w:tcPr>
            <w:tcW w:w="280" w:type="dxa"/>
            <w:vAlign w:val="bottom"/>
            <w:shd w:val="clear" w:color="auto" w:fill="FDFDFC"/>
          </w:tcPr>
          <w:p>
            <w:pPr>
              <w:spacing w:after="0"/>
              <w:rPr>
                <w:sz w:val="11"/>
                <w:szCs w:val="11"/>
                <w:color w:val="auto"/>
              </w:rPr>
            </w:pPr>
          </w:p>
        </w:tc>
        <w:tc>
          <w:tcPr>
            <w:tcW w:w="300" w:type="dxa"/>
            <w:vAlign w:val="bottom"/>
            <w:shd w:val="clear" w:color="auto" w:fill="FDFDFC"/>
          </w:tcPr>
          <w:p>
            <w:pPr>
              <w:spacing w:after="0"/>
              <w:rPr>
                <w:sz w:val="11"/>
                <w:szCs w:val="11"/>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2</w:t>
            </w:r>
          </w:p>
        </w:tc>
        <w:tc>
          <w:tcPr>
            <w:tcW w:w="260" w:type="dxa"/>
            <w:vAlign w:val="bottom"/>
            <w:shd w:val="clear" w:color="auto" w:fill="FDFDFC"/>
          </w:tcPr>
          <w:p>
            <w:pPr>
              <w:spacing w:after="0"/>
              <w:rPr>
                <w:sz w:val="11"/>
                <w:szCs w:val="11"/>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300" w:type="dxa"/>
            <w:vAlign w:val="bottom"/>
            <w:shd w:val="clear" w:color="auto" w:fill="FDFDFC"/>
          </w:tcPr>
          <w:p>
            <w:pPr>
              <w:spacing w:after="0"/>
              <w:rPr>
                <w:sz w:val="11"/>
                <w:szCs w:val="11"/>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720" w:type="dxa"/>
            <w:vAlign w:val="bottom"/>
            <w:shd w:val="clear" w:color="auto" w:fill="FDFDFC"/>
          </w:tcPr>
          <w:p>
            <w:pPr>
              <w:spacing w:after="0"/>
              <w:rPr>
                <w:sz w:val="11"/>
                <w:szCs w:val="11"/>
                <w:color w:val="auto"/>
              </w:rPr>
            </w:pPr>
          </w:p>
        </w:tc>
        <w:tc>
          <w:tcPr>
            <w:tcW w:w="48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FDFDFC"/>
          </w:tcPr>
          <w:p>
            <w:pPr>
              <w:spacing w:after="0"/>
              <w:rPr>
                <w:sz w:val="11"/>
                <w:szCs w:val="11"/>
                <w:color w:val="auto"/>
              </w:rPr>
            </w:pPr>
          </w:p>
        </w:tc>
        <w:tc>
          <w:tcPr>
            <w:tcW w:w="8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FDFDFC"/>
          </w:tcPr>
          <w:p>
            <w:pPr>
              <w:spacing w:after="0"/>
              <w:rPr>
                <w:sz w:val="11"/>
                <w:szCs w:val="11"/>
                <w:color w:val="auto"/>
              </w:rPr>
            </w:pPr>
          </w:p>
        </w:tc>
        <w:tc>
          <w:tcPr>
            <w:tcW w:w="76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5,613</w:t>
            </w:r>
          </w:p>
        </w:tc>
        <w:tc>
          <w:tcPr>
            <w:tcW w:w="260" w:type="dxa"/>
            <w:vAlign w:val="bottom"/>
            <w:shd w:val="clear" w:color="auto" w:fill="FDFDFC"/>
          </w:tcPr>
          <w:p>
            <w:pPr>
              <w:spacing w:after="0"/>
              <w:rPr>
                <w:sz w:val="11"/>
                <w:szCs w:val="11"/>
                <w:color w:val="auto"/>
              </w:rPr>
            </w:pPr>
          </w:p>
        </w:tc>
        <w:tc>
          <w:tcPr>
            <w:tcW w:w="400" w:type="dxa"/>
            <w:vAlign w:val="bottom"/>
            <w:shd w:val="clear" w:color="auto" w:fill="FDFDFC"/>
          </w:tcPr>
          <w:p>
            <w:pPr>
              <w:spacing w:after="0"/>
              <w:rPr>
                <w:sz w:val="11"/>
                <w:szCs w:val="11"/>
                <w:color w:val="auto"/>
              </w:rPr>
            </w:pPr>
          </w:p>
        </w:tc>
        <w:tc>
          <w:tcPr>
            <w:tcW w:w="820" w:type="dxa"/>
            <w:vAlign w:val="bottom"/>
            <w:gridSpan w:val="2"/>
            <w:vMerge w:val="restart"/>
            <w:shd w:val="clear" w:color="auto" w:fill="FDFDFC"/>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11"/>
                <w:szCs w:val="11"/>
                <w:color w:val="auto"/>
              </w:rPr>
            </w:pPr>
          </w:p>
        </w:tc>
        <w:tc>
          <w:tcPr>
            <w:tcW w:w="340" w:type="dxa"/>
            <w:vAlign w:val="bottom"/>
            <w:shd w:val="clear" w:color="auto" w:fill="FDFDFC"/>
          </w:tcPr>
          <w:p>
            <w:pPr>
              <w:spacing w:after="0"/>
              <w:rPr>
                <w:sz w:val="11"/>
                <w:szCs w:val="11"/>
                <w:color w:val="auto"/>
              </w:rPr>
            </w:pPr>
          </w:p>
        </w:tc>
        <w:tc>
          <w:tcPr>
            <w:tcW w:w="10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FDFDFC"/>
          </w:tcPr>
          <w:p>
            <w:pPr>
              <w:spacing w:after="0"/>
              <w:rPr>
                <w:sz w:val="11"/>
                <w:szCs w:val="11"/>
                <w:color w:val="auto"/>
              </w:rPr>
            </w:pPr>
          </w:p>
        </w:tc>
        <w:tc>
          <w:tcPr>
            <w:tcW w:w="7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5,614</w:t>
            </w:r>
          </w:p>
        </w:tc>
        <w:tc>
          <w:tcPr>
            <w:tcW w:w="140" w:type="dxa"/>
            <w:vAlign w:val="bottom"/>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of tax withheld</w:t>
            </w:r>
          </w:p>
        </w:tc>
        <w:tc>
          <w:tcPr>
            <w:tcW w:w="1060" w:type="dxa"/>
            <w:vAlign w:val="bottom"/>
            <w:gridSpan w:val="2"/>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94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720" w:type="dxa"/>
            <w:vAlign w:val="bottom"/>
            <w:shd w:val="clear" w:color="auto" w:fill="FDFDFC"/>
          </w:tcPr>
          <w:p>
            <w:pPr>
              <w:spacing w:after="0"/>
              <w:rPr>
                <w:sz w:val="13"/>
                <w:szCs w:val="13"/>
                <w:color w:val="auto"/>
              </w:rPr>
            </w:pPr>
          </w:p>
        </w:tc>
        <w:tc>
          <w:tcPr>
            <w:tcW w:w="480" w:type="dxa"/>
            <w:vAlign w:val="bottom"/>
            <w:gridSpan w:val="2"/>
            <w:vMerge w:val="continue"/>
            <w:shd w:val="clear" w:color="auto" w:fill="FDFDFC"/>
          </w:tcPr>
          <w:p>
            <w:pPr>
              <w:spacing w:after="0"/>
              <w:rPr>
                <w:sz w:val="13"/>
                <w:szCs w:val="13"/>
                <w:color w:val="auto"/>
              </w:rPr>
            </w:pPr>
          </w:p>
        </w:tc>
        <w:tc>
          <w:tcPr>
            <w:tcW w:w="200" w:type="dxa"/>
            <w:vAlign w:val="bottom"/>
            <w:shd w:val="clear" w:color="auto" w:fill="FDFDFC"/>
          </w:tcPr>
          <w:p>
            <w:pPr>
              <w:spacing w:after="0"/>
              <w:rPr>
                <w:sz w:val="13"/>
                <w:szCs w:val="13"/>
                <w:color w:val="auto"/>
              </w:rPr>
            </w:pPr>
          </w:p>
        </w:tc>
        <w:tc>
          <w:tcPr>
            <w:tcW w:w="800" w:type="dxa"/>
            <w:vAlign w:val="bottom"/>
            <w:gridSpan w:val="2"/>
            <w:vMerge w:val="continue"/>
            <w:shd w:val="clear" w:color="auto" w:fill="FDFDFC"/>
          </w:tcPr>
          <w:p>
            <w:pPr>
              <w:spacing w:after="0"/>
              <w:rPr>
                <w:sz w:val="13"/>
                <w:szCs w:val="13"/>
                <w:color w:val="auto"/>
              </w:rPr>
            </w:pPr>
          </w:p>
        </w:tc>
        <w:tc>
          <w:tcPr>
            <w:tcW w:w="320" w:type="dxa"/>
            <w:vAlign w:val="bottom"/>
            <w:shd w:val="clear" w:color="auto" w:fill="FDFDFC"/>
          </w:tcPr>
          <w:p>
            <w:pPr>
              <w:spacing w:after="0"/>
              <w:rPr>
                <w:sz w:val="13"/>
                <w:szCs w:val="13"/>
                <w:color w:val="auto"/>
              </w:rPr>
            </w:pPr>
          </w:p>
        </w:tc>
        <w:tc>
          <w:tcPr>
            <w:tcW w:w="76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82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340" w:type="dxa"/>
            <w:vAlign w:val="bottom"/>
            <w:shd w:val="clear" w:color="auto" w:fill="FDFDFC"/>
          </w:tcPr>
          <w:p>
            <w:pPr>
              <w:spacing w:after="0"/>
              <w:rPr>
                <w:sz w:val="13"/>
                <w:szCs w:val="13"/>
                <w:color w:val="auto"/>
              </w:rPr>
            </w:pPr>
          </w:p>
        </w:tc>
        <w:tc>
          <w:tcPr>
            <w:tcW w:w="1000" w:type="dxa"/>
            <w:vAlign w:val="bottom"/>
            <w:gridSpan w:val="2"/>
            <w:vMerge w:val="continue"/>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740" w:type="dxa"/>
            <w:vAlign w:val="bottom"/>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D0EBF2"/>
          </w:tcPr>
          <w:p>
            <w:pPr>
              <w:spacing w:after="0" w:line="121" w:lineRule="exact"/>
              <w:rPr>
                <w:sz w:val="20"/>
                <w:szCs w:val="20"/>
                <w:color w:val="auto"/>
              </w:rPr>
            </w:pPr>
            <w:r>
              <w:rPr>
                <w:rFonts w:ascii="Arial" w:cs="Arial" w:eastAsia="Arial" w:hAnsi="Arial"/>
                <w:sz w:val="11"/>
                <w:szCs w:val="11"/>
                <w:color w:val="231F20"/>
              </w:rPr>
              <w:t>Issuance of common</w:t>
            </w:r>
          </w:p>
        </w:tc>
        <w:tc>
          <w:tcPr>
            <w:tcW w:w="120" w:type="dxa"/>
            <w:vAlign w:val="bottom"/>
            <w:shd w:val="clear" w:color="auto" w:fill="D0EBF2"/>
          </w:tcPr>
          <w:p>
            <w:pPr>
              <w:spacing w:after="0"/>
              <w:rPr>
                <w:sz w:val="10"/>
                <w:szCs w:val="10"/>
                <w:color w:val="auto"/>
              </w:rPr>
            </w:pPr>
          </w:p>
        </w:tc>
        <w:tc>
          <w:tcPr>
            <w:tcW w:w="94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94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720" w:type="dxa"/>
            <w:vAlign w:val="bottom"/>
            <w:shd w:val="clear" w:color="auto" w:fill="D0EBF2"/>
          </w:tcPr>
          <w:p>
            <w:pPr>
              <w:spacing w:after="0"/>
              <w:rPr>
                <w:sz w:val="10"/>
                <w:szCs w:val="10"/>
                <w:color w:val="auto"/>
              </w:rPr>
            </w:pPr>
          </w:p>
        </w:tc>
        <w:tc>
          <w:tcPr>
            <w:tcW w:w="22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200" w:type="dxa"/>
            <w:vAlign w:val="bottom"/>
            <w:shd w:val="clear" w:color="auto" w:fill="D0EBF2"/>
          </w:tcPr>
          <w:p>
            <w:pPr>
              <w:spacing w:after="0"/>
              <w:rPr>
                <w:sz w:val="10"/>
                <w:szCs w:val="10"/>
                <w:color w:val="auto"/>
              </w:rPr>
            </w:pPr>
          </w:p>
        </w:tc>
        <w:tc>
          <w:tcPr>
            <w:tcW w:w="54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320" w:type="dxa"/>
            <w:vAlign w:val="bottom"/>
            <w:shd w:val="clear" w:color="auto" w:fill="D0EBF2"/>
          </w:tcPr>
          <w:p>
            <w:pPr>
              <w:spacing w:after="0"/>
              <w:rPr>
                <w:sz w:val="10"/>
                <w:szCs w:val="10"/>
                <w:color w:val="auto"/>
              </w:rPr>
            </w:pPr>
          </w:p>
        </w:tc>
        <w:tc>
          <w:tcPr>
            <w:tcW w:w="76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680" w:type="dxa"/>
            <w:vAlign w:val="bottom"/>
            <w:shd w:val="clear" w:color="auto" w:fill="D0EBF2"/>
          </w:tcPr>
          <w:p>
            <w:pPr>
              <w:spacing w:after="0"/>
              <w:rPr>
                <w:sz w:val="10"/>
                <w:szCs w:val="10"/>
                <w:color w:val="auto"/>
              </w:rPr>
            </w:pPr>
          </w:p>
        </w:tc>
        <w:tc>
          <w:tcPr>
            <w:tcW w:w="140" w:type="dxa"/>
            <w:vAlign w:val="bottom"/>
            <w:shd w:val="clear" w:color="auto" w:fill="D0EBF2"/>
          </w:tcPr>
          <w:p>
            <w:pPr>
              <w:spacing w:after="0"/>
              <w:rPr>
                <w:sz w:val="10"/>
                <w:szCs w:val="10"/>
                <w:color w:val="auto"/>
              </w:rPr>
            </w:pPr>
          </w:p>
        </w:tc>
        <w:tc>
          <w:tcPr>
            <w:tcW w:w="120" w:type="dxa"/>
            <w:vAlign w:val="bottom"/>
            <w:shd w:val="clear" w:color="auto" w:fill="D0EBF2"/>
          </w:tcPr>
          <w:p>
            <w:pPr>
              <w:spacing w:after="0"/>
              <w:rPr>
                <w:sz w:val="10"/>
                <w:szCs w:val="10"/>
                <w:color w:val="auto"/>
              </w:rPr>
            </w:pPr>
          </w:p>
        </w:tc>
        <w:tc>
          <w:tcPr>
            <w:tcW w:w="340" w:type="dxa"/>
            <w:vAlign w:val="bottom"/>
            <w:shd w:val="clear" w:color="auto" w:fill="D0EBF2"/>
          </w:tcPr>
          <w:p>
            <w:pPr>
              <w:spacing w:after="0"/>
              <w:rPr>
                <w:sz w:val="10"/>
                <w:szCs w:val="10"/>
                <w:color w:val="auto"/>
              </w:rPr>
            </w:pPr>
          </w:p>
        </w:tc>
        <w:tc>
          <w:tcPr>
            <w:tcW w:w="74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740" w:type="dxa"/>
            <w:vAlign w:val="bottom"/>
            <w:shd w:val="clear" w:color="auto" w:fill="D0EBF2"/>
          </w:tcPr>
          <w:p>
            <w:pPr>
              <w:spacing w:after="0"/>
              <w:rPr>
                <w:sz w:val="10"/>
                <w:szCs w:val="10"/>
                <w:color w:val="auto"/>
              </w:rPr>
            </w:pPr>
          </w:p>
        </w:tc>
        <w:tc>
          <w:tcPr>
            <w:tcW w:w="140" w:type="dxa"/>
            <w:vAlign w:val="bottom"/>
            <w:shd w:val="clear" w:color="auto" w:fill="D0EBF2"/>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stock upon settlement</w:t>
            </w:r>
          </w:p>
        </w:tc>
        <w:tc>
          <w:tcPr>
            <w:tcW w:w="12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94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shd w:val="clear" w:color="auto" w:fill="D0EBF2"/>
          </w:tcPr>
          <w:p>
            <w:pPr>
              <w:spacing w:after="0"/>
              <w:rPr>
                <w:sz w:val="11"/>
                <w:szCs w:val="11"/>
                <w:color w:val="auto"/>
              </w:rPr>
            </w:pPr>
          </w:p>
        </w:tc>
        <w:tc>
          <w:tcPr>
            <w:tcW w:w="280" w:type="dxa"/>
            <w:vAlign w:val="bottom"/>
            <w:shd w:val="clear" w:color="auto" w:fill="D0EBF2"/>
          </w:tcPr>
          <w:p>
            <w:pPr>
              <w:spacing w:after="0"/>
              <w:rPr>
                <w:sz w:val="11"/>
                <w:szCs w:val="11"/>
                <w:color w:val="auto"/>
              </w:rPr>
            </w:pPr>
          </w:p>
        </w:tc>
        <w:tc>
          <w:tcPr>
            <w:tcW w:w="720" w:type="dxa"/>
            <w:vAlign w:val="bottom"/>
            <w:shd w:val="clear" w:color="auto" w:fill="D0EBF2"/>
          </w:tcPr>
          <w:p>
            <w:pPr>
              <w:spacing w:after="0"/>
              <w:rPr>
                <w:sz w:val="11"/>
                <w:szCs w:val="11"/>
                <w:color w:val="auto"/>
              </w:rPr>
            </w:pPr>
          </w:p>
        </w:tc>
        <w:tc>
          <w:tcPr>
            <w:tcW w:w="22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200" w:type="dxa"/>
            <w:vAlign w:val="bottom"/>
            <w:shd w:val="clear" w:color="auto" w:fill="D0EBF2"/>
          </w:tcPr>
          <w:p>
            <w:pPr>
              <w:spacing w:after="0"/>
              <w:rPr>
                <w:sz w:val="11"/>
                <w:szCs w:val="11"/>
                <w:color w:val="auto"/>
              </w:rPr>
            </w:pPr>
          </w:p>
        </w:tc>
        <w:tc>
          <w:tcPr>
            <w:tcW w:w="5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320" w:type="dxa"/>
            <w:vAlign w:val="bottom"/>
            <w:shd w:val="clear" w:color="auto" w:fill="D0EBF2"/>
          </w:tcPr>
          <w:p>
            <w:pPr>
              <w:spacing w:after="0"/>
              <w:rPr>
                <w:sz w:val="11"/>
                <w:szCs w:val="11"/>
                <w:color w:val="auto"/>
              </w:rPr>
            </w:pPr>
          </w:p>
        </w:tc>
        <w:tc>
          <w:tcPr>
            <w:tcW w:w="76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68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740" w:type="dxa"/>
            <w:vAlign w:val="bottom"/>
            <w:shd w:val="clear" w:color="auto" w:fill="D0EBF2"/>
          </w:tcPr>
          <w:p>
            <w:pPr>
              <w:spacing w:after="0"/>
              <w:rPr>
                <w:sz w:val="11"/>
                <w:szCs w:val="11"/>
                <w:color w:val="auto"/>
              </w:rPr>
            </w:pP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of restricted stock</w:t>
            </w:r>
          </w:p>
        </w:tc>
        <w:tc>
          <w:tcPr>
            <w:tcW w:w="1060" w:type="dxa"/>
            <w:vAlign w:val="bottom"/>
            <w:gridSpan w:val="2"/>
            <w:vMerge w:val="restart"/>
            <w:shd w:val="clear" w:color="auto" w:fill="D0EBF2"/>
          </w:tcPr>
          <w:p>
            <w:pPr>
              <w:jc w:val="right"/>
              <w:spacing w:after="0"/>
              <w:rPr>
                <w:sz w:val="20"/>
                <w:szCs w:val="20"/>
                <w:color w:val="auto"/>
              </w:rPr>
            </w:pPr>
            <w:r>
              <w:rPr>
                <w:rFonts w:ascii="Arial" w:cs="Arial" w:eastAsia="Arial" w:hAnsi="Arial"/>
                <w:sz w:val="11"/>
                <w:szCs w:val="11"/>
                <w:color w:val="231F20"/>
              </w:rPr>
              <w:t>1,794,743</w:t>
            </w: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1"/>
                <w:szCs w:val="11"/>
                <w:color w:val="auto"/>
              </w:rPr>
            </w:pPr>
          </w:p>
        </w:tc>
        <w:tc>
          <w:tcPr>
            <w:tcW w:w="9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720" w:type="dxa"/>
            <w:vAlign w:val="bottom"/>
            <w:shd w:val="clear" w:color="auto" w:fill="D0EBF2"/>
          </w:tcPr>
          <w:p>
            <w:pPr>
              <w:spacing w:after="0"/>
              <w:rPr>
                <w:sz w:val="11"/>
                <w:szCs w:val="11"/>
                <w:color w:val="auto"/>
              </w:rPr>
            </w:pPr>
          </w:p>
        </w:tc>
        <w:tc>
          <w:tcPr>
            <w:tcW w:w="48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D0EBF2"/>
          </w:tcPr>
          <w:p>
            <w:pPr>
              <w:spacing w:after="0"/>
              <w:rPr>
                <w:sz w:val="11"/>
                <w:szCs w:val="11"/>
                <w:color w:val="auto"/>
              </w:rPr>
            </w:pPr>
          </w:p>
        </w:tc>
        <w:tc>
          <w:tcPr>
            <w:tcW w:w="80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D0EBF2"/>
          </w:tcPr>
          <w:p>
            <w:pPr>
              <w:spacing w:after="0"/>
              <w:rPr>
                <w:sz w:val="11"/>
                <w:szCs w:val="11"/>
                <w:color w:val="auto"/>
              </w:rPr>
            </w:pPr>
          </w:p>
        </w:tc>
        <w:tc>
          <w:tcPr>
            <w:tcW w:w="76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(798)</w:t>
            </w: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820" w:type="dxa"/>
            <w:vAlign w:val="bottom"/>
            <w:gridSpan w:val="2"/>
            <w:vMerge w:val="restart"/>
            <w:shd w:val="clear" w:color="auto" w:fill="D0EBF2"/>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100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D0EBF2"/>
          </w:tcPr>
          <w:p>
            <w:pPr>
              <w:spacing w:after="0"/>
              <w:rPr>
                <w:sz w:val="11"/>
                <w:szCs w:val="11"/>
                <w:color w:val="auto"/>
              </w:rPr>
            </w:pPr>
          </w:p>
        </w:tc>
        <w:tc>
          <w:tcPr>
            <w:tcW w:w="880" w:type="dxa"/>
            <w:vAlign w:val="bottom"/>
            <w:gridSpan w:val="2"/>
            <w:vMerge w:val="restart"/>
            <w:shd w:val="clear" w:color="auto" w:fill="D0EBF2"/>
          </w:tcPr>
          <w:p>
            <w:pPr>
              <w:jc w:val="right"/>
              <w:ind w:right="100"/>
              <w:spacing w:after="0"/>
              <w:rPr>
                <w:sz w:val="20"/>
                <w:szCs w:val="20"/>
                <w:color w:val="auto"/>
              </w:rPr>
            </w:pPr>
            <w:r>
              <w:rPr>
                <w:rFonts w:ascii="Arial" w:cs="Arial" w:eastAsia="Arial" w:hAnsi="Arial"/>
                <w:sz w:val="11"/>
                <w:szCs w:val="11"/>
                <w:color w:val="231F20"/>
              </w:rPr>
              <w:t>(798)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units, net of tax withheld</w:t>
            </w:r>
          </w:p>
        </w:tc>
        <w:tc>
          <w:tcPr>
            <w:tcW w:w="1060" w:type="dxa"/>
            <w:vAlign w:val="bottom"/>
            <w:gridSpan w:val="2"/>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94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720" w:type="dxa"/>
            <w:vAlign w:val="bottom"/>
            <w:shd w:val="clear" w:color="auto" w:fill="D0EBF2"/>
          </w:tcPr>
          <w:p>
            <w:pPr>
              <w:spacing w:after="0"/>
              <w:rPr>
                <w:sz w:val="13"/>
                <w:szCs w:val="13"/>
                <w:color w:val="auto"/>
              </w:rPr>
            </w:pPr>
          </w:p>
        </w:tc>
        <w:tc>
          <w:tcPr>
            <w:tcW w:w="480" w:type="dxa"/>
            <w:vAlign w:val="bottom"/>
            <w:gridSpan w:val="2"/>
            <w:vMerge w:val="continue"/>
            <w:shd w:val="clear" w:color="auto" w:fill="D0EBF2"/>
          </w:tcPr>
          <w:p>
            <w:pPr>
              <w:spacing w:after="0"/>
              <w:rPr>
                <w:sz w:val="13"/>
                <w:szCs w:val="13"/>
                <w:color w:val="auto"/>
              </w:rPr>
            </w:pPr>
          </w:p>
        </w:tc>
        <w:tc>
          <w:tcPr>
            <w:tcW w:w="200" w:type="dxa"/>
            <w:vAlign w:val="bottom"/>
            <w:shd w:val="clear" w:color="auto" w:fill="D0EBF2"/>
          </w:tcPr>
          <w:p>
            <w:pPr>
              <w:spacing w:after="0"/>
              <w:rPr>
                <w:sz w:val="13"/>
                <w:szCs w:val="13"/>
                <w:color w:val="auto"/>
              </w:rPr>
            </w:pPr>
          </w:p>
        </w:tc>
        <w:tc>
          <w:tcPr>
            <w:tcW w:w="800" w:type="dxa"/>
            <w:vAlign w:val="bottom"/>
            <w:gridSpan w:val="2"/>
            <w:vMerge w:val="continue"/>
            <w:shd w:val="clear" w:color="auto" w:fill="D0EBF2"/>
          </w:tcPr>
          <w:p>
            <w:pPr>
              <w:spacing w:after="0"/>
              <w:rPr>
                <w:sz w:val="13"/>
                <w:szCs w:val="13"/>
                <w:color w:val="auto"/>
              </w:rPr>
            </w:pPr>
          </w:p>
        </w:tc>
        <w:tc>
          <w:tcPr>
            <w:tcW w:w="320" w:type="dxa"/>
            <w:vAlign w:val="bottom"/>
            <w:shd w:val="clear" w:color="auto" w:fill="D0EBF2"/>
          </w:tcPr>
          <w:p>
            <w:pPr>
              <w:spacing w:after="0"/>
              <w:rPr>
                <w:sz w:val="13"/>
                <w:szCs w:val="13"/>
                <w:color w:val="auto"/>
              </w:rPr>
            </w:pPr>
          </w:p>
        </w:tc>
        <w:tc>
          <w:tcPr>
            <w:tcW w:w="76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820" w:type="dxa"/>
            <w:vAlign w:val="bottom"/>
            <w:gridSpan w:val="2"/>
            <w:vMerge w:val="continue"/>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340" w:type="dxa"/>
            <w:vAlign w:val="bottom"/>
            <w:shd w:val="clear" w:color="auto" w:fill="D0EBF2"/>
          </w:tcPr>
          <w:p>
            <w:pPr>
              <w:spacing w:after="0"/>
              <w:rPr>
                <w:sz w:val="13"/>
                <w:szCs w:val="13"/>
                <w:color w:val="auto"/>
              </w:rPr>
            </w:pPr>
          </w:p>
        </w:tc>
        <w:tc>
          <w:tcPr>
            <w:tcW w:w="1000" w:type="dxa"/>
            <w:vAlign w:val="bottom"/>
            <w:gridSpan w:val="2"/>
            <w:vMerge w:val="continue"/>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880" w:type="dxa"/>
            <w:vAlign w:val="bottom"/>
            <w:gridSpan w:val="2"/>
            <w:vMerge w:val="continue"/>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FDFDFC"/>
          </w:tcPr>
          <w:p>
            <w:pPr>
              <w:spacing w:after="0" w:line="120" w:lineRule="exact"/>
              <w:rPr>
                <w:sz w:val="20"/>
                <w:szCs w:val="20"/>
                <w:color w:val="auto"/>
              </w:rPr>
            </w:pPr>
            <w:r>
              <w:rPr>
                <w:rFonts w:ascii="Arial" w:cs="Arial" w:eastAsia="Arial" w:hAnsi="Arial"/>
                <w:sz w:val="11"/>
                <w:szCs w:val="11"/>
                <w:color w:val="231F20"/>
              </w:rPr>
              <w:t>Issuance of common</w:t>
            </w:r>
          </w:p>
        </w:tc>
        <w:tc>
          <w:tcPr>
            <w:tcW w:w="120" w:type="dxa"/>
            <w:vAlign w:val="bottom"/>
            <w:shd w:val="clear" w:color="auto" w:fill="FDFDFC"/>
          </w:tcPr>
          <w:p>
            <w:pPr>
              <w:spacing w:after="0"/>
              <w:rPr>
                <w:sz w:val="10"/>
                <w:szCs w:val="10"/>
                <w:color w:val="auto"/>
              </w:rPr>
            </w:pPr>
          </w:p>
        </w:tc>
        <w:tc>
          <w:tcPr>
            <w:tcW w:w="94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94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shd w:val="clear" w:color="auto" w:fill="FDFDFC"/>
          </w:tcPr>
          <w:p>
            <w:pPr>
              <w:spacing w:after="0"/>
              <w:rPr>
                <w:sz w:val="10"/>
                <w:szCs w:val="10"/>
                <w:color w:val="auto"/>
              </w:rPr>
            </w:pPr>
          </w:p>
        </w:tc>
        <w:tc>
          <w:tcPr>
            <w:tcW w:w="280" w:type="dxa"/>
            <w:vAlign w:val="bottom"/>
            <w:shd w:val="clear" w:color="auto" w:fill="FDFDFC"/>
          </w:tcPr>
          <w:p>
            <w:pPr>
              <w:spacing w:after="0"/>
              <w:rPr>
                <w:sz w:val="10"/>
                <w:szCs w:val="10"/>
                <w:color w:val="auto"/>
              </w:rPr>
            </w:pPr>
          </w:p>
        </w:tc>
        <w:tc>
          <w:tcPr>
            <w:tcW w:w="720" w:type="dxa"/>
            <w:vAlign w:val="bottom"/>
            <w:shd w:val="clear" w:color="auto" w:fill="FDFDFC"/>
          </w:tcPr>
          <w:p>
            <w:pPr>
              <w:spacing w:after="0"/>
              <w:rPr>
                <w:sz w:val="10"/>
                <w:szCs w:val="10"/>
                <w:color w:val="auto"/>
              </w:rPr>
            </w:pPr>
          </w:p>
        </w:tc>
        <w:tc>
          <w:tcPr>
            <w:tcW w:w="22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200" w:type="dxa"/>
            <w:vAlign w:val="bottom"/>
            <w:shd w:val="clear" w:color="auto" w:fill="FDFDFC"/>
          </w:tcPr>
          <w:p>
            <w:pPr>
              <w:spacing w:after="0"/>
              <w:rPr>
                <w:sz w:val="10"/>
                <w:szCs w:val="10"/>
                <w:color w:val="auto"/>
              </w:rPr>
            </w:pPr>
          </w:p>
        </w:tc>
        <w:tc>
          <w:tcPr>
            <w:tcW w:w="54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320" w:type="dxa"/>
            <w:vAlign w:val="bottom"/>
            <w:shd w:val="clear" w:color="auto" w:fill="FDFDFC"/>
          </w:tcPr>
          <w:p>
            <w:pPr>
              <w:spacing w:after="0"/>
              <w:rPr>
                <w:sz w:val="10"/>
                <w:szCs w:val="10"/>
                <w:color w:val="auto"/>
              </w:rPr>
            </w:pPr>
          </w:p>
        </w:tc>
        <w:tc>
          <w:tcPr>
            <w:tcW w:w="76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400" w:type="dxa"/>
            <w:vAlign w:val="bottom"/>
            <w:shd w:val="clear" w:color="auto" w:fill="FDFDFC"/>
          </w:tcPr>
          <w:p>
            <w:pPr>
              <w:spacing w:after="0"/>
              <w:rPr>
                <w:sz w:val="10"/>
                <w:szCs w:val="10"/>
                <w:color w:val="auto"/>
              </w:rPr>
            </w:pPr>
          </w:p>
        </w:tc>
        <w:tc>
          <w:tcPr>
            <w:tcW w:w="68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120" w:type="dxa"/>
            <w:vAlign w:val="bottom"/>
            <w:shd w:val="clear" w:color="auto" w:fill="FDFDFC"/>
          </w:tcPr>
          <w:p>
            <w:pPr>
              <w:spacing w:after="0"/>
              <w:rPr>
                <w:sz w:val="10"/>
                <w:szCs w:val="10"/>
                <w:color w:val="auto"/>
              </w:rPr>
            </w:pPr>
          </w:p>
        </w:tc>
        <w:tc>
          <w:tcPr>
            <w:tcW w:w="340" w:type="dxa"/>
            <w:vAlign w:val="bottom"/>
            <w:shd w:val="clear" w:color="auto" w:fill="FDFDFC"/>
          </w:tcPr>
          <w:p>
            <w:pPr>
              <w:spacing w:after="0"/>
              <w:rPr>
                <w:sz w:val="10"/>
                <w:szCs w:val="10"/>
                <w:color w:val="auto"/>
              </w:rPr>
            </w:pPr>
          </w:p>
        </w:tc>
        <w:tc>
          <w:tcPr>
            <w:tcW w:w="740" w:type="dxa"/>
            <w:vAlign w:val="bottom"/>
            <w:shd w:val="clear" w:color="auto" w:fill="FDFDFC"/>
          </w:tcPr>
          <w:p>
            <w:pPr>
              <w:spacing w:after="0"/>
              <w:rPr>
                <w:sz w:val="10"/>
                <w:szCs w:val="10"/>
                <w:color w:val="auto"/>
              </w:rPr>
            </w:pPr>
          </w:p>
        </w:tc>
        <w:tc>
          <w:tcPr>
            <w:tcW w:w="260" w:type="dxa"/>
            <w:vAlign w:val="bottom"/>
            <w:shd w:val="clear" w:color="auto" w:fill="FDFDFC"/>
          </w:tcPr>
          <w:p>
            <w:pPr>
              <w:spacing w:after="0"/>
              <w:rPr>
                <w:sz w:val="10"/>
                <w:szCs w:val="10"/>
                <w:color w:val="auto"/>
              </w:rPr>
            </w:pPr>
          </w:p>
        </w:tc>
        <w:tc>
          <w:tcPr>
            <w:tcW w:w="400" w:type="dxa"/>
            <w:vAlign w:val="bottom"/>
            <w:shd w:val="clear" w:color="auto" w:fill="FDFDFC"/>
          </w:tcPr>
          <w:p>
            <w:pPr>
              <w:spacing w:after="0"/>
              <w:rPr>
                <w:sz w:val="10"/>
                <w:szCs w:val="10"/>
                <w:color w:val="auto"/>
              </w:rPr>
            </w:pPr>
          </w:p>
        </w:tc>
        <w:tc>
          <w:tcPr>
            <w:tcW w:w="74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stock under employee</w:t>
            </w:r>
          </w:p>
        </w:tc>
        <w:tc>
          <w:tcPr>
            <w:tcW w:w="1060" w:type="dxa"/>
            <w:vAlign w:val="bottom"/>
            <w:gridSpan w:val="2"/>
            <w:vMerge w:val="restart"/>
            <w:shd w:val="clear" w:color="auto" w:fill="FDFDFC"/>
          </w:tcPr>
          <w:p>
            <w:pPr>
              <w:jc w:val="right"/>
              <w:spacing w:after="0"/>
              <w:rPr>
                <w:sz w:val="20"/>
                <w:szCs w:val="20"/>
                <w:color w:val="auto"/>
              </w:rPr>
            </w:pPr>
            <w:r>
              <w:rPr>
                <w:rFonts w:ascii="Arial" w:cs="Arial" w:eastAsia="Arial" w:hAnsi="Arial"/>
                <w:sz w:val="11"/>
                <w:szCs w:val="11"/>
                <w:color w:val="231F20"/>
              </w:rPr>
              <w:t>193,413</w:t>
            </w:r>
          </w:p>
        </w:tc>
        <w:tc>
          <w:tcPr>
            <w:tcW w:w="280" w:type="dxa"/>
            <w:vAlign w:val="bottom"/>
            <w:shd w:val="clear" w:color="auto" w:fill="FDFDFC"/>
          </w:tcPr>
          <w:p>
            <w:pPr>
              <w:spacing w:after="0"/>
              <w:rPr>
                <w:sz w:val="11"/>
                <w:szCs w:val="11"/>
                <w:color w:val="auto"/>
              </w:rPr>
            </w:pPr>
          </w:p>
        </w:tc>
        <w:tc>
          <w:tcPr>
            <w:tcW w:w="300" w:type="dxa"/>
            <w:vAlign w:val="bottom"/>
            <w:shd w:val="clear" w:color="auto" w:fill="FDFDFC"/>
          </w:tcPr>
          <w:p>
            <w:pPr>
              <w:spacing w:after="0"/>
              <w:rPr>
                <w:sz w:val="11"/>
                <w:szCs w:val="11"/>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1"/>
                <w:szCs w:val="11"/>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300" w:type="dxa"/>
            <w:vAlign w:val="bottom"/>
            <w:shd w:val="clear" w:color="auto" w:fill="FDFDFC"/>
          </w:tcPr>
          <w:p>
            <w:pPr>
              <w:spacing w:after="0"/>
              <w:rPr>
                <w:sz w:val="11"/>
                <w:szCs w:val="11"/>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1"/>
                <w:szCs w:val="11"/>
                <w:color w:val="auto"/>
              </w:rPr>
            </w:pPr>
          </w:p>
        </w:tc>
        <w:tc>
          <w:tcPr>
            <w:tcW w:w="720" w:type="dxa"/>
            <w:vAlign w:val="bottom"/>
            <w:shd w:val="clear" w:color="auto" w:fill="FDFDFC"/>
          </w:tcPr>
          <w:p>
            <w:pPr>
              <w:spacing w:after="0"/>
              <w:rPr>
                <w:sz w:val="11"/>
                <w:szCs w:val="11"/>
                <w:color w:val="auto"/>
              </w:rPr>
            </w:pPr>
          </w:p>
        </w:tc>
        <w:tc>
          <w:tcPr>
            <w:tcW w:w="48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FDFDFC"/>
          </w:tcPr>
          <w:p>
            <w:pPr>
              <w:spacing w:after="0"/>
              <w:rPr>
                <w:sz w:val="11"/>
                <w:szCs w:val="11"/>
                <w:color w:val="auto"/>
              </w:rPr>
            </w:pPr>
          </w:p>
        </w:tc>
        <w:tc>
          <w:tcPr>
            <w:tcW w:w="8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FDFDFC"/>
          </w:tcPr>
          <w:p>
            <w:pPr>
              <w:spacing w:after="0"/>
              <w:rPr>
                <w:sz w:val="11"/>
                <w:szCs w:val="11"/>
                <w:color w:val="auto"/>
              </w:rPr>
            </w:pPr>
          </w:p>
        </w:tc>
        <w:tc>
          <w:tcPr>
            <w:tcW w:w="76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3,108</w:t>
            </w:r>
          </w:p>
        </w:tc>
        <w:tc>
          <w:tcPr>
            <w:tcW w:w="260" w:type="dxa"/>
            <w:vAlign w:val="bottom"/>
            <w:shd w:val="clear" w:color="auto" w:fill="FDFDFC"/>
          </w:tcPr>
          <w:p>
            <w:pPr>
              <w:spacing w:after="0"/>
              <w:rPr>
                <w:sz w:val="11"/>
                <w:szCs w:val="11"/>
                <w:color w:val="auto"/>
              </w:rPr>
            </w:pPr>
          </w:p>
        </w:tc>
        <w:tc>
          <w:tcPr>
            <w:tcW w:w="400" w:type="dxa"/>
            <w:vAlign w:val="bottom"/>
            <w:shd w:val="clear" w:color="auto" w:fill="FDFDFC"/>
          </w:tcPr>
          <w:p>
            <w:pPr>
              <w:spacing w:after="0"/>
              <w:rPr>
                <w:sz w:val="11"/>
                <w:szCs w:val="11"/>
                <w:color w:val="auto"/>
              </w:rPr>
            </w:pPr>
          </w:p>
        </w:tc>
        <w:tc>
          <w:tcPr>
            <w:tcW w:w="820" w:type="dxa"/>
            <w:vAlign w:val="bottom"/>
            <w:gridSpan w:val="2"/>
            <w:vMerge w:val="restart"/>
            <w:shd w:val="clear" w:color="auto" w:fill="FDFDFC"/>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11"/>
                <w:szCs w:val="11"/>
                <w:color w:val="auto"/>
              </w:rPr>
            </w:pPr>
          </w:p>
        </w:tc>
        <w:tc>
          <w:tcPr>
            <w:tcW w:w="340" w:type="dxa"/>
            <w:vAlign w:val="bottom"/>
            <w:shd w:val="clear" w:color="auto" w:fill="FDFDFC"/>
          </w:tcPr>
          <w:p>
            <w:pPr>
              <w:spacing w:after="0"/>
              <w:rPr>
                <w:sz w:val="11"/>
                <w:szCs w:val="11"/>
                <w:color w:val="auto"/>
              </w:rPr>
            </w:pPr>
          </w:p>
        </w:tc>
        <w:tc>
          <w:tcPr>
            <w:tcW w:w="10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FDFDFC"/>
          </w:tcPr>
          <w:p>
            <w:pPr>
              <w:spacing w:after="0"/>
              <w:rPr>
                <w:sz w:val="11"/>
                <w:szCs w:val="11"/>
                <w:color w:val="auto"/>
              </w:rPr>
            </w:pPr>
          </w:p>
        </w:tc>
        <w:tc>
          <w:tcPr>
            <w:tcW w:w="7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3,108</w:t>
            </w:r>
          </w:p>
        </w:tc>
        <w:tc>
          <w:tcPr>
            <w:tcW w:w="140" w:type="dxa"/>
            <w:vAlign w:val="bottom"/>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stock purchase plan</w:t>
            </w:r>
          </w:p>
        </w:tc>
        <w:tc>
          <w:tcPr>
            <w:tcW w:w="1060" w:type="dxa"/>
            <w:vAlign w:val="bottom"/>
            <w:gridSpan w:val="2"/>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94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720" w:type="dxa"/>
            <w:vAlign w:val="bottom"/>
            <w:shd w:val="clear" w:color="auto" w:fill="FDFDFC"/>
          </w:tcPr>
          <w:p>
            <w:pPr>
              <w:spacing w:after="0"/>
              <w:rPr>
                <w:sz w:val="13"/>
                <w:szCs w:val="13"/>
                <w:color w:val="auto"/>
              </w:rPr>
            </w:pPr>
          </w:p>
        </w:tc>
        <w:tc>
          <w:tcPr>
            <w:tcW w:w="480" w:type="dxa"/>
            <w:vAlign w:val="bottom"/>
            <w:gridSpan w:val="2"/>
            <w:vMerge w:val="continue"/>
            <w:shd w:val="clear" w:color="auto" w:fill="FDFDFC"/>
          </w:tcPr>
          <w:p>
            <w:pPr>
              <w:spacing w:after="0"/>
              <w:rPr>
                <w:sz w:val="13"/>
                <w:szCs w:val="13"/>
                <w:color w:val="auto"/>
              </w:rPr>
            </w:pPr>
          </w:p>
        </w:tc>
        <w:tc>
          <w:tcPr>
            <w:tcW w:w="200" w:type="dxa"/>
            <w:vAlign w:val="bottom"/>
            <w:shd w:val="clear" w:color="auto" w:fill="FDFDFC"/>
          </w:tcPr>
          <w:p>
            <w:pPr>
              <w:spacing w:after="0"/>
              <w:rPr>
                <w:sz w:val="13"/>
                <w:szCs w:val="13"/>
                <w:color w:val="auto"/>
              </w:rPr>
            </w:pPr>
          </w:p>
        </w:tc>
        <w:tc>
          <w:tcPr>
            <w:tcW w:w="800" w:type="dxa"/>
            <w:vAlign w:val="bottom"/>
            <w:gridSpan w:val="2"/>
            <w:vMerge w:val="continue"/>
            <w:shd w:val="clear" w:color="auto" w:fill="FDFDFC"/>
          </w:tcPr>
          <w:p>
            <w:pPr>
              <w:spacing w:after="0"/>
              <w:rPr>
                <w:sz w:val="13"/>
                <w:szCs w:val="13"/>
                <w:color w:val="auto"/>
              </w:rPr>
            </w:pPr>
          </w:p>
        </w:tc>
        <w:tc>
          <w:tcPr>
            <w:tcW w:w="320" w:type="dxa"/>
            <w:vAlign w:val="bottom"/>
            <w:shd w:val="clear" w:color="auto" w:fill="FDFDFC"/>
          </w:tcPr>
          <w:p>
            <w:pPr>
              <w:spacing w:after="0"/>
              <w:rPr>
                <w:sz w:val="13"/>
                <w:szCs w:val="13"/>
                <w:color w:val="auto"/>
              </w:rPr>
            </w:pPr>
          </w:p>
        </w:tc>
        <w:tc>
          <w:tcPr>
            <w:tcW w:w="76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82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340" w:type="dxa"/>
            <w:vAlign w:val="bottom"/>
            <w:shd w:val="clear" w:color="auto" w:fill="FDFDFC"/>
          </w:tcPr>
          <w:p>
            <w:pPr>
              <w:spacing w:after="0"/>
              <w:rPr>
                <w:sz w:val="13"/>
                <w:szCs w:val="13"/>
                <w:color w:val="auto"/>
              </w:rPr>
            </w:pPr>
          </w:p>
        </w:tc>
        <w:tc>
          <w:tcPr>
            <w:tcW w:w="1000" w:type="dxa"/>
            <w:vAlign w:val="bottom"/>
            <w:gridSpan w:val="2"/>
            <w:vMerge w:val="continue"/>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740" w:type="dxa"/>
            <w:vAlign w:val="bottom"/>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D0EBF2"/>
          </w:tcPr>
          <w:p>
            <w:pPr>
              <w:spacing w:after="0" w:line="121" w:lineRule="exact"/>
              <w:rPr>
                <w:sz w:val="20"/>
                <w:szCs w:val="20"/>
                <w:color w:val="auto"/>
              </w:rPr>
            </w:pPr>
            <w:r>
              <w:rPr>
                <w:rFonts w:ascii="Arial" w:cs="Arial" w:eastAsia="Arial" w:hAnsi="Arial"/>
                <w:sz w:val="11"/>
                <w:szCs w:val="11"/>
                <w:color w:val="231F20"/>
              </w:rPr>
              <w:t>Issuance of common</w:t>
            </w:r>
          </w:p>
        </w:tc>
        <w:tc>
          <w:tcPr>
            <w:tcW w:w="1060" w:type="dxa"/>
            <w:vAlign w:val="bottom"/>
            <w:gridSpan w:val="2"/>
            <w:vMerge w:val="restart"/>
            <w:shd w:val="clear" w:color="auto" w:fill="D0EBF2"/>
          </w:tcPr>
          <w:p>
            <w:pPr>
              <w:jc w:val="right"/>
              <w:spacing w:after="0"/>
              <w:rPr>
                <w:sz w:val="20"/>
                <w:szCs w:val="20"/>
                <w:color w:val="auto"/>
              </w:rPr>
            </w:pPr>
            <w:r>
              <w:rPr>
                <w:rFonts w:ascii="Arial" w:cs="Arial" w:eastAsia="Arial" w:hAnsi="Arial"/>
                <w:sz w:val="11"/>
                <w:szCs w:val="11"/>
                <w:color w:val="231F20"/>
              </w:rPr>
              <w:t>56,164</w:t>
            </w: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0"/>
                <w:szCs w:val="10"/>
                <w:color w:val="auto"/>
              </w:rPr>
            </w:pPr>
          </w:p>
        </w:tc>
        <w:tc>
          <w:tcPr>
            <w:tcW w:w="9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0"/>
                <w:szCs w:val="10"/>
                <w:color w:val="auto"/>
              </w:rPr>
            </w:pPr>
          </w:p>
        </w:tc>
        <w:tc>
          <w:tcPr>
            <w:tcW w:w="720" w:type="dxa"/>
            <w:vAlign w:val="bottom"/>
            <w:shd w:val="clear" w:color="auto" w:fill="D0EBF2"/>
          </w:tcPr>
          <w:p>
            <w:pPr>
              <w:spacing w:after="0"/>
              <w:rPr>
                <w:sz w:val="10"/>
                <w:szCs w:val="10"/>
                <w:color w:val="auto"/>
              </w:rPr>
            </w:pPr>
          </w:p>
        </w:tc>
        <w:tc>
          <w:tcPr>
            <w:tcW w:w="48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D0EBF2"/>
          </w:tcPr>
          <w:p>
            <w:pPr>
              <w:spacing w:after="0"/>
              <w:rPr>
                <w:sz w:val="10"/>
                <w:szCs w:val="10"/>
                <w:color w:val="auto"/>
              </w:rPr>
            </w:pPr>
          </w:p>
        </w:tc>
        <w:tc>
          <w:tcPr>
            <w:tcW w:w="80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D0EBF2"/>
          </w:tcPr>
          <w:p>
            <w:pPr>
              <w:spacing w:after="0"/>
              <w:rPr>
                <w:sz w:val="10"/>
                <w:szCs w:val="10"/>
                <w:color w:val="auto"/>
              </w:rPr>
            </w:pPr>
          </w:p>
        </w:tc>
        <w:tc>
          <w:tcPr>
            <w:tcW w:w="76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324</w:t>
            </w: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820" w:type="dxa"/>
            <w:vAlign w:val="bottom"/>
            <w:gridSpan w:val="2"/>
            <w:vMerge w:val="restart"/>
            <w:shd w:val="clear" w:color="auto" w:fill="D0EBF2"/>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0"/>
                <w:szCs w:val="10"/>
                <w:color w:val="auto"/>
              </w:rPr>
            </w:pPr>
          </w:p>
        </w:tc>
        <w:tc>
          <w:tcPr>
            <w:tcW w:w="340" w:type="dxa"/>
            <w:vAlign w:val="bottom"/>
            <w:shd w:val="clear" w:color="auto" w:fill="D0EBF2"/>
          </w:tcPr>
          <w:p>
            <w:pPr>
              <w:spacing w:after="0"/>
              <w:rPr>
                <w:sz w:val="10"/>
                <w:szCs w:val="10"/>
                <w:color w:val="auto"/>
              </w:rPr>
            </w:pPr>
          </w:p>
        </w:tc>
        <w:tc>
          <w:tcPr>
            <w:tcW w:w="100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D0EBF2"/>
          </w:tcPr>
          <w:p>
            <w:pPr>
              <w:spacing w:after="0"/>
              <w:rPr>
                <w:sz w:val="10"/>
                <w:szCs w:val="10"/>
                <w:color w:val="auto"/>
              </w:rPr>
            </w:pPr>
          </w:p>
        </w:tc>
        <w:tc>
          <w:tcPr>
            <w:tcW w:w="7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324</w:t>
            </w:r>
          </w:p>
        </w:tc>
        <w:tc>
          <w:tcPr>
            <w:tcW w:w="140" w:type="dxa"/>
            <w:vAlign w:val="bottom"/>
            <w:shd w:val="clear" w:color="auto" w:fill="D0EBF2"/>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stock for retention bonus</w:t>
            </w:r>
          </w:p>
        </w:tc>
        <w:tc>
          <w:tcPr>
            <w:tcW w:w="1060" w:type="dxa"/>
            <w:vAlign w:val="bottom"/>
            <w:gridSpan w:val="2"/>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94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720" w:type="dxa"/>
            <w:vAlign w:val="bottom"/>
            <w:shd w:val="clear" w:color="auto" w:fill="D0EBF2"/>
          </w:tcPr>
          <w:p>
            <w:pPr>
              <w:spacing w:after="0"/>
              <w:rPr>
                <w:sz w:val="13"/>
                <w:szCs w:val="13"/>
                <w:color w:val="auto"/>
              </w:rPr>
            </w:pPr>
          </w:p>
        </w:tc>
        <w:tc>
          <w:tcPr>
            <w:tcW w:w="480" w:type="dxa"/>
            <w:vAlign w:val="bottom"/>
            <w:gridSpan w:val="2"/>
            <w:vMerge w:val="continue"/>
            <w:shd w:val="clear" w:color="auto" w:fill="D0EBF2"/>
          </w:tcPr>
          <w:p>
            <w:pPr>
              <w:spacing w:after="0"/>
              <w:rPr>
                <w:sz w:val="13"/>
                <w:szCs w:val="13"/>
                <w:color w:val="auto"/>
              </w:rPr>
            </w:pPr>
          </w:p>
        </w:tc>
        <w:tc>
          <w:tcPr>
            <w:tcW w:w="200" w:type="dxa"/>
            <w:vAlign w:val="bottom"/>
            <w:shd w:val="clear" w:color="auto" w:fill="D0EBF2"/>
          </w:tcPr>
          <w:p>
            <w:pPr>
              <w:spacing w:after="0"/>
              <w:rPr>
                <w:sz w:val="13"/>
                <w:szCs w:val="13"/>
                <w:color w:val="auto"/>
              </w:rPr>
            </w:pPr>
          </w:p>
        </w:tc>
        <w:tc>
          <w:tcPr>
            <w:tcW w:w="800" w:type="dxa"/>
            <w:vAlign w:val="bottom"/>
            <w:gridSpan w:val="2"/>
            <w:vMerge w:val="continue"/>
            <w:shd w:val="clear" w:color="auto" w:fill="D0EBF2"/>
          </w:tcPr>
          <w:p>
            <w:pPr>
              <w:spacing w:after="0"/>
              <w:rPr>
                <w:sz w:val="13"/>
                <w:szCs w:val="13"/>
                <w:color w:val="auto"/>
              </w:rPr>
            </w:pPr>
          </w:p>
        </w:tc>
        <w:tc>
          <w:tcPr>
            <w:tcW w:w="320" w:type="dxa"/>
            <w:vAlign w:val="bottom"/>
            <w:shd w:val="clear" w:color="auto" w:fill="D0EBF2"/>
          </w:tcPr>
          <w:p>
            <w:pPr>
              <w:spacing w:after="0"/>
              <w:rPr>
                <w:sz w:val="13"/>
                <w:szCs w:val="13"/>
                <w:color w:val="auto"/>
              </w:rPr>
            </w:pPr>
          </w:p>
        </w:tc>
        <w:tc>
          <w:tcPr>
            <w:tcW w:w="76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820" w:type="dxa"/>
            <w:vAlign w:val="bottom"/>
            <w:gridSpan w:val="2"/>
            <w:vMerge w:val="continue"/>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340" w:type="dxa"/>
            <w:vAlign w:val="bottom"/>
            <w:shd w:val="clear" w:color="auto" w:fill="D0EBF2"/>
          </w:tcPr>
          <w:p>
            <w:pPr>
              <w:spacing w:after="0"/>
              <w:rPr>
                <w:sz w:val="13"/>
                <w:szCs w:val="13"/>
                <w:color w:val="auto"/>
              </w:rPr>
            </w:pPr>
          </w:p>
        </w:tc>
        <w:tc>
          <w:tcPr>
            <w:tcW w:w="1000" w:type="dxa"/>
            <w:vAlign w:val="bottom"/>
            <w:gridSpan w:val="2"/>
            <w:vMerge w:val="continue"/>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740" w:type="dxa"/>
            <w:vAlign w:val="bottom"/>
            <w:vMerge w:val="continue"/>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40" w:type="dxa"/>
            <w:vAlign w:val="bottom"/>
            <w:tcBorders>
              <w:right w:val="single" w:sz="8" w:color="231F20"/>
            </w:tcBorders>
            <w:shd w:val="clear" w:color="auto" w:fill="FDFDFC"/>
          </w:tcPr>
          <w:p>
            <w:pPr>
              <w:spacing w:after="0"/>
              <w:rPr>
                <w:sz w:val="20"/>
                <w:szCs w:val="20"/>
                <w:color w:val="auto"/>
              </w:rPr>
            </w:pPr>
            <w:r>
              <w:rPr>
                <w:rFonts w:ascii="Arial" w:cs="Arial" w:eastAsia="Arial" w:hAnsi="Arial"/>
                <w:sz w:val="11"/>
                <w:szCs w:val="11"/>
                <w:color w:val="231F20"/>
              </w:rPr>
              <w:t>Common stock repurchased</w:t>
            </w:r>
          </w:p>
        </w:tc>
        <w:tc>
          <w:tcPr>
            <w:tcW w:w="120" w:type="dxa"/>
            <w:vAlign w:val="bottom"/>
            <w:shd w:val="clear" w:color="auto" w:fill="FDFDFC"/>
          </w:tcPr>
          <w:p>
            <w:pPr>
              <w:spacing w:after="0"/>
              <w:rPr>
                <w:sz w:val="12"/>
                <w:szCs w:val="12"/>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2"/>
                <w:szCs w:val="12"/>
                <w:color w:val="auto"/>
              </w:rPr>
            </w:pPr>
          </w:p>
        </w:tc>
        <w:tc>
          <w:tcPr>
            <w:tcW w:w="300" w:type="dxa"/>
            <w:vAlign w:val="bottom"/>
            <w:shd w:val="clear" w:color="auto" w:fill="FDFDFC"/>
          </w:tcPr>
          <w:p>
            <w:pPr>
              <w:spacing w:after="0"/>
              <w:rPr>
                <w:sz w:val="12"/>
                <w:szCs w:val="12"/>
                <w:color w:val="auto"/>
              </w:rPr>
            </w:pPr>
          </w:p>
        </w:tc>
        <w:tc>
          <w:tcPr>
            <w:tcW w:w="38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2"/>
                <w:szCs w:val="12"/>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2"/>
                <w:szCs w:val="12"/>
                <w:color w:val="auto"/>
              </w:rPr>
            </w:pPr>
          </w:p>
        </w:tc>
        <w:tc>
          <w:tcPr>
            <w:tcW w:w="300" w:type="dxa"/>
            <w:vAlign w:val="bottom"/>
            <w:shd w:val="clear" w:color="auto" w:fill="FDFDFC"/>
          </w:tcPr>
          <w:p>
            <w:pPr>
              <w:spacing w:after="0"/>
              <w:rPr>
                <w:sz w:val="12"/>
                <w:szCs w:val="12"/>
                <w:color w:val="auto"/>
              </w:rPr>
            </w:pPr>
          </w:p>
        </w:tc>
        <w:tc>
          <w:tcPr>
            <w:tcW w:w="38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1480" w:type="dxa"/>
            <w:vAlign w:val="bottom"/>
            <w:gridSpan w:val="4"/>
            <w:shd w:val="clear" w:color="auto" w:fill="FDFDFC"/>
          </w:tcPr>
          <w:p>
            <w:pPr>
              <w:jc w:val="right"/>
              <w:ind w:right="220"/>
              <w:spacing w:after="0"/>
              <w:rPr>
                <w:sz w:val="20"/>
                <w:szCs w:val="20"/>
                <w:color w:val="auto"/>
              </w:rPr>
            </w:pPr>
            <w:r>
              <w:rPr>
                <w:rFonts w:ascii="Arial" w:cs="Arial" w:eastAsia="Arial" w:hAnsi="Arial"/>
                <w:sz w:val="11"/>
                <w:szCs w:val="11"/>
                <w:color w:val="231F20"/>
              </w:rPr>
              <w:t>(2,386,856)</w:t>
            </w:r>
          </w:p>
        </w:tc>
        <w:tc>
          <w:tcPr>
            <w:tcW w:w="200" w:type="dxa"/>
            <w:vAlign w:val="bottom"/>
            <w:shd w:val="clear" w:color="auto" w:fill="FDFDFC"/>
          </w:tcPr>
          <w:p>
            <w:pPr>
              <w:spacing w:after="0"/>
              <w:rPr>
                <w:sz w:val="12"/>
                <w:szCs w:val="12"/>
                <w:color w:val="auto"/>
              </w:rPr>
            </w:pPr>
          </w:p>
        </w:tc>
        <w:tc>
          <w:tcPr>
            <w:tcW w:w="800" w:type="dxa"/>
            <w:vAlign w:val="bottom"/>
            <w:gridSpan w:val="2"/>
            <w:shd w:val="clear" w:color="auto" w:fill="FDFDFC"/>
          </w:tcPr>
          <w:p>
            <w:pPr>
              <w:jc w:val="right"/>
              <w:ind w:right="220"/>
              <w:spacing w:after="0"/>
              <w:rPr>
                <w:sz w:val="20"/>
                <w:szCs w:val="20"/>
                <w:color w:val="auto"/>
              </w:rPr>
            </w:pPr>
            <w:r>
              <w:rPr>
                <w:rFonts w:ascii="Arial" w:cs="Arial" w:eastAsia="Arial" w:hAnsi="Arial"/>
                <w:sz w:val="11"/>
                <w:szCs w:val="11"/>
                <w:color w:val="231F20"/>
              </w:rPr>
              <w:t>(45,564)</w:t>
            </w:r>
          </w:p>
        </w:tc>
        <w:tc>
          <w:tcPr>
            <w:tcW w:w="320" w:type="dxa"/>
            <w:vAlign w:val="bottom"/>
            <w:shd w:val="clear" w:color="auto" w:fill="FDFDFC"/>
          </w:tcPr>
          <w:p>
            <w:pPr>
              <w:spacing w:after="0"/>
              <w:rPr>
                <w:sz w:val="12"/>
                <w:szCs w:val="12"/>
                <w:color w:val="auto"/>
              </w:rPr>
            </w:pPr>
          </w:p>
        </w:tc>
        <w:tc>
          <w:tcPr>
            <w:tcW w:w="760" w:type="dxa"/>
            <w:vAlign w:val="bottom"/>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2"/>
                <w:szCs w:val="12"/>
                <w:color w:val="auto"/>
              </w:rPr>
            </w:pPr>
          </w:p>
        </w:tc>
        <w:tc>
          <w:tcPr>
            <w:tcW w:w="400" w:type="dxa"/>
            <w:vAlign w:val="bottom"/>
            <w:shd w:val="clear" w:color="auto" w:fill="FDFDFC"/>
          </w:tcPr>
          <w:p>
            <w:pPr>
              <w:spacing w:after="0"/>
              <w:rPr>
                <w:sz w:val="12"/>
                <w:szCs w:val="12"/>
                <w:color w:val="auto"/>
              </w:rPr>
            </w:pPr>
          </w:p>
        </w:tc>
        <w:tc>
          <w:tcPr>
            <w:tcW w:w="820" w:type="dxa"/>
            <w:vAlign w:val="bottom"/>
            <w:gridSpan w:val="2"/>
            <w:shd w:val="clear" w:color="auto" w:fill="FDFDFC"/>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12"/>
                <w:szCs w:val="12"/>
                <w:color w:val="auto"/>
              </w:rPr>
            </w:pPr>
          </w:p>
        </w:tc>
        <w:tc>
          <w:tcPr>
            <w:tcW w:w="340" w:type="dxa"/>
            <w:vAlign w:val="bottom"/>
            <w:shd w:val="clear" w:color="auto" w:fill="FDFDFC"/>
          </w:tcPr>
          <w:p>
            <w:pPr>
              <w:spacing w:after="0"/>
              <w:rPr>
                <w:sz w:val="12"/>
                <w:szCs w:val="12"/>
                <w:color w:val="auto"/>
              </w:rPr>
            </w:pPr>
          </w:p>
        </w:tc>
        <w:tc>
          <w:tcPr>
            <w:tcW w:w="1000" w:type="dxa"/>
            <w:vAlign w:val="bottom"/>
            <w:gridSpan w:val="2"/>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FDFDFC"/>
          </w:tcPr>
          <w:p>
            <w:pPr>
              <w:spacing w:after="0"/>
              <w:rPr>
                <w:sz w:val="12"/>
                <w:szCs w:val="12"/>
                <w:color w:val="auto"/>
              </w:rPr>
            </w:pPr>
          </w:p>
        </w:tc>
        <w:tc>
          <w:tcPr>
            <w:tcW w:w="880" w:type="dxa"/>
            <w:vAlign w:val="bottom"/>
            <w:gridSpan w:val="2"/>
            <w:shd w:val="clear" w:color="auto" w:fill="FDFDFC"/>
          </w:tcPr>
          <w:p>
            <w:pPr>
              <w:jc w:val="right"/>
              <w:ind w:right="100"/>
              <w:spacing w:after="0"/>
              <w:rPr>
                <w:sz w:val="20"/>
                <w:szCs w:val="20"/>
                <w:color w:val="auto"/>
              </w:rPr>
            </w:pPr>
            <w:r>
              <w:rPr>
                <w:rFonts w:ascii="Arial" w:cs="Arial" w:eastAsia="Arial" w:hAnsi="Arial"/>
                <w:sz w:val="11"/>
                <w:szCs w:val="11"/>
                <w:color w:val="231F20"/>
              </w:rPr>
              <w:t>(45,564)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D0EBF2"/>
          </w:tcPr>
          <w:p>
            <w:pPr>
              <w:spacing w:after="0" w:line="120" w:lineRule="exact"/>
              <w:rPr>
                <w:sz w:val="20"/>
                <w:szCs w:val="20"/>
                <w:color w:val="auto"/>
              </w:rPr>
            </w:pPr>
            <w:r>
              <w:rPr>
                <w:rFonts w:ascii="Arial" w:cs="Arial" w:eastAsia="Arial" w:hAnsi="Arial"/>
                <w:sz w:val="11"/>
                <w:szCs w:val="11"/>
                <w:color w:val="231F20"/>
              </w:rPr>
              <w:t>Issuance of treasury</w:t>
            </w:r>
          </w:p>
        </w:tc>
        <w:tc>
          <w:tcPr>
            <w:tcW w:w="120" w:type="dxa"/>
            <w:vAlign w:val="bottom"/>
            <w:shd w:val="clear" w:color="auto" w:fill="D0EBF2"/>
          </w:tcPr>
          <w:p>
            <w:pPr>
              <w:spacing w:after="0"/>
              <w:rPr>
                <w:sz w:val="10"/>
                <w:szCs w:val="10"/>
                <w:color w:val="auto"/>
              </w:rPr>
            </w:pPr>
          </w:p>
        </w:tc>
        <w:tc>
          <w:tcPr>
            <w:tcW w:w="94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94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720" w:type="dxa"/>
            <w:vAlign w:val="bottom"/>
            <w:shd w:val="clear" w:color="auto" w:fill="D0EBF2"/>
          </w:tcPr>
          <w:p>
            <w:pPr>
              <w:spacing w:after="0"/>
              <w:rPr>
                <w:sz w:val="10"/>
                <w:szCs w:val="10"/>
                <w:color w:val="auto"/>
              </w:rPr>
            </w:pPr>
          </w:p>
        </w:tc>
        <w:tc>
          <w:tcPr>
            <w:tcW w:w="22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200" w:type="dxa"/>
            <w:vAlign w:val="bottom"/>
            <w:shd w:val="clear" w:color="auto" w:fill="D0EBF2"/>
          </w:tcPr>
          <w:p>
            <w:pPr>
              <w:spacing w:after="0"/>
              <w:rPr>
                <w:sz w:val="10"/>
                <w:szCs w:val="10"/>
                <w:color w:val="auto"/>
              </w:rPr>
            </w:pPr>
          </w:p>
        </w:tc>
        <w:tc>
          <w:tcPr>
            <w:tcW w:w="54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320" w:type="dxa"/>
            <w:vAlign w:val="bottom"/>
            <w:shd w:val="clear" w:color="auto" w:fill="D0EBF2"/>
          </w:tcPr>
          <w:p>
            <w:pPr>
              <w:spacing w:after="0"/>
              <w:rPr>
                <w:sz w:val="10"/>
                <w:szCs w:val="10"/>
                <w:color w:val="auto"/>
              </w:rPr>
            </w:pPr>
          </w:p>
        </w:tc>
        <w:tc>
          <w:tcPr>
            <w:tcW w:w="76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680" w:type="dxa"/>
            <w:vAlign w:val="bottom"/>
            <w:shd w:val="clear" w:color="auto" w:fill="D0EBF2"/>
          </w:tcPr>
          <w:p>
            <w:pPr>
              <w:spacing w:after="0"/>
              <w:rPr>
                <w:sz w:val="10"/>
                <w:szCs w:val="10"/>
                <w:color w:val="auto"/>
              </w:rPr>
            </w:pPr>
          </w:p>
        </w:tc>
        <w:tc>
          <w:tcPr>
            <w:tcW w:w="140" w:type="dxa"/>
            <w:vAlign w:val="bottom"/>
            <w:shd w:val="clear" w:color="auto" w:fill="D0EBF2"/>
          </w:tcPr>
          <w:p>
            <w:pPr>
              <w:spacing w:after="0"/>
              <w:rPr>
                <w:sz w:val="10"/>
                <w:szCs w:val="10"/>
                <w:color w:val="auto"/>
              </w:rPr>
            </w:pPr>
          </w:p>
        </w:tc>
        <w:tc>
          <w:tcPr>
            <w:tcW w:w="120" w:type="dxa"/>
            <w:vAlign w:val="bottom"/>
            <w:shd w:val="clear" w:color="auto" w:fill="D0EBF2"/>
          </w:tcPr>
          <w:p>
            <w:pPr>
              <w:spacing w:after="0"/>
              <w:rPr>
                <w:sz w:val="10"/>
                <w:szCs w:val="10"/>
                <w:color w:val="auto"/>
              </w:rPr>
            </w:pPr>
          </w:p>
        </w:tc>
        <w:tc>
          <w:tcPr>
            <w:tcW w:w="340" w:type="dxa"/>
            <w:vAlign w:val="bottom"/>
            <w:shd w:val="clear" w:color="auto" w:fill="D0EBF2"/>
          </w:tcPr>
          <w:p>
            <w:pPr>
              <w:spacing w:after="0"/>
              <w:rPr>
                <w:sz w:val="10"/>
                <w:szCs w:val="10"/>
                <w:color w:val="auto"/>
              </w:rPr>
            </w:pPr>
          </w:p>
        </w:tc>
        <w:tc>
          <w:tcPr>
            <w:tcW w:w="74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740" w:type="dxa"/>
            <w:vAlign w:val="bottom"/>
            <w:shd w:val="clear" w:color="auto" w:fill="D0EBF2"/>
          </w:tcPr>
          <w:p>
            <w:pPr>
              <w:spacing w:after="0"/>
              <w:rPr>
                <w:sz w:val="10"/>
                <w:szCs w:val="10"/>
                <w:color w:val="auto"/>
              </w:rPr>
            </w:pPr>
          </w:p>
        </w:tc>
        <w:tc>
          <w:tcPr>
            <w:tcW w:w="140" w:type="dxa"/>
            <w:vAlign w:val="bottom"/>
            <w:shd w:val="clear" w:color="auto" w:fill="D0EBF2"/>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stock under equity</w:t>
            </w:r>
          </w:p>
        </w:tc>
        <w:tc>
          <w:tcPr>
            <w:tcW w:w="120" w:type="dxa"/>
            <w:vAlign w:val="bottom"/>
            <w:shd w:val="clear" w:color="auto" w:fill="D0EBF2"/>
          </w:tcPr>
          <w:p>
            <w:pPr>
              <w:spacing w:after="0"/>
              <w:rPr>
                <w:sz w:val="11"/>
                <w:szCs w:val="11"/>
                <w:color w:val="auto"/>
              </w:rPr>
            </w:pPr>
          </w:p>
        </w:tc>
        <w:tc>
          <w:tcPr>
            <w:tcW w:w="9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1"/>
                <w:szCs w:val="11"/>
                <w:color w:val="auto"/>
              </w:rPr>
            </w:pPr>
          </w:p>
        </w:tc>
        <w:tc>
          <w:tcPr>
            <w:tcW w:w="9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1220" w:type="dxa"/>
            <w:vAlign w:val="bottom"/>
            <w:gridSpan w:val="3"/>
            <w:vMerge w:val="restart"/>
            <w:shd w:val="clear" w:color="auto" w:fill="D0EBF2"/>
          </w:tcPr>
          <w:p>
            <w:pPr>
              <w:jc w:val="right"/>
              <w:spacing w:after="0"/>
              <w:rPr>
                <w:sz w:val="20"/>
                <w:szCs w:val="20"/>
                <w:color w:val="auto"/>
              </w:rPr>
            </w:pPr>
            <w:r>
              <w:rPr>
                <w:rFonts w:ascii="Arial" w:cs="Arial" w:eastAsia="Arial" w:hAnsi="Arial"/>
                <w:sz w:val="11"/>
                <w:szCs w:val="11"/>
                <w:color w:val="231F20"/>
              </w:rPr>
              <w:t>30,927</w:t>
            </w:r>
          </w:p>
        </w:tc>
        <w:tc>
          <w:tcPr>
            <w:tcW w:w="260" w:type="dxa"/>
            <w:vAlign w:val="bottom"/>
            <w:shd w:val="clear" w:color="auto" w:fill="D0EBF2"/>
          </w:tcPr>
          <w:p>
            <w:pPr>
              <w:spacing w:after="0"/>
              <w:rPr>
                <w:sz w:val="11"/>
                <w:szCs w:val="11"/>
                <w:color w:val="auto"/>
              </w:rPr>
            </w:pPr>
          </w:p>
        </w:tc>
        <w:tc>
          <w:tcPr>
            <w:tcW w:w="200" w:type="dxa"/>
            <w:vAlign w:val="bottom"/>
            <w:shd w:val="clear" w:color="auto" w:fill="D0EBF2"/>
          </w:tcPr>
          <w:p>
            <w:pPr>
              <w:spacing w:after="0"/>
              <w:rPr>
                <w:sz w:val="11"/>
                <w:szCs w:val="11"/>
                <w:color w:val="auto"/>
              </w:rPr>
            </w:pPr>
          </w:p>
        </w:tc>
        <w:tc>
          <w:tcPr>
            <w:tcW w:w="5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43</w:t>
            </w:r>
          </w:p>
        </w:tc>
        <w:tc>
          <w:tcPr>
            <w:tcW w:w="260" w:type="dxa"/>
            <w:vAlign w:val="bottom"/>
            <w:shd w:val="clear" w:color="auto" w:fill="D0EBF2"/>
          </w:tcPr>
          <w:p>
            <w:pPr>
              <w:spacing w:after="0"/>
              <w:rPr>
                <w:sz w:val="11"/>
                <w:szCs w:val="11"/>
                <w:color w:val="auto"/>
              </w:rPr>
            </w:pPr>
          </w:p>
        </w:tc>
        <w:tc>
          <w:tcPr>
            <w:tcW w:w="320" w:type="dxa"/>
            <w:vAlign w:val="bottom"/>
            <w:shd w:val="clear" w:color="auto" w:fill="D0EBF2"/>
          </w:tcPr>
          <w:p>
            <w:pPr>
              <w:spacing w:after="0"/>
              <w:rPr>
                <w:sz w:val="11"/>
                <w:szCs w:val="11"/>
                <w:color w:val="auto"/>
              </w:rPr>
            </w:pPr>
          </w:p>
        </w:tc>
        <w:tc>
          <w:tcPr>
            <w:tcW w:w="76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(43)</w:t>
            </w: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820" w:type="dxa"/>
            <w:vAlign w:val="bottom"/>
            <w:gridSpan w:val="2"/>
            <w:vMerge w:val="restart"/>
            <w:shd w:val="clear" w:color="auto" w:fill="D0EBF2"/>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100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D0EBF2"/>
          </w:tcPr>
          <w:p>
            <w:pPr>
              <w:spacing w:after="0"/>
              <w:rPr>
                <w:sz w:val="11"/>
                <w:szCs w:val="11"/>
                <w:color w:val="auto"/>
              </w:rPr>
            </w:pPr>
          </w:p>
        </w:tc>
        <w:tc>
          <w:tcPr>
            <w:tcW w:w="880" w:type="dxa"/>
            <w:vAlign w:val="bottom"/>
            <w:gridSpan w:val="2"/>
            <w:vMerge w:val="restart"/>
            <w:shd w:val="clear" w:color="auto" w:fill="D0EBF2"/>
          </w:tcPr>
          <w:p>
            <w:pPr>
              <w:jc w:val="right"/>
              <w:ind w:right="1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incentive plans</w:t>
            </w:r>
          </w:p>
        </w:tc>
        <w:tc>
          <w:tcPr>
            <w:tcW w:w="120" w:type="dxa"/>
            <w:vAlign w:val="bottom"/>
            <w:shd w:val="clear" w:color="auto" w:fill="D0EBF2"/>
          </w:tcPr>
          <w:p>
            <w:pPr>
              <w:spacing w:after="0"/>
              <w:rPr>
                <w:sz w:val="13"/>
                <w:szCs w:val="13"/>
                <w:color w:val="auto"/>
              </w:rPr>
            </w:pPr>
          </w:p>
        </w:tc>
        <w:tc>
          <w:tcPr>
            <w:tcW w:w="94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94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1220" w:type="dxa"/>
            <w:vAlign w:val="bottom"/>
            <w:gridSpan w:val="3"/>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200" w:type="dxa"/>
            <w:vAlign w:val="bottom"/>
            <w:shd w:val="clear" w:color="auto" w:fill="D0EBF2"/>
          </w:tcPr>
          <w:p>
            <w:pPr>
              <w:spacing w:after="0"/>
              <w:rPr>
                <w:sz w:val="13"/>
                <w:szCs w:val="13"/>
                <w:color w:val="auto"/>
              </w:rPr>
            </w:pPr>
          </w:p>
        </w:tc>
        <w:tc>
          <w:tcPr>
            <w:tcW w:w="54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320" w:type="dxa"/>
            <w:vAlign w:val="bottom"/>
            <w:shd w:val="clear" w:color="auto" w:fill="D0EBF2"/>
          </w:tcPr>
          <w:p>
            <w:pPr>
              <w:spacing w:after="0"/>
              <w:rPr>
                <w:sz w:val="13"/>
                <w:szCs w:val="13"/>
                <w:color w:val="auto"/>
              </w:rPr>
            </w:pPr>
          </w:p>
        </w:tc>
        <w:tc>
          <w:tcPr>
            <w:tcW w:w="76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820" w:type="dxa"/>
            <w:vAlign w:val="bottom"/>
            <w:gridSpan w:val="2"/>
            <w:vMerge w:val="continue"/>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340" w:type="dxa"/>
            <w:vAlign w:val="bottom"/>
            <w:shd w:val="clear" w:color="auto" w:fill="D0EBF2"/>
          </w:tcPr>
          <w:p>
            <w:pPr>
              <w:spacing w:after="0"/>
              <w:rPr>
                <w:sz w:val="13"/>
                <w:szCs w:val="13"/>
                <w:color w:val="auto"/>
              </w:rPr>
            </w:pPr>
          </w:p>
        </w:tc>
        <w:tc>
          <w:tcPr>
            <w:tcW w:w="1000" w:type="dxa"/>
            <w:vAlign w:val="bottom"/>
            <w:gridSpan w:val="2"/>
            <w:vMerge w:val="continue"/>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880" w:type="dxa"/>
            <w:vAlign w:val="bottom"/>
            <w:gridSpan w:val="2"/>
            <w:vMerge w:val="continue"/>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FDFDFC"/>
          </w:tcPr>
          <w:p>
            <w:pPr>
              <w:spacing w:after="0" w:line="120" w:lineRule="exact"/>
              <w:rPr>
                <w:sz w:val="20"/>
                <w:szCs w:val="20"/>
                <w:color w:val="auto"/>
              </w:rPr>
            </w:pPr>
            <w:r>
              <w:rPr>
                <w:rFonts w:ascii="Arial" w:cs="Arial" w:eastAsia="Arial" w:hAnsi="Arial"/>
                <w:sz w:val="11"/>
                <w:szCs w:val="11"/>
                <w:color w:val="231F20"/>
              </w:rPr>
              <w:t>Foreign currency</w:t>
            </w:r>
          </w:p>
        </w:tc>
        <w:tc>
          <w:tcPr>
            <w:tcW w:w="120" w:type="dxa"/>
            <w:vAlign w:val="bottom"/>
            <w:shd w:val="clear" w:color="auto" w:fill="FDFDFC"/>
          </w:tcPr>
          <w:p>
            <w:pPr>
              <w:spacing w:after="0"/>
              <w:rPr>
                <w:sz w:val="10"/>
                <w:szCs w:val="10"/>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0"/>
                <w:szCs w:val="10"/>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0"/>
                <w:szCs w:val="10"/>
                <w:color w:val="auto"/>
              </w:rPr>
            </w:pPr>
          </w:p>
        </w:tc>
        <w:tc>
          <w:tcPr>
            <w:tcW w:w="720" w:type="dxa"/>
            <w:vAlign w:val="bottom"/>
            <w:shd w:val="clear" w:color="auto" w:fill="FDFDFC"/>
          </w:tcPr>
          <w:p>
            <w:pPr>
              <w:spacing w:after="0"/>
              <w:rPr>
                <w:sz w:val="10"/>
                <w:szCs w:val="10"/>
                <w:color w:val="auto"/>
              </w:rPr>
            </w:pPr>
          </w:p>
        </w:tc>
        <w:tc>
          <w:tcPr>
            <w:tcW w:w="48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FDFDFC"/>
          </w:tcPr>
          <w:p>
            <w:pPr>
              <w:spacing w:after="0"/>
              <w:rPr>
                <w:sz w:val="10"/>
                <w:szCs w:val="10"/>
                <w:color w:val="auto"/>
              </w:rPr>
            </w:pPr>
          </w:p>
        </w:tc>
        <w:tc>
          <w:tcPr>
            <w:tcW w:w="8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FDFDFC"/>
          </w:tcPr>
          <w:p>
            <w:pPr>
              <w:spacing w:after="0"/>
              <w:rPr>
                <w:sz w:val="10"/>
                <w:szCs w:val="10"/>
                <w:color w:val="auto"/>
              </w:rPr>
            </w:pPr>
          </w:p>
        </w:tc>
        <w:tc>
          <w:tcPr>
            <w:tcW w:w="76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0"/>
                <w:szCs w:val="10"/>
                <w:color w:val="auto"/>
              </w:rPr>
            </w:pPr>
          </w:p>
        </w:tc>
        <w:tc>
          <w:tcPr>
            <w:tcW w:w="400" w:type="dxa"/>
            <w:vAlign w:val="bottom"/>
            <w:shd w:val="clear" w:color="auto" w:fill="FDFDFC"/>
          </w:tcPr>
          <w:p>
            <w:pPr>
              <w:spacing w:after="0"/>
              <w:rPr>
                <w:sz w:val="10"/>
                <w:szCs w:val="10"/>
                <w:color w:val="auto"/>
              </w:rPr>
            </w:pPr>
          </w:p>
        </w:tc>
        <w:tc>
          <w:tcPr>
            <w:tcW w:w="820" w:type="dxa"/>
            <w:vAlign w:val="bottom"/>
            <w:gridSpan w:val="2"/>
            <w:vMerge w:val="restart"/>
            <w:shd w:val="clear" w:color="auto" w:fill="FDFDFC"/>
          </w:tcPr>
          <w:p>
            <w:pPr>
              <w:jc w:val="right"/>
              <w:ind w:right="120"/>
              <w:spacing w:after="0"/>
              <w:rPr>
                <w:sz w:val="20"/>
                <w:szCs w:val="20"/>
                <w:color w:val="auto"/>
              </w:rPr>
            </w:pPr>
            <w:r>
              <w:rPr>
                <w:rFonts w:ascii="Arial" w:cs="Arial" w:eastAsia="Arial" w:hAnsi="Arial"/>
                <w:sz w:val="11"/>
                <w:szCs w:val="11"/>
                <w:color w:val="231F20"/>
              </w:rPr>
              <w:t>(3,594)</w:t>
            </w:r>
          </w:p>
        </w:tc>
        <w:tc>
          <w:tcPr>
            <w:tcW w:w="120" w:type="dxa"/>
            <w:vAlign w:val="bottom"/>
            <w:shd w:val="clear" w:color="auto" w:fill="FDFDFC"/>
          </w:tcPr>
          <w:p>
            <w:pPr>
              <w:spacing w:after="0"/>
              <w:rPr>
                <w:sz w:val="10"/>
                <w:szCs w:val="10"/>
                <w:color w:val="auto"/>
              </w:rPr>
            </w:pPr>
          </w:p>
        </w:tc>
        <w:tc>
          <w:tcPr>
            <w:tcW w:w="340" w:type="dxa"/>
            <w:vAlign w:val="bottom"/>
            <w:shd w:val="clear" w:color="auto" w:fill="FDFDFC"/>
          </w:tcPr>
          <w:p>
            <w:pPr>
              <w:spacing w:after="0"/>
              <w:rPr>
                <w:sz w:val="10"/>
                <w:szCs w:val="10"/>
                <w:color w:val="auto"/>
              </w:rPr>
            </w:pPr>
          </w:p>
        </w:tc>
        <w:tc>
          <w:tcPr>
            <w:tcW w:w="10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FDFDFC"/>
          </w:tcPr>
          <w:p>
            <w:pPr>
              <w:spacing w:after="0"/>
              <w:rPr>
                <w:sz w:val="10"/>
                <w:szCs w:val="10"/>
                <w:color w:val="auto"/>
              </w:rPr>
            </w:pPr>
          </w:p>
        </w:tc>
        <w:tc>
          <w:tcPr>
            <w:tcW w:w="880" w:type="dxa"/>
            <w:vAlign w:val="bottom"/>
            <w:gridSpan w:val="2"/>
            <w:vMerge w:val="restart"/>
            <w:shd w:val="clear" w:color="auto" w:fill="FDFDFC"/>
          </w:tcPr>
          <w:p>
            <w:pPr>
              <w:jc w:val="right"/>
              <w:ind w:right="100"/>
              <w:spacing w:after="0"/>
              <w:rPr>
                <w:sz w:val="20"/>
                <w:szCs w:val="20"/>
                <w:color w:val="auto"/>
              </w:rPr>
            </w:pPr>
            <w:r>
              <w:rPr>
                <w:rFonts w:ascii="Arial" w:cs="Arial" w:eastAsia="Arial" w:hAnsi="Arial"/>
                <w:sz w:val="11"/>
                <w:szCs w:val="11"/>
                <w:color w:val="231F20"/>
              </w:rPr>
              <w:t>(3,594)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translation adjustment</w:t>
            </w:r>
          </w:p>
        </w:tc>
        <w:tc>
          <w:tcPr>
            <w:tcW w:w="120" w:type="dxa"/>
            <w:vAlign w:val="bottom"/>
            <w:shd w:val="clear" w:color="auto" w:fill="FDFDFC"/>
          </w:tcPr>
          <w:p>
            <w:pPr>
              <w:spacing w:after="0"/>
              <w:rPr>
                <w:sz w:val="13"/>
                <w:szCs w:val="13"/>
                <w:color w:val="auto"/>
              </w:rPr>
            </w:pPr>
          </w:p>
        </w:tc>
        <w:tc>
          <w:tcPr>
            <w:tcW w:w="94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94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720" w:type="dxa"/>
            <w:vAlign w:val="bottom"/>
            <w:shd w:val="clear" w:color="auto" w:fill="FDFDFC"/>
          </w:tcPr>
          <w:p>
            <w:pPr>
              <w:spacing w:after="0"/>
              <w:rPr>
                <w:sz w:val="13"/>
                <w:szCs w:val="13"/>
                <w:color w:val="auto"/>
              </w:rPr>
            </w:pPr>
          </w:p>
        </w:tc>
        <w:tc>
          <w:tcPr>
            <w:tcW w:w="480" w:type="dxa"/>
            <w:vAlign w:val="bottom"/>
            <w:gridSpan w:val="2"/>
            <w:vMerge w:val="continue"/>
            <w:shd w:val="clear" w:color="auto" w:fill="FDFDFC"/>
          </w:tcPr>
          <w:p>
            <w:pPr>
              <w:spacing w:after="0"/>
              <w:rPr>
                <w:sz w:val="13"/>
                <w:szCs w:val="13"/>
                <w:color w:val="auto"/>
              </w:rPr>
            </w:pPr>
          </w:p>
        </w:tc>
        <w:tc>
          <w:tcPr>
            <w:tcW w:w="200" w:type="dxa"/>
            <w:vAlign w:val="bottom"/>
            <w:shd w:val="clear" w:color="auto" w:fill="FDFDFC"/>
          </w:tcPr>
          <w:p>
            <w:pPr>
              <w:spacing w:after="0"/>
              <w:rPr>
                <w:sz w:val="13"/>
                <w:szCs w:val="13"/>
                <w:color w:val="auto"/>
              </w:rPr>
            </w:pPr>
          </w:p>
        </w:tc>
        <w:tc>
          <w:tcPr>
            <w:tcW w:w="800" w:type="dxa"/>
            <w:vAlign w:val="bottom"/>
            <w:gridSpan w:val="2"/>
            <w:vMerge w:val="continue"/>
            <w:shd w:val="clear" w:color="auto" w:fill="FDFDFC"/>
          </w:tcPr>
          <w:p>
            <w:pPr>
              <w:spacing w:after="0"/>
              <w:rPr>
                <w:sz w:val="13"/>
                <w:szCs w:val="13"/>
                <w:color w:val="auto"/>
              </w:rPr>
            </w:pPr>
          </w:p>
        </w:tc>
        <w:tc>
          <w:tcPr>
            <w:tcW w:w="320" w:type="dxa"/>
            <w:vAlign w:val="bottom"/>
            <w:shd w:val="clear" w:color="auto" w:fill="FDFDFC"/>
          </w:tcPr>
          <w:p>
            <w:pPr>
              <w:spacing w:after="0"/>
              <w:rPr>
                <w:sz w:val="13"/>
                <w:szCs w:val="13"/>
                <w:color w:val="auto"/>
              </w:rPr>
            </w:pPr>
          </w:p>
        </w:tc>
        <w:tc>
          <w:tcPr>
            <w:tcW w:w="76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82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340" w:type="dxa"/>
            <w:vAlign w:val="bottom"/>
            <w:shd w:val="clear" w:color="auto" w:fill="FDFDFC"/>
          </w:tcPr>
          <w:p>
            <w:pPr>
              <w:spacing w:after="0"/>
              <w:rPr>
                <w:sz w:val="13"/>
                <w:szCs w:val="13"/>
                <w:color w:val="auto"/>
              </w:rPr>
            </w:pPr>
          </w:p>
        </w:tc>
        <w:tc>
          <w:tcPr>
            <w:tcW w:w="1000" w:type="dxa"/>
            <w:vAlign w:val="bottom"/>
            <w:gridSpan w:val="2"/>
            <w:vMerge w:val="continue"/>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880" w:type="dxa"/>
            <w:vAlign w:val="bottom"/>
            <w:gridSpan w:val="2"/>
            <w:vMerge w:val="continue"/>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D0EBF2"/>
          </w:tcPr>
          <w:p>
            <w:pPr>
              <w:spacing w:after="0" w:line="121" w:lineRule="exact"/>
              <w:rPr>
                <w:sz w:val="20"/>
                <w:szCs w:val="20"/>
                <w:color w:val="auto"/>
              </w:rPr>
            </w:pPr>
            <w:r>
              <w:rPr>
                <w:rFonts w:ascii="Arial" w:cs="Arial" w:eastAsia="Arial" w:hAnsi="Arial"/>
                <w:sz w:val="11"/>
                <w:szCs w:val="11"/>
                <w:color w:val="231F20"/>
              </w:rPr>
              <w:t>Unrealized gains on</w:t>
            </w:r>
          </w:p>
        </w:tc>
        <w:tc>
          <w:tcPr>
            <w:tcW w:w="120" w:type="dxa"/>
            <w:vAlign w:val="bottom"/>
            <w:shd w:val="clear" w:color="auto" w:fill="D0EBF2"/>
          </w:tcPr>
          <w:p>
            <w:pPr>
              <w:spacing w:after="0"/>
              <w:rPr>
                <w:sz w:val="10"/>
                <w:szCs w:val="10"/>
                <w:color w:val="auto"/>
              </w:rPr>
            </w:pPr>
          </w:p>
        </w:tc>
        <w:tc>
          <w:tcPr>
            <w:tcW w:w="94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94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300" w:type="dxa"/>
            <w:vAlign w:val="bottom"/>
            <w:shd w:val="clear" w:color="auto" w:fill="D0EBF2"/>
          </w:tcPr>
          <w:p>
            <w:pPr>
              <w:spacing w:after="0"/>
              <w:rPr>
                <w:sz w:val="10"/>
                <w:szCs w:val="10"/>
                <w:color w:val="auto"/>
              </w:rPr>
            </w:pPr>
          </w:p>
        </w:tc>
        <w:tc>
          <w:tcPr>
            <w:tcW w:w="380" w:type="dxa"/>
            <w:vAlign w:val="bottom"/>
            <w:shd w:val="clear" w:color="auto" w:fill="D0EBF2"/>
          </w:tcPr>
          <w:p>
            <w:pPr>
              <w:spacing w:after="0"/>
              <w:rPr>
                <w:sz w:val="10"/>
                <w:szCs w:val="10"/>
                <w:color w:val="auto"/>
              </w:rPr>
            </w:pPr>
          </w:p>
        </w:tc>
        <w:tc>
          <w:tcPr>
            <w:tcW w:w="280" w:type="dxa"/>
            <w:vAlign w:val="bottom"/>
            <w:shd w:val="clear" w:color="auto" w:fill="D0EBF2"/>
          </w:tcPr>
          <w:p>
            <w:pPr>
              <w:spacing w:after="0"/>
              <w:rPr>
                <w:sz w:val="10"/>
                <w:szCs w:val="10"/>
                <w:color w:val="auto"/>
              </w:rPr>
            </w:pPr>
          </w:p>
        </w:tc>
        <w:tc>
          <w:tcPr>
            <w:tcW w:w="720" w:type="dxa"/>
            <w:vAlign w:val="bottom"/>
            <w:shd w:val="clear" w:color="auto" w:fill="D0EBF2"/>
          </w:tcPr>
          <w:p>
            <w:pPr>
              <w:spacing w:after="0"/>
              <w:rPr>
                <w:sz w:val="10"/>
                <w:szCs w:val="10"/>
                <w:color w:val="auto"/>
              </w:rPr>
            </w:pPr>
          </w:p>
        </w:tc>
        <w:tc>
          <w:tcPr>
            <w:tcW w:w="22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200" w:type="dxa"/>
            <w:vAlign w:val="bottom"/>
            <w:shd w:val="clear" w:color="auto" w:fill="D0EBF2"/>
          </w:tcPr>
          <w:p>
            <w:pPr>
              <w:spacing w:after="0"/>
              <w:rPr>
                <w:sz w:val="10"/>
                <w:szCs w:val="10"/>
                <w:color w:val="auto"/>
              </w:rPr>
            </w:pPr>
          </w:p>
        </w:tc>
        <w:tc>
          <w:tcPr>
            <w:tcW w:w="54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320" w:type="dxa"/>
            <w:vAlign w:val="bottom"/>
            <w:shd w:val="clear" w:color="auto" w:fill="D0EBF2"/>
          </w:tcPr>
          <w:p>
            <w:pPr>
              <w:spacing w:after="0"/>
              <w:rPr>
                <w:sz w:val="10"/>
                <w:szCs w:val="10"/>
                <w:color w:val="auto"/>
              </w:rPr>
            </w:pPr>
          </w:p>
        </w:tc>
        <w:tc>
          <w:tcPr>
            <w:tcW w:w="76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680" w:type="dxa"/>
            <w:vAlign w:val="bottom"/>
            <w:shd w:val="clear" w:color="auto" w:fill="D0EBF2"/>
          </w:tcPr>
          <w:p>
            <w:pPr>
              <w:spacing w:after="0"/>
              <w:rPr>
                <w:sz w:val="10"/>
                <w:szCs w:val="10"/>
                <w:color w:val="auto"/>
              </w:rPr>
            </w:pPr>
          </w:p>
        </w:tc>
        <w:tc>
          <w:tcPr>
            <w:tcW w:w="140" w:type="dxa"/>
            <w:vAlign w:val="bottom"/>
            <w:shd w:val="clear" w:color="auto" w:fill="D0EBF2"/>
          </w:tcPr>
          <w:p>
            <w:pPr>
              <w:spacing w:after="0"/>
              <w:rPr>
                <w:sz w:val="10"/>
                <w:szCs w:val="10"/>
                <w:color w:val="auto"/>
              </w:rPr>
            </w:pPr>
          </w:p>
        </w:tc>
        <w:tc>
          <w:tcPr>
            <w:tcW w:w="120" w:type="dxa"/>
            <w:vAlign w:val="bottom"/>
            <w:shd w:val="clear" w:color="auto" w:fill="D0EBF2"/>
          </w:tcPr>
          <w:p>
            <w:pPr>
              <w:spacing w:after="0"/>
              <w:rPr>
                <w:sz w:val="10"/>
                <w:szCs w:val="10"/>
                <w:color w:val="auto"/>
              </w:rPr>
            </w:pPr>
          </w:p>
        </w:tc>
        <w:tc>
          <w:tcPr>
            <w:tcW w:w="340" w:type="dxa"/>
            <w:vAlign w:val="bottom"/>
            <w:shd w:val="clear" w:color="auto" w:fill="D0EBF2"/>
          </w:tcPr>
          <w:p>
            <w:pPr>
              <w:spacing w:after="0"/>
              <w:rPr>
                <w:sz w:val="10"/>
                <w:szCs w:val="10"/>
                <w:color w:val="auto"/>
              </w:rPr>
            </w:pPr>
          </w:p>
        </w:tc>
        <w:tc>
          <w:tcPr>
            <w:tcW w:w="740" w:type="dxa"/>
            <w:vAlign w:val="bottom"/>
            <w:shd w:val="clear" w:color="auto" w:fill="D0EBF2"/>
          </w:tcPr>
          <w:p>
            <w:pPr>
              <w:spacing w:after="0"/>
              <w:rPr>
                <w:sz w:val="10"/>
                <w:szCs w:val="10"/>
                <w:color w:val="auto"/>
              </w:rPr>
            </w:pPr>
          </w:p>
        </w:tc>
        <w:tc>
          <w:tcPr>
            <w:tcW w:w="260" w:type="dxa"/>
            <w:vAlign w:val="bottom"/>
            <w:shd w:val="clear" w:color="auto" w:fill="D0EBF2"/>
          </w:tcPr>
          <w:p>
            <w:pPr>
              <w:spacing w:after="0"/>
              <w:rPr>
                <w:sz w:val="10"/>
                <w:szCs w:val="10"/>
                <w:color w:val="auto"/>
              </w:rPr>
            </w:pPr>
          </w:p>
        </w:tc>
        <w:tc>
          <w:tcPr>
            <w:tcW w:w="400" w:type="dxa"/>
            <w:vAlign w:val="bottom"/>
            <w:shd w:val="clear" w:color="auto" w:fill="D0EBF2"/>
          </w:tcPr>
          <w:p>
            <w:pPr>
              <w:spacing w:after="0"/>
              <w:rPr>
                <w:sz w:val="10"/>
                <w:szCs w:val="10"/>
                <w:color w:val="auto"/>
              </w:rPr>
            </w:pPr>
          </w:p>
        </w:tc>
        <w:tc>
          <w:tcPr>
            <w:tcW w:w="740" w:type="dxa"/>
            <w:vAlign w:val="bottom"/>
            <w:shd w:val="clear" w:color="auto" w:fill="D0EBF2"/>
          </w:tcPr>
          <w:p>
            <w:pPr>
              <w:spacing w:after="0"/>
              <w:rPr>
                <w:sz w:val="10"/>
                <w:szCs w:val="10"/>
                <w:color w:val="auto"/>
              </w:rPr>
            </w:pPr>
          </w:p>
        </w:tc>
        <w:tc>
          <w:tcPr>
            <w:tcW w:w="140" w:type="dxa"/>
            <w:vAlign w:val="bottom"/>
            <w:shd w:val="clear" w:color="auto" w:fill="D0EBF2"/>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available-for-sale debt</w:t>
            </w:r>
          </w:p>
        </w:tc>
        <w:tc>
          <w:tcPr>
            <w:tcW w:w="120" w:type="dxa"/>
            <w:vAlign w:val="bottom"/>
            <w:shd w:val="clear" w:color="auto" w:fill="D0EBF2"/>
          </w:tcPr>
          <w:p>
            <w:pPr>
              <w:spacing w:after="0"/>
              <w:rPr>
                <w:sz w:val="11"/>
                <w:szCs w:val="11"/>
                <w:color w:val="auto"/>
              </w:rPr>
            </w:pPr>
          </w:p>
        </w:tc>
        <w:tc>
          <w:tcPr>
            <w:tcW w:w="9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1"/>
                <w:szCs w:val="11"/>
                <w:color w:val="auto"/>
              </w:rPr>
            </w:pPr>
          </w:p>
        </w:tc>
        <w:tc>
          <w:tcPr>
            <w:tcW w:w="9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300" w:type="dxa"/>
            <w:vAlign w:val="bottom"/>
            <w:shd w:val="clear" w:color="auto" w:fill="D0EBF2"/>
          </w:tcPr>
          <w:p>
            <w:pPr>
              <w:spacing w:after="0"/>
              <w:rPr>
                <w:sz w:val="11"/>
                <w:szCs w:val="11"/>
                <w:color w:val="auto"/>
              </w:rPr>
            </w:pPr>
          </w:p>
        </w:tc>
        <w:tc>
          <w:tcPr>
            <w:tcW w:w="3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1"/>
                <w:szCs w:val="11"/>
                <w:color w:val="auto"/>
              </w:rPr>
            </w:pPr>
          </w:p>
        </w:tc>
        <w:tc>
          <w:tcPr>
            <w:tcW w:w="720" w:type="dxa"/>
            <w:vAlign w:val="bottom"/>
            <w:shd w:val="clear" w:color="auto" w:fill="D0EBF2"/>
          </w:tcPr>
          <w:p>
            <w:pPr>
              <w:spacing w:after="0"/>
              <w:rPr>
                <w:sz w:val="11"/>
                <w:szCs w:val="11"/>
                <w:color w:val="auto"/>
              </w:rPr>
            </w:pPr>
          </w:p>
        </w:tc>
        <w:tc>
          <w:tcPr>
            <w:tcW w:w="48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D0EBF2"/>
          </w:tcPr>
          <w:p>
            <w:pPr>
              <w:spacing w:after="0"/>
              <w:rPr>
                <w:sz w:val="11"/>
                <w:szCs w:val="11"/>
                <w:color w:val="auto"/>
              </w:rPr>
            </w:pPr>
          </w:p>
        </w:tc>
        <w:tc>
          <w:tcPr>
            <w:tcW w:w="80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D0EBF2"/>
          </w:tcPr>
          <w:p>
            <w:pPr>
              <w:spacing w:after="0"/>
              <w:rPr>
                <w:sz w:val="11"/>
                <w:szCs w:val="11"/>
                <w:color w:val="auto"/>
              </w:rPr>
            </w:pPr>
          </w:p>
        </w:tc>
        <w:tc>
          <w:tcPr>
            <w:tcW w:w="76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1"/>
                <w:szCs w:val="11"/>
                <w:color w:val="auto"/>
              </w:rPr>
            </w:pPr>
          </w:p>
        </w:tc>
        <w:tc>
          <w:tcPr>
            <w:tcW w:w="400" w:type="dxa"/>
            <w:vAlign w:val="bottom"/>
            <w:shd w:val="clear" w:color="auto" w:fill="D0EBF2"/>
          </w:tcPr>
          <w:p>
            <w:pPr>
              <w:spacing w:after="0"/>
              <w:rPr>
                <w:sz w:val="11"/>
                <w:szCs w:val="11"/>
                <w:color w:val="auto"/>
              </w:rPr>
            </w:pPr>
          </w:p>
        </w:tc>
        <w:tc>
          <w:tcPr>
            <w:tcW w:w="68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208</w:t>
            </w:r>
          </w:p>
        </w:tc>
        <w:tc>
          <w:tcPr>
            <w:tcW w:w="14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340" w:type="dxa"/>
            <w:vAlign w:val="bottom"/>
            <w:shd w:val="clear" w:color="auto" w:fill="D0EBF2"/>
          </w:tcPr>
          <w:p>
            <w:pPr>
              <w:spacing w:after="0"/>
              <w:rPr>
                <w:sz w:val="11"/>
                <w:szCs w:val="11"/>
                <w:color w:val="auto"/>
              </w:rPr>
            </w:pPr>
          </w:p>
        </w:tc>
        <w:tc>
          <w:tcPr>
            <w:tcW w:w="1000" w:type="dxa"/>
            <w:vAlign w:val="bottom"/>
            <w:gridSpan w:val="2"/>
            <w:vMerge w:val="restart"/>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D0EBF2"/>
          </w:tcPr>
          <w:p>
            <w:pPr>
              <w:spacing w:after="0"/>
              <w:rPr>
                <w:sz w:val="11"/>
                <w:szCs w:val="11"/>
                <w:color w:val="auto"/>
              </w:rPr>
            </w:pPr>
          </w:p>
        </w:tc>
        <w:tc>
          <w:tcPr>
            <w:tcW w:w="740" w:type="dxa"/>
            <w:vAlign w:val="bottom"/>
            <w:vMerge w:val="restart"/>
            <w:shd w:val="clear" w:color="auto" w:fill="D0EBF2"/>
          </w:tcPr>
          <w:p>
            <w:pPr>
              <w:jc w:val="right"/>
              <w:spacing w:after="0"/>
              <w:rPr>
                <w:sz w:val="20"/>
                <w:szCs w:val="20"/>
                <w:color w:val="auto"/>
              </w:rPr>
            </w:pPr>
            <w:r>
              <w:rPr>
                <w:rFonts w:ascii="Arial" w:cs="Arial" w:eastAsia="Arial" w:hAnsi="Arial"/>
                <w:sz w:val="11"/>
                <w:szCs w:val="11"/>
                <w:color w:val="231F20"/>
              </w:rPr>
              <w:t>208</w:t>
            </w:r>
          </w:p>
        </w:tc>
        <w:tc>
          <w:tcPr>
            <w:tcW w:w="14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D0EBF2"/>
          </w:tcPr>
          <w:p>
            <w:pPr>
              <w:ind w:left="100"/>
              <w:spacing w:after="0"/>
              <w:rPr>
                <w:sz w:val="20"/>
                <w:szCs w:val="20"/>
                <w:color w:val="auto"/>
              </w:rPr>
            </w:pPr>
            <w:r>
              <w:rPr>
                <w:rFonts w:ascii="Arial" w:cs="Arial" w:eastAsia="Arial" w:hAnsi="Arial"/>
                <w:sz w:val="11"/>
                <w:szCs w:val="11"/>
                <w:color w:val="231F20"/>
              </w:rPr>
              <w:t>securities, net of taxes</w:t>
            </w:r>
          </w:p>
        </w:tc>
        <w:tc>
          <w:tcPr>
            <w:tcW w:w="120" w:type="dxa"/>
            <w:vAlign w:val="bottom"/>
            <w:shd w:val="clear" w:color="auto" w:fill="D0EBF2"/>
          </w:tcPr>
          <w:p>
            <w:pPr>
              <w:spacing w:after="0"/>
              <w:rPr>
                <w:sz w:val="13"/>
                <w:szCs w:val="13"/>
                <w:color w:val="auto"/>
              </w:rPr>
            </w:pPr>
          </w:p>
        </w:tc>
        <w:tc>
          <w:tcPr>
            <w:tcW w:w="94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94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300" w:type="dxa"/>
            <w:vAlign w:val="bottom"/>
            <w:shd w:val="clear" w:color="auto" w:fill="D0EBF2"/>
          </w:tcPr>
          <w:p>
            <w:pPr>
              <w:spacing w:after="0"/>
              <w:rPr>
                <w:sz w:val="13"/>
                <w:szCs w:val="13"/>
                <w:color w:val="auto"/>
              </w:rPr>
            </w:pPr>
          </w:p>
        </w:tc>
        <w:tc>
          <w:tcPr>
            <w:tcW w:w="380" w:type="dxa"/>
            <w:vAlign w:val="bottom"/>
            <w:vMerge w:val="continue"/>
            <w:shd w:val="clear" w:color="auto" w:fill="D0EBF2"/>
          </w:tcPr>
          <w:p>
            <w:pPr>
              <w:spacing w:after="0"/>
              <w:rPr>
                <w:sz w:val="13"/>
                <w:szCs w:val="13"/>
                <w:color w:val="auto"/>
              </w:rPr>
            </w:pPr>
          </w:p>
        </w:tc>
        <w:tc>
          <w:tcPr>
            <w:tcW w:w="280" w:type="dxa"/>
            <w:vAlign w:val="bottom"/>
            <w:shd w:val="clear" w:color="auto" w:fill="D0EBF2"/>
          </w:tcPr>
          <w:p>
            <w:pPr>
              <w:spacing w:after="0"/>
              <w:rPr>
                <w:sz w:val="13"/>
                <w:szCs w:val="13"/>
                <w:color w:val="auto"/>
              </w:rPr>
            </w:pPr>
          </w:p>
        </w:tc>
        <w:tc>
          <w:tcPr>
            <w:tcW w:w="720" w:type="dxa"/>
            <w:vAlign w:val="bottom"/>
            <w:shd w:val="clear" w:color="auto" w:fill="D0EBF2"/>
          </w:tcPr>
          <w:p>
            <w:pPr>
              <w:spacing w:after="0"/>
              <w:rPr>
                <w:sz w:val="13"/>
                <w:szCs w:val="13"/>
                <w:color w:val="auto"/>
              </w:rPr>
            </w:pPr>
          </w:p>
        </w:tc>
        <w:tc>
          <w:tcPr>
            <w:tcW w:w="480" w:type="dxa"/>
            <w:vAlign w:val="bottom"/>
            <w:gridSpan w:val="2"/>
            <w:vMerge w:val="continue"/>
            <w:shd w:val="clear" w:color="auto" w:fill="D0EBF2"/>
          </w:tcPr>
          <w:p>
            <w:pPr>
              <w:spacing w:after="0"/>
              <w:rPr>
                <w:sz w:val="13"/>
                <w:szCs w:val="13"/>
                <w:color w:val="auto"/>
              </w:rPr>
            </w:pPr>
          </w:p>
        </w:tc>
        <w:tc>
          <w:tcPr>
            <w:tcW w:w="200" w:type="dxa"/>
            <w:vAlign w:val="bottom"/>
            <w:shd w:val="clear" w:color="auto" w:fill="D0EBF2"/>
          </w:tcPr>
          <w:p>
            <w:pPr>
              <w:spacing w:after="0"/>
              <w:rPr>
                <w:sz w:val="13"/>
                <w:szCs w:val="13"/>
                <w:color w:val="auto"/>
              </w:rPr>
            </w:pPr>
          </w:p>
        </w:tc>
        <w:tc>
          <w:tcPr>
            <w:tcW w:w="800" w:type="dxa"/>
            <w:vAlign w:val="bottom"/>
            <w:gridSpan w:val="2"/>
            <w:vMerge w:val="continue"/>
            <w:shd w:val="clear" w:color="auto" w:fill="D0EBF2"/>
          </w:tcPr>
          <w:p>
            <w:pPr>
              <w:spacing w:after="0"/>
              <w:rPr>
                <w:sz w:val="13"/>
                <w:szCs w:val="13"/>
                <w:color w:val="auto"/>
              </w:rPr>
            </w:pPr>
          </w:p>
        </w:tc>
        <w:tc>
          <w:tcPr>
            <w:tcW w:w="320" w:type="dxa"/>
            <w:vAlign w:val="bottom"/>
            <w:shd w:val="clear" w:color="auto" w:fill="D0EBF2"/>
          </w:tcPr>
          <w:p>
            <w:pPr>
              <w:spacing w:after="0"/>
              <w:rPr>
                <w:sz w:val="13"/>
                <w:szCs w:val="13"/>
                <w:color w:val="auto"/>
              </w:rPr>
            </w:pPr>
          </w:p>
        </w:tc>
        <w:tc>
          <w:tcPr>
            <w:tcW w:w="760" w:type="dxa"/>
            <w:vAlign w:val="bottom"/>
            <w:vMerge w:val="continue"/>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680" w:type="dxa"/>
            <w:vAlign w:val="bottom"/>
            <w:vMerge w:val="continue"/>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340" w:type="dxa"/>
            <w:vAlign w:val="bottom"/>
            <w:shd w:val="clear" w:color="auto" w:fill="D0EBF2"/>
          </w:tcPr>
          <w:p>
            <w:pPr>
              <w:spacing w:after="0"/>
              <w:rPr>
                <w:sz w:val="13"/>
                <w:szCs w:val="13"/>
                <w:color w:val="auto"/>
              </w:rPr>
            </w:pPr>
          </w:p>
        </w:tc>
        <w:tc>
          <w:tcPr>
            <w:tcW w:w="1000" w:type="dxa"/>
            <w:vAlign w:val="bottom"/>
            <w:gridSpan w:val="2"/>
            <w:vMerge w:val="continue"/>
            <w:shd w:val="clear" w:color="auto" w:fill="D0EBF2"/>
          </w:tcPr>
          <w:p>
            <w:pPr>
              <w:spacing w:after="0"/>
              <w:rPr>
                <w:sz w:val="13"/>
                <w:szCs w:val="13"/>
                <w:color w:val="auto"/>
              </w:rPr>
            </w:pPr>
          </w:p>
        </w:tc>
        <w:tc>
          <w:tcPr>
            <w:tcW w:w="400" w:type="dxa"/>
            <w:vAlign w:val="bottom"/>
            <w:shd w:val="clear" w:color="auto" w:fill="D0EBF2"/>
          </w:tcPr>
          <w:p>
            <w:pPr>
              <w:spacing w:after="0"/>
              <w:rPr>
                <w:sz w:val="13"/>
                <w:szCs w:val="13"/>
                <w:color w:val="auto"/>
              </w:rPr>
            </w:pPr>
          </w:p>
        </w:tc>
        <w:tc>
          <w:tcPr>
            <w:tcW w:w="740" w:type="dxa"/>
            <w:vAlign w:val="bottom"/>
            <w:vMerge w:val="continue"/>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right w:val="single" w:sz="8" w:color="231F20"/>
            </w:tcBorders>
            <w:shd w:val="clear" w:color="auto" w:fill="FDFDFC"/>
          </w:tcPr>
          <w:p>
            <w:pPr>
              <w:spacing w:after="0" w:line="120" w:lineRule="exact"/>
              <w:rPr>
                <w:sz w:val="20"/>
                <w:szCs w:val="20"/>
                <w:color w:val="auto"/>
              </w:rPr>
            </w:pPr>
            <w:r>
              <w:rPr>
                <w:rFonts w:ascii="Arial" w:cs="Arial" w:eastAsia="Arial" w:hAnsi="Arial"/>
                <w:sz w:val="11"/>
                <w:szCs w:val="11"/>
                <w:color w:val="231F20"/>
              </w:rPr>
              <w:t>Stock-based</w:t>
            </w:r>
          </w:p>
        </w:tc>
        <w:tc>
          <w:tcPr>
            <w:tcW w:w="120" w:type="dxa"/>
            <w:vAlign w:val="bottom"/>
            <w:shd w:val="clear" w:color="auto" w:fill="FDFDFC"/>
          </w:tcPr>
          <w:p>
            <w:pPr>
              <w:spacing w:after="0"/>
              <w:rPr>
                <w:sz w:val="10"/>
                <w:szCs w:val="10"/>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FDFDFC"/>
          </w:tcPr>
          <w:p>
            <w:pPr>
              <w:spacing w:after="0"/>
              <w:rPr>
                <w:sz w:val="10"/>
                <w:szCs w:val="10"/>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0"/>
                <w:szCs w:val="10"/>
                <w:color w:val="auto"/>
              </w:rPr>
            </w:pPr>
          </w:p>
        </w:tc>
        <w:tc>
          <w:tcPr>
            <w:tcW w:w="300" w:type="dxa"/>
            <w:vAlign w:val="bottom"/>
            <w:shd w:val="clear" w:color="auto" w:fill="FDFDFC"/>
          </w:tcPr>
          <w:p>
            <w:pPr>
              <w:spacing w:after="0"/>
              <w:rPr>
                <w:sz w:val="10"/>
                <w:szCs w:val="10"/>
                <w:color w:val="auto"/>
              </w:rPr>
            </w:pPr>
          </w:p>
        </w:tc>
        <w:tc>
          <w:tcPr>
            <w:tcW w:w="38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0"/>
                <w:szCs w:val="10"/>
                <w:color w:val="auto"/>
              </w:rPr>
            </w:pPr>
          </w:p>
        </w:tc>
        <w:tc>
          <w:tcPr>
            <w:tcW w:w="720" w:type="dxa"/>
            <w:vAlign w:val="bottom"/>
            <w:shd w:val="clear" w:color="auto" w:fill="FDFDFC"/>
          </w:tcPr>
          <w:p>
            <w:pPr>
              <w:spacing w:after="0"/>
              <w:rPr>
                <w:sz w:val="10"/>
                <w:szCs w:val="10"/>
                <w:color w:val="auto"/>
              </w:rPr>
            </w:pPr>
          </w:p>
        </w:tc>
        <w:tc>
          <w:tcPr>
            <w:tcW w:w="48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FDFDFC"/>
          </w:tcPr>
          <w:p>
            <w:pPr>
              <w:spacing w:after="0"/>
              <w:rPr>
                <w:sz w:val="10"/>
                <w:szCs w:val="10"/>
                <w:color w:val="auto"/>
              </w:rPr>
            </w:pPr>
          </w:p>
        </w:tc>
        <w:tc>
          <w:tcPr>
            <w:tcW w:w="8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FDFDFC"/>
          </w:tcPr>
          <w:p>
            <w:pPr>
              <w:spacing w:after="0"/>
              <w:rPr>
                <w:sz w:val="10"/>
                <w:szCs w:val="10"/>
                <w:color w:val="auto"/>
              </w:rPr>
            </w:pPr>
          </w:p>
        </w:tc>
        <w:tc>
          <w:tcPr>
            <w:tcW w:w="76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66,452</w:t>
            </w:r>
          </w:p>
        </w:tc>
        <w:tc>
          <w:tcPr>
            <w:tcW w:w="260" w:type="dxa"/>
            <w:vAlign w:val="bottom"/>
            <w:shd w:val="clear" w:color="auto" w:fill="FDFDFC"/>
          </w:tcPr>
          <w:p>
            <w:pPr>
              <w:spacing w:after="0"/>
              <w:rPr>
                <w:sz w:val="10"/>
                <w:szCs w:val="10"/>
                <w:color w:val="auto"/>
              </w:rPr>
            </w:pPr>
          </w:p>
        </w:tc>
        <w:tc>
          <w:tcPr>
            <w:tcW w:w="400" w:type="dxa"/>
            <w:vAlign w:val="bottom"/>
            <w:shd w:val="clear" w:color="auto" w:fill="FDFDFC"/>
          </w:tcPr>
          <w:p>
            <w:pPr>
              <w:spacing w:after="0"/>
              <w:rPr>
                <w:sz w:val="10"/>
                <w:szCs w:val="10"/>
                <w:color w:val="auto"/>
              </w:rPr>
            </w:pPr>
          </w:p>
        </w:tc>
        <w:tc>
          <w:tcPr>
            <w:tcW w:w="820" w:type="dxa"/>
            <w:vAlign w:val="bottom"/>
            <w:gridSpan w:val="2"/>
            <w:vMerge w:val="restart"/>
            <w:shd w:val="clear" w:color="auto" w:fill="FDFDFC"/>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FDFDFC"/>
          </w:tcPr>
          <w:p>
            <w:pPr>
              <w:spacing w:after="0"/>
              <w:rPr>
                <w:sz w:val="10"/>
                <w:szCs w:val="10"/>
                <w:color w:val="auto"/>
              </w:rPr>
            </w:pPr>
          </w:p>
        </w:tc>
        <w:tc>
          <w:tcPr>
            <w:tcW w:w="340" w:type="dxa"/>
            <w:vAlign w:val="bottom"/>
            <w:shd w:val="clear" w:color="auto" w:fill="FDFDFC"/>
          </w:tcPr>
          <w:p>
            <w:pPr>
              <w:spacing w:after="0"/>
              <w:rPr>
                <w:sz w:val="10"/>
                <w:szCs w:val="10"/>
                <w:color w:val="auto"/>
              </w:rPr>
            </w:pPr>
          </w:p>
        </w:tc>
        <w:tc>
          <w:tcPr>
            <w:tcW w:w="1000" w:type="dxa"/>
            <w:vAlign w:val="bottom"/>
            <w:gridSpan w:val="2"/>
            <w:vMerge w:val="restart"/>
            <w:shd w:val="clear" w:color="auto" w:fill="FDFDFC"/>
          </w:tcPr>
          <w:p>
            <w:pPr>
              <w:jc w:val="right"/>
              <w:ind w:right="280"/>
              <w:spacing w:after="0"/>
              <w:rPr>
                <w:sz w:val="20"/>
                <w:szCs w:val="20"/>
                <w:color w:val="auto"/>
              </w:rPr>
            </w:pPr>
            <w:r>
              <w:rPr>
                <w:rFonts w:ascii="Arial" w:cs="Arial" w:eastAsia="Arial" w:hAnsi="Arial"/>
                <w:sz w:val="11"/>
                <w:szCs w:val="11"/>
                <w:color w:val="231F20"/>
              </w:rPr>
              <w:t>—</w:t>
            </w:r>
          </w:p>
        </w:tc>
        <w:tc>
          <w:tcPr>
            <w:tcW w:w="400" w:type="dxa"/>
            <w:vAlign w:val="bottom"/>
            <w:shd w:val="clear" w:color="auto" w:fill="FDFDFC"/>
          </w:tcPr>
          <w:p>
            <w:pPr>
              <w:spacing w:after="0"/>
              <w:rPr>
                <w:sz w:val="10"/>
                <w:szCs w:val="10"/>
                <w:color w:val="auto"/>
              </w:rPr>
            </w:pPr>
          </w:p>
        </w:tc>
        <w:tc>
          <w:tcPr>
            <w:tcW w:w="740" w:type="dxa"/>
            <w:vAlign w:val="bottom"/>
            <w:vMerge w:val="restart"/>
            <w:shd w:val="clear" w:color="auto" w:fill="FDFDFC"/>
          </w:tcPr>
          <w:p>
            <w:pPr>
              <w:jc w:val="right"/>
              <w:spacing w:after="0"/>
              <w:rPr>
                <w:sz w:val="20"/>
                <w:szCs w:val="20"/>
                <w:color w:val="auto"/>
              </w:rPr>
            </w:pPr>
            <w:r>
              <w:rPr>
                <w:rFonts w:ascii="Arial" w:cs="Arial" w:eastAsia="Arial" w:hAnsi="Arial"/>
                <w:sz w:val="11"/>
                <w:szCs w:val="11"/>
                <w:color w:val="231F20"/>
              </w:rPr>
              <w:t>66,452</w:t>
            </w:r>
          </w:p>
        </w:tc>
        <w:tc>
          <w:tcPr>
            <w:tcW w:w="140" w:type="dxa"/>
            <w:vAlign w:val="bottom"/>
            <w:shd w:val="clear" w:color="auto" w:fill="FDFD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color w:val="231F20"/>
              </w:rPr>
              <w:t>compensation</w:t>
            </w:r>
          </w:p>
        </w:tc>
        <w:tc>
          <w:tcPr>
            <w:tcW w:w="120" w:type="dxa"/>
            <w:vAlign w:val="bottom"/>
            <w:shd w:val="clear" w:color="auto" w:fill="FDFDFC"/>
          </w:tcPr>
          <w:p>
            <w:pPr>
              <w:spacing w:after="0"/>
              <w:rPr>
                <w:sz w:val="13"/>
                <w:szCs w:val="13"/>
                <w:color w:val="auto"/>
              </w:rPr>
            </w:pPr>
          </w:p>
        </w:tc>
        <w:tc>
          <w:tcPr>
            <w:tcW w:w="94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94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300" w:type="dxa"/>
            <w:vAlign w:val="bottom"/>
            <w:shd w:val="clear" w:color="auto" w:fill="FDFDFC"/>
          </w:tcPr>
          <w:p>
            <w:pPr>
              <w:spacing w:after="0"/>
              <w:rPr>
                <w:sz w:val="13"/>
                <w:szCs w:val="13"/>
                <w:color w:val="auto"/>
              </w:rPr>
            </w:pPr>
          </w:p>
        </w:tc>
        <w:tc>
          <w:tcPr>
            <w:tcW w:w="380" w:type="dxa"/>
            <w:vAlign w:val="bottom"/>
            <w:vMerge w:val="continue"/>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720" w:type="dxa"/>
            <w:vAlign w:val="bottom"/>
            <w:shd w:val="clear" w:color="auto" w:fill="FDFDFC"/>
          </w:tcPr>
          <w:p>
            <w:pPr>
              <w:spacing w:after="0"/>
              <w:rPr>
                <w:sz w:val="13"/>
                <w:szCs w:val="13"/>
                <w:color w:val="auto"/>
              </w:rPr>
            </w:pPr>
          </w:p>
        </w:tc>
        <w:tc>
          <w:tcPr>
            <w:tcW w:w="480" w:type="dxa"/>
            <w:vAlign w:val="bottom"/>
            <w:gridSpan w:val="2"/>
            <w:vMerge w:val="continue"/>
            <w:shd w:val="clear" w:color="auto" w:fill="FDFDFC"/>
          </w:tcPr>
          <w:p>
            <w:pPr>
              <w:spacing w:after="0"/>
              <w:rPr>
                <w:sz w:val="13"/>
                <w:szCs w:val="13"/>
                <w:color w:val="auto"/>
              </w:rPr>
            </w:pPr>
          </w:p>
        </w:tc>
        <w:tc>
          <w:tcPr>
            <w:tcW w:w="200" w:type="dxa"/>
            <w:vAlign w:val="bottom"/>
            <w:shd w:val="clear" w:color="auto" w:fill="FDFDFC"/>
          </w:tcPr>
          <w:p>
            <w:pPr>
              <w:spacing w:after="0"/>
              <w:rPr>
                <w:sz w:val="13"/>
                <w:szCs w:val="13"/>
                <w:color w:val="auto"/>
              </w:rPr>
            </w:pPr>
          </w:p>
        </w:tc>
        <w:tc>
          <w:tcPr>
            <w:tcW w:w="800" w:type="dxa"/>
            <w:vAlign w:val="bottom"/>
            <w:gridSpan w:val="2"/>
            <w:vMerge w:val="continue"/>
            <w:shd w:val="clear" w:color="auto" w:fill="FDFDFC"/>
          </w:tcPr>
          <w:p>
            <w:pPr>
              <w:spacing w:after="0"/>
              <w:rPr>
                <w:sz w:val="13"/>
                <w:szCs w:val="13"/>
                <w:color w:val="auto"/>
              </w:rPr>
            </w:pPr>
          </w:p>
        </w:tc>
        <w:tc>
          <w:tcPr>
            <w:tcW w:w="320" w:type="dxa"/>
            <w:vAlign w:val="bottom"/>
            <w:shd w:val="clear" w:color="auto" w:fill="FDFDFC"/>
          </w:tcPr>
          <w:p>
            <w:pPr>
              <w:spacing w:after="0"/>
              <w:rPr>
                <w:sz w:val="13"/>
                <w:szCs w:val="13"/>
                <w:color w:val="auto"/>
              </w:rPr>
            </w:pPr>
          </w:p>
        </w:tc>
        <w:tc>
          <w:tcPr>
            <w:tcW w:w="760" w:type="dxa"/>
            <w:vAlign w:val="bottom"/>
            <w:vMerge w:val="continue"/>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820" w:type="dxa"/>
            <w:vAlign w:val="bottom"/>
            <w:gridSpan w:val="2"/>
            <w:vMerge w:val="continue"/>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340" w:type="dxa"/>
            <w:vAlign w:val="bottom"/>
            <w:shd w:val="clear" w:color="auto" w:fill="FDFDFC"/>
          </w:tcPr>
          <w:p>
            <w:pPr>
              <w:spacing w:after="0"/>
              <w:rPr>
                <w:sz w:val="13"/>
                <w:szCs w:val="13"/>
                <w:color w:val="auto"/>
              </w:rPr>
            </w:pPr>
          </w:p>
        </w:tc>
        <w:tc>
          <w:tcPr>
            <w:tcW w:w="1000" w:type="dxa"/>
            <w:vAlign w:val="bottom"/>
            <w:gridSpan w:val="2"/>
            <w:vMerge w:val="continue"/>
            <w:shd w:val="clear" w:color="auto" w:fill="FDFDFC"/>
          </w:tcPr>
          <w:p>
            <w:pPr>
              <w:spacing w:after="0"/>
              <w:rPr>
                <w:sz w:val="13"/>
                <w:szCs w:val="13"/>
                <w:color w:val="auto"/>
              </w:rPr>
            </w:pPr>
          </w:p>
        </w:tc>
        <w:tc>
          <w:tcPr>
            <w:tcW w:w="400" w:type="dxa"/>
            <w:vAlign w:val="bottom"/>
            <w:shd w:val="clear" w:color="auto" w:fill="FDFDFC"/>
          </w:tcPr>
          <w:p>
            <w:pPr>
              <w:spacing w:after="0"/>
              <w:rPr>
                <w:sz w:val="13"/>
                <w:szCs w:val="13"/>
                <w:color w:val="auto"/>
              </w:rPr>
            </w:pPr>
          </w:p>
        </w:tc>
        <w:tc>
          <w:tcPr>
            <w:tcW w:w="740" w:type="dxa"/>
            <w:vAlign w:val="bottom"/>
            <w:vMerge w:val="continue"/>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40" w:type="dxa"/>
            <w:vAlign w:val="bottom"/>
            <w:tcBorders>
              <w:right w:val="single" w:sz="8" w:color="231F20"/>
            </w:tcBorders>
            <w:shd w:val="clear" w:color="auto" w:fill="D0EBF2"/>
          </w:tcPr>
          <w:p>
            <w:pPr>
              <w:spacing w:after="0"/>
              <w:rPr>
                <w:sz w:val="20"/>
                <w:szCs w:val="20"/>
                <w:color w:val="auto"/>
              </w:rPr>
            </w:pPr>
            <w:r>
              <w:rPr>
                <w:rFonts w:ascii="Arial" w:cs="Arial" w:eastAsia="Arial" w:hAnsi="Arial"/>
                <w:sz w:val="11"/>
                <w:szCs w:val="11"/>
                <w:color w:val="231F20"/>
              </w:rPr>
              <w:t>Net income</w:t>
            </w:r>
          </w:p>
        </w:tc>
        <w:tc>
          <w:tcPr>
            <w:tcW w:w="120" w:type="dxa"/>
            <w:vAlign w:val="bottom"/>
            <w:shd w:val="clear" w:color="auto" w:fill="D0EBF2"/>
          </w:tcPr>
          <w:p>
            <w:pPr>
              <w:spacing w:after="0"/>
              <w:rPr>
                <w:sz w:val="14"/>
                <w:szCs w:val="14"/>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4"/>
                <w:szCs w:val="14"/>
                <w:color w:val="auto"/>
              </w:rPr>
            </w:pPr>
          </w:p>
        </w:tc>
        <w:tc>
          <w:tcPr>
            <w:tcW w:w="300" w:type="dxa"/>
            <w:vAlign w:val="bottom"/>
            <w:shd w:val="clear" w:color="auto" w:fill="D0EBF2"/>
          </w:tcPr>
          <w:p>
            <w:pPr>
              <w:spacing w:after="0"/>
              <w:rPr>
                <w:sz w:val="14"/>
                <w:szCs w:val="14"/>
                <w:color w:val="auto"/>
              </w:rPr>
            </w:pPr>
          </w:p>
        </w:tc>
        <w:tc>
          <w:tcPr>
            <w:tcW w:w="38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4"/>
                <w:szCs w:val="14"/>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4"/>
                <w:szCs w:val="14"/>
                <w:color w:val="auto"/>
              </w:rPr>
            </w:pPr>
          </w:p>
        </w:tc>
        <w:tc>
          <w:tcPr>
            <w:tcW w:w="300" w:type="dxa"/>
            <w:vAlign w:val="bottom"/>
            <w:shd w:val="clear" w:color="auto" w:fill="D0EBF2"/>
          </w:tcPr>
          <w:p>
            <w:pPr>
              <w:spacing w:after="0"/>
              <w:rPr>
                <w:sz w:val="14"/>
                <w:szCs w:val="14"/>
                <w:color w:val="auto"/>
              </w:rPr>
            </w:pPr>
          </w:p>
        </w:tc>
        <w:tc>
          <w:tcPr>
            <w:tcW w:w="38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480" w:type="dxa"/>
            <w:vAlign w:val="bottom"/>
            <w:gridSpan w:val="2"/>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200" w:type="dxa"/>
            <w:vAlign w:val="bottom"/>
            <w:shd w:val="clear" w:color="auto" w:fill="D0EBF2"/>
          </w:tcPr>
          <w:p>
            <w:pPr>
              <w:spacing w:after="0"/>
              <w:rPr>
                <w:sz w:val="14"/>
                <w:szCs w:val="14"/>
                <w:color w:val="auto"/>
              </w:rPr>
            </w:pPr>
          </w:p>
        </w:tc>
        <w:tc>
          <w:tcPr>
            <w:tcW w:w="800" w:type="dxa"/>
            <w:vAlign w:val="bottom"/>
            <w:gridSpan w:val="2"/>
            <w:shd w:val="clear" w:color="auto" w:fill="D0EBF2"/>
          </w:tcPr>
          <w:p>
            <w:pPr>
              <w:jc w:val="right"/>
              <w:ind w:right="280"/>
              <w:spacing w:after="0"/>
              <w:rPr>
                <w:sz w:val="20"/>
                <w:szCs w:val="20"/>
                <w:color w:val="auto"/>
              </w:rPr>
            </w:pPr>
            <w:r>
              <w:rPr>
                <w:rFonts w:ascii="Arial" w:cs="Arial" w:eastAsia="Arial" w:hAnsi="Arial"/>
                <w:sz w:val="11"/>
                <w:szCs w:val="11"/>
                <w:color w:val="231F20"/>
              </w:rPr>
              <w:t>—</w:t>
            </w:r>
          </w:p>
        </w:tc>
        <w:tc>
          <w:tcPr>
            <w:tcW w:w="320" w:type="dxa"/>
            <w:vAlign w:val="bottom"/>
            <w:shd w:val="clear" w:color="auto" w:fill="D0EBF2"/>
          </w:tcPr>
          <w:p>
            <w:pPr>
              <w:spacing w:after="0"/>
              <w:rPr>
                <w:sz w:val="14"/>
                <w:szCs w:val="14"/>
                <w:color w:val="auto"/>
              </w:rPr>
            </w:pPr>
          </w:p>
        </w:tc>
        <w:tc>
          <w:tcPr>
            <w:tcW w:w="76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w:t>
            </w:r>
          </w:p>
        </w:tc>
        <w:tc>
          <w:tcPr>
            <w:tcW w:w="260" w:type="dxa"/>
            <w:vAlign w:val="bottom"/>
            <w:shd w:val="clear" w:color="auto" w:fill="D0EBF2"/>
          </w:tcPr>
          <w:p>
            <w:pPr>
              <w:spacing w:after="0"/>
              <w:rPr>
                <w:sz w:val="14"/>
                <w:szCs w:val="14"/>
                <w:color w:val="auto"/>
              </w:rPr>
            </w:pPr>
          </w:p>
        </w:tc>
        <w:tc>
          <w:tcPr>
            <w:tcW w:w="400" w:type="dxa"/>
            <w:vAlign w:val="bottom"/>
            <w:shd w:val="clear" w:color="auto" w:fill="D0EBF2"/>
          </w:tcPr>
          <w:p>
            <w:pPr>
              <w:spacing w:after="0"/>
              <w:rPr>
                <w:sz w:val="14"/>
                <w:szCs w:val="14"/>
                <w:color w:val="auto"/>
              </w:rPr>
            </w:pPr>
          </w:p>
        </w:tc>
        <w:tc>
          <w:tcPr>
            <w:tcW w:w="820" w:type="dxa"/>
            <w:vAlign w:val="bottom"/>
            <w:gridSpan w:val="2"/>
            <w:shd w:val="clear" w:color="auto" w:fill="D0EBF2"/>
          </w:tcPr>
          <w:p>
            <w:pPr>
              <w:jc w:val="right"/>
              <w:ind w:right="160"/>
              <w:spacing w:after="0"/>
              <w:rPr>
                <w:sz w:val="20"/>
                <w:szCs w:val="20"/>
                <w:color w:val="auto"/>
              </w:rPr>
            </w:pPr>
            <w:r>
              <w:rPr>
                <w:rFonts w:ascii="Arial" w:cs="Arial" w:eastAsia="Arial" w:hAnsi="Arial"/>
                <w:sz w:val="11"/>
                <w:szCs w:val="11"/>
                <w:color w:val="231F20"/>
              </w:rPr>
              <w:t>—</w:t>
            </w:r>
          </w:p>
        </w:tc>
        <w:tc>
          <w:tcPr>
            <w:tcW w:w="120" w:type="dxa"/>
            <w:vAlign w:val="bottom"/>
            <w:shd w:val="clear" w:color="auto" w:fill="D0EBF2"/>
          </w:tcPr>
          <w:p>
            <w:pPr>
              <w:spacing w:after="0"/>
              <w:rPr>
                <w:sz w:val="14"/>
                <w:szCs w:val="14"/>
                <w:color w:val="auto"/>
              </w:rPr>
            </w:pPr>
          </w:p>
        </w:tc>
        <w:tc>
          <w:tcPr>
            <w:tcW w:w="340" w:type="dxa"/>
            <w:vAlign w:val="bottom"/>
            <w:shd w:val="clear" w:color="auto" w:fill="D0EBF2"/>
          </w:tcPr>
          <w:p>
            <w:pPr>
              <w:spacing w:after="0"/>
              <w:rPr>
                <w:sz w:val="14"/>
                <w:szCs w:val="14"/>
                <w:color w:val="auto"/>
              </w:rPr>
            </w:pPr>
          </w:p>
        </w:tc>
        <w:tc>
          <w:tcPr>
            <w:tcW w:w="7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2,900</w:t>
            </w:r>
          </w:p>
        </w:tc>
        <w:tc>
          <w:tcPr>
            <w:tcW w:w="260" w:type="dxa"/>
            <w:vAlign w:val="bottom"/>
            <w:shd w:val="clear" w:color="auto" w:fill="D0EBF2"/>
          </w:tcPr>
          <w:p>
            <w:pPr>
              <w:spacing w:after="0"/>
              <w:rPr>
                <w:sz w:val="14"/>
                <w:szCs w:val="14"/>
                <w:color w:val="auto"/>
              </w:rPr>
            </w:pPr>
          </w:p>
        </w:tc>
        <w:tc>
          <w:tcPr>
            <w:tcW w:w="400" w:type="dxa"/>
            <w:vAlign w:val="bottom"/>
            <w:shd w:val="clear" w:color="auto" w:fill="D0EBF2"/>
          </w:tcPr>
          <w:p>
            <w:pPr>
              <w:spacing w:after="0"/>
              <w:rPr>
                <w:sz w:val="14"/>
                <w:szCs w:val="14"/>
                <w:color w:val="auto"/>
              </w:rPr>
            </w:pPr>
          </w:p>
        </w:tc>
        <w:tc>
          <w:tcPr>
            <w:tcW w:w="740" w:type="dxa"/>
            <w:vAlign w:val="bottom"/>
            <w:shd w:val="clear" w:color="auto" w:fill="D0EBF2"/>
          </w:tcPr>
          <w:p>
            <w:pPr>
              <w:jc w:val="right"/>
              <w:spacing w:after="0"/>
              <w:rPr>
                <w:sz w:val="20"/>
                <w:szCs w:val="20"/>
                <w:color w:val="auto"/>
              </w:rPr>
            </w:pPr>
            <w:r>
              <w:rPr>
                <w:rFonts w:ascii="Arial" w:cs="Arial" w:eastAsia="Arial" w:hAnsi="Arial"/>
                <w:sz w:val="11"/>
                <w:szCs w:val="11"/>
                <w:color w:val="231F20"/>
              </w:rPr>
              <w:t>2,900</w:t>
            </w:r>
          </w:p>
        </w:tc>
        <w:tc>
          <w:tcPr>
            <w:tcW w:w="140" w:type="dxa"/>
            <w:vAlign w:val="bottom"/>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640" w:type="dxa"/>
            <w:vAlign w:val="bottom"/>
            <w:tcBorders>
              <w:top w:val="single" w:sz="8" w:color="D0EBF2"/>
              <w:right w:val="single" w:sz="8" w:color="231F20"/>
            </w:tcBorders>
            <w:shd w:val="clear" w:color="auto" w:fill="FDFDFC"/>
          </w:tcPr>
          <w:p>
            <w:pPr>
              <w:spacing w:after="0" w:line="89" w:lineRule="exact"/>
              <w:rPr>
                <w:sz w:val="20"/>
                <w:szCs w:val="20"/>
                <w:color w:val="auto"/>
              </w:rPr>
            </w:pPr>
            <w:r>
              <w:rPr>
                <w:rFonts w:ascii="Arial" w:cs="Arial" w:eastAsia="Arial" w:hAnsi="Arial"/>
                <w:sz w:val="10"/>
                <w:szCs w:val="10"/>
                <w:b w:val="1"/>
                <w:bCs w:val="1"/>
                <w:color w:val="231F20"/>
              </w:rPr>
              <w:t>Balances at December</w:t>
            </w:r>
          </w:p>
        </w:tc>
        <w:tc>
          <w:tcPr>
            <w:tcW w:w="120" w:type="dxa"/>
            <w:vAlign w:val="bottom"/>
            <w:tcBorders>
              <w:top w:val="single" w:sz="8" w:color="D0EBF2"/>
            </w:tcBorders>
            <w:shd w:val="clear" w:color="auto" w:fill="FDFDFC"/>
          </w:tcPr>
          <w:p>
            <w:pPr>
              <w:spacing w:after="0"/>
              <w:rPr>
                <w:sz w:val="7"/>
                <w:szCs w:val="7"/>
                <w:color w:val="auto"/>
              </w:rPr>
            </w:pPr>
          </w:p>
        </w:tc>
        <w:tc>
          <w:tcPr>
            <w:tcW w:w="940" w:type="dxa"/>
            <w:vAlign w:val="bottom"/>
            <w:tcBorders>
              <w:top w:val="single" w:sz="8" w:color="231F20"/>
            </w:tcBorders>
            <w:shd w:val="clear" w:color="auto" w:fill="FDFDFC"/>
          </w:tcPr>
          <w:p>
            <w:pPr>
              <w:spacing w:after="0"/>
              <w:rPr>
                <w:sz w:val="7"/>
                <w:szCs w:val="7"/>
                <w:color w:val="auto"/>
              </w:rPr>
            </w:pPr>
          </w:p>
        </w:tc>
        <w:tc>
          <w:tcPr>
            <w:tcW w:w="280" w:type="dxa"/>
            <w:vAlign w:val="bottom"/>
            <w:tcBorders>
              <w:top w:val="single" w:sz="8" w:color="D0EBF2"/>
            </w:tcBorders>
            <w:shd w:val="clear" w:color="auto" w:fill="FDFDFC"/>
          </w:tcPr>
          <w:p>
            <w:pPr>
              <w:spacing w:after="0"/>
              <w:rPr>
                <w:sz w:val="7"/>
                <w:szCs w:val="7"/>
                <w:color w:val="auto"/>
              </w:rPr>
            </w:pPr>
          </w:p>
        </w:tc>
        <w:tc>
          <w:tcPr>
            <w:tcW w:w="300" w:type="dxa"/>
            <w:vAlign w:val="bottom"/>
            <w:tcBorders>
              <w:top w:val="single" w:sz="8" w:color="231F20"/>
            </w:tcBorders>
            <w:shd w:val="clear" w:color="auto" w:fill="FDFDFC"/>
          </w:tcPr>
          <w:p>
            <w:pPr>
              <w:spacing w:after="0"/>
              <w:rPr>
                <w:sz w:val="7"/>
                <w:szCs w:val="7"/>
                <w:color w:val="auto"/>
              </w:rPr>
            </w:pPr>
          </w:p>
        </w:tc>
        <w:tc>
          <w:tcPr>
            <w:tcW w:w="380" w:type="dxa"/>
            <w:vAlign w:val="bottom"/>
            <w:tcBorders>
              <w:top w:val="single" w:sz="8" w:color="231F20"/>
            </w:tcBorders>
            <w:shd w:val="clear" w:color="auto" w:fill="FDFDFC"/>
          </w:tcPr>
          <w:p>
            <w:pPr>
              <w:spacing w:after="0"/>
              <w:rPr>
                <w:sz w:val="7"/>
                <w:szCs w:val="7"/>
                <w:color w:val="auto"/>
              </w:rPr>
            </w:pPr>
          </w:p>
        </w:tc>
        <w:tc>
          <w:tcPr>
            <w:tcW w:w="260" w:type="dxa"/>
            <w:vAlign w:val="bottom"/>
            <w:tcBorders>
              <w:top w:val="single" w:sz="8" w:color="D0EBF2"/>
            </w:tcBorders>
            <w:shd w:val="clear" w:color="auto" w:fill="FDFDFC"/>
          </w:tcPr>
          <w:p>
            <w:pPr>
              <w:spacing w:after="0"/>
              <w:rPr>
                <w:sz w:val="7"/>
                <w:szCs w:val="7"/>
                <w:color w:val="auto"/>
              </w:rPr>
            </w:pPr>
          </w:p>
        </w:tc>
        <w:tc>
          <w:tcPr>
            <w:tcW w:w="940" w:type="dxa"/>
            <w:vAlign w:val="bottom"/>
            <w:tcBorders>
              <w:top w:val="single" w:sz="8" w:color="231F20"/>
            </w:tcBorders>
            <w:shd w:val="clear" w:color="auto" w:fill="FDFDFC"/>
          </w:tcPr>
          <w:p>
            <w:pPr>
              <w:spacing w:after="0"/>
              <w:rPr>
                <w:sz w:val="7"/>
                <w:szCs w:val="7"/>
                <w:color w:val="auto"/>
              </w:rPr>
            </w:pPr>
          </w:p>
        </w:tc>
        <w:tc>
          <w:tcPr>
            <w:tcW w:w="280" w:type="dxa"/>
            <w:vAlign w:val="bottom"/>
            <w:tcBorders>
              <w:top w:val="single" w:sz="8" w:color="D0EBF2"/>
            </w:tcBorders>
            <w:shd w:val="clear" w:color="auto" w:fill="FDFDFC"/>
          </w:tcPr>
          <w:p>
            <w:pPr>
              <w:spacing w:after="0"/>
              <w:rPr>
                <w:sz w:val="7"/>
                <w:szCs w:val="7"/>
                <w:color w:val="auto"/>
              </w:rPr>
            </w:pPr>
          </w:p>
        </w:tc>
        <w:tc>
          <w:tcPr>
            <w:tcW w:w="300" w:type="dxa"/>
            <w:vAlign w:val="bottom"/>
            <w:tcBorders>
              <w:top w:val="single" w:sz="8" w:color="231F20"/>
            </w:tcBorders>
            <w:shd w:val="clear" w:color="auto" w:fill="FDFDFC"/>
          </w:tcPr>
          <w:p>
            <w:pPr>
              <w:spacing w:after="0"/>
              <w:rPr>
                <w:sz w:val="7"/>
                <w:szCs w:val="7"/>
                <w:color w:val="auto"/>
              </w:rPr>
            </w:pPr>
          </w:p>
        </w:tc>
        <w:tc>
          <w:tcPr>
            <w:tcW w:w="380" w:type="dxa"/>
            <w:vAlign w:val="bottom"/>
            <w:tcBorders>
              <w:top w:val="single" w:sz="8" w:color="231F20"/>
            </w:tcBorders>
            <w:shd w:val="clear" w:color="auto" w:fill="FDFDFC"/>
          </w:tcPr>
          <w:p>
            <w:pPr>
              <w:spacing w:after="0"/>
              <w:rPr>
                <w:sz w:val="7"/>
                <w:szCs w:val="7"/>
                <w:color w:val="auto"/>
              </w:rPr>
            </w:pPr>
          </w:p>
        </w:tc>
        <w:tc>
          <w:tcPr>
            <w:tcW w:w="280" w:type="dxa"/>
            <w:vAlign w:val="bottom"/>
            <w:tcBorders>
              <w:top w:val="single" w:sz="8" w:color="D0EBF2"/>
            </w:tcBorders>
            <w:shd w:val="clear" w:color="auto" w:fill="FDFDFC"/>
          </w:tcPr>
          <w:p>
            <w:pPr>
              <w:spacing w:after="0"/>
              <w:rPr>
                <w:sz w:val="7"/>
                <w:szCs w:val="7"/>
                <w:color w:val="auto"/>
              </w:rPr>
            </w:pPr>
          </w:p>
        </w:tc>
        <w:tc>
          <w:tcPr>
            <w:tcW w:w="720" w:type="dxa"/>
            <w:vAlign w:val="bottom"/>
            <w:tcBorders>
              <w:top w:val="single" w:sz="8" w:color="231F20"/>
            </w:tcBorders>
            <w:shd w:val="clear" w:color="auto" w:fill="FDFDFC"/>
          </w:tcPr>
          <w:p>
            <w:pPr>
              <w:spacing w:after="0"/>
              <w:rPr>
                <w:sz w:val="7"/>
                <w:szCs w:val="7"/>
                <w:color w:val="auto"/>
              </w:rPr>
            </w:pPr>
          </w:p>
        </w:tc>
        <w:tc>
          <w:tcPr>
            <w:tcW w:w="220" w:type="dxa"/>
            <w:vAlign w:val="bottom"/>
            <w:tcBorders>
              <w:top w:val="single" w:sz="8" w:color="231F20"/>
            </w:tcBorders>
            <w:shd w:val="clear" w:color="auto" w:fill="FDFDFC"/>
          </w:tcPr>
          <w:p>
            <w:pPr>
              <w:spacing w:after="0"/>
              <w:rPr>
                <w:sz w:val="7"/>
                <w:szCs w:val="7"/>
                <w:color w:val="auto"/>
              </w:rPr>
            </w:pPr>
          </w:p>
        </w:tc>
        <w:tc>
          <w:tcPr>
            <w:tcW w:w="260" w:type="dxa"/>
            <w:vAlign w:val="bottom"/>
            <w:tcBorders>
              <w:top w:val="single" w:sz="8" w:color="D0EBF2"/>
            </w:tcBorders>
            <w:shd w:val="clear" w:color="auto" w:fill="FDFDFC"/>
          </w:tcPr>
          <w:p>
            <w:pPr>
              <w:spacing w:after="0"/>
              <w:rPr>
                <w:sz w:val="7"/>
                <w:szCs w:val="7"/>
                <w:color w:val="auto"/>
              </w:rPr>
            </w:pPr>
          </w:p>
        </w:tc>
        <w:tc>
          <w:tcPr>
            <w:tcW w:w="200" w:type="dxa"/>
            <w:vAlign w:val="bottom"/>
            <w:tcBorders>
              <w:top w:val="single" w:sz="8" w:color="231F20"/>
            </w:tcBorders>
            <w:shd w:val="clear" w:color="auto" w:fill="FDFDFC"/>
          </w:tcPr>
          <w:p>
            <w:pPr>
              <w:spacing w:after="0"/>
              <w:rPr>
                <w:sz w:val="7"/>
                <w:szCs w:val="7"/>
                <w:color w:val="auto"/>
              </w:rPr>
            </w:pPr>
          </w:p>
        </w:tc>
        <w:tc>
          <w:tcPr>
            <w:tcW w:w="540" w:type="dxa"/>
            <w:vAlign w:val="bottom"/>
            <w:tcBorders>
              <w:top w:val="single" w:sz="8" w:color="231F20"/>
            </w:tcBorders>
            <w:shd w:val="clear" w:color="auto" w:fill="FDFDFC"/>
          </w:tcPr>
          <w:p>
            <w:pPr>
              <w:spacing w:after="0"/>
              <w:rPr>
                <w:sz w:val="7"/>
                <w:szCs w:val="7"/>
                <w:color w:val="auto"/>
              </w:rPr>
            </w:pPr>
          </w:p>
        </w:tc>
        <w:tc>
          <w:tcPr>
            <w:tcW w:w="260" w:type="dxa"/>
            <w:vAlign w:val="bottom"/>
            <w:tcBorders>
              <w:top w:val="single" w:sz="8" w:color="D0EBF2"/>
            </w:tcBorders>
            <w:shd w:val="clear" w:color="auto" w:fill="FDFDFC"/>
          </w:tcPr>
          <w:p>
            <w:pPr>
              <w:spacing w:after="0"/>
              <w:rPr>
                <w:sz w:val="7"/>
                <w:szCs w:val="7"/>
                <w:color w:val="auto"/>
              </w:rPr>
            </w:pPr>
          </w:p>
        </w:tc>
        <w:tc>
          <w:tcPr>
            <w:tcW w:w="320" w:type="dxa"/>
            <w:vAlign w:val="bottom"/>
            <w:tcBorders>
              <w:top w:val="single" w:sz="8" w:color="231F20"/>
            </w:tcBorders>
            <w:shd w:val="clear" w:color="auto" w:fill="FDFDFC"/>
          </w:tcPr>
          <w:p>
            <w:pPr>
              <w:spacing w:after="0"/>
              <w:rPr>
                <w:sz w:val="7"/>
                <w:szCs w:val="7"/>
                <w:color w:val="auto"/>
              </w:rPr>
            </w:pPr>
          </w:p>
        </w:tc>
        <w:tc>
          <w:tcPr>
            <w:tcW w:w="760" w:type="dxa"/>
            <w:vAlign w:val="bottom"/>
            <w:tcBorders>
              <w:top w:val="single" w:sz="8" w:color="231F20"/>
            </w:tcBorders>
            <w:shd w:val="clear" w:color="auto" w:fill="FDFDFC"/>
          </w:tcPr>
          <w:p>
            <w:pPr>
              <w:spacing w:after="0"/>
              <w:rPr>
                <w:sz w:val="7"/>
                <w:szCs w:val="7"/>
                <w:color w:val="auto"/>
              </w:rPr>
            </w:pPr>
          </w:p>
        </w:tc>
        <w:tc>
          <w:tcPr>
            <w:tcW w:w="260" w:type="dxa"/>
            <w:vAlign w:val="bottom"/>
            <w:tcBorders>
              <w:top w:val="single" w:sz="8" w:color="D0EBF2"/>
            </w:tcBorders>
            <w:shd w:val="clear" w:color="auto" w:fill="FDFDFC"/>
          </w:tcPr>
          <w:p>
            <w:pPr>
              <w:spacing w:after="0"/>
              <w:rPr>
                <w:sz w:val="7"/>
                <w:szCs w:val="7"/>
                <w:color w:val="auto"/>
              </w:rPr>
            </w:pPr>
          </w:p>
        </w:tc>
        <w:tc>
          <w:tcPr>
            <w:tcW w:w="400" w:type="dxa"/>
            <w:vAlign w:val="bottom"/>
            <w:tcBorders>
              <w:top w:val="single" w:sz="8" w:color="231F20"/>
            </w:tcBorders>
            <w:shd w:val="clear" w:color="auto" w:fill="FDFDFC"/>
          </w:tcPr>
          <w:p>
            <w:pPr>
              <w:spacing w:after="0"/>
              <w:rPr>
                <w:sz w:val="7"/>
                <w:szCs w:val="7"/>
                <w:color w:val="auto"/>
              </w:rPr>
            </w:pPr>
          </w:p>
        </w:tc>
        <w:tc>
          <w:tcPr>
            <w:tcW w:w="680" w:type="dxa"/>
            <w:vAlign w:val="bottom"/>
            <w:tcBorders>
              <w:top w:val="single" w:sz="8" w:color="231F20"/>
            </w:tcBorders>
            <w:shd w:val="clear" w:color="auto" w:fill="FDFDFC"/>
          </w:tcPr>
          <w:p>
            <w:pPr>
              <w:spacing w:after="0"/>
              <w:rPr>
                <w:sz w:val="7"/>
                <w:szCs w:val="7"/>
                <w:color w:val="auto"/>
              </w:rPr>
            </w:pPr>
          </w:p>
        </w:tc>
        <w:tc>
          <w:tcPr>
            <w:tcW w:w="140" w:type="dxa"/>
            <w:vAlign w:val="bottom"/>
            <w:tcBorders>
              <w:top w:val="single" w:sz="8" w:color="D0EBF2"/>
            </w:tcBorders>
            <w:shd w:val="clear" w:color="auto" w:fill="FDFDFC"/>
          </w:tcPr>
          <w:p>
            <w:pPr>
              <w:spacing w:after="0"/>
              <w:rPr>
                <w:sz w:val="7"/>
                <w:szCs w:val="7"/>
                <w:color w:val="auto"/>
              </w:rPr>
            </w:pPr>
          </w:p>
        </w:tc>
        <w:tc>
          <w:tcPr>
            <w:tcW w:w="120" w:type="dxa"/>
            <w:vAlign w:val="bottom"/>
            <w:tcBorders>
              <w:top w:val="single" w:sz="8" w:color="D0EBF2"/>
            </w:tcBorders>
            <w:shd w:val="clear" w:color="auto" w:fill="FDFDFC"/>
          </w:tcPr>
          <w:p>
            <w:pPr>
              <w:spacing w:after="0"/>
              <w:rPr>
                <w:sz w:val="7"/>
                <w:szCs w:val="7"/>
                <w:color w:val="auto"/>
              </w:rPr>
            </w:pPr>
          </w:p>
        </w:tc>
        <w:tc>
          <w:tcPr>
            <w:tcW w:w="340" w:type="dxa"/>
            <w:vAlign w:val="bottom"/>
            <w:tcBorders>
              <w:top w:val="single" w:sz="8" w:color="231F20"/>
            </w:tcBorders>
            <w:shd w:val="clear" w:color="auto" w:fill="FDFDFC"/>
          </w:tcPr>
          <w:p>
            <w:pPr>
              <w:spacing w:after="0"/>
              <w:rPr>
                <w:sz w:val="7"/>
                <w:szCs w:val="7"/>
                <w:color w:val="auto"/>
              </w:rPr>
            </w:pPr>
          </w:p>
        </w:tc>
        <w:tc>
          <w:tcPr>
            <w:tcW w:w="740" w:type="dxa"/>
            <w:vAlign w:val="bottom"/>
            <w:tcBorders>
              <w:top w:val="single" w:sz="8" w:color="231F20"/>
            </w:tcBorders>
            <w:shd w:val="clear" w:color="auto" w:fill="FDFDFC"/>
          </w:tcPr>
          <w:p>
            <w:pPr>
              <w:spacing w:after="0"/>
              <w:rPr>
                <w:sz w:val="7"/>
                <w:szCs w:val="7"/>
                <w:color w:val="auto"/>
              </w:rPr>
            </w:pPr>
          </w:p>
        </w:tc>
        <w:tc>
          <w:tcPr>
            <w:tcW w:w="260" w:type="dxa"/>
            <w:vAlign w:val="bottom"/>
            <w:tcBorders>
              <w:top w:val="single" w:sz="8" w:color="D0EBF2"/>
            </w:tcBorders>
            <w:shd w:val="clear" w:color="auto" w:fill="FDFDFC"/>
          </w:tcPr>
          <w:p>
            <w:pPr>
              <w:spacing w:after="0"/>
              <w:rPr>
                <w:sz w:val="7"/>
                <w:szCs w:val="7"/>
                <w:color w:val="auto"/>
              </w:rPr>
            </w:pPr>
          </w:p>
        </w:tc>
        <w:tc>
          <w:tcPr>
            <w:tcW w:w="400" w:type="dxa"/>
            <w:vAlign w:val="bottom"/>
            <w:tcBorders>
              <w:top w:val="single" w:sz="8" w:color="231F20"/>
            </w:tcBorders>
            <w:shd w:val="clear" w:color="auto" w:fill="FDFDFC"/>
          </w:tcPr>
          <w:p>
            <w:pPr>
              <w:spacing w:after="0"/>
              <w:rPr>
                <w:sz w:val="7"/>
                <w:szCs w:val="7"/>
                <w:color w:val="auto"/>
              </w:rPr>
            </w:pPr>
          </w:p>
        </w:tc>
        <w:tc>
          <w:tcPr>
            <w:tcW w:w="740" w:type="dxa"/>
            <w:vAlign w:val="bottom"/>
            <w:tcBorders>
              <w:top w:val="single" w:sz="8" w:color="231F20"/>
            </w:tcBorders>
            <w:shd w:val="clear" w:color="auto" w:fill="FDFDFC"/>
          </w:tcPr>
          <w:p>
            <w:pPr>
              <w:spacing w:after="0"/>
              <w:rPr>
                <w:sz w:val="7"/>
                <w:szCs w:val="7"/>
                <w:color w:val="auto"/>
              </w:rPr>
            </w:pPr>
          </w:p>
        </w:tc>
        <w:tc>
          <w:tcPr>
            <w:tcW w:w="140" w:type="dxa"/>
            <w:vAlign w:val="bottom"/>
            <w:tcBorders>
              <w:top w:val="single" w:sz="8" w:color="D0EBF2"/>
            </w:tcBorders>
            <w:shd w:val="clear" w:color="auto" w:fill="FDFDFC"/>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tcBorders>
              <w:right w:val="single" w:sz="8" w:color="231F20"/>
            </w:tcBorders>
            <w:shd w:val="clear" w:color="auto" w:fill="FDFDFC"/>
          </w:tcPr>
          <w:p>
            <w:pPr>
              <w:ind w:left="100"/>
              <w:spacing w:after="0"/>
              <w:rPr>
                <w:sz w:val="20"/>
                <w:szCs w:val="20"/>
                <w:color w:val="auto"/>
              </w:rPr>
            </w:pPr>
            <w:r>
              <w:rPr>
                <w:rFonts w:ascii="Arial" w:cs="Arial" w:eastAsia="Arial" w:hAnsi="Arial"/>
                <w:sz w:val="11"/>
                <w:szCs w:val="11"/>
                <w:b w:val="1"/>
                <w:bCs w:val="1"/>
                <w:color w:val="231F20"/>
              </w:rPr>
              <w:t>31, 2024</w:t>
            </w:r>
          </w:p>
        </w:tc>
        <w:tc>
          <w:tcPr>
            <w:tcW w:w="120" w:type="dxa"/>
            <w:vAlign w:val="bottom"/>
            <w:shd w:val="clear" w:color="auto" w:fill="FDFDFC"/>
          </w:tcPr>
          <w:p>
            <w:pPr>
              <w:spacing w:after="0"/>
              <w:rPr>
                <w:sz w:val="13"/>
                <w:szCs w:val="13"/>
                <w:color w:val="auto"/>
              </w:rPr>
            </w:pP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1"/>
                <w:szCs w:val="11"/>
                <w:color w:val="231F20"/>
              </w:rPr>
              <w:t>126,853,852</w:t>
            </w:r>
          </w:p>
        </w:tc>
        <w:tc>
          <w:tcPr>
            <w:tcW w:w="280" w:type="dxa"/>
            <w:vAlign w:val="bottom"/>
            <w:shd w:val="clear" w:color="auto" w:fill="FDFDFC"/>
          </w:tcPr>
          <w:p>
            <w:pPr>
              <w:spacing w:after="0"/>
              <w:rPr>
                <w:sz w:val="13"/>
                <w:szCs w:val="13"/>
                <w:color w:val="auto"/>
              </w:rPr>
            </w:pPr>
          </w:p>
        </w:tc>
        <w:tc>
          <w:tcPr>
            <w:tcW w:w="300" w:type="dxa"/>
            <w:vAlign w:val="bottom"/>
            <w:tcBorders>
              <w:bottom w:val="single" w:sz="8" w:color="231F20"/>
            </w:tcBorders>
            <w:shd w:val="clear" w:color="auto" w:fill="FDFDFC"/>
          </w:tcPr>
          <w:p>
            <w:pPr>
              <w:spacing w:after="0"/>
              <w:rPr>
                <w:sz w:val="13"/>
                <w:szCs w:val="13"/>
                <w:color w:val="auto"/>
              </w:rPr>
            </w:pPr>
          </w:p>
        </w:tc>
        <w:tc>
          <w:tcPr>
            <w:tcW w:w="3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1"/>
                <w:szCs w:val="11"/>
                <w:color w:val="231F20"/>
              </w:rPr>
              <w:t>13</w:t>
            </w:r>
          </w:p>
        </w:tc>
        <w:tc>
          <w:tcPr>
            <w:tcW w:w="260" w:type="dxa"/>
            <w:vAlign w:val="bottom"/>
            <w:shd w:val="clear" w:color="auto" w:fill="FDFDFC"/>
          </w:tcPr>
          <w:p>
            <w:pPr>
              <w:spacing w:after="0"/>
              <w:rPr>
                <w:sz w:val="13"/>
                <w:szCs w:val="13"/>
                <w:color w:val="auto"/>
              </w:rPr>
            </w:pP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1"/>
                <w:szCs w:val="11"/>
                <w:color w:val="231F20"/>
              </w:rPr>
              <w:t>1,873,320</w:t>
            </w:r>
          </w:p>
        </w:tc>
        <w:tc>
          <w:tcPr>
            <w:tcW w:w="280" w:type="dxa"/>
            <w:vAlign w:val="bottom"/>
            <w:shd w:val="clear" w:color="auto" w:fill="FDFDFC"/>
          </w:tcPr>
          <w:p>
            <w:pPr>
              <w:spacing w:after="0"/>
              <w:rPr>
                <w:sz w:val="13"/>
                <w:szCs w:val="13"/>
                <w:color w:val="auto"/>
              </w:rPr>
            </w:pPr>
          </w:p>
        </w:tc>
        <w:tc>
          <w:tcPr>
            <w:tcW w:w="300" w:type="dxa"/>
            <w:vAlign w:val="bottom"/>
            <w:tcBorders>
              <w:bottom w:val="single" w:sz="8" w:color="231F20"/>
            </w:tcBorders>
            <w:shd w:val="clear" w:color="auto" w:fill="FDFDFC"/>
          </w:tcPr>
          <w:p>
            <w:pPr>
              <w:spacing w:after="0"/>
              <w:rPr>
                <w:sz w:val="13"/>
                <w:szCs w:val="13"/>
                <w:color w:val="auto"/>
              </w:rPr>
            </w:pPr>
          </w:p>
        </w:tc>
        <w:tc>
          <w:tcPr>
            <w:tcW w:w="3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1"/>
                <w:szCs w:val="11"/>
                <w:color w:val="231F20"/>
              </w:rPr>
              <w:t>—</w:t>
            </w:r>
          </w:p>
        </w:tc>
        <w:tc>
          <w:tcPr>
            <w:tcW w:w="280" w:type="dxa"/>
            <w:vAlign w:val="bottom"/>
            <w:shd w:val="clear" w:color="auto" w:fill="FDFDFC"/>
          </w:tcPr>
          <w:p>
            <w:pPr>
              <w:spacing w:after="0"/>
              <w:rPr>
                <w:sz w:val="13"/>
                <w:szCs w:val="13"/>
                <w:color w:val="auto"/>
              </w:rPr>
            </w:pPr>
          </w:p>
        </w:tc>
        <w:tc>
          <w:tcPr>
            <w:tcW w:w="940" w:type="dxa"/>
            <w:vAlign w:val="bottom"/>
            <w:tcBorders>
              <w:bottom w:val="single" w:sz="8" w:color="231F20"/>
            </w:tcBorders>
            <w:gridSpan w:val="2"/>
            <w:shd w:val="clear" w:color="auto" w:fill="FDFDFC"/>
          </w:tcPr>
          <w:p>
            <w:pPr>
              <w:jc w:val="right"/>
              <w:spacing w:after="0"/>
              <w:rPr>
                <w:sz w:val="20"/>
                <w:szCs w:val="20"/>
                <w:color w:val="auto"/>
              </w:rPr>
            </w:pPr>
            <w:r>
              <w:rPr>
                <w:rFonts w:ascii="Arial" w:cs="Arial" w:eastAsia="Arial" w:hAnsi="Arial"/>
                <w:sz w:val="11"/>
                <w:szCs w:val="11"/>
                <w:color w:val="231F20"/>
              </w:rPr>
              <w:t>(4,670,974)</w:t>
            </w:r>
          </w:p>
        </w:tc>
        <w:tc>
          <w:tcPr>
            <w:tcW w:w="260" w:type="dxa"/>
            <w:vAlign w:val="bottom"/>
            <w:shd w:val="clear" w:color="auto" w:fill="FDFDFC"/>
          </w:tcPr>
          <w:p>
            <w:pPr>
              <w:spacing w:after="0"/>
              <w:rPr>
                <w:sz w:val="13"/>
                <w:szCs w:val="13"/>
                <w:color w:val="auto"/>
              </w:rPr>
            </w:pPr>
          </w:p>
        </w:tc>
        <w:tc>
          <w:tcPr>
            <w:tcW w:w="200" w:type="dxa"/>
            <w:vAlign w:val="bottom"/>
            <w:tcBorders>
              <w:bottom w:val="single" w:sz="8" w:color="231F20"/>
            </w:tcBorders>
            <w:shd w:val="clear" w:color="auto" w:fill="FDFDFC"/>
          </w:tcPr>
          <w:p>
            <w:pPr>
              <w:spacing w:after="0"/>
              <w:rPr>
                <w:sz w:val="13"/>
                <w:szCs w:val="13"/>
                <w:color w:val="auto"/>
              </w:rPr>
            </w:pPr>
          </w:p>
        </w:tc>
        <w:tc>
          <w:tcPr>
            <w:tcW w:w="5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1"/>
                <w:szCs w:val="11"/>
                <w:color w:val="231F20"/>
              </w:rPr>
              <w:t>(46,268)</w:t>
            </w:r>
          </w:p>
        </w:tc>
        <w:tc>
          <w:tcPr>
            <w:tcW w:w="260" w:type="dxa"/>
            <w:vAlign w:val="bottom"/>
            <w:shd w:val="clear" w:color="auto" w:fill="FDFDFC"/>
          </w:tcPr>
          <w:p>
            <w:pPr>
              <w:spacing w:after="0"/>
              <w:rPr>
                <w:sz w:val="13"/>
                <w:szCs w:val="13"/>
                <w:color w:val="auto"/>
              </w:rPr>
            </w:pPr>
          </w:p>
        </w:tc>
        <w:tc>
          <w:tcPr>
            <w:tcW w:w="320" w:type="dxa"/>
            <w:vAlign w:val="bottom"/>
            <w:tcBorders>
              <w:bottom w:val="single" w:sz="8" w:color="231F20"/>
            </w:tcBorders>
            <w:shd w:val="clear" w:color="auto" w:fill="FDFDFC"/>
          </w:tcPr>
          <w:p>
            <w:pPr>
              <w:spacing w:after="0"/>
              <w:rPr>
                <w:sz w:val="13"/>
                <w:szCs w:val="13"/>
                <w:color w:val="auto"/>
              </w:rPr>
            </w:pPr>
          </w:p>
        </w:tc>
        <w:tc>
          <w:tcPr>
            <w:tcW w:w="76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1"/>
                <w:szCs w:val="11"/>
                <w:color w:val="231F20"/>
              </w:rPr>
              <w:t>1,033,958</w:t>
            </w:r>
          </w:p>
        </w:tc>
        <w:tc>
          <w:tcPr>
            <w:tcW w:w="260" w:type="dxa"/>
            <w:vAlign w:val="bottom"/>
            <w:shd w:val="clear" w:color="auto" w:fill="FDFDFC"/>
          </w:tcPr>
          <w:p>
            <w:pPr>
              <w:spacing w:after="0"/>
              <w:rPr>
                <w:sz w:val="13"/>
                <w:szCs w:val="13"/>
                <w:color w:val="auto"/>
              </w:rPr>
            </w:pPr>
          </w:p>
        </w:tc>
        <w:tc>
          <w:tcPr>
            <w:tcW w:w="400" w:type="dxa"/>
            <w:vAlign w:val="bottom"/>
            <w:tcBorders>
              <w:bottom w:val="single" w:sz="8" w:color="231F20"/>
            </w:tcBorders>
            <w:shd w:val="clear" w:color="auto" w:fill="FDFDFC"/>
          </w:tcPr>
          <w:p>
            <w:pPr>
              <w:spacing w:after="0"/>
              <w:rPr>
                <w:sz w:val="13"/>
                <w:szCs w:val="13"/>
                <w:color w:val="auto"/>
              </w:rPr>
            </w:pPr>
          </w:p>
        </w:tc>
        <w:tc>
          <w:tcPr>
            <w:tcW w:w="6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1"/>
                <w:szCs w:val="11"/>
                <w:color w:val="231F20"/>
              </w:rPr>
              <w:t>(2,066)</w:t>
            </w:r>
          </w:p>
        </w:tc>
        <w:tc>
          <w:tcPr>
            <w:tcW w:w="14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340" w:type="dxa"/>
            <w:vAlign w:val="bottom"/>
            <w:tcBorders>
              <w:bottom w:val="single" w:sz="8" w:color="231F20"/>
            </w:tcBorders>
            <w:shd w:val="clear" w:color="auto" w:fill="FDFDFC"/>
          </w:tcPr>
          <w:p>
            <w:pPr>
              <w:spacing w:after="0"/>
              <w:rPr>
                <w:sz w:val="13"/>
                <w:szCs w:val="13"/>
                <w:color w:val="auto"/>
              </w:rPr>
            </w:pPr>
          </w:p>
        </w:tc>
        <w:tc>
          <w:tcPr>
            <w:tcW w:w="7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1"/>
                <w:szCs w:val="11"/>
                <w:color w:val="231F20"/>
              </w:rPr>
              <w:t>(170,870)</w:t>
            </w:r>
          </w:p>
        </w:tc>
        <w:tc>
          <w:tcPr>
            <w:tcW w:w="260" w:type="dxa"/>
            <w:vAlign w:val="bottom"/>
            <w:shd w:val="clear" w:color="auto" w:fill="FDFDFC"/>
          </w:tcPr>
          <w:p>
            <w:pPr>
              <w:spacing w:after="0"/>
              <w:rPr>
                <w:sz w:val="13"/>
                <w:szCs w:val="13"/>
                <w:color w:val="auto"/>
              </w:rPr>
            </w:pPr>
          </w:p>
        </w:tc>
        <w:tc>
          <w:tcPr>
            <w:tcW w:w="400" w:type="dxa"/>
            <w:vAlign w:val="bottom"/>
            <w:tcBorders>
              <w:bottom w:val="single" w:sz="8" w:color="231F20"/>
            </w:tcBorders>
            <w:shd w:val="clear" w:color="auto" w:fill="FDFDFC"/>
          </w:tcPr>
          <w:p>
            <w:pPr>
              <w:spacing w:after="0"/>
              <w:rPr>
                <w:sz w:val="13"/>
                <w:szCs w:val="13"/>
                <w:color w:val="auto"/>
              </w:rPr>
            </w:pPr>
          </w:p>
        </w:tc>
        <w:tc>
          <w:tcPr>
            <w:tcW w:w="7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1"/>
                <w:szCs w:val="11"/>
                <w:color w:val="231F20"/>
              </w:rPr>
              <w:t>814,767</w:t>
            </w:r>
          </w:p>
        </w:tc>
        <w:tc>
          <w:tcPr>
            <w:tcW w:w="14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Borders>
              <w:bottom w:val="single" w:sz="8" w:color="231F20"/>
            </w:tcBorders>
          </w:tcPr>
          <w:p>
            <w:pPr>
              <w:spacing w:after="0"/>
              <w:rPr>
                <w:sz w:val="9"/>
                <w:szCs w:val="9"/>
                <w:color w:val="auto"/>
              </w:rPr>
            </w:pPr>
          </w:p>
        </w:tc>
        <w:tc>
          <w:tcPr>
            <w:tcW w:w="1640" w:type="dxa"/>
            <w:vAlign w:val="bottom"/>
            <w:tcBorders>
              <w:bottom w:val="single" w:sz="8" w:color="231F20"/>
            </w:tcBorders>
          </w:tcPr>
          <w:p>
            <w:pPr>
              <w:spacing w:after="0"/>
              <w:rPr>
                <w:sz w:val="9"/>
                <w:szCs w:val="9"/>
                <w:color w:val="auto"/>
              </w:rPr>
            </w:pPr>
          </w:p>
        </w:tc>
        <w:tc>
          <w:tcPr>
            <w:tcW w:w="120" w:type="dxa"/>
            <w:vAlign w:val="bottom"/>
            <w:tcBorders>
              <w:bottom w:val="single" w:sz="8" w:color="231F20"/>
            </w:tcBorders>
          </w:tcPr>
          <w:p>
            <w:pPr>
              <w:spacing w:after="0"/>
              <w:rPr>
                <w:sz w:val="9"/>
                <w:szCs w:val="9"/>
                <w:color w:val="auto"/>
              </w:rPr>
            </w:pPr>
          </w:p>
        </w:tc>
        <w:tc>
          <w:tcPr>
            <w:tcW w:w="940" w:type="dxa"/>
            <w:vAlign w:val="bottom"/>
            <w:tcBorders>
              <w:bottom w:val="single" w:sz="8" w:color="231F20"/>
            </w:tcBorders>
          </w:tcPr>
          <w:p>
            <w:pPr>
              <w:spacing w:after="0"/>
              <w:rPr>
                <w:sz w:val="9"/>
                <w:szCs w:val="9"/>
                <w:color w:val="auto"/>
              </w:rPr>
            </w:pPr>
          </w:p>
        </w:tc>
        <w:tc>
          <w:tcPr>
            <w:tcW w:w="280" w:type="dxa"/>
            <w:vAlign w:val="bottom"/>
            <w:tcBorders>
              <w:bottom w:val="single" w:sz="8" w:color="231F20"/>
            </w:tcBorders>
          </w:tcPr>
          <w:p>
            <w:pPr>
              <w:spacing w:after="0"/>
              <w:rPr>
                <w:sz w:val="9"/>
                <w:szCs w:val="9"/>
                <w:color w:val="auto"/>
              </w:rPr>
            </w:pPr>
          </w:p>
        </w:tc>
        <w:tc>
          <w:tcPr>
            <w:tcW w:w="300" w:type="dxa"/>
            <w:vAlign w:val="bottom"/>
            <w:tcBorders>
              <w:bottom w:val="single" w:sz="8" w:color="231F20"/>
            </w:tcBorders>
          </w:tcPr>
          <w:p>
            <w:pPr>
              <w:spacing w:after="0"/>
              <w:rPr>
                <w:sz w:val="9"/>
                <w:szCs w:val="9"/>
                <w:color w:val="auto"/>
              </w:rPr>
            </w:pPr>
          </w:p>
        </w:tc>
        <w:tc>
          <w:tcPr>
            <w:tcW w:w="380" w:type="dxa"/>
            <w:vAlign w:val="bottom"/>
            <w:tcBorders>
              <w:bottom w:val="single" w:sz="8" w:color="231F20"/>
            </w:tcBorders>
          </w:tcPr>
          <w:p>
            <w:pPr>
              <w:spacing w:after="0"/>
              <w:rPr>
                <w:sz w:val="9"/>
                <w:szCs w:val="9"/>
                <w:color w:val="auto"/>
              </w:rPr>
            </w:pPr>
          </w:p>
        </w:tc>
        <w:tc>
          <w:tcPr>
            <w:tcW w:w="260" w:type="dxa"/>
            <w:vAlign w:val="bottom"/>
            <w:tcBorders>
              <w:bottom w:val="single" w:sz="8" w:color="231F20"/>
            </w:tcBorders>
          </w:tcPr>
          <w:p>
            <w:pPr>
              <w:spacing w:after="0"/>
              <w:rPr>
                <w:sz w:val="9"/>
                <w:szCs w:val="9"/>
                <w:color w:val="auto"/>
              </w:rPr>
            </w:pPr>
          </w:p>
        </w:tc>
        <w:tc>
          <w:tcPr>
            <w:tcW w:w="940" w:type="dxa"/>
            <w:vAlign w:val="bottom"/>
            <w:tcBorders>
              <w:bottom w:val="single" w:sz="8" w:color="231F20"/>
            </w:tcBorders>
          </w:tcPr>
          <w:p>
            <w:pPr>
              <w:spacing w:after="0"/>
              <w:rPr>
                <w:sz w:val="9"/>
                <w:szCs w:val="9"/>
                <w:color w:val="auto"/>
              </w:rPr>
            </w:pPr>
          </w:p>
        </w:tc>
        <w:tc>
          <w:tcPr>
            <w:tcW w:w="280" w:type="dxa"/>
            <w:vAlign w:val="bottom"/>
            <w:tcBorders>
              <w:bottom w:val="single" w:sz="8" w:color="231F20"/>
            </w:tcBorders>
          </w:tcPr>
          <w:p>
            <w:pPr>
              <w:spacing w:after="0"/>
              <w:rPr>
                <w:sz w:val="9"/>
                <w:szCs w:val="9"/>
                <w:color w:val="auto"/>
              </w:rPr>
            </w:pPr>
          </w:p>
        </w:tc>
        <w:tc>
          <w:tcPr>
            <w:tcW w:w="300" w:type="dxa"/>
            <w:vAlign w:val="bottom"/>
            <w:tcBorders>
              <w:bottom w:val="single" w:sz="8" w:color="231F20"/>
            </w:tcBorders>
          </w:tcPr>
          <w:p>
            <w:pPr>
              <w:spacing w:after="0"/>
              <w:rPr>
                <w:sz w:val="9"/>
                <w:szCs w:val="9"/>
                <w:color w:val="auto"/>
              </w:rPr>
            </w:pPr>
          </w:p>
        </w:tc>
        <w:tc>
          <w:tcPr>
            <w:tcW w:w="380" w:type="dxa"/>
            <w:vAlign w:val="bottom"/>
            <w:tcBorders>
              <w:bottom w:val="single" w:sz="8" w:color="231F20"/>
            </w:tcBorders>
          </w:tcPr>
          <w:p>
            <w:pPr>
              <w:spacing w:after="0"/>
              <w:rPr>
                <w:sz w:val="9"/>
                <w:szCs w:val="9"/>
                <w:color w:val="auto"/>
              </w:rPr>
            </w:pPr>
          </w:p>
        </w:tc>
        <w:tc>
          <w:tcPr>
            <w:tcW w:w="280" w:type="dxa"/>
            <w:vAlign w:val="bottom"/>
            <w:tcBorders>
              <w:bottom w:val="single" w:sz="8" w:color="231F20"/>
            </w:tcBorders>
          </w:tcPr>
          <w:p>
            <w:pPr>
              <w:spacing w:after="0"/>
              <w:rPr>
                <w:sz w:val="9"/>
                <w:szCs w:val="9"/>
                <w:color w:val="auto"/>
              </w:rPr>
            </w:pPr>
          </w:p>
        </w:tc>
        <w:tc>
          <w:tcPr>
            <w:tcW w:w="720" w:type="dxa"/>
            <w:vAlign w:val="bottom"/>
            <w:tcBorders>
              <w:bottom w:val="single" w:sz="8" w:color="231F2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hanging="100"/>
        <w:spacing w:after="0"/>
        <w:tabs>
          <w:tab w:leader="none" w:pos="120" w:val="left"/>
        </w:tabs>
        <w:numPr>
          <w:ilvl w:val="0"/>
          <w:numId w:val="50"/>
        </w:numPr>
        <w:rPr>
          <w:rFonts w:ascii="Arial" w:cs="Arial" w:eastAsia="Arial" w:hAnsi="Arial"/>
          <w:sz w:val="15"/>
          <w:szCs w:val="15"/>
          <w:color w:val="231F20"/>
        </w:rPr>
      </w:pPr>
      <w:r>
        <w:rPr>
          <w:rFonts w:ascii="Arial" w:cs="Arial" w:eastAsia="Arial" w:hAnsi="Arial"/>
          <w:sz w:val="11"/>
          <w:szCs w:val="11"/>
          <w:color w:val="231F20"/>
        </w:rPr>
        <w:t>All dollar amounts are rounded and as a result, certain amounts may not recalculate using the rounded amounts provided.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The accompanying notes are an integral part of these consolidated financial statements.</w:t>
      </w:r>
    </w:p>
    <w:p>
      <w:pPr>
        <w:sectPr>
          <w:pgSz w:w="15840" w:h="12240" w:orient="landscape"/>
          <w:cols w:equalWidth="0" w:num="1">
            <w:col w:w="13620"/>
          </w:cols>
          <w:pgMar w:left="1100" w:top="1440" w:right="1120" w:bottom="508"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113</w:t>
      </w:r>
    </w:p>
    <w:p>
      <w:pPr>
        <w:sectPr>
          <w:pgSz w:w="15840" w:h="12240" w:orient="landscape"/>
          <w:cols w:equalWidth="0" w:num="1">
            <w:col w:w="13620"/>
          </w:cols>
          <w:pgMar w:left="1100" w:top="1440" w:right="1120" w:bottom="508" w:gutter="0" w:footer="0" w:header="0"/>
          <w:type w:val="continuous"/>
        </w:sectPr>
      </w:pPr>
    </w:p>
    <w:bookmarkStart w:id="114" w:name="page115"/>
    <w:bookmarkEnd w:id="114"/>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FLYWIRE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CONSOLIDATED STATEMENT OF CASH FLOWS</w:t>
      </w:r>
    </w:p>
    <w:p>
      <w:pPr>
        <w:jc w:val="center"/>
        <w:spacing w:after="0"/>
        <w:rPr>
          <w:sz w:val="20"/>
          <w:szCs w:val="20"/>
          <w:color w:val="auto"/>
        </w:rPr>
      </w:pPr>
      <w:r>
        <w:rPr>
          <w:rFonts w:ascii="Arial" w:cs="Arial" w:eastAsia="Arial" w:hAnsi="Arial"/>
          <w:sz w:val="19"/>
          <w:szCs w:val="19"/>
          <w:color w:val="231F20"/>
        </w:rPr>
        <w:t>(Amounts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Borders>
              <w:bottom w:val="single" w:sz="8" w:color="FDFDFC"/>
            </w:tcBorders>
            <w:shd w:val="clear" w:color="auto" w:fill="FDFDFC"/>
          </w:tcPr>
          <w:p>
            <w:pPr>
              <w:spacing w:after="0"/>
              <w:rPr>
                <w:sz w:val="16"/>
                <w:szCs w:val="16"/>
                <w:color w:val="auto"/>
              </w:rPr>
            </w:pPr>
          </w:p>
        </w:tc>
        <w:tc>
          <w:tcPr>
            <w:tcW w:w="140" w:type="dxa"/>
            <w:vAlign w:val="bottom"/>
            <w:tcBorders>
              <w:bottom w:val="single" w:sz="8" w:color="FDFDFC"/>
            </w:tcBorders>
            <w:shd w:val="clear" w:color="auto" w:fill="FDFDFC"/>
          </w:tcPr>
          <w:p>
            <w:pPr>
              <w:spacing w:after="0"/>
              <w:rPr>
                <w:sz w:val="16"/>
                <w:szCs w:val="16"/>
                <w:color w:val="auto"/>
              </w:rPr>
            </w:pPr>
          </w:p>
        </w:tc>
        <w:tc>
          <w:tcPr>
            <w:tcW w:w="260" w:type="dxa"/>
            <w:vAlign w:val="bottom"/>
            <w:tcBorders>
              <w:bottom w:val="single" w:sz="8" w:color="231F20"/>
            </w:tcBorders>
            <w:shd w:val="clear" w:color="auto" w:fill="FDFDFC"/>
          </w:tcPr>
          <w:p>
            <w:pPr>
              <w:spacing w:after="0"/>
              <w:rPr>
                <w:sz w:val="16"/>
                <w:szCs w:val="16"/>
                <w:color w:val="auto"/>
              </w:rPr>
            </w:pPr>
          </w:p>
        </w:tc>
        <w:tc>
          <w:tcPr>
            <w:tcW w:w="2900" w:type="dxa"/>
            <w:vAlign w:val="bottom"/>
            <w:tcBorders>
              <w:bottom w:val="single" w:sz="8" w:color="231F20"/>
            </w:tcBorders>
            <w:gridSpan w:val="8"/>
            <w:shd w:val="clear" w:color="auto" w:fill="FDFDFC"/>
          </w:tcPr>
          <w:p>
            <w:pPr>
              <w:jc w:val="right"/>
              <w:ind w:right="95"/>
              <w:spacing w:after="0"/>
              <w:rPr>
                <w:sz w:val="20"/>
                <w:szCs w:val="20"/>
                <w:color w:val="auto"/>
              </w:rPr>
            </w:pPr>
            <w:r>
              <w:rPr>
                <w:rFonts w:ascii="Arial" w:cs="Arial" w:eastAsia="Arial" w:hAnsi="Arial"/>
                <w:sz w:val="15"/>
                <w:szCs w:val="15"/>
                <w:b w:val="1"/>
                <w:bCs w:val="1"/>
                <w:color w:val="231F20"/>
              </w:rPr>
              <w:t>Year Ended December 31,</w:t>
            </w:r>
          </w:p>
        </w:tc>
        <w:tc>
          <w:tcPr>
            <w:tcW w:w="9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55"/>
              <w:spacing w:after="0"/>
              <w:rPr>
                <w:sz w:val="20"/>
                <w:szCs w:val="20"/>
                <w:color w:val="auto"/>
              </w:rPr>
            </w:pPr>
            <w:r>
              <w:rPr>
                <w:rFonts w:ascii="Arial" w:cs="Arial" w:eastAsia="Arial" w:hAnsi="Arial"/>
                <w:sz w:val="15"/>
                <w:szCs w:val="15"/>
                <w:b w:val="1"/>
                <w:bCs w:val="1"/>
                <w:color w:val="231F20"/>
              </w:rPr>
              <w:t>2024</w:t>
            </w:r>
          </w:p>
        </w:tc>
        <w:tc>
          <w:tcPr>
            <w:tcW w:w="12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55"/>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55"/>
              <w:spacing w:after="0"/>
              <w:rPr>
                <w:sz w:val="20"/>
                <w:szCs w:val="20"/>
                <w:color w:val="auto"/>
              </w:rPr>
            </w:pPr>
            <w:r>
              <w:rPr>
                <w:rFonts w:ascii="Arial" w:cs="Arial" w:eastAsia="Arial" w:hAnsi="Arial"/>
                <w:sz w:val="15"/>
                <w:szCs w:val="15"/>
                <w:b w:val="1"/>
                <w:bCs w:val="1"/>
                <w:color w:val="231F20"/>
              </w:rPr>
              <w:t>2022</w:t>
            </w:r>
          </w:p>
        </w:tc>
        <w:tc>
          <w:tcPr>
            <w:tcW w:w="1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D0EBF2"/>
          </w:tcPr>
          <w:p>
            <w:pPr>
              <w:spacing w:after="0"/>
              <w:rPr>
                <w:sz w:val="20"/>
                <w:szCs w:val="20"/>
                <w:color w:val="auto"/>
              </w:rPr>
            </w:pPr>
            <w:r>
              <w:rPr>
                <w:rFonts w:ascii="Arial" w:cs="Arial" w:eastAsia="Arial" w:hAnsi="Arial"/>
                <w:sz w:val="17"/>
                <w:szCs w:val="17"/>
                <w:b w:val="1"/>
                <w:bCs w:val="1"/>
                <w:color w:val="231F20"/>
              </w:rPr>
              <w:t>Cash flows from operating activities:</w:t>
            </w:r>
          </w:p>
        </w:tc>
        <w:tc>
          <w:tcPr>
            <w:tcW w:w="140" w:type="dxa"/>
            <w:vAlign w:val="bottom"/>
            <w:shd w:val="clear" w:color="auto" w:fill="D0EBF2"/>
          </w:tcPr>
          <w:p>
            <w:pPr>
              <w:spacing w:after="0"/>
              <w:rPr>
                <w:sz w:val="17"/>
                <w:szCs w:val="17"/>
                <w:color w:val="auto"/>
              </w:rPr>
            </w:pPr>
          </w:p>
        </w:tc>
        <w:tc>
          <w:tcPr>
            <w:tcW w:w="260" w:type="dxa"/>
            <w:vAlign w:val="bottom"/>
            <w:shd w:val="clear" w:color="auto" w:fill="D0EBF2"/>
          </w:tcPr>
          <w:p>
            <w:pPr>
              <w:spacing w:after="0"/>
              <w:rPr>
                <w:sz w:val="17"/>
                <w:szCs w:val="17"/>
                <w:color w:val="auto"/>
              </w:rPr>
            </w:pPr>
          </w:p>
        </w:tc>
        <w:tc>
          <w:tcPr>
            <w:tcW w:w="94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260" w:type="dxa"/>
            <w:vAlign w:val="bottom"/>
            <w:shd w:val="clear" w:color="auto" w:fill="D0EBF2"/>
          </w:tcPr>
          <w:p>
            <w:pPr>
              <w:spacing w:after="0"/>
              <w:rPr>
                <w:sz w:val="17"/>
                <w:szCs w:val="17"/>
                <w:color w:val="auto"/>
              </w:rPr>
            </w:pPr>
          </w:p>
        </w:tc>
        <w:tc>
          <w:tcPr>
            <w:tcW w:w="9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260" w:type="dxa"/>
            <w:vAlign w:val="bottom"/>
            <w:shd w:val="clear" w:color="auto" w:fill="D0EBF2"/>
          </w:tcPr>
          <w:p>
            <w:pPr>
              <w:spacing w:after="0"/>
              <w:rPr>
                <w:sz w:val="17"/>
                <w:szCs w:val="17"/>
                <w:color w:val="auto"/>
              </w:rPr>
            </w:pPr>
          </w:p>
        </w:tc>
        <w:tc>
          <w:tcPr>
            <w:tcW w:w="9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spacing w:after="0"/>
              <w:rPr>
                <w:sz w:val="20"/>
                <w:szCs w:val="20"/>
                <w:color w:val="auto"/>
              </w:rPr>
            </w:pPr>
            <w:r>
              <w:rPr>
                <w:rFonts w:ascii="Arial" w:cs="Arial" w:eastAsia="Arial" w:hAnsi="Arial"/>
                <w:sz w:val="17"/>
                <w:szCs w:val="17"/>
                <w:color w:val="231F20"/>
              </w:rPr>
              <w:t>Net income (loss)</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jc w:val="right"/>
              <w:ind w:right="75"/>
              <w:spacing w:after="0"/>
              <w:rPr>
                <w:sz w:val="20"/>
                <w:szCs w:val="20"/>
                <w:color w:val="auto"/>
              </w:rPr>
            </w:pPr>
            <w:r>
              <w:rPr>
                <w:rFonts w:ascii="Arial" w:cs="Arial" w:eastAsia="Arial" w:hAnsi="Arial"/>
                <w:sz w:val="17"/>
                <w:szCs w:val="17"/>
                <w:color w:val="231F20"/>
                <w:w w:val="84"/>
              </w:rPr>
              <w:t>$</w:t>
            </w: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2,900</w:t>
            </w:r>
          </w:p>
        </w:tc>
        <w:tc>
          <w:tcPr>
            <w:tcW w:w="12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jc w:val="right"/>
              <w:ind w:right="106"/>
              <w:spacing w:after="0"/>
              <w:rPr>
                <w:sz w:val="20"/>
                <w:szCs w:val="20"/>
                <w:color w:val="auto"/>
              </w:rPr>
            </w:pPr>
            <w:r>
              <w:rPr>
                <w:rFonts w:ascii="Arial" w:cs="Arial" w:eastAsia="Arial" w:hAnsi="Arial"/>
                <w:sz w:val="15"/>
                <w:szCs w:val="15"/>
                <w:color w:val="231F20"/>
                <w:w w:val="71"/>
              </w:rPr>
              <w:t>$</w:t>
            </w: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(8,566)</w:t>
            </w: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jc w:val="right"/>
              <w:ind w:right="75"/>
              <w:spacing w:after="0"/>
              <w:rPr>
                <w:sz w:val="20"/>
                <w:szCs w:val="20"/>
                <w:color w:val="auto"/>
              </w:rPr>
            </w:pPr>
            <w:r>
              <w:rPr>
                <w:rFonts w:ascii="Arial" w:cs="Arial" w:eastAsia="Arial" w:hAnsi="Arial"/>
                <w:sz w:val="17"/>
                <w:szCs w:val="17"/>
                <w:color w:val="231F20"/>
                <w:w w:val="84"/>
              </w:rPr>
              <w:t>$</w:t>
            </w: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(39,347)</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860" w:type="dxa"/>
            <w:vAlign w:val="bottom"/>
            <w:shd w:val="clear" w:color="auto" w:fill="D0EBF2"/>
          </w:tcPr>
          <w:p>
            <w:pPr>
              <w:spacing w:after="0" w:line="193" w:lineRule="exact"/>
              <w:rPr>
                <w:sz w:val="20"/>
                <w:szCs w:val="20"/>
                <w:color w:val="auto"/>
              </w:rPr>
            </w:pPr>
            <w:r>
              <w:rPr>
                <w:rFonts w:ascii="Arial" w:cs="Arial" w:eastAsia="Arial" w:hAnsi="Arial"/>
                <w:sz w:val="17"/>
                <w:szCs w:val="17"/>
                <w:color w:val="231F20"/>
              </w:rPr>
              <w:t>Adjustments to reconcile net income (loss) to net cash provided by</w:t>
            </w:r>
          </w:p>
        </w:tc>
        <w:tc>
          <w:tcPr>
            <w:tcW w:w="140" w:type="dxa"/>
            <w:vAlign w:val="bottom"/>
            <w:shd w:val="clear" w:color="auto" w:fill="D0EBF2"/>
          </w:tcPr>
          <w:p>
            <w:pPr>
              <w:spacing w:after="0"/>
              <w:rPr>
                <w:sz w:val="16"/>
                <w:szCs w:val="16"/>
                <w:color w:val="auto"/>
              </w:rPr>
            </w:pPr>
          </w:p>
        </w:tc>
        <w:tc>
          <w:tcPr>
            <w:tcW w:w="260" w:type="dxa"/>
            <w:vAlign w:val="bottom"/>
            <w:shd w:val="clear" w:color="auto" w:fill="D0EBF2"/>
          </w:tcPr>
          <w:p>
            <w:pPr>
              <w:spacing w:after="0"/>
              <w:rPr>
                <w:sz w:val="16"/>
                <w:szCs w:val="16"/>
                <w:color w:val="auto"/>
              </w:rPr>
            </w:pPr>
          </w:p>
        </w:tc>
        <w:tc>
          <w:tcPr>
            <w:tcW w:w="94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260" w:type="dxa"/>
            <w:vAlign w:val="bottom"/>
            <w:shd w:val="clear" w:color="auto" w:fill="D0EBF2"/>
          </w:tcPr>
          <w:p>
            <w:pPr>
              <w:spacing w:after="0"/>
              <w:rPr>
                <w:sz w:val="16"/>
                <w:szCs w:val="16"/>
                <w:color w:val="auto"/>
              </w:rPr>
            </w:pPr>
          </w:p>
        </w:tc>
        <w:tc>
          <w:tcPr>
            <w:tcW w:w="94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260" w:type="dxa"/>
            <w:vAlign w:val="bottom"/>
            <w:shd w:val="clear" w:color="auto" w:fill="D0EBF2"/>
          </w:tcPr>
          <w:p>
            <w:pPr>
              <w:spacing w:after="0"/>
              <w:rPr>
                <w:sz w:val="16"/>
                <w:szCs w:val="16"/>
                <w:color w:val="auto"/>
              </w:rPr>
            </w:pPr>
          </w:p>
        </w:tc>
        <w:tc>
          <w:tcPr>
            <w:tcW w:w="94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60" w:type="dxa"/>
            <w:vAlign w:val="bottom"/>
            <w:shd w:val="clear" w:color="auto" w:fill="D0EBF2"/>
          </w:tcPr>
          <w:p>
            <w:pPr>
              <w:ind w:left="140"/>
              <w:spacing w:after="0"/>
              <w:rPr>
                <w:sz w:val="20"/>
                <w:szCs w:val="20"/>
                <w:color w:val="auto"/>
              </w:rPr>
            </w:pPr>
            <w:r>
              <w:rPr>
                <w:rFonts w:ascii="Arial" w:cs="Arial" w:eastAsia="Arial" w:hAnsi="Arial"/>
                <w:sz w:val="17"/>
                <w:szCs w:val="17"/>
                <w:color w:val="231F20"/>
              </w:rPr>
              <w:t>operating activities:</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ind w:left="180"/>
              <w:spacing w:after="0"/>
              <w:rPr>
                <w:sz w:val="20"/>
                <w:szCs w:val="20"/>
                <w:color w:val="auto"/>
              </w:rPr>
            </w:pPr>
            <w:r>
              <w:rPr>
                <w:rFonts w:ascii="Arial" w:cs="Arial" w:eastAsia="Arial" w:hAnsi="Arial"/>
                <w:sz w:val="17"/>
                <w:szCs w:val="17"/>
                <w:color w:val="231F20"/>
              </w:rPr>
              <w:t>Depreciation and amortization</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17,363</w:t>
            </w:r>
          </w:p>
        </w:tc>
        <w:tc>
          <w:tcPr>
            <w:tcW w:w="12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15,764</w:t>
            </w: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12,304</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D0EBF2"/>
          </w:tcPr>
          <w:p>
            <w:pPr>
              <w:ind w:left="180"/>
              <w:spacing w:after="0"/>
              <w:rPr>
                <w:sz w:val="20"/>
                <w:szCs w:val="20"/>
                <w:color w:val="auto"/>
              </w:rPr>
            </w:pPr>
            <w:r>
              <w:rPr>
                <w:rFonts w:ascii="Arial" w:cs="Arial" w:eastAsia="Arial" w:hAnsi="Arial"/>
                <w:sz w:val="17"/>
                <w:szCs w:val="17"/>
                <w:color w:val="231F20"/>
              </w:rPr>
              <w:t>Stock-based compensation expense</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64,933</w:t>
            </w: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43,726</w:t>
            </w: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30,259</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ind w:left="180"/>
              <w:spacing w:after="0"/>
              <w:rPr>
                <w:sz w:val="20"/>
                <w:szCs w:val="20"/>
                <w:color w:val="auto"/>
              </w:rPr>
            </w:pPr>
            <w:r>
              <w:rPr>
                <w:rFonts w:ascii="Arial" w:cs="Arial" w:eastAsia="Arial" w:hAnsi="Arial"/>
                <w:sz w:val="17"/>
                <w:szCs w:val="17"/>
                <w:color w:val="231F20"/>
              </w:rPr>
              <w:t>Amortization of deferred contract costs</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972</w:t>
            </w:r>
          </w:p>
        </w:tc>
        <w:tc>
          <w:tcPr>
            <w:tcW w:w="12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1,789</w:t>
            </w: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1,799</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D0EBF2"/>
          </w:tcPr>
          <w:p>
            <w:pPr>
              <w:ind w:left="180"/>
              <w:spacing w:after="0"/>
              <w:rPr>
                <w:sz w:val="20"/>
                <w:szCs w:val="20"/>
                <w:color w:val="auto"/>
              </w:rPr>
            </w:pPr>
            <w:r>
              <w:rPr>
                <w:rFonts w:ascii="Arial" w:cs="Arial" w:eastAsia="Arial" w:hAnsi="Arial"/>
                <w:sz w:val="17"/>
                <w:szCs w:val="17"/>
                <w:color w:val="231F20"/>
              </w:rPr>
              <w:t>Change in fair value of contingent consideration</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60" w:type="dxa"/>
            <w:vAlign w:val="bottom"/>
            <w:gridSpan w:val="2"/>
            <w:shd w:val="clear" w:color="auto" w:fill="D0EBF2"/>
          </w:tcPr>
          <w:p>
            <w:pPr>
              <w:jc w:val="right"/>
              <w:ind w:right="60"/>
              <w:spacing w:after="0"/>
              <w:rPr>
                <w:sz w:val="20"/>
                <w:szCs w:val="20"/>
                <w:color w:val="auto"/>
              </w:rPr>
            </w:pPr>
            <w:r>
              <w:rPr>
                <w:rFonts w:ascii="Arial" w:cs="Arial" w:eastAsia="Arial" w:hAnsi="Arial"/>
                <w:sz w:val="17"/>
                <w:szCs w:val="17"/>
                <w:color w:val="231F20"/>
              </w:rPr>
              <w:t>(978)</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380</w:t>
            </w: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(2,805)</w:t>
            </w: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ind w:left="180"/>
              <w:spacing w:after="0"/>
              <w:rPr>
                <w:sz w:val="20"/>
                <w:szCs w:val="20"/>
                <w:color w:val="auto"/>
              </w:rPr>
            </w:pPr>
            <w:r>
              <w:rPr>
                <w:rFonts w:ascii="Arial" w:cs="Arial" w:eastAsia="Arial" w:hAnsi="Arial"/>
                <w:sz w:val="17"/>
                <w:szCs w:val="17"/>
                <w:color w:val="231F20"/>
              </w:rPr>
              <w:t>Deferred tax (benefit) provision</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60" w:type="dxa"/>
            <w:vAlign w:val="bottom"/>
            <w:gridSpan w:val="2"/>
            <w:shd w:val="clear" w:color="auto" w:fill="FDFDFC"/>
          </w:tcPr>
          <w:p>
            <w:pPr>
              <w:jc w:val="right"/>
              <w:ind w:right="60"/>
              <w:spacing w:after="0"/>
              <w:rPr>
                <w:sz w:val="20"/>
                <w:szCs w:val="20"/>
                <w:color w:val="auto"/>
              </w:rPr>
            </w:pPr>
            <w:r>
              <w:rPr>
                <w:rFonts w:ascii="Arial" w:cs="Arial" w:eastAsia="Arial" w:hAnsi="Arial"/>
                <w:sz w:val="17"/>
                <w:szCs w:val="17"/>
                <w:color w:val="231F20"/>
              </w:rPr>
              <w:t>(8,794)</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72</w:t>
            </w: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7"/>
                <w:szCs w:val="17"/>
                <w:color w:val="231F20"/>
              </w:rPr>
              <w:t>(1,708)</w:t>
            </w:r>
          </w:p>
        </w:tc>
        <w:tc>
          <w:tcPr>
            <w:tcW w:w="0" w:type="dxa"/>
            <w:vAlign w:val="bottom"/>
          </w:tcPr>
          <w:p>
            <w:pPr>
              <w:spacing w:after="0"/>
              <w:rPr>
                <w:sz w:val="1"/>
                <w:szCs w:val="1"/>
                <w:color w:val="auto"/>
              </w:rPr>
            </w:pPr>
          </w:p>
        </w:tc>
      </w:tr>
      <w:tr>
        <w:trPr>
          <w:trHeight w:val="209"/>
        </w:trPr>
        <w:tc>
          <w:tcPr>
            <w:tcW w:w="5860" w:type="dxa"/>
            <w:vAlign w:val="bottom"/>
            <w:shd w:val="clear" w:color="auto" w:fill="D0EBF2"/>
          </w:tcPr>
          <w:p>
            <w:pPr>
              <w:ind w:left="180"/>
              <w:spacing w:after="0"/>
              <w:rPr>
                <w:sz w:val="20"/>
                <w:szCs w:val="20"/>
                <w:color w:val="auto"/>
              </w:rPr>
            </w:pPr>
            <w:r>
              <w:rPr>
                <w:rFonts w:ascii="Arial" w:cs="Arial" w:eastAsia="Arial" w:hAnsi="Arial"/>
                <w:sz w:val="17"/>
                <w:szCs w:val="17"/>
                <w:color w:val="231F20"/>
              </w:rPr>
              <w:t>Provision for uncollectible accounts</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60" w:type="dxa"/>
            <w:vAlign w:val="bottom"/>
            <w:gridSpan w:val="2"/>
            <w:shd w:val="clear" w:color="auto" w:fill="D0EBF2"/>
          </w:tcPr>
          <w:p>
            <w:pPr>
              <w:jc w:val="right"/>
              <w:ind w:right="60"/>
              <w:spacing w:after="0"/>
              <w:rPr>
                <w:sz w:val="20"/>
                <w:szCs w:val="20"/>
                <w:color w:val="auto"/>
              </w:rPr>
            </w:pPr>
            <w:r>
              <w:rPr>
                <w:rFonts w:ascii="Arial" w:cs="Arial" w:eastAsia="Arial" w:hAnsi="Arial"/>
                <w:sz w:val="17"/>
                <w:szCs w:val="17"/>
                <w:color w:val="231F20"/>
              </w:rPr>
              <w:t>(83)</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326</w:t>
            </w: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152</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ind w:left="180"/>
              <w:spacing w:after="0"/>
              <w:rPr>
                <w:sz w:val="20"/>
                <w:szCs w:val="20"/>
                <w:color w:val="auto"/>
              </w:rPr>
            </w:pPr>
            <w:r>
              <w:rPr>
                <w:rFonts w:ascii="Arial" w:cs="Arial" w:eastAsia="Arial" w:hAnsi="Arial"/>
                <w:sz w:val="17"/>
                <w:szCs w:val="17"/>
                <w:color w:val="231F20"/>
              </w:rPr>
              <w:t>Non-cash interest income</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60" w:type="dxa"/>
            <w:vAlign w:val="bottom"/>
            <w:gridSpan w:val="2"/>
            <w:shd w:val="clear" w:color="auto" w:fill="FDFDFC"/>
          </w:tcPr>
          <w:p>
            <w:pPr>
              <w:jc w:val="right"/>
              <w:ind w:right="60"/>
              <w:spacing w:after="0"/>
              <w:rPr>
                <w:sz w:val="20"/>
                <w:szCs w:val="20"/>
                <w:color w:val="auto"/>
              </w:rPr>
            </w:pPr>
            <w:r>
              <w:rPr>
                <w:rFonts w:ascii="Arial" w:cs="Arial" w:eastAsia="Arial" w:hAnsi="Arial"/>
                <w:sz w:val="17"/>
                <w:szCs w:val="17"/>
                <w:color w:val="231F20"/>
              </w:rPr>
              <w:t>(1,435)</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120"/>
              <w:spacing w:after="0"/>
              <w:rPr>
                <w:sz w:val="20"/>
                <w:szCs w:val="20"/>
                <w:color w:val="auto"/>
              </w:rPr>
            </w:pPr>
            <w:r>
              <w:rPr>
                <w:rFonts w:ascii="Arial" w:cs="Arial" w:eastAsia="Arial" w:hAnsi="Arial"/>
                <w:sz w:val="17"/>
                <w:szCs w:val="17"/>
                <w:color w:val="231F20"/>
              </w:rPr>
              <w:t>—</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120"/>
              <w:spacing w:after="0"/>
              <w:rPr>
                <w:sz w:val="20"/>
                <w:szCs w:val="20"/>
                <w:color w:val="auto"/>
              </w:rPr>
            </w:pPr>
            <w:r>
              <w:rPr>
                <w:rFonts w:ascii="Arial" w:cs="Arial" w:eastAsia="Arial" w:hAnsi="Arial"/>
                <w:sz w:val="17"/>
                <w:szCs w:val="17"/>
                <w:color w:val="231F20"/>
              </w:rPr>
              <w:t>—</w:t>
            </w:r>
          </w:p>
        </w:tc>
        <w:tc>
          <w:tcPr>
            <w:tcW w:w="0" w:type="dxa"/>
            <w:vAlign w:val="bottom"/>
          </w:tcPr>
          <w:p>
            <w:pPr>
              <w:spacing w:after="0"/>
              <w:rPr>
                <w:sz w:val="1"/>
                <w:szCs w:val="1"/>
                <w:color w:val="auto"/>
              </w:rPr>
            </w:pPr>
          </w:p>
        </w:tc>
      </w:tr>
      <w:tr>
        <w:trPr>
          <w:trHeight w:val="209"/>
        </w:trPr>
        <w:tc>
          <w:tcPr>
            <w:tcW w:w="5860" w:type="dxa"/>
            <w:vAlign w:val="bottom"/>
            <w:shd w:val="clear" w:color="auto" w:fill="D0EBF2"/>
          </w:tcPr>
          <w:p>
            <w:pPr>
              <w:ind w:left="180"/>
              <w:spacing w:after="0"/>
              <w:rPr>
                <w:sz w:val="20"/>
                <w:szCs w:val="20"/>
                <w:color w:val="auto"/>
              </w:rPr>
            </w:pPr>
            <w:r>
              <w:rPr>
                <w:rFonts w:ascii="Arial" w:cs="Arial" w:eastAsia="Arial" w:hAnsi="Arial"/>
                <w:sz w:val="17"/>
                <w:szCs w:val="17"/>
                <w:color w:val="231F20"/>
              </w:rPr>
              <w:t>Non-cash interest expense</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230</w:t>
            </w: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298</w:t>
            </w: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348</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ind w:left="180"/>
              <w:spacing w:after="0"/>
              <w:rPr>
                <w:sz w:val="20"/>
                <w:szCs w:val="20"/>
                <w:color w:val="auto"/>
              </w:rPr>
            </w:pPr>
            <w:r>
              <w:rPr>
                <w:rFonts w:ascii="Arial" w:cs="Arial" w:eastAsia="Arial" w:hAnsi="Arial"/>
                <w:sz w:val="17"/>
                <w:szCs w:val="17"/>
                <w:color w:val="231F20"/>
              </w:rPr>
              <w:t>Changes in operating assets and liabilities, net of acquisitions:</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D0EBF2"/>
          </w:tcPr>
          <w:p>
            <w:pPr>
              <w:ind w:left="380"/>
              <w:spacing w:after="0"/>
              <w:rPr>
                <w:sz w:val="20"/>
                <w:szCs w:val="20"/>
                <w:color w:val="auto"/>
              </w:rPr>
            </w:pPr>
            <w:r>
              <w:rPr>
                <w:rFonts w:ascii="Arial" w:cs="Arial" w:eastAsia="Arial" w:hAnsi="Arial"/>
                <w:sz w:val="17"/>
                <w:szCs w:val="17"/>
                <w:color w:val="231F20"/>
              </w:rPr>
              <w:t>Accounts receivable</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60" w:type="dxa"/>
            <w:vAlign w:val="bottom"/>
            <w:gridSpan w:val="2"/>
            <w:shd w:val="clear" w:color="auto" w:fill="D0EBF2"/>
          </w:tcPr>
          <w:p>
            <w:pPr>
              <w:jc w:val="right"/>
              <w:ind w:right="60"/>
              <w:spacing w:after="0"/>
              <w:rPr>
                <w:sz w:val="20"/>
                <w:szCs w:val="20"/>
                <w:color w:val="auto"/>
              </w:rPr>
            </w:pPr>
            <w:r>
              <w:rPr>
                <w:rFonts w:ascii="Arial" w:cs="Arial" w:eastAsia="Arial" w:hAnsi="Arial"/>
                <w:sz w:val="17"/>
                <w:szCs w:val="17"/>
                <w:color w:val="231F20"/>
              </w:rPr>
              <w:t>(5,292)</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(2,082)</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(323)</w:t>
            </w: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ind w:left="380"/>
              <w:spacing w:after="0"/>
              <w:rPr>
                <w:sz w:val="20"/>
                <w:szCs w:val="20"/>
                <w:color w:val="auto"/>
              </w:rPr>
            </w:pPr>
            <w:r>
              <w:rPr>
                <w:rFonts w:ascii="Arial" w:cs="Arial" w:eastAsia="Arial" w:hAnsi="Arial"/>
                <w:sz w:val="17"/>
                <w:szCs w:val="17"/>
                <w:color w:val="231F20"/>
              </w:rPr>
              <w:t>Unbilled receivables</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60" w:type="dxa"/>
            <w:vAlign w:val="bottom"/>
            <w:gridSpan w:val="2"/>
            <w:shd w:val="clear" w:color="auto" w:fill="FDFDFC"/>
          </w:tcPr>
          <w:p>
            <w:pPr>
              <w:jc w:val="right"/>
              <w:ind w:right="60"/>
              <w:spacing w:after="0"/>
              <w:rPr>
                <w:sz w:val="20"/>
                <w:szCs w:val="20"/>
                <w:color w:val="auto"/>
              </w:rPr>
            </w:pPr>
            <w:r>
              <w:rPr>
                <w:rFonts w:ascii="Arial" w:cs="Arial" w:eastAsia="Arial" w:hAnsi="Arial"/>
                <w:sz w:val="17"/>
                <w:szCs w:val="17"/>
                <w:color w:val="231F20"/>
              </w:rPr>
              <w:t>(4,764)</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7"/>
                <w:szCs w:val="17"/>
                <w:color w:val="231F20"/>
              </w:rPr>
              <w:t>(5,394)</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7"/>
                <w:szCs w:val="17"/>
                <w:color w:val="231F20"/>
              </w:rPr>
              <w:t>(1,928)</w:t>
            </w:r>
          </w:p>
        </w:tc>
        <w:tc>
          <w:tcPr>
            <w:tcW w:w="0" w:type="dxa"/>
            <w:vAlign w:val="bottom"/>
          </w:tcPr>
          <w:p>
            <w:pPr>
              <w:spacing w:after="0"/>
              <w:rPr>
                <w:sz w:val="1"/>
                <w:szCs w:val="1"/>
                <w:color w:val="auto"/>
              </w:rPr>
            </w:pPr>
          </w:p>
        </w:tc>
      </w:tr>
      <w:tr>
        <w:trPr>
          <w:trHeight w:val="209"/>
        </w:trPr>
        <w:tc>
          <w:tcPr>
            <w:tcW w:w="5860" w:type="dxa"/>
            <w:vAlign w:val="bottom"/>
            <w:shd w:val="clear" w:color="auto" w:fill="D0EBF2"/>
          </w:tcPr>
          <w:p>
            <w:pPr>
              <w:ind w:left="380"/>
              <w:spacing w:after="0"/>
              <w:rPr>
                <w:sz w:val="20"/>
                <w:szCs w:val="20"/>
                <w:color w:val="auto"/>
              </w:rPr>
            </w:pPr>
            <w:r>
              <w:rPr>
                <w:rFonts w:ascii="Arial" w:cs="Arial" w:eastAsia="Arial" w:hAnsi="Arial"/>
                <w:sz w:val="17"/>
                <w:szCs w:val="17"/>
                <w:color w:val="231F20"/>
              </w:rPr>
              <w:t>Funds receivable from payment partners</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23,835</w:t>
            </w: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(50,975)</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(30,917)</w:t>
            </w: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ind w:left="380"/>
              <w:spacing w:after="0"/>
              <w:rPr>
                <w:sz w:val="20"/>
                <w:szCs w:val="20"/>
                <w:color w:val="auto"/>
              </w:rPr>
            </w:pPr>
            <w:r>
              <w:rPr>
                <w:rFonts w:ascii="Arial" w:cs="Arial" w:eastAsia="Arial" w:hAnsi="Arial"/>
                <w:sz w:val="17"/>
                <w:szCs w:val="17"/>
                <w:color w:val="231F20"/>
              </w:rPr>
              <w:t>Prepaid expenses, other current assets and other assets</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60" w:type="dxa"/>
            <w:vAlign w:val="bottom"/>
            <w:gridSpan w:val="2"/>
            <w:shd w:val="clear" w:color="auto" w:fill="FDFDFC"/>
          </w:tcPr>
          <w:p>
            <w:pPr>
              <w:jc w:val="right"/>
              <w:ind w:right="60"/>
              <w:spacing w:after="0"/>
              <w:rPr>
                <w:sz w:val="20"/>
                <w:szCs w:val="20"/>
                <w:color w:val="auto"/>
              </w:rPr>
            </w:pPr>
            <w:r>
              <w:rPr>
                <w:rFonts w:ascii="Arial" w:cs="Arial" w:eastAsia="Arial" w:hAnsi="Arial"/>
                <w:sz w:val="17"/>
                <w:szCs w:val="17"/>
                <w:color w:val="231F20"/>
              </w:rPr>
              <w:t>(5,322)</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7"/>
                <w:szCs w:val="17"/>
                <w:color w:val="231F20"/>
              </w:rPr>
              <w:t>(4,279)</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7"/>
                <w:szCs w:val="17"/>
                <w:color w:val="231F20"/>
              </w:rPr>
              <w:t>(11,318)</w:t>
            </w:r>
          </w:p>
        </w:tc>
        <w:tc>
          <w:tcPr>
            <w:tcW w:w="0" w:type="dxa"/>
            <w:vAlign w:val="bottom"/>
          </w:tcPr>
          <w:p>
            <w:pPr>
              <w:spacing w:after="0"/>
              <w:rPr>
                <w:sz w:val="1"/>
                <w:szCs w:val="1"/>
                <w:color w:val="auto"/>
              </w:rPr>
            </w:pPr>
          </w:p>
        </w:tc>
      </w:tr>
      <w:tr>
        <w:trPr>
          <w:trHeight w:val="209"/>
        </w:trPr>
        <w:tc>
          <w:tcPr>
            <w:tcW w:w="5860" w:type="dxa"/>
            <w:vAlign w:val="bottom"/>
            <w:shd w:val="clear" w:color="auto" w:fill="D0EBF2"/>
          </w:tcPr>
          <w:p>
            <w:pPr>
              <w:ind w:left="380"/>
              <w:spacing w:after="0"/>
              <w:rPr>
                <w:sz w:val="20"/>
                <w:szCs w:val="20"/>
                <w:color w:val="auto"/>
              </w:rPr>
            </w:pPr>
            <w:r>
              <w:rPr>
                <w:rFonts w:ascii="Arial" w:cs="Arial" w:eastAsia="Arial" w:hAnsi="Arial"/>
                <w:sz w:val="17"/>
                <w:szCs w:val="17"/>
                <w:color w:val="231F20"/>
              </w:rPr>
              <w:t>Funds payable to clients</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6,867</w:t>
            </w: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86,616</w:t>
            </w: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48,932</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ind w:left="380"/>
              <w:spacing w:after="0"/>
              <w:rPr>
                <w:sz w:val="20"/>
                <w:szCs w:val="20"/>
                <w:color w:val="auto"/>
              </w:rPr>
            </w:pPr>
            <w:r>
              <w:rPr>
                <w:rFonts w:ascii="Arial" w:cs="Arial" w:eastAsia="Arial" w:hAnsi="Arial"/>
                <w:sz w:val="17"/>
                <w:szCs w:val="17"/>
                <w:color w:val="231F20"/>
              </w:rPr>
              <w:t>Accounts payable, accrued expenses and other current liabilities</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3,302</w:t>
            </w:r>
          </w:p>
        </w:tc>
        <w:tc>
          <w:tcPr>
            <w:tcW w:w="12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5,548</w:t>
            </w: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6,761</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D0EBF2"/>
          </w:tcPr>
          <w:p>
            <w:pPr>
              <w:ind w:left="380"/>
              <w:spacing w:after="0"/>
              <w:rPr>
                <w:sz w:val="20"/>
                <w:szCs w:val="20"/>
                <w:color w:val="auto"/>
              </w:rPr>
            </w:pPr>
            <w:r>
              <w:rPr>
                <w:rFonts w:ascii="Arial" w:cs="Arial" w:eastAsia="Arial" w:hAnsi="Arial"/>
                <w:sz w:val="17"/>
                <w:szCs w:val="17"/>
                <w:color w:val="231F20"/>
              </w:rPr>
              <w:t>Contingent consideration</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60" w:type="dxa"/>
            <w:vAlign w:val="bottom"/>
            <w:gridSpan w:val="2"/>
            <w:shd w:val="clear" w:color="auto" w:fill="D0EBF2"/>
          </w:tcPr>
          <w:p>
            <w:pPr>
              <w:jc w:val="right"/>
              <w:ind w:right="60"/>
              <w:spacing w:after="0"/>
              <w:rPr>
                <w:sz w:val="20"/>
                <w:szCs w:val="20"/>
                <w:color w:val="auto"/>
              </w:rPr>
            </w:pPr>
            <w:r>
              <w:rPr>
                <w:rFonts w:ascii="Arial" w:cs="Arial" w:eastAsia="Arial" w:hAnsi="Arial"/>
                <w:sz w:val="17"/>
                <w:szCs w:val="17"/>
                <w:color w:val="231F20"/>
              </w:rPr>
              <w:t>(93)</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(467)</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(4,510)</w:t>
            </w: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ind w:left="380"/>
              <w:spacing w:after="0"/>
              <w:rPr>
                <w:sz w:val="20"/>
                <w:szCs w:val="20"/>
                <w:color w:val="auto"/>
              </w:rPr>
            </w:pPr>
            <w:r>
              <w:rPr>
                <w:rFonts w:ascii="Arial" w:cs="Arial" w:eastAsia="Arial" w:hAnsi="Arial"/>
                <w:sz w:val="17"/>
                <w:szCs w:val="17"/>
                <w:color w:val="231F20"/>
              </w:rPr>
              <w:t>Other liabilities</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60" w:type="dxa"/>
            <w:vAlign w:val="bottom"/>
            <w:gridSpan w:val="2"/>
            <w:shd w:val="clear" w:color="auto" w:fill="FDFDFC"/>
          </w:tcPr>
          <w:p>
            <w:pPr>
              <w:jc w:val="right"/>
              <w:ind w:right="60"/>
              <w:spacing w:after="0"/>
              <w:rPr>
                <w:sz w:val="20"/>
                <w:szCs w:val="20"/>
                <w:color w:val="auto"/>
              </w:rPr>
            </w:pPr>
            <w:r>
              <w:rPr>
                <w:rFonts w:ascii="Arial" w:cs="Arial" w:eastAsia="Arial" w:hAnsi="Arial"/>
                <w:sz w:val="17"/>
                <w:szCs w:val="17"/>
                <w:color w:val="231F20"/>
              </w:rPr>
              <w:t>(1,543)</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7"/>
                <w:szCs w:val="17"/>
                <w:color w:val="231F20"/>
              </w:rPr>
              <w:t>(1,260)</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7"/>
                <w:szCs w:val="17"/>
                <w:color w:val="231F20"/>
              </w:rPr>
              <w:t>(1,872)</w:t>
            </w:r>
          </w:p>
        </w:tc>
        <w:tc>
          <w:tcPr>
            <w:tcW w:w="0" w:type="dxa"/>
            <w:vAlign w:val="bottom"/>
          </w:tcPr>
          <w:p>
            <w:pPr>
              <w:spacing w:after="0"/>
              <w:rPr>
                <w:sz w:val="1"/>
                <w:szCs w:val="1"/>
                <w:color w:val="auto"/>
              </w:rPr>
            </w:pPr>
          </w:p>
        </w:tc>
      </w:tr>
      <w:tr>
        <w:trPr>
          <w:trHeight w:val="229"/>
        </w:trPr>
        <w:tc>
          <w:tcPr>
            <w:tcW w:w="5860" w:type="dxa"/>
            <w:vAlign w:val="bottom"/>
            <w:shd w:val="clear" w:color="auto" w:fill="D0EBF2"/>
          </w:tcPr>
          <w:p>
            <w:pPr>
              <w:ind w:left="380"/>
              <w:spacing w:after="0"/>
              <w:rPr>
                <w:sz w:val="20"/>
                <w:szCs w:val="20"/>
                <w:color w:val="auto"/>
              </w:rPr>
            </w:pPr>
            <w:r>
              <w:rPr>
                <w:rFonts w:ascii="Arial" w:cs="Arial" w:eastAsia="Arial" w:hAnsi="Arial"/>
                <w:sz w:val="17"/>
                <w:szCs w:val="17"/>
                <w:color w:val="231F20"/>
              </w:rPr>
              <w:t>Deferred revenue</w:t>
            </w: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spacing w:after="0"/>
              <w:rPr>
                <w:sz w:val="19"/>
                <w:szCs w:val="19"/>
                <w:color w:val="auto"/>
              </w:rPr>
            </w:pPr>
          </w:p>
        </w:tc>
        <w:tc>
          <w:tcPr>
            <w:tcW w:w="1060" w:type="dxa"/>
            <w:vAlign w:val="bottom"/>
            <w:gridSpan w:val="2"/>
            <w:shd w:val="clear" w:color="auto" w:fill="D0EBF2"/>
          </w:tcPr>
          <w:p>
            <w:pPr>
              <w:jc w:val="right"/>
              <w:ind w:right="60"/>
              <w:spacing w:after="0"/>
              <w:rPr>
                <w:sz w:val="20"/>
                <w:szCs w:val="20"/>
                <w:color w:val="auto"/>
              </w:rPr>
            </w:pPr>
            <w:r>
              <w:rPr>
                <w:rFonts w:ascii="Arial" w:cs="Arial" w:eastAsia="Arial" w:hAnsi="Arial"/>
                <w:sz w:val="17"/>
                <w:szCs w:val="17"/>
                <w:color w:val="231F20"/>
              </w:rPr>
              <w:t>(630)</w:t>
            </w: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spacing w:after="0"/>
              <w:rPr>
                <w:sz w:val="19"/>
                <w:szCs w:val="19"/>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(871)</w:t>
            </w: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spacing w:after="0"/>
              <w:rPr>
                <w:sz w:val="19"/>
                <w:szCs w:val="19"/>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(400)</w:t>
            </w:r>
          </w:p>
        </w:tc>
        <w:tc>
          <w:tcPr>
            <w:tcW w:w="0" w:type="dxa"/>
            <w:vAlign w:val="bottom"/>
          </w:tcPr>
          <w:p>
            <w:pPr>
              <w:spacing w:after="0"/>
              <w:rPr>
                <w:sz w:val="1"/>
                <w:szCs w:val="1"/>
                <w:color w:val="auto"/>
              </w:rPr>
            </w:pPr>
          </w:p>
        </w:tc>
      </w:tr>
      <w:tr>
        <w:trPr>
          <w:trHeight w:val="178"/>
        </w:trPr>
        <w:tc>
          <w:tcPr>
            <w:tcW w:w="5860" w:type="dxa"/>
            <w:vAlign w:val="bottom"/>
            <w:tcBorders>
              <w:top w:val="single" w:sz="8" w:color="D0EBF2"/>
              <w:bottom w:val="single" w:sz="8" w:color="D0EBF2"/>
            </w:tcBorders>
            <w:shd w:val="clear" w:color="auto" w:fill="FDFDFC"/>
          </w:tcPr>
          <w:p>
            <w:pPr>
              <w:ind w:left="560"/>
              <w:spacing w:after="0" w:line="178" w:lineRule="exact"/>
              <w:rPr>
                <w:sz w:val="20"/>
                <w:szCs w:val="20"/>
                <w:color w:val="auto"/>
              </w:rPr>
            </w:pPr>
            <w:r>
              <w:rPr>
                <w:rFonts w:ascii="Arial" w:cs="Arial" w:eastAsia="Arial" w:hAnsi="Arial"/>
                <w:sz w:val="17"/>
                <w:szCs w:val="17"/>
                <w:color w:val="231F20"/>
              </w:rPr>
              <w:t>Net cash provided by operating activities</w:t>
            </w:r>
          </w:p>
        </w:tc>
        <w:tc>
          <w:tcPr>
            <w:tcW w:w="140" w:type="dxa"/>
            <w:vAlign w:val="bottom"/>
            <w:tcBorders>
              <w:top w:val="single" w:sz="8" w:color="D0EBF2"/>
              <w:bottom w:val="single" w:sz="8" w:color="D0EBF2"/>
            </w:tcBorders>
            <w:shd w:val="clear" w:color="auto" w:fill="FDFDFC"/>
          </w:tcPr>
          <w:p>
            <w:pPr>
              <w:spacing w:after="0"/>
              <w:rPr>
                <w:sz w:val="15"/>
                <w:szCs w:val="15"/>
                <w:color w:val="auto"/>
              </w:rPr>
            </w:pPr>
          </w:p>
        </w:tc>
        <w:tc>
          <w:tcPr>
            <w:tcW w:w="260" w:type="dxa"/>
            <w:vAlign w:val="bottom"/>
            <w:tcBorders>
              <w:top w:val="single" w:sz="8" w:color="231F20"/>
              <w:bottom w:val="single" w:sz="8" w:color="231F20"/>
            </w:tcBorders>
            <w:shd w:val="clear" w:color="auto" w:fill="FDFDFC"/>
          </w:tcPr>
          <w:p>
            <w:pPr>
              <w:spacing w:after="0"/>
              <w:rPr>
                <w:sz w:val="15"/>
                <w:szCs w:val="15"/>
                <w:color w:val="auto"/>
              </w:rPr>
            </w:pPr>
          </w:p>
        </w:tc>
        <w:tc>
          <w:tcPr>
            <w:tcW w:w="940" w:type="dxa"/>
            <w:vAlign w:val="bottom"/>
            <w:tcBorders>
              <w:top w:val="single" w:sz="8" w:color="231F20"/>
              <w:bottom w:val="single" w:sz="8" w:color="231F20"/>
            </w:tcBorders>
            <w:shd w:val="clear" w:color="auto" w:fill="FDFDFC"/>
          </w:tcPr>
          <w:p>
            <w:pPr>
              <w:jc w:val="right"/>
              <w:spacing w:after="0" w:line="178" w:lineRule="exact"/>
              <w:rPr>
                <w:sz w:val="20"/>
                <w:szCs w:val="20"/>
                <w:color w:val="auto"/>
              </w:rPr>
            </w:pPr>
            <w:r>
              <w:rPr>
                <w:rFonts w:ascii="Arial" w:cs="Arial" w:eastAsia="Arial" w:hAnsi="Arial"/>
                <w:sz w:val="17"/>
                <w:szCs w:val="17"/>
                <w:color w:val="231F20"/>
              </w:rPr>
              <w:t>91,468</w:t>
            </w:r>
          </w:p>
        </w:tc>
        <w:tc>
          <w:tcPr>
            <w:tcW w:w="120" w:type="dxa"/>
            <w:vAlign w:val="bottom"/>
            <w:tcBorders>
              <w:top w:val="single" w:sz="8" w:color="D0EBF2"/>
              <w:bottom w:val="single" w:sz="8" w:color="D0EBF2"/>
            </w:tcBorders>
            <w:shd w:val="clear" w:color="auto" w:fill="FDFDFC"/>
          </w:tcPr>
          <w:p>
            <w:pPr>
              <w:spacing w:after="0"/>
              <w:rPr>
                <w:sz w:val="15"/>
                <w:szCs w:val="15"/>
                <w:color w:val="auto"/>
              </w:rPr>
            </w:pPr>
          </w:p>
        </w:tc>
        <w:tc>
          <w:tcPr>
            <w:tcW w:w="140" w:type="dxa"/>
            <w:vAlign w:val="bottom"/>
            <w:tcBorders>
              <w:top w:val="single" w:sz="8" w:color="D0EBF2"/>
              <w:bottom w:val="single" w:sz="8" w:color="D0EBF2"/>
            </w:tcBorders>
            <w:shd w:val="clear" w:color="auto" w:fill="FDFDFC"/>
          </w:tcPr>
          <w:p>
            <w:pPr>
              <w:spacing w:after="0"/>
              <w:rPr>
                <w:sz w:val="15"/>
                <w:szCs w:val="15"/>
                <w:color w:val="auto"/>
              </w:rPr>
            </w:pPr>
          </w:p>
        </w:tc>
        <w:tc>
          <w:tcPr>
            <w:tcW w:w="260" w:type="dxa"/>
            <w:vAlign w:val="bottom"/>
            <w:tcBorders>
              <w:top w:val="single" w:sz="8" w:color="231F20"/>
              <w:bottom w:val="single" w:sz="8" w:color="231F20"/>
            </w:tcBorders>
            <w:shd w:val="clear" w:color="auto" w:fill="FDFDFC"/>
          </w:tcPr>
          <w:p>
            <w:pPr>
              <w:spacing w:after="0"/>
              <w:rPr>
                <w:sz w:val="15"/>
                <w:szCs w:val="15"/>
                <w:color w:val="auto"/>
              </w:rPr>
            </w:pPr>
          </w:p>
        </w:tc>
        <w:tc>
          <w:tcPr>
            <w:tcW w:w="940" w:type="dxa"/>
            <w:vAlign w:val="bottom"/>
            <w:tcBorders>
              <w:top w:val="single" w:sz="8" w:color="231F20"/>
              <w:bottom w:val="single" w:sz="8" w:color="231F20"/>
            </w:tcBorders>
            <w:shd w:val="clear" w:color="auto" w:fill="FDFDFC"/>
          </w:tcPr>
          <w:p>
            <w:pPr>
              <w:jc w:val="right"/>
              <w:spacing w:after="0" w:line="178" w:lineRule="exact"/>
              <w:rPr>
                <w:sz w:val="20"/>
                <w:szCs w:val="20"/>
                <w:color w:val="auto"/>
              </w:rPr>
            </w:pPr>
            <w:r>
              <w:rPr>
                <w:rFonts w:ascii="Arial" w:cs="Arial" w:eastAsia="Arial" w:hAnsi="Arial"/>
                <w:sz w:val="17"/>
                <w:szCs w:val="17"/>
                <w:color w:val="231F20"/>
              </w:rPr>
              <w:t>80,625</w:t>
            </w:r>
          </w:p>
        </w:tc>
        <w:tc>
          <w:tcPr>
            <w:tcW w:w="100" w:type="dxa"/>
            <w:vAlign w:val="bottom"/>
            <w:tcBorders>
              <w:top w:val="single" w:sz="8" w:color="D0EBF2"/>
              <w:bottom w:val="single" w:sz="8" w:color="D0EBF2"/>
            </w:tcBorders>
            <w:shd w:val="clear" w:color="auto" w:fill="FDFDFC"/>
          </w:tcPr>
          <w:p>
            <w:pPr>
              <w:spacing w:after="0"/>
              <w:rPr>
                <w:sz w:val="15"/>
                <w:szCs w:val="15"/>
                <w:color w:val="auto"/>
              </w:rPr>
            </w:pPr>
          </w:p>
        </w:tc>
        <w:tc>
          <w:tcPr>
            <w:tcW w:w="140" w:type="dxa"/>
            <w:vAlign w:val="bottom"/>
            <w:tcBorders>
              <w:top w:val="single" w:sz="8" w:color="D0EBF2"/>
              <w:bottom w:val="single" w:sz="8" w:color="D0EBF2"/>
            </w:tcBorders>
            <w:shd w:val="clear" w:color="auto" w:fill="FDFDFC"/>
          </w:tcPr>
          <w:p>
            <w:pPr>
              <w:spacing w:after="0"/>
              <w:rPr>
                <w:sz w:val="15"/>
                <w:szCs w:val="15"/>
                <w:color w:val="auto"/>
              </w:rPr>
            </w:pPr>
          </w:p>
        </w:tc>
        <w:tc>
          <w:tcPr>
            <w:tcW w:w="260" w:type="dxa"/>
            <w:vAlign w:val="bottom"/>
            <w:tcBorders>
              <w:top w:val="single" w:sz="8" w:color="231F20"/>
              <w:bottom w:val="single" w:sz="8" w:color="231F20"/>
            </w:tcBorders>
            <w:shd w:val="clear" w:color="auto" w:fill="FDFDFC"/>
          </w:tcPr>
          <w:p>
            <w:pPr>
              <w:spacing w:after="0"/>
              <w:rPr>
                <w:sz w:val="15"/>
                <w:szCs w:val="15"/>
                <w:color w:val="auto"/>
              </w:rPr>
            </w:pPr>
          </w:p>
        </w:tc>
        <w:tc>
          <w:tcPr>
            <w:tcW w:w="940" w:type="dxa"/>
            <w:vAlign w:val="bottom"/>
            <w:tcBorders>
              <w:top w:val="single" w:sz="8" w:color="231F20"/>
              <w:bottom w:val="single" w:sz="8" w:color="231F20"/>
            </w:tcBorders>
            <w:shd w:val="clear" w:color="auto" w:fill="FDFDFC"/>
          </w:tcPr>
          <w:p>
            <w:pPr>
              <w:jc w:val="right"/>
              <w:spacing w:after="0" w:line="178" w:lineRule="exact"/>
              <w:rPr>
                <w:sz w:val="20"/>
                <w:szCs w:val="20"/>
                <w:color w:val="auto"/>
              </w:rPr>
            </w:pPr>
            <w:r>
              <w:rPr>
                <w:rFonts w:ascii="Arial" w:cs="Arial" w:eastAsia="Arial" w:hAnsi="Arial"/>
                <w:sz w:val="17"/>
                <w:szCs w:val="17"/>
                <w:color w:val="231F20"/>
              </w:rPr>
              <w:t>5,427</w:t>
            </w:r>
          </w:p>
        </w:tc>
        <w:tc>
          <w:tcPr>
            <w:tcW w:w="100" w:type="dxa"/>
            <w:vAlign w:val="bottom"/>
            <w:tcBorders>
              <w:top w:val="single" w:sz="8" w:color="D0EBF2"/>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D0EBF2"/>
          </w:tcPr>
          <w:p>
            <w:pPr>
              <w:spacing w:after="0"/>
              <w:rPr>
                <w:sz w:val="20"/>
                <w:szCs w:val="20"/>
                <w:color w:val="auto"/>
              </w:rPr>
            </w:pPr>
            <w:r>
              <w:rPr>
                <w:rFonts w:ascii="Arial" w:cs="Arial" w:eastAsia="Arial" w:hAnsi="Arial"/>
                <w:sz w:val="17"/>
                <w:szCs w:val="17"/>
                <w:b w:val="1"/>
                <w:bCs w:val="1"/>
                <w:color w:val="231F20"/>
              </w:rPr>
              <w:t>Cash flows from investing activities:</w:t>
            </w:r>
          </w:p>
        </w:tc>
        <w:tc>
          <w:tcPr>
            <w:tcW w:w="140" w:type="dxa"/>
            <w:vAlign w:val="bottom"/>
            <w:shd w:val="clear" w:color="auto" w:fill="D0EBF2"/>
          </w:tcPr>
          <w:p>
            <w:pPr>
              <w:spacing w:after="0"/>
              <w:rPr>
                <w:sz w:val="17"/>
                <w:szCs w:val="17"/>
                <w:color w:val="auto"/>
              </w:rPr>
            </w:pPr>
          </w:p>
        </w:tc>
        <w:tc>
          <w:tcPr>
            <w:tcW w:w="260" w:type="dxa"/>
            <w:vAlign w:val="bottom"/>
            <w:shd w:val="clear" w:color="auto" w:fill="D0EBF2"/>
          </w:tcPr>
          <w:p>
            <w:pPr>
              <w:spacing w:after="0"/>
              <w:rPr>
                <w:sz w:val="17"/>
                <w:szCs w:val="17"/>
                <w:color w:val="auto"/>
              </w:rPr>
            </w:pPr>
          </w:p>
        </w:tc>
        <w:tc>
          <w:tcPr>
            <w:tcW w:w="94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260" w:type="dxa"/>
            <w:vAlign w:val="bottom"/>
            <w:shd w:val="clear" w:color="auto" w:fill="D0EBF2"/>
          </w:tcPr>
          <w:p>
            <w:pPr>
              <w:spacing w:after="0"/>
              <w:rPr>
                <w:sz w:val="17"/>
                <w:szCs w:val="17"/>
                <w:color w:val="auto"/>
              </w:rPr>
            </w:pPr>
          </w:p>
        </w:tc>
        <w:tc>
          <w:tcPr>
            <w:tcW w:w="9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260" w:type="dxa"/>
            <w:vAlign w:val="bottom"/>
            <w:shd w:val="clear" w:color="auto" w:fill="D0EBF2"/>
          </w:tcPr>
          <w:p>
            <w:pPr>
              <w:spacing w:after="0"/>
              <w:rPr>
                <w:sz w:val="17"/>
                <w:szCs w:val="17"/>
                <w:color w:val="auto"/>
              </w:rPr>
            </w:pPr>
          </w:p>
        </w:tc>
        <w:tc>
          <w:tcPr>
            <w:tcW w:w="9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spacing w:after="0"/>
              <w:rPr>
                <w:sz w:val="20"/>
                <w:szCs w:val="20"/>
                <w:color w:val="auto"/>
              </w:rPr>
            </w:pPr>
            <w:r>
              <w:rPr>
                <w:rFonts w:ascii="Arial" w:cs="Arial" w:eastAsia="Arial" w:hAnsi="Arial"/>
                <w:sz w:val="17"/>
                <w:szCs w:val="17"/>
                <w:color w:val="231F20"/>
              </w:rPr>
              <w:t>Purchase of short-term and long-term investments</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(193,927)</w:t>
            </w:r>
          </w:p>
        </w:tc>
        <w:tc>
          <w:tcPr>
            <w:tcW w:w="12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w:t>
            </w: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860" w:type="dxa"/>
            <w:vAlign w:val="bottom"/>
            <w:shd w:val="clear" w:color="auto" w:fill="D0EBF2"/>
          </w:tcPr>
          <w:p>
            <w:pPr>
              <w:spacing w:after="0" w:line="193" w:lineRule="exact"/>
              <w:rPr>
                <w:sz w:val="20"/>
                <w:szCs w:val="20"/>
                <w:color w:val="auto"/>
              </w:rPr>
            </w:pPr>
            <w:r>
              <w:rPr>
                <w:rFonts w:ascii="Arial" w:cs="Arial" w:eastAsia="Arial" w:hAnsi="Arial"/>
                <w:sz w:val="17"/>
                <w:szCs w:val="17"/>
                <w:color w:val="231F20"/>
              </w:rPr>
              <w:t>Proceeds from the maturity and sale of short-term and long-term</w:t>
            </w:r>
          </w:p>
        </w:tc>
        <w:tc>
          <w:tcPr>
            <w:tcW w:w="140" w:type="dxa"/>
            <w:vAlign w:val="bottom"/>
            <w:shd w:val="clear" w:color="auto" w:fill="D0EBF2"/>
          </w:tcPr>
          <w:p>
            <w:pPr>
              <w:spacing w:after="0"/>
              <w:rPr>
                <w:sz w:val="16"/>
                <w:szCs w:val="16"/>
                <w:color w:val="auto"/>
              </w:rPr>
            </w:pPr>
          </w:p>
        </w:tc>
        <w:tc>
          <w:tcPr>
            <w:tcW w:w="260" w:type="dxa"/>
            <w:vAlign w:val="bottom"/>
            <w:shd w:val="clear" w:color="auto" w:fill="D0EBF2"/>
          </w:tcPr>
          <w:p>
            <w:pPr>
              <w:spacing w:after="0"/>
              <w:rPr>
                <w:sz w:val="16"/>
                <w:szCs w:val="16"/>
                <w:color w:val="auto"/>
              </w:rPr>
            </w:pPr>
          </w:p>
        </w:tc>
        <w:tc>
          <w:tcPr>
            <w:tcW w:w="940" w:type="dxa"/>
            <w:vAlign w:val="bottom"/>
            <w:vMerge w:val="restart"/>
            <w:shd w:val="clear" w:color="auto" w:fill="D0EBF2"/>
          </w:tcPr>
          <w:p>
            <w:pPr>
              <w:jc w:val="right"/>
              <w:spacing w:after="0"/>
              <w:rPr>
                <w:sz w:val="20"/>
                <w:szCs w:val="20"/>
                <w:color w:val="auto"/>
              </w:rPr>
            </w:pPr>
            <w:r>
              <w:rPr>
                <w:rFonts w:ascii="Arial" w:cs="Arial" w:eastAsia="Arial" w:hAnsi="Arial"/>
                <w:sz w:val="17"/>
                <w:szCs w:val="17"/>
                <w:color w:val="231F20"/>
              </w:rPr>
              <w:t>29,598</w:t>
            </w:r>
          </w:p>
        </w:tc>
        <w:tc>
          <w:tcPr>
            <w:tcW w:w="1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260" w:type="dxa"/>
            <w:vAlign w:val="bottom"/>
            <w:shd w:val="clear" w:color="auto" w:fill="D0EBF2"/>
          </w:tcPr>
          <w:p>
            <w:pPr>
              <w:spacing w:after="0"/>
              <w:rPr>
                <w:sz w:val="16"/>
                <w:szCs w:val="16"/>
                <w:color w:val="auto"/>
              </w:rPr>
            </w:pPr>
          </w:p>
        </w:tc>
        <w:tc>
          <w:tcPr>
            <w:tcW w:w="1040" w:type="dxa"/>
            <w:vAlign w:val="bottom"/>
            <w:gridSpan w:val="2"/>
            <w:vMerge w:val="restart"/>
            <w:shd w:val="clear" w:color="auto" w:fill="D0EBF2"/>
          </w:tcPr>
          <w:p>
            <w:pPr>
              <w:jc w:val="right"/>
              <w:ind w:right="120"/>
              <w:spacing w:after="0"/>
              <w:rPr>
                <w:sz w:val="20"/>
                <w:szCs w:val="20"/>
                <w:color w:val="auto"/>
              </w:rPr>
            </w:pPr>
            <w:r>
              <w:rPr>
                <w:rFonts w:ascii="Arial" w:cs="Arial" w:eastAsia="Arial" w:hAnsi="Arial"/>
                <w:sz w:val="17"/>
                <w:szCs w:val="17"/>
                <w:color w:val="231F20"/>
              </w:rPr>
              <w:t>—</w:t>
            </w:r>
          </w:p>
        </w:tc>
        <w:tc>
          <w:tcPr>
            <w:tcW w:w="140" w:type="dxa"/>
            <w:vAlign w:val="bottom"/>
            <w:shd w:val="clear" w:color="auto" w:fill="D0EBF2"/>
          </w:tcPr>
          <w:p>
            <w:pPr>
              <w:spacing w:after="0"/>
              <w:rPr>
                <w:sz w:val="16"/>
                <w:szCs w:val="16"/>
                <w:color w:val="auto"/>
              </w:rPr>
            </w:pPr>
          </w:p>
        </w:tc>
        <w:tc>
          <w:tcPr>
            <w:tcW w:w="260" w:type="dxa"/>
            <w:vAlign w:val="bottom"/>
            <w:shd w:val="clear" w:color="auto" w:fill="D0EBF2"/>
          </w:tcPr>
          <w:p>
            <w:pPr>
              <w:spacing w:after="0"/>
              <w:rPr>
                <w:sz w:val="16"/>
                <w:szCs w:val="16"/>
                <w:color w:val="auto"/>
              </w:rPr>
            </w:pPr>
          </w:p>
        </w:tc>
        <w:tc>
          <w:tcPr>
            <w:tcW w:w="1040" w:type="dxa"/>
            <w:vAlign w:val="bottom"/>
            <w:gridSpan w:val="2"/>
            <w:vMerge w:val="restart"/>
            <w:shd w:val="clear" w:color="auto" w:fill="D0EBF2"/>
          </w:tcPr>
          <w:p>
            <w:pPr>
              <w:jc w:val="right"/>
              <w:ind w:right="120"/>
              <w:spacing w:after="0"/>
              <w:rPr>
                <w:sz w:val="20"/>
                <w:szCs w:val="20"/>
                <w:color w:val="auto"/>
              </w:rPr>
            </w:pPr>
            <w:r>
              <w:rPr>
                <w:rFonts w:ascii="Arial" w:cs="Arial" w:eastAsia="Arial" w:hAnsi="Arial"/>
                <w:sz w:val="17"/>
                <w:szCs w:val="17"/>
                <w:color w:val="231F20"/>
              </w:rPr>
              <w:t>—</w:t>
            </w:r>
          </w:p>
        </w:tc>
        <w:tc>
          <w:tcPr>
            <w:tcW w:w="0" w:type="dxa"/>
            <w:vAlign w:val="bottom"/>
          </w:tcPr>
          <w:p>
            <w:pPr>
              <w:spacing w:after="0"/>
              <w:rPr>
                <w:sz w:val="1"/>
                <w:szCs w:val="1"/>
                <w:color w:val="auto"/>
              </w:rPr>
            </w:pPr>
          </w:p>
        </w:tc>
      </w:tr>
      <w:tr>
        <w:trPr>
          <w:trHeight w:val="212"/>
        </w:trPr>
        <w:tc>
          <w:tcPr>
            <w:tcW w:w="5860" w:type="dxa"/>
            <w:vAlign w:val="bottom"/>
            <w:shd w:val="clear" w:color="auto" w:fill="D0EBF2"/>
          </w:tcPr>
          <w:p>
            <w:pPr>
              <w:ind w:left="140"/>
              <w:spacing w:after="0"/>
              <w:rPr>
                <w:sz w:val="20"/>
                <w:szCs w:val="20"/>
                <w:color w:val="auto"/>
              </w:rPr>
            </w:pPr>
            <w:r>
              <w:rPr>
                <w:rFonts w:ascii="Arial" w:cs="Arial" w:eastAsia="Arial" w:hAnsi="Arial"/>
                <w:sz w:val="17"/>
                <w:szCs w:val="17"/>
                <w:color w:val="231F20"/>
              </w:rPr>
              <w:t>investments</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vMerge w:val="continue"/>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vMerge w:val="continue"/>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vMerge w:val="continue"/>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spacing w:after="0"/>
              <w:rPr>
                <w:sz w:val="20"/>
                <w:szCs w:val="20"/>
                <w:color w:val="auto"/>
              </w:rPr>
            </w:pPr>
            <w:r>
              <w:rPr>
                <w:rFonts w:ascii="Arial" w:cs="Arial" w:eastAsia="Arial" w:hAnsi="Arial"/>
                <w:sz w:val="17"/>
                <w:szCs w:val="17"/>
                <w:color w:val="231F20"/>
              </w:rPr>
              <w:t>Capitalization of internally developed software</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60" w:type="dxa"/>
            <w:vAlign w:val="bottom"/>
            <w:gridSpan w:val="2"/>
            <w:shd w:val="clear" w:color="auto" w:fill="FDFDFC"/>
          </w:tcPr>
          <w:p>
            <w:pPr>
              <w:jc w:val="right"/>
              <w:ind w:right="60"/>
              <w:spacing w:after="0"/>
              <w:rPr>
                <w:sz w:val="20"/>
                <w:szCs w:val="20"/>
                <w:color w:val="auto"/>
              </w:rPr>
            </w:pPr>
            <w:r>
              <w:rPr>
                <w:rFonts w:ascii="Arial" w:cs="Arial" w:eastAsia="Arial" w:hAnsi="Arial"/>
                <w:sz w:val="17"/>
                <w:szCs w:val="17"/>
                <w:color w:val="231F20"/>
              </w:rPr>
              <w:t>(5,317)</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7"/>
                <w:szCs w:val="17"/>
                <w:color w:val="231F20"/>
              </w:rPr>
              <w:t>(5,004)</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7"/>
                <w:szCs w:val="17"/>
                <w:color w:val="231F20"/>
              </w:rPr>
              <w:t>(5,717)</w:t>
            </w:r>
          </w:p>
        </w:tc>
        <w:tc>
          <w:tcPr>
            <w:tcW w:w="0" w:type="dxa"/>
            <w:vAlign w:val="bottom"/>
          </w:tcPr>
          <w:p>
            <w:pPr>
              <w:spacing w:after="0"/>
              <w:rPr>
                <w:sz w:val="1"/>
                <w:szCs w:val="1"/>
                <w:color w:val="auto"/>
              </w:rPr>
            </w:pPr>
          </w:p>
        </w:tc>
      </w:tr>
      <w:tr>
        <w:trPr>
          <w:trHeight w:val="209"/>
        </w:trPr>
        <w:tc>
          <w:tcPr>
            <w:tcW w:w="5860" w:type="dxa"/>
            <w:vAlign w:val="bottom"/>
            <w:shd w:val="clear" w:color="auto" w:fill="D0EBF2"/>
          </w:tcPr>
          <w:p>
            <w:pPr>
              <w:spacing w:after="0"/>
              <w:rPr>
                <w:sz w:val="20"/>
                <w:szCs w:val="20"/>
                <w:color w:val="auto"/>
              </w:rPr>
            </w:pPr>
            <w:r>
              <w:rPr>
                <w:rFonts w:ascii="Arial" w:cs="Arial" w:eastAsia="Arial" w:hAnsi="Arial"/>
                <w:sz w:val="17"/>
                <w:szCs w:val="17"/>
                <w:color w:val="231F20"/>
              </w:rPr>
              <w:t>Purchases of property and equipment</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60" w:type="dxa"/>
            <w:vAlign w:val="bottom"/>
            <w:gridSpan w:val="2"/>
            <w:shd w:val="clear" w:color="auto" w:fill="D0EBF2"/>
          </w:tcPr>
          <w:p>
            <w:pPr>
              <w:jc w:val="right"/>
              <w:ind w:right="60"/>
              <w:spacing w:after="0"/>
              <w:rPr>
                <w:sz w:val="20"/>
                <w:szCs w:val="20"/>
                <w:color w:val="auto"/>
              </w:rPr>
            </w:pPr>
            <w:r>
              <w:rPr>
                <w:rFonts w:ascii="Arial" w:cs="Arial" w:eastAsia="Arial" w:hAnsi="Arial"/>
                <w:sz w:val="17"/>
                <w:szCs w:val="17"/>
                <w:color w:val="231F20"/>
              </w:rPr>
              <w:t>(924)</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(1,009)</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(1,353)</w:t>
            </w: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spacing w:after="0"/>
              <w:rPr>
                <w:sz w:val="20"/>
                <w:szCs w:val="20"/>
                <w:color w:val="auto"/>
              </w:rPr>
            </w:pPr>
            <w:r>
              <w:rPr>
                <w:rFonts w:ascii="Arial" w:cs="Arial" w:eastAsia="Arial" w:hAnsi="Arial"/>
                <w:sz w:val="17"/>
                <w:szCs w:val="17"/>
                <w:color w:val="231F20"/>
              </w:rPr>
              <w:t>Acquisitions of businesses, net of cash acquired</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60" w:type="dxa"/>
            <w:vAlign w:val="bottom"/>
            <w:gridSpan w:val="2"/>
            <w:shd w:val="clear" w:color="auto" w:fill="FDFDFC"/>
          </w:tcPr>
          <w:p>
            <w:pPr>
              <w:jc w:val="right"/>
              <w:ind w:right="60"/>
              <w:spacing w:after="0"/>
              <w:rPr>
                <w:sz w:val="20"/>
                <w:szCs w:val="20"/>
                <w:color w:val="auto"/>
              </w:rPr>
            </w:pPr>
            <w:r>
              <w:rPr>
                <w:rFonts w:ascii="Arial" w:cs="Arial" w:eastAsia="Arial" w:hAnsi="Arial"/>
                <w:sz w:val="17"/>
                <w:szCs w:val="17"/>
                <w:color w:val="231F20"/>
              </w:rPr>
              <w:t>(45,230)</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7"/>
                <w:szCs w:val="17"/>
                <w:color w:val="231F20"/>
              </w:rPr>
              <w:t>(32,764)</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7"/>
                <w:szCs w:val="17"/>
                <w:color w:val="231F20"/>
              </w:rPr>
              <w:t>(17,140)</w:t>
            </w:r>
          </w:p>
        </w:tc>
        <w:tc>
          <w:tcPr>
            <w:tcW w:w="0" w:type="dxa"/>
            <w:vAlign w:val="bottom"/>
          </w:tcPr>
          <w:p>
            <w:pPr>
              <w:spacing w:after="0"/>
              <w:rPr>
                <w:sz w:val="1"/>
                <w:szCs w:val="1"/>
                <w:color w:val="auto"/>
              </w:rPr>
            </w:pPr>
          </w:p>
        </w:tc>
      </w:tr>
      <w:tr>
        <w:trPr>
          <w:trHeight w:val="229"/>
        </w:trPr>
        <w:tc>
          <w:tcPr>
            <w:tcW w:w="5860" w:type="dxa"/>
            <w:vAlign w:val="bottom"/>
            <w:shd w:val="clear" w:color="auto" w:fill="D0EBF2"/>
          </w:tcPr>
          <w:p>
            <w:pPr>
              <w:spacing w:after="0"/>
              <w:rPr>
                <w:sz w:val="20"/>
                <w:szCs w:val="20"/>
                <w:color w:val="auto"/>
              </w:rPr>
            </w:pPr>
            <w:r>
              <w:rPr>
                <w:rFonts w:ascii="Arial" w:cs="Arial" w:eastAsia="Arial" w:hAnsi="Arial"/>
                <w:sz w:val="17"/>
                <w:szCs w:val="17"/>
                <w:color w:val="231F20"/>
              </w:rPr>
              <w:t>Contingent consideration paid for acquisitions</w:t>
            </w: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spacing w:after="0"/>
              <w:rPr>
                <w:sz w:val="19"/>
                <w:szCs w:val="19"/>
                <w:color w:val="auto"/>
              </w:rPr>
            </w:pPr>
          </w:p>
        </w:tc>
        <w:tc>
          <w:tcPr>
            <w:tcW w:w="1060" w:type="dxa"/>
            <w:vAlign w:val="bottom"/>
            <w:gridSpan w:val="2"/>
            <w:shd w:val="clear" w:color="auto" w:fill="D0EBF2"/>
          </w:tcPr>
          <w:p>
            <w:pPr>
              <w:jc w:val="right"/>
              <w:ind w:right="120"/>
              <w:spacing w:after="0"/>
              <w:rPr>
                <w:sz w:val="20"/>
                <w:szCs w:val="20"/>
                <w:color w:val="auto"/>
              </w:rPr>
            </w:pPr>
            <w:r>
              <w:rPr>
                <w:rFonts w:ascii="Arial" w:cs="Arial" w:eastAsia="Arial" w:hAnsi="Arial"/>
                <w:sz w:val="17"/>
                <w:szCs w:val="17"/>
                <w:color w:val="231F20"/>
              </w:rPr>
              <w:t>—</w:t>
            </w: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spacing w:after="0"/>
              <w:rPr>
                <w:sz w:val="19"/>
                <w:szCs w:val="19"/>
                <w:color w:val="auto"/>
              </w:rPr>
            </w:pPr>
          </w:p>
        </w:tc>
        <w:tc>
          <w:tcPr>
            <w:tcW w:w="1040" w:type="dxa"/>
            <w:vAlign w:val="bottom"/>
            <w:gridSpan w:val="2"/>
            <w:shd w:val="clear" w:color="auto" w:fill="D0EBF2"/>
          </w:tcPr>
          <w:p>
            <w:pPr>
              <w:jc w:val="right"/>
              <w:ind w:right="120"/>
              <w:spacing w:after="0"/>
              <w:rPr>
                <w:sz w:val="20"/>
                <w:szCs w:val="20"/>
                <w:color w:val="auto"/>
              </w:rPr>
            </w:pPr>
            <w:r>
              <w:rPr>
                <w:rFonts w:ascii="Arial" w:cs="Arial" w:eastAsia="Arial" w:hAnsi="Arial"/>
                <w:sz w:val="17"/>
                <w:szCs w:val="17"/>
                <w:color w:val="231F20"/>
              </w:rPr>
              <w:t>—</w:t>
            </w: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spacing w:after="0"/>
              <w:rPr>
                <w:sz w:val="19"/>
                <w:szCs w:val="19"/>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(453)</w:t>
            </w:r>
          </w:p>
        </w:tc>
        <w:tc>
          <w:tcPr>
            <w:tcW w:w="0" w:type="dxa"/>
            <w:vAlign w:val="bottom"/>
          </w:tcPr>
          <w:p>
            <w:pPr>
              <w:spacing w:after="0"/>
              <w:rPr>
                <w:sz w:val="1"/>
                <w:szCs w:val="1"/>
                <w:color w:val="auto"/>
              </w:rPr>
            </w:pPr>
          </w:p>
        </w:tc>
      </w:tr>
      <w:tr>
        <w:trPr>
          <w:trHeight w:val="178"/>
        </w:trPr>
        <w:tc>
          <w:tcPr>
            <w:tcW w:w="5860" w:type="dxa"/>
            <w:vAlign w:val="bottom"/>
            <w:tcBorders>
              <w:top w:val="single" w:sz="8" w:color="D0EBF2"/>
              <w:bottom w:val="single" w:sz="8" w:color="D0EBF2"/>
            </w:tcBorders>
            <w:shd w:val="clear" w:color="auto" w:fill="FDFDFC"/>
          </w:tcPr>
          <w:p>
            <w:pPr>
              <w:ind w:left="560"/>
              <w:spacing w:after="0" w:line="178" w:lineRule="exact"/>
              <w:rPr>
                <w:sz w:val="20"/>
                <w:szCs w:val="20"/>
                <w:color w:val="auto"/>
              </w:rPr>
            </w:pPr>
            <w:r>
              <w:rPr>
                <w:rFonts w:ascii="Arial" w:cs="Arial" w:eastAsia="Arial" w:hAnsi="Arial"/>
                <w:sz w:val="17"/>
                <w:szCs w:val="17"/>
                <w:color w:val="231F20"/>
              </w:rPr>
              <w:t>Net cash used in investing activities</w:t>
            </w:r>
          </w:p>
        </w:tc>
        <w:tc>
          <w:tcPr>
            <w:tcW w:w="140" w:type="dxa"/>
            <w:vAlign w:val="bottom"/>
            <w:tcBorders>
              <w:top w:val="single" w:sz="8" w:color="D0EBF2"/>
              <w:bottom w:val="single" w:sz="8" w:color="D0EBF2"/>
            </w:tcBorders>
            <w:shd w:val="clear" w:color="auto" w:fill="FDFDFC"/>
          </w:tcPr>
          <w:p>
            <w:pPr>
              <w:spacing w:after="0"/>
              <w:rPr>
                <w:sz w:val="15"/>
                <w:szCs w:val="15"/>
                <w:color w:val="auto"/>
              </w:rPr>
            </w:pPr>
          </w:p>
        </w:tc>
        <w:tc>
          <w:tcPr>
            <w:tcW w:w="260" w:type="dxa"/>
            <w:vAlign w:val="bottom"/>
            <w:tcBorders>
              <w:top w:val="single" w:sz="8" w:color="231F20"/>
              <w:bottom w:val="single" w:sz="8" w:color="231F20"/>
            </w:tcBorders>
            <w:shd w:val="clear" w:color="auto" w:fill="FDFDFC"/>
          </w:tcPr>
          <w:p>
            <w:pPr>
              <w:spacing w:after="0"/>
              <w:rPr>
                <w:sz w:val="15"/>
                <w:szCs w:val="15"/>
                <w:color w:val="auto"/>
              </w:rPr>
            </w:pPr>
          </w:p>
        </w:tc>
        <w:tc>
          <w:tcPr>
            <w:tcW w:w="940" w:type="dxa"/>
            <w:vAlign w:val="bottom"/>
            <w:tcBorders>
              <w:top w:val="single" w:sz="8" w:color="231F20"/>
              <w:bottom w:val="single" w:sz="8" w:color="231F20"/>
            </w:tcBorders>
            <w:shd w:val="clear" w:color="auto" w:fill="FDFDFC"/>
          </w:tcPr>
          <w:p>
            <w:pPr>
              <w:jc w:val="right"/>
              <w:spacing w:after="0" w:line="178" w:lineRule="exact"/>
              <w:rPr>
                <w:sz w:val="20"/>
                <w:szCs w:val="20"/>
                <w:color w:val="auto"/>
              </w:rPr>
            </w:pPr>
            <w:r>
              <w:rPr>
                <w:rFonts w:ascii="Arial" w:cs="Arial" w:eastAsia="Arial" w:hAnsi="Arial"/>
                <w:sz w:val="17"/>
                <w:szCs w:val="17"/>
                <w:color w:val="231F20"/>
              </w:rPr>
              <w:t>(215,800)</w:t>
            </w:r>
          </w:p>
        </w:tc>
        <w:tc>
          <w:tcPr>
            <w:tcW w:w="120" w:type="dxa"/>
            <w:vAlign w:val="bottom"/>
            <w:tcBorders>
              <w:top w:val="single" w:sz="8" w:color="D0EBF2"/>
              <w:bottom w:val="single" w:sz="8" w:color="D0EBF2"/>
            </w:tcBorders>
            <w:shd w:val="clear" w:color="auto" w:fill="FDFDFC"/>
          </w:tcPr>
          <w:p>
            <w:pPr>
              <w:spacing w:after="0"/>
              <w:rPr>
                <w:sz w:val="15"/>
                <w:szCs w:val="15"/>
                <w:color w:val="auto"/>
              </w:rPr>
            </w:pPr>
          </w:p>
        </w:tc>
        <w:tc>
          <w:tcPr>
            <w:tcW w:w="140" w:type="dxa"/>
            <w:vAlign w:val="bottom"/>
            <w:tcBorders>
              <w:top w:val="single" w:sz="8" w:color="D0EBF2"/>
              <w:bottom w:val="single" w:sz="8" w:color="D0EBF2"/>
            </w:tcBorders>
            <w:shd w:val="clear" w:color="auto" w:fill="FDFDFC"/>
          </w:tcPr>
          <w:p>
            <w:pPr>
              <w:spacing w:after="0"/>
              <w:rPr>
                <w:sz w:val="15"/>
                <w:szCs w:val="15"/>
                <w:color w:val="auto"/>
              </w:rPr>
            </w:pPr>
          </w:p>
        </w:tc>
        <w:tc>
          <w:tcPr>
            <w:tcW w:w="260" w:type="dxa"/>
            <w:vAlign w:val="bottom"/>
            <w:tcBorders>
              <w:top w:val="single" w:sz="8" w:color="231F20"/>
              <w:bottom w:val="single" w:sz="8" w:color="231F20"/>
            </w:tcBorders>
            <w:shd w:val="clear" w:color="auto" w:fill="FDFDFC"/>
          </w:tcPr>
          <w:p>
            <w:pPr>
              <w:spacing w:after="0"/>
              <w:rPr>
                <w:sz w:val="15"/>
                <w:szCs w:val="15"/>
                <w:color w:val="auto"/>
              </w:rPr>
            </w:pPr>
          </w:p>
        </w:tc>
        <w:tc>
          <w:tcPr>
            <w:tcW w:w="940" w:type="dxa"/>
            <w:vAlign w:val="bottom"/>
            <w:tcBorders>
              <w:top w:val="single" w:sz="8" w:color="231F20"/>
              <w:bottom w:val="single" w:sz="8" w:color="231F20"/>
            </w:tcBorders>
            <w:shd w:val="clear" w:color="auto" w:fill="FDFDFC"/>
          </w:tcPr>
          <w:p>
            <w:pPr>
              <w:jc w:val="right"/>
              <w:spacing w:after="0" w:line="178" w:lineRule="exact"/>
              <w:rPr>
                <w:sz w:val="20"/>
                <w:szCs w:val="20"/>
                <w:color w:val="auto"/>
              </w:rPr>
            </w:pPr>
            <w:r>
              <w:rPr>
                <w:rFonts w:ascii="Arial" w:cs="Arial" w:eastAsia="Arial" w:hAnsi="Arial"/>
                <w:sz w:val="17"/>
                <w:szCs w:val="17"/>
                <w:color w:val="231F20"/>
              </w:rPr>
              <w:t>(38,777)</w:t>
            </w:r>
          </w:p>
        </w:tc>
        <w:tc>
          <w:tcPr>
            <w:tcW w:w="100" w:type="dxa"/>
            <w:vAlign w:val="bottom"/>
            <w:tcBorders>
              <w:top w:val="single" w:sz="8" w:color="D0EBF2"/>
              <w:bottom w:val="single" w:sz="8" w:color="D0EBF2"/>
            </w:tcBorders>
            <w:shd w:val="clear" w:color="auto" w:fill="FDFDFC"/>
          </w:tcPr>
          <w:p>
            <w:pPr>
              <w:spacing w:after="0"/>
              <w:rPr>
                <w:sz w:val="15"/>
                <w:szCs w:val="15"/>
                <w:color w:val="auto"/>
              </w:rPr>
            </w:pPr>
          </w:p>
        </w:tc>
        <w:tc>
          <w:tcPr>
            <w:tcW w:w="140" w:type="dxa"/>
            <w:vAlign w:val="bottom"/>
            <w:tcBorders>
              <w:top w:val="single" w:sz="8" w:color="D0EBF2"/>
              <w:bottom w:val="single" w:sz="8" w:color="D0EBF2"/>
            </w:tcBorders>
            <w:shd w:val="clear" w:color="auto" w:fill="FDFDFC"/>
          </w:tcPr>
          <w:p>
            <w:pPr>
              <w:spacing w:after="0"/>
              <w:rPr>
                <w:sz w:val="15"/>
                <w:szCs w:val="15"/>
                <w:color w:val="auto"/>
              </w:rPr>
            </w:pPr>
          </w:p>
        </w:tc>
        <w:tc>
          <w:tcPr>
            <w:tcW w:w="260" w:type="dxa"/>
            <w:vAlign w:val="bottom"/>
            <w:tcBorders>
              <w:top w:val="single" w:sz="8" w:color="231F20"/>
              <w:bottom w:val="single" w:sz="8" w:color="231F20"/>
            </w:tcBorders>
            <w:shd w:val="clear" w:color="auto" w:fill="FDFDFC"/>
          </w:tcPr>
          <w:p>
            <w:pPr>
              <w:spacing w:after="0"/>
              <w:rPr>
                <w:sz w:val="15"/>
                <w:szCs w:val="15"/>
                <w:color w:val="auto"/>
              </w:rPr>
            </w:pPr>
          </w:p>
        </w:tc>
        <w:tc>
          <w:tcPr>
            <w:tcW w:w="940" w:type="dxa"/>
            <w:vAlign w:val="bottom"/>
            <w:tcBorders>
              <w:top w:val="single" w:sz="8" w:color="231F20"/>
              <w:bottom w:val="single" w:sz="8" w:color="231F20"/>
            </w:tcBorders>
            <w:shd w:val="clear" w:color="auto" w:fill="FDFDFC"/>
          </w:tcPr>
          <w:p>
            <w:pPr>
              <w:jc w:val="right"/>
              <w:spacing w:after="0" w:line="178" w:lineRule="exact"/>
              <w:rPr>
                <w:sz w:val="20"/>
                <w:szCs w:val="20"/>
                <w:color w:val="auto"/>
              </w:rPr>
            </w:pPr>
            <w:r>
              <w:rPr>
                <w:rFonts w:ascii="Arial" w:cs="Arial" w:eastAsia="Arial" w:hAnsi="Arial"/>
                <w:sz w:val="17"/>
                <w:szCs w:val="17"/>
                <w:color w:val="231F20"/>
              </w:rPr>
              <w:t>(24,663)</w:t>
            </w:r>
          </w:p>
        </w:tc>
        <w:tc>
          <w:tcPr>
            <w:tcW w:w="100" w:type="dxa"/>
            <w:vAlign w:val="bottom"/>
            <w:tcBorders>
              <w:top w:val="single" w:sz="8" w:color="D0EBF2"/>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D0EBF2"/>
          </w:tcPr>
          <w:p>
            <w:pPr>
              <w:spacing w:after="0"/>
              <w:rPr>
                <w:sz w:val="20"/>
                <w:szCs w:val="20"/>
                <w:color w:val="auto"/>
              </w:rPr>
            </w:pPr>
            <w:r>
              <w:rPr>
                <w:rFonts w:ascii="Arial" w:cs="Arial" w:eastAsia="Arial" w:hAnsi="Arial"/>
                <w:sz w:val="17"/>
                <w:szCs w:val="17"/>
                <w:b w:val="1"/>
                <w:bCs w:val="1"/>
                <w:color w:val="231F20"/>
              </w:rPr>
              <w:t>Cash flows from financing activities:</w:t>
            </w:r>
          </w:p>
        </w:tc>
        <w:tc>
          <w:tcPr>
            <w:tcW w:w="140" w:type="dxa"/>
            <w:vAlign w:val="bottom"/>
            <w:shd w:val="clear" w:color="auto" w:fill="D0EBF2"/>
          </w:tcPr>
          <w:p>
            <w:pPr>
              <w:spacing w:after="0"/>
              <w:rPr>
                <w:sz w:val="17"/>
                <w:szCs w:val="17"/>
                <w:color w:val="auto"/>
              </w:rPr>
            </w:pPr>
          </w:p>
        </w:tc>
        <w:tc>
          <w:tcPr>
            <w:tcW w:w="260" w:type="dxa"/>
            <w:vAlign w:val="bottom"/>
            <w:shd w:val="clear" w:color="auto" w:fill="D0EBF2"/>
          </w:tcPr>
          <w:p>
            <w:pPr>
              <w:spacing w:after="0"/>
              <w:rPr>
                <w:sz w:val="17"/>
                <w:szCs w:val="17"/>
                <w:color w:val="auto"/>
              </w:rPr>
            </w:pPr>
          </w:p>
        </w:tc>
        <w:tc>
          <w:tcPr>
            <w:tcW w:w="94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260" w:type="dxa"/>
            <w:vAlign w:val="bottom"/>
            <w:shd w:val="clear" w:color="auto" w:fill="D0EBF2"/>
          </w:tcPr>
          <w:p>
            <w:pPr>
              <w:spacing w:after="0"/>
              <w:rPr>
                <w:sz w:val="17"/>
                <w:szCs w:val="17"/>
                <w:color w:val="auto"/>
              </w:rPr>
            </w:pPr>
          </w:p>
        </w:tc>
        <w:tc>
          <w:tcPr>
            <w:tcW w:w="9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260" w:type="dxa"/>
            <w:vAlign w:val="bottom"/>
            <w:shd w:val="clear" w:color="auto" w:fill="D0EBF2"/>
          </w:tcPr>
          <w:p>
            <w:pPr>
              <w:spacing w:after="0"/>
              <w:rPr>
                <w:sz w:val="17"/>
                <w:szCs w:val="17"/>
                <w:color w:val="auto"/>
              </w:rPr>
            </w:pPr>
          </w:p>
        </w:tc>
        <w:tc>
          <w:tcPr>
            <w:tcW w:w="9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860" w:type="dxa"/>
            <w:vAlign w:val="bottom"/>
            <w:shd w:val="clear" w:color="auto" w:fill="FDFDFC"/>
          </w:tcPr>
          <w:p>
            <w:pPr>
              <w:spacing w:after="0" w:line="193" w:lineRule="exact"/>
              <w:rPr>
                <w:sz w:val="20"/>
                <w:szCs w:val="20"/>
                <w:color w:val="auto"/>
              </w:rPr>
            </w:pPr>
            <w:r>
              <w:rPr>
                <w:rFonts w:ascii="Arial" w:cs="Arial" w:eastAsia="Arial" w:hAnsi="Arial"/>
                <w:sz w:val="17"/>
                <w:szCs w:val="17"/>
                <w:color w:val="231F20"/>
              </w:rPr>
              <w:t>Proceeds from issuance of common stock under public offering,</w:t>
            </w:r>
          </w:p>
        </w:tc>
        <w:tc>
          <w:tcPr>
            <w:tcW w:w="140" w:type="dxa"/>
            <w:vAlign w:val="bottom"/>
            <w:shd w:val="clear" w:color="auto" w:fill="FDFDFC"/>
          </w:tcPr>
          <w:p>
            <w:pPr>
              <w:spacing w:after="0"/>
              <w:rPr>
                <w:sz w:val="16"/>
                <w:szCs w:val="16"/>
                <w:color w:val="auto"/>
              </w:rPr>
            </w:pPr>
          </w:p>
        </w:tc>
        <w:tc>
          <w:tcPr>
            <w:tcW w:w="260" w:type="dxa"/>
            <w:vAlign w:val="bottom"/>
            <w:shd w:val="clear" w:color="auto" w:fill="FDFDFC"/>
          </w:tcPr>
          <w:p>
            <w:pPr>
              <w:spacing w:after="0"/>
              <w:rPr>
                <w:sz w:val="16"/>
                <w:szCs w:val="16"/>
                <w:color w:val="auto"/>
              </w:rPr>
            </w:pPr>
          </w:p>
        </w:tc>
        <w:tc>
          <w:tcPr>
            <w:tcW w:w="1060" w:type="dxa"/>
            <w:vAlign w:val="bottom"/>
            <w:gridSpan w:val="2"/>
            <w:vMerge w:val="restart"/>
            <w:shd w:val="clear" w:color="auto" w:fill="FDFDFC"/>
          </w:tcPr>
          <w:p>
            <w:pPr>
              <w:jc w:val="right"/>
              <w:ind w:right="120"/>
              <w:spacing w:after="0"/>
              <w:rPr>
                <w:sz w:val="20"/>
                <w:szCs w:val="20"/>
                <w:color w:val="auto"/>
              </w:rPr>
            </w:pPr>
            <w:r>
              <w:rPr>
                <w:rFonts w:ascii="Arial" w:cs="Arial" w:eastAsia="Arial" w:hAnsi="Arial"/>
                <w:sz w:val="17"/>
                <w:szCs w:val="17"/>
                <w:color w:val="231F20"/>
              </w:rPr>
              <w:t>—</w:t>
            </w:r>
          </w:p>
        </w:tc>
        <w:tc>
          <w:tcPr>
            <w:tcW w:w="140" w:type="dxa"/>
            <w:vAlign w:val="bottom"/>
            <w:shd w:val="clear" w:color="auto" w:fill="FDFDFC"/>
          </w:tcPr>
          <w:p>
            <w:pPr>
              <w:spacing w:after="0"/>
              <w:rPr>
                <w:sz w:val="16"/>
                <w:szCs w:val="16"/>
                <w:color w:val="auto"/>
              </w:rPr>
            </w:pPr>
          </w:p>
        </w:tc>
        <w:tc>
          <w:tcPr>
            <w:tcW w:w="260" w:type="dxa"/>
            <w:vAlign w:val="bottom"/>
            <w:shd w:val="clear" w:color="auto" w:fill="FDFDFC"/>
          </w:tcPr>
          <w:p>
            <w:pPr>
              <w:spacing w:after="0"/>
              <w:rPr>
                <w:sz w:val="16"/>
                <w:szCs w:val="16"/>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7"/>
                <w:szCs w:val="17"/>
                <w:color w:val="231F20"/>
              </w:rPr>
              <w:t>261,119</w:t>
            </w: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260" w:type="dxa"/>
            <w:vAlign w:val="bottom"/>
            <w:shd w:val="clear" w:color="auto" w:fill="FDFDFC"/>
          </w:tcPr>
          <w:p>
            <w:pPr>
              <w:spacing w:after="0"/>
              <w:rPr>
                <w:sz w:val="16"/>
                <w:szCs w:val="16"/>
                <w:color w:val="auto"/>
              </w:rPr>
            </w:pPr>
          </w:p>
        </w:tc>
        <w:tc>
          <w:tcPr>
            <w:tcW w:w="1040" w:type="dxa"/>
            <w:vAlign w:val="bottom"/>
            <w:gridSpan w:val="2"/>
            <w:vMerge w:val="restart"/>
            <w:shd w:val="clear" w:color="auto" w:fill="FDFDFC"/>
          </w:tcPr>
          <w:p>
            <w:pPr>
              <w:jc w:val="right"/>
              <w:ind w:right="120"/>
              <w:spacing w:after="0"/>
              <w:rPr>
                <w:sz w:val="20"/>
                <w:szCs w:val="20"/>
                <w:color w:val="auto"/>
              </w:rPr>
            </w:pPr>
            <w:r>
              <w:rPr>
                <w:rFonts w:ascii="Arial" w:cs="Arial" w:eastAsia="Arial" w:hAnsi="Arial"/>
                <w:sz w:val="17"/>
                <w:szCs w:val="17"/>
                <w:color w:val="231F20"/>
              </w:rPr>
              <w:t>—</w:t>
            </w:r>
          </w:p>
        </w:tc>
        <w:tc>
          <w:tcPr>
            <w:tcW w:w="0" w:type="dxa"/>
            <w:vAlign w:val="bottom"/>
          </w:tcPr>
          <w:p>
            <w:pPr>
              <w:spacing w:after="0"/>
              <w:rPr>
                <w:sz w:val="1"/>
                <w:szCs w:val="1"/>
                <w:color w:val="auto"/>
              </w:rPr>
            </w:pPr>
          </w:p>
        </w:tc>
      </w:tr>
      <w:tr>
        <w:trPr>
          <w:trHeight w:val="212"/>
        </w:trPr>
        <w:tc>
          <w:tcPr>
            <w:tcW w:w="5860" w:type="dxa"/>
            <w:vAlign w:val="bottom"/>
            <w:shd w:val="clear" w:color="auto" w:fill="FDFDFC"/>
          </w:tcPr>
          <w:p>
            <w:pPr>
              <w:ind w:left="140"/>
              <w:spacing w:after="0"/>
              <w:rPr>
                <w:sz w:val="20"/>
                <w:szCs w:val="20"/>
                <w:color w:val="auto"/>
              </w:rPr>
            </w:pPr>
            <w:r>
              <w:rPr>
                <w:rFonts w:ascii="Arial" w:cs="Arial" w:eastAsia="Arial" w:hAnsi="Arial"/>
                <w:sz w:val="17"/>
                <w:szCs w:val="17"/>
                <w:color w:val="231F20"/>
              </w:rPr>
              <w:t>net of underwriting discount and commissions</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60" w:type="dxa"/>
            <w:vAlign w:val="bottom"/>
            <w:gridSpan w:val="2"/>
            <w:vMerge w:val="continue"/>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vMerge w:val="continue"/>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vMerge w:val="continue"/>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D0EBF2"/>
          </w:tcPr>
          <w:p>
            <w:pPr>
              <w:spacing w:after="0"/>
              <w:rPr>
                <w:sz w:val="20"/>
                <w:szCs w:val="20"/>
                <w:color w:val="auto"/>
              </w:rPr>
            </w:pPr>
            <w:r>
              <w:rPr>
                <w:rFonts w:ascii="Arial" w:cs="Arial" w:eastAsia="Arial" w:hAnsi="Arial"/>
                <w:sz w:val="17"/>
                <w:szCs w:val="17"/>
                <w:color w:val="231F20"/>
              </w:rPr>
              <w:t>Payments of costs related to public offering</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60" w:type="dxa"/>
            <w:vAlign w:val="bottom"/>
            <w:gridSpan w:val="2"/>
            <w:shd w:val="clear" w:color="auto" w:fill="D0EBF2"/>
          </w:tcPr>
          <w:p>
            <w:pPr>
              <w:jc w:val="right"/>
              <w:ind w:right="120"/>
              <w:spacing w:after="0"/>
              <w:rPr>
                <w:sz w:val="20"/>
                <w:szCs w:val="20"/>
                <w:color w:val="auto"/>
              </w:rPr>
            </w:pPr>
            <w:r>
              <w:rPr>
                <w:rFonts w:ascii="Arial" w:cs="Arial" w:eastAsia="Arial" w:hAnsi="Arial"/>
                <w:sz w:val="17"/>
                <w:szCs w:val="17"/>
                <w:color w:val="231F20"/>
              </w:rPr>
              <w:t>—</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(1,062)</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120"/>
              <w:spacing w:after="0"/>
              <w:rPr>
                <w:sz w:val="20"/>
                <w:szCs w:val="20"/>
                <w:color w:val="auto"/>
              </w:rPr>
            </w:pPr>
            <w:r>
              <w:rPr>
                <w:rFonts w:ascii="Arial" w:cs="Arial" w:eastAsia="Arial" w:hAnsi="Arial"/>
                <w:sz w:val="17"/>
                <w:szCs w:val="17"/>
                <w:color w:val="231F20"/>
              </w:rPr>
              <w:t>—</w:t>
            </w: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spacing w:after="0"/>
              <w:rPr>
                <w:sz w:val="20"/>
                <w:szCs w:val="20"/>
                <w:color w:val="auto"/>
              </w:rPr>
            </w:pPr>
            <w:r>
              <w:rPr>
                <w:rFonts w:ascii="Arial" w:cs="Arial" w:eastAsia="Arial" w:hAnsi="Arial"/>
                <w:sz w:val="17"/>
                <w:szCs w:val="17"/>
                <w:color w:val="231F20"/>
              </w:rPr>
              <w:t>Repayment of long-term debt</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60" w:type="dxa"/>
            <w:vAlign w:val="bottom"/>
            <w:gridSpan w:val="2"/>
            <w:shd w:val="clear" w:color="auto" w:fill="FDFDFC"/>
          </w:tcPr>
          <w:p>
            <w:pPr>
              <w:jc w:val="right"/>
              <w:ind w:right="120"/>
              <w:spacing w:after="0"/>
              <w:rPr>
                <w:sz w:val="20"/>
                <w:szCs w:val="20"/>
                <w:color w:val="auto"/>
              </w:rPr>
            </w:pPr>
            <w:r>
              <w:rPr>
                <w:rFonts w:ascii="Arial" w:cs="Arial" w:eastAsia="Arial" w:hAnsi="Arial"/>
                <w:sz w:val="17"/>
                <w:szCs w:val="17"/>
                <w:color w:val="231F20"/>
              </w:rPr>
              <w:t>—</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120"/>
              <w:spacing w:after="0"/>
              <w:rPr>
                <w:sz w:val="20"/>
                <w:szCs w:val="20"/>
                <w:color w:val="auto"/>
              </w:rPr>
            </w:pPr>
            <w:r>
              <w:rPr>
                <w:rFonts w:ascii="Arial" w:cs="Arial" w:eastAsia="Arial" w:hAnsi="Arial"/>
                <w:sz w:val="17"/>
                <w:szCs w:val="17"/>
                <w:color w:val="231F20"/>
              </w:rPr>
              <w:t>—</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7"/>
                <w:szCs w:val="17"/>
                <w:color w:val="231F20"/>
              </w:rPr>
              <w:t>(25,939)</w:t>
            </w:r>
          </w:p>
        </w:tc>
        <w:tc>
          <w:tcPr>
            <w:tcW w:w="0" w:type="dxa"/>
            <w:vAlign w:val="bottom"/>
          </w:tcPr>
          <w:p>
            <w:pPr>
              <w:spacing w:after="0"/>
              <w:rPr>
                <w:sz w:val="1"/>
                <w:szCs w:val="1"/>
                <w:color w:val="auto"/>
              </w:rPr>
            </w:pPr>
          </w:p>
        </w:tc>
      </w:tr>
      <w:tr>
        <w:trPr>
          <w:trHeight w:val="209"/>
        </w:trPr>
        <w:tc>
          <w:tcPr>
            <w:tcW w:w="5860" w:type="dxa"/>
            <w:vAlign w:val="bottom"/>
            <w:shd w:val="clear" w:color="auto" w:fill="D0EBF2"/>
          </w:tcPr>
          <w:p>
            <w:pPr>
              <w:spacing w:after="0"/>
              <w:rPr>
                <w:sz w:val="20"/>
                <w:szCs w:val="20"/>
                <w:color w:val="auto"/>
              </w:rPr>
            </w:pPr>
            <w:r>
              <w:rPr>
                <w:rFonts w:ascii="Arial" w:cs="Arial" w:eastAsia="Arial" w:hAnsi="Arial"/>
                <w:sz w:val="17"/>
                <w:szCs w:val="17"/>
                <w:color w:val="231F20"/>
              </w:rPr>
              <w:t>Contingent consideration paid for acquisitions</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60" w:type="dxa"/>
            <w:vAlign w:val="bottom"/>
            <w:gridSpan w:val="2"/>
            <w:shd w:val="clear" w:color="auto" w:fill="D0EBF2"/>
          </w:tcPr>
          <w:p>
            <w:pPr>
              <w:jc w:val="right"/>
              <w:ind w:right="60"/>
              <w:spacing w:after="0"/>
              <w:rPr>
                <w:sz w:val="20"/>
                <w:szCs w:val="20"/>
                <w:color w:val="auto"/>
              </w:rPr>
            </w:pPr>
            <w:r>
              <w:rPr>
                <w:rFonts w:ascii="Arial" w:cs="Arial" w:eastAsia="Arial" w:hAnsi="Arial"/>
                <w:sz w:val="17"/>
                <w:szCs w:val="17"/>
                <w:color w:val="231F20"/>
              </w:rPr>
              <w:t>(1,032)</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(1,207)</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(3,701)</w:t>
            </w: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spacing w:after="0"/>
              <w:rPr>
                <w:sz w:val="20"/>
                <w:szCs w:val="20"/>
                <w:color w:val="auto"/>
              </w:rPr>
            </w:pPr>
            <w:r>
              <w:rPr>
                <w:rFonts w:ascii="Arial" w:cs="Arial" w:eastAsia="Arial" w:hAnsi="Arial"/>
                <w:sz w:val="17"/>
                <w:szCs w:val="17"/>
                <w:color w:val="231F20"/>
              </w:rPr>
              <w:t>Payment of long-term debt issuance costs</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60" w:type="dxa"/>
            <w:vAlign w:val="bottom"/>
            <w:gridSpan w:val="2"/>
            <w:shd w:val="clear" w:color="auto" w:fill="FDFDFC"/>
          </w:tcPr>
          <w:p>
            <w:pPr>
              <w:jc w:val="right"/>
              <w:ind w:right="60"/>
              <w:spacing w:after="0"/>
              <w:rPr>
                <w:sz w:val="20"/>
                <w:szCs w:val="20"/>
                <w:color w:val="auto"/>
              </w:rPr>
            </w:pPr>
            <w:r>
              <w:rPr>
                <w:rFonts w:ascii="Arial" w:cs="Arial" w:eastAsia="Arial" w:hAnsi="Arial"/>
                <w:sz w:val="17"/>
                <w:szCs w:val="17"/>
                <w:color w:val="231F20"/>
              </w:rPr>
              <w:t>(783)</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120"/>
              <w:spacing w:after="0"/>
              <w:rPr>
                <w:sz w:val="20"/>
                <w:szCs w:val="20"/>
                <w:color w:val="auto"/>
              </w:rPr>
            </w:pPr>
            <w:r>
              <w:rPr>
                <w:rFonts w:ascii="Arial" w:cs="Arial" w:eastAsia="Arial" w:hAnsi="Arial"/>
                <w:sz w:val="17"/>
                <w:szCs w:val="17"/>
                <w:color w:val="231F20"/>
              </w:rPr>
              <w:t>—</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120"/>
              <w:spacing w:after="0"/>
              <w:rPr>
                <w:sz w:val="20"/>
                <w:szCs w:val="20"/>
                <w:color w:val="auto"/>
              </w:rPr>
            </w:pPr>
            <w:r>
              <w:rPr>
                <w:rFonts w:ascii="Arial" w:cs="Arial" w:eastAsia="Arial" w:hAnsi="Arial"/>
                <w:sz w:val="17"/>
                <w:szCs w:val="17"/>
                <w:color w:val="231F20"/>
              </w:rPr>
              <w:t>—</w:t>
            </w:r>
          </w:p>
        </w:tc>
        <w:tc>
          <w:tcPr>
            <w:tcW w:w="0" w:type="dxa"/>
            <w:vAlign w:val="bottom"/>
          </w:tcPr>
          <w:p>
            <w:pPr>
              <w:spacing w:after="0"/>
              <w:rPr>
                <w:sz w:val="1"/>
                <w:szCs w:val="1"/>
                <w:color w:val="auto"/>
              </w:rPr>
            </w:pPr>
          </w:p>
        </w:tc>
      </w:tr>
      <w:tr>
        <w:trPr>
          <w:trHeight w:val="209"/>
        </w:trPr>
        <w:tc>
          <w:tcPr>
            <w:tcW w:w="5860" w:type="dxa"/>
            <w:vAlign w:val="bottom"/>
            <w:shd w:val="clear" w:color="auto" w:fill="D0EBF2"/>
          </w:tcPr>
          <w:p>
            <w:pPr>
              <w:spacing w:after="0"/>
              <w:rPr>
                <w:sz w:val="20"/>
                <w:szCs w:val="20"/>
                <w:color w:val="auto"/>
              </w:rPr>
            </w:pPr>
            <w:r>
              <w:rPr>
                <w:rFonts w:ascii="Arial" w:cs="Arial" w:eastAsia="Arial" w:hAnsi="Arial"/>
                <w:sz w:val="17"/>
                <w:szCs w:val="17"/>
                <w:color w:val="231F20"/>
              </w:rPr>
              <w:t>Payments of tax withholdings for net settled option exercises</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60" w:type="dxa"/>
            <w:vAlign w:val="bottom"/>
            <w:gridSpan w:val="2"/>
            <w:shd w:val="clear" w:color="auto" w:fill="D0EBF2"/>
          </w:tcPr>
          <w:p>
            <w:pPr>
              <w:jc w:val="right"/>
              <w:ind w:right="60"/>
              <w:spacing w:after="0"/>
              <w:rPr>
                <w:sz w:val="20"/>
                <w:szCs w:val="20"/>
                <w:color w:val="auto"/>
              </w:rPr>
            </w:pPr>
            <w:r>
              <w:rPr>
                <w:rFonts w:ascii="Arial" w:cs="Arial" w:eastAsia="Arial" w:hAnsi="Arial"/>
                <w:sz w:val="17"/>
                <w:szCs w:val="17"/>
                <w:color w:val="231F20"/>
              </w:rPr>
              <w:t>(797)</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(8,483)</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7"/>
                <w:szCs w:val="17"/>
                <w:color w:val="231F20"/>
              </w:rPr>
              <w:t>(2,564)</w:t>
            </w:r>
          </w:p>
        </w:tc>
        <w:tc>
          <w:tcPr>
            <w:tcW w:w="0" w:type="dxa"/>
            <w:vAlign w:val="bottom"/>
          </w:tcPr>
          <w:p>
            <w:pPr>
              <w:spacing w:after="0"/>
              <w:rPr>
                <w:sz w:val="1"/>
                <w:szCs w:val="1"/>
                <w:color w:val="auto"/>
              </w:rPr>
            </w:pPr>
          </w:p>
        </w:tc>
      </w:tr>
      <w:tr>
        <w:trPr>
          <w:trHeight w:val="192"/>
        </w:trPr>
        <w:tc>
          <w:tcPr>
            <w:tcW w:w="5860" w:type="dxa"/>
            <w:vAlign w:val="bottom"/>
            <w:shd w:val="clear" w:color="auto" w:fill="FDFDFC"/>
          </w:tcPr>
          <w:p>
            <w:pPr>
              <w:spacing w:after="0" w:line="193" w:lineRule="exact"/>
              <w:rPr>
                <w:sz w:val="20"/>
                <w:szCs w:val="20"/>
                <w:color w:val="auto"/>
              </w:rPr>
            </w:pPr>
            <w:r>
              <w:rPr>
                <w:rFonts w:ascii="Arial" w:cs="Arial" w:eastAsia="Arial" w:hAnsi="Arial"/>
                <w:sz w:val="17"/>
                <w:szCs w:val="17"/>
                <w:color w:val="231F20"/>
              </w:rPr>
              <w:t>Proceeds from the issuance of stock under Employee Stock</w:t>
            </w:r>
          </w:p>
        </w:tc>
        <w:tc>
          <w:tcPr>
            <w:tcW w:w="140" w:type="dxa"/>
            <w:vAlign w:val="bottom"/>
            <w:shd w:val="clear" w:color="auto" w:fill="FDFDFC"/>
          </w:tcPr>
          <w:p>
            <w:pPr>
              <w:spacing w:after="0"/>
              <w:rPr>
                <w:sz w:val="16"/>
                <w:szCs w:val="16"/>
                <w:color w:val="auto"/>
              </w:rPr>
            </w:pPr>
          </w:p>
        </w:tc>
        <w:tc>
          <w:tcPr>
            <w:tcW w:w="260" w:type="dxa"/>
            <w:vAlign w:val="bottom"/>
            <w:shd w:val="clear" w:color="auto" w:fill="FDFDFC"/>
          </w:tcPr>
          <w:p>
            <w:pPr>
              <w:spacing w:after="0"/>
              <w:rPr>
                <w:sz w:val="16"/>
                <w:szCs w:val="16"/>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7"/>
                <w:szCs w:val="17"/>
                <w:color w:val="231F20"/>
              </w:rPr>
              <w:t>3,108</w:t>
            </w:r>
          </w:p>
        </w:tc>
        <w:tc>
          <w:tcPr>
            <w:tcW w:w="1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260" w:type="dxa"/>
            <w:vAlign w:val="bottom"/>
            <w:shd w:val="clear" w:color="auto" w:fill="FDFDFC"/>
          </w:tcPr>
          <w:p>
            <w:pPr>
              <w:spacing w:after="0"/>
              <w:rPr>
                <w:sz w:val="16"/>
                <w:szCs w:val="16"/>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7"/>
                <w:szCs w:val="17"/>
                <w:color w:val="231F20"/>
              </w:rPr>
              <w:t>2,691</w:t>
            </w: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260" w:type="dxa"/>
            <w:vAlign w:val="bottom"/>
            <w:shd w:val="clear" w:color="auto" w:fill="FDFDFC"/>
          </w:tcPr>
          <w:p>
            <w:pPr>
              <w:spacing w:after="0"/>
              <w:rPr>
                <w:sz w:val="16"/>
                <w:szCs w:val="16"/>
                <w:color w:val="auto"/>
              </w:rPr>
            </w:pPr>
          </w:p>
        </w:tc>
        <w:tc>
          <w:tcPr>
            <w:tcW w:w="940" w:type="dxa"/>
            <w:vAlign w:val="bottom"/>
            <w:vMerge w:val="restart"/>
            <w:shd w:val="clear" w:color="auto" w:fill="FDFDFC"/>
          </w:tcPr>
          <w:p>
            <w:pPr>
              <w:jc w:val="right"/>
              <w:spacing w:after="0"/>
              <w:rPr>
                <w:sz w:val="20"/>
                <w:szCs w:val="20"/>
                <w:color w:val="auto"/>
              </w:rPr>
            </w:pPr>
            <w:r>
              <w:rPr>
                <w:rFonts w:ascii="Arial" w:cs="Arial" w:eastAsia="Arial" w:hAnsi="Arial"/>
                <w:sz w:val="17"/>
                <w:szCs w:val="17"/>
                <w:color w:val="231F20"/>
              </w:rPr>
              <w:t>1,271</w:t>
            </w:r>
          </w:p>
        </w:tc>
        <w:tc>
          <w:tcPr>
            <w:tcW w:w="1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60" w:type="dxa"/>
            <w:vAlign w:val="bottom"/>
            <w:shd w:val="clear" w:color="auto" w:fill="FDFDFC"/>
          </w:tcPr>
          <w:p>
            <w:pPr>
              <w:ind w:left="140"/>
              <w:spacing w:after="0"/>
              <w:rPr>
                <w:sz w:val="20"/>
                <w:szCs w:val="20"/>
                <w:color w:val="auto"/>
              </w:rPr>
            </w:pPr>
            <w:r>
              <w:rPr>
                <w:rFonts w:ascii="Arial" w:cs="Arial" w:eastAsia="Arial" w:hAnsi="Arial"/>
                <w:sz w:val="17"/>
                <w:szCs w:val="17"/>
                <w:color w:val="231F20"/>
              </w:rPr>
              <w:t>Purchase Plan</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vMerge w:val="continue"/>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vMerge w:val="continue"/>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vMerge w:val="continue"/>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D0EBF2"/>
          </w:tcPr>
          <w:p>
            <w:pPr>
              <w:spacing w:after="0"/>
              <w:rPr>
                <w:sz w:val="20"/>
                <w:szCs w:val="20"/>
                <w:color w:val="auto"/>
              </w:rPr>
            </w:pPr>
            <w:r>
              <w:rPr>
                <w:rFonts w:ascii="Arial" w:cs="Arial" w:eastAsia="Arial" w:hAnsi="Arial"/>
                <w:sz w:val="17"/>
                <w:szCs w:val="17"/>
                <w:color w:val="231F20"/>
              </w:rPr>
              <w:t>Proceeds from exercise of stock options</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5,613</w:t>
            </w: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10,360</w:t>
            </w: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6,963</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FDFDFC"/>
          </w:tcPr>
          <w:p>
            <w:pPr>
              <w:spacing w:after="0"/>
              <w:rPr>
                <w:sz w:val="20"/>
                <w:szCs w:val="20"/>
                <w:color w:val="auto"/>
              </w:rPr>
            </w:pPr>
            <w:r>
              <w:rPr>
                <w:rFonts w:ascii="Arial" w:cs="Arial" w:eastAsia="Arial" w:hAnsi="Arial"/>
                <w:sz w:val="17"/>
                <w:szCs w:val="17"/>
                <w:color w:val="231F20"/>
              </w:rPr>
              <w:t>Common stock repurchased</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60" w:type="dxa"/>
            <w:vAlign w:val="bottom"/>
            <w:gridSpan w:val="2"/>
            <w:shd w:val="clear" w:color="auto" w:fill="FDFDFC"/>
          </w:tcPr>
          <w:p>
            <w:pPr>
              <w:jc w:val="right"/>
              <w:ind w:right="60"/>
              <w:spacing w:after="0"/>
              <w:rPr>
                <w:sz w:val="20"/>
                <w:szCs w:val="20"/>
                <w:color w:val="auto"/>
              </w:rPr>
            </w:pPr>
            <w:r>
              <w:rPr>
                <w:rFonts w:ascii="Arial" w:cs="Arial" w:eastAsia="Arial" w:hAnsi="Arial"/>
                <w:sz w:val="17"/>
                <w:szCs w:val="17"/>
                <w:color w:val="231F20"/>
              </w:rPr>
              <w:t>(43,740)</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120"/>
              <w:spacing w:after="0"/>
              <w:rPr>
                <w:sz w:val="20"/>
                <w:szCs w:val="20"/>
                <w:color w:val="auto"/>
              </w:rPr>
            </w:pPr>
            <w:r>
              <w:rPr>
                <w:rFonts w:ascii="Arial" w:cs="Arial" w:eastAsia="Arial" w:hAnsi="Arial"/>
                <w:sz w:val="17"/>
                <w:szCs w:val="17"/>
                <w:color w:val="231F20"/>
              </w:rPr>
              <w:t>—</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120"/>
              <w:spacing w:after="0"/>
              <w:rPr>
                <w:sz w:val="20"/>
                <w:szCs w:val="20"/>
                <w:color w:val="auto"/>
              </w:rPr>
            </w:pPr>
            <w:r>
              <w:rPr>
                <w:rFonts w:ascii="Arial" w:cs="Arial" w:eastAsia="Arial" w:hAnsi="Arial"/>
                <w:sz w:val="17"/>
                <w:szCs w:val="17"/>
                <w:color w:val="231F20"/>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D0EBF2"/>
              <w:bottom w:val="single" w:sz="8" w:color="D0EBF2"/>
            </w:tcBorders>
            <w:shd w:val="clear" w:color="auto" w:fill="D0EBF2"/>
          </w:tcPr>
          <w:p>
            <w:pPr>
              <w:ind w:left="560"/>
              <w:spacing w:after="0"/>
              <w:rPr>
                <w:sz w:val="20"/>
                <w:szCs w:val="20"/>
                <w:color w:val="auto"/>
              </w:rPr>
            </w:pPr>
            <w:r>
              <w:rPr>
                <w:rFonts w:ascii="Arial" w:cs="Arial" w:eastAsia="Arial" w:hAnsi="Arial"/>
                <w:sz w:val="17"/>
                <w:szCs w:val="17"/>
                <w:color w:val="231F20"/>
              </w:rPr>
              <w:t>Net cash (used in) provided by financing activities</w:t>
            </w:r>
          </w:p>
        </w:tc>
        <w:tc>
          <w:tcPr>
            <w:tcW w:w="140" w:type="dxa"/>
            <w:vAlign w:val="bottom"/>
            <w:tcBorders>
              <w:top w:val="single" w:sz="8" w:color="D0EBF2"/>
              <w:bottom w:val="single" w:sz="8" w:color="D0EBF2"/>
            </w:tcBorders>
            <w:shd w:val="clear" w:color="auto" w:fill="D0EBF2"/>
          </w:tcPr>
          <w:p>
            <w:pPr>
              <w:spacing w:after="0"/>
              <w:rPr>
                <w:sz w:val="18"/>
                <w:szCs w:val="18"/>
                <w:color w:val="auto"/>
              </w:rPr>
            </w:pPr>
          </w:p>
        </w:tc>
        <w:tc>
          <w:tcPr>
            <w:tcW w:w="260" w:type="dxa"/>
            <w:vAlign w:val="bottom"/>
            <w:tcBorders>
              <w:top w:val="single" w:sz="8" w:color="231F20"/>
              <w:bottom w:val="single" w:sz="8" w:color="231F20"/>
            </w:tcBorders>
            <w:shd w:val="clear" w:color="auto" w:fill="D0EBF2"/>
          </w:tcPr>
          <w:p>
            <w:pPr>
              <w:spacing w:after="0"/>
              <w:rPr>
                <w:sz w:val="18"/>
                <w:szCs w:val="18"/>
                <w:color w:val="auto"/>
              </w:rPr>
            </w:pPr>
          </w:p>
        </w:tc>
        <w:tc>
          <w:tcPr>
            <w:tcW w:w="9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7"/>
                <w:szCs w:val="17"/>
                <w:color w:val="231F20"/>
              </w:rPr>
              <w:t>(37,631)</w:t>
            </w:r>
          </w:p>
        </w:tc>
        <w:tc>
          <w:tcPr>
            <w:tcW w:w="120" w:type="dxa"/>
            <w:vAlign w:val="bottom"/>
            <w:tcBorders>
              <w:top w:val="single" w:sz="8" w:color="D0EBF2"/>
              <w:bottom w:val="single" w:sz="8" w:color="D0EBF2"/>
            </w:tcBorders>
            <w:shd w:val="clear" w:color="auto" w:fill="D0EBF2"/>
          </w:tcPr>
          <w:p>
            <w:pPr>
              <w:spacing w:after="0"/>
              <w:rPr>
                <w:sz w:val="18"/>
                <w:szCs w:val="18"/>
                <w:color w:val="auto"/>
              </w:rPr>
            </w:pPr>
          </w:p>
        </w:tc>
        <w:tc>
          <w:tcPr>
            <w:tcW w:w="140" w:type="dxa"/>
            <w:vAlign w:val="bottom"/>
            <w:tcBorders>
              <w:top w:val="single" w:sz="8" w:color="D0EBF2"/>
              <w:bottom w:val="single" w:sz="8" w:color="D0EBF2"/>
            </w:tcBorders>
            <w:shd w:val="clear" w:color="auto" w:fill="D0EBF2"/>
          </w:tcPr>
          <w:p>
            <w:pPr>
              <w:spacing w:after="0"/>
              <w:rPr>
                <w:sz w:val="18"/>
                <w:szCs w:val="18"/>
                <w:color w:val="auto"/>
              </w:rPr>
            </w:pPr>
          </w:p>
        </w:tc>
        <w:tc>
          <w:tcPr>
            <w:tcW w:w="260" w:type="dxa"/>
            <w:vAlign w:val="bottom"/>
            <w:tcBorders>
              <w:top w:val="single" w:sz="8" w:color="231F20"/>
              <w:bottom w:val="single" w:sz="8" w:color="231F20"/>
            </w:tcBorders>
            <w:shd w:val="clear" w:color="auto" w:fill="D0EBF2"/>
          </w:tcPr>
          <w:p>
            <w:pPr>
              <w:spacing w:after="0"/>
              <w:rPr>
                <w:sz w:val="18"/>
                <w:szCs w:val="18"/>
                <w:color w:val="auto"/>
              </w:rPr>
            </w:pPr>
          </w:p>
        </w:tc>
        <w:tc>
          <w:tcPr>
            <w:tcW w:w="9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7"/>
                <w:szCs w:val="17"/>
                <w:color w:val="231F20"/>
              </w:rPr>
              <w:t>263,418</w:t>
            </w:r>
          </w:p>
        </w:tc>
        <w:tc>
          <w:tcPr>
            <w:tcW w:w="100" w:type="dxa"/>
            <w:vAlign w:val="bottom"/>
            <w:tcBorders>
              <w:top w:val="single" w:sz="8" w:color="D0EBF2"/>
              <w:bottom w:val="single" w:sz="8" w:color="D0EBF2"/>
            </w:tcBorders>
            <w:shd w:val="clear" w:color="auto" w:fill="D0EBF2"/>
          </w:tcPr>
          <w:p>
            <w:pPr>
              <w:spacing w:after="0"/>
              <w:rPr>
                <w:sz w:val="18"/>
                <w:szCs w:val="18"/>
                <w:color w:val="auto"/>
              </w:rPr>
            </w:pPr>
          </w:p>
        </w:tc>
        <w:tc>
          <w:tcPr>
            <w:tcW w:w="140" w:type="dxa"/>
            <w:vAlign w:val="bottom"/>
            <w:tcBorders>
              <w:top w:val="single" w:sz="8" w:color="D0EBF2"/>
              <w:bottom w:val="single" w:sz="8" w:color="D0EBF2"/>
            </w:tcBorders>
            <w:shd w:val="clear" w:color="auto" w:fill="D0EBF2"/>
          </w:tcPr>
          <w:p>
            <w:pPr>
              <w:spacing w:after="0"/>
              <w:rPr>
                <w:sz w:val="18"/>
                <w:szCs w:val="18"/>
                <w:color w:val="auto"/>
              </w:rPr>
            </w:pPr>
          </w:p>
        </w:tc>
        <w:tc>
          <w:tcPr>
            <w:tcW w:w="260" w:type="dxa"/>
            <w:vAlign w:val="bottom"/>
            <w:tcBorders>
              <w:top w:val="single" w:sz="8" w:color="231F20"/>
              <w:bottom w:val="single" w:sz="8" w:color="231F20"/>
            </w:tcBorders>
            <w:shd w:val="clear" w:color="auto" w:fill="D0EBF2"/>
          </w:tcPr>
          <w:p>
            <w:pPr>
              <w:spacing w:after="0"/>
              <w:rPr>
                <w:sz w:val="18"/>
                <w:szCs w:val="18"/>
                <w:color w:val="auto"/>
              </w:rPr>
            </w:pPr>
          </w:p>
        </w:tc>
        <w:tc>
          <w:tcPr>
            <w:tcW w:w="9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7"/>
                <w:szCs w:val="17"/>
                <w:color w:val="231F20"/>
              </w:rPr>
              <w:t>(23,970)</w:t>
            </w:r>
          </w:p>
        </w:tc>
        <w:tc>
          <w:tcPr>
            <w:tcW w:w="100" w:type="dxa"/>
            <w:vAlign w:val="bottom"/>
            <w:tcBorders>
              <w:top w:val="single" w:sz="8" w:color="D0EBF2"/>
              <w:bottom w:val="single" w:sz="8" w:color="D0EBF2"/>
            </w:tcBorders>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860" w:type="dxa"/>
            <w:vAlign w:val="bottom"/>
            <w:tcBorders>
              <w:top w:val="single" w:sz="8" w:color="FDFDFC"/>
              <w:bottom w:val="single" w:sz="8" w:color="D0EBF2"/>
            </w:tcBorders>
            <w:shd w:val="clear" w:color="auto" w:fill="FDFDFC"/>
          </w:tcPr>
          <w:p>
            <w:pPr>
              <w:spacing w:after="0" w:line="178" w:lineRule="exact"/>
              <w:rPr>
                <w:sz w:val="20"/>
                <w:szCs w:val="20"/>
                <w:color w:val="auto"/>
              </w:rPr>
            </w:pPr>
            <w:r>
              <w:rPr>
                <w:rFonts w:ascii="Arial" w:cs="Arial" w:eastAsia="Arial" w:hAnsi="Arial"/>
                <w:sz w:val="17"/>
                <w:szCs w:val="17"/>
                <w:color w:val="231F20"/>
              </w:rPr>
              <w:t>Effect of exchange rates changes on cash and cash equivalents</w:t>
            </w:r>
          </w:p>
        </w:tc>
        <w:tc>
          <w:tcPr>
            <w:tcW w:w="140" w:type="dxa"/>
            <w:vAlign w:val="bottom"/>
            <w:tcBorders>
              <w:top w:val="single" w:sz="8" w:color="FDFDFC"/>
              <w:bottom w:val="single" w:sz="8" w:color="D0EBF2"/>
            </w:tcBorders>
            <w:shd w:val="clear" w:color="auto" w:fill="FDFDFC"/>
          </w:tcPr>
          <w:p>
            <w:pPr>
              <w:spacing w:after="0"/>
              <w:rPr>
                <w:sz w:val="15"/>
                <w:szCs w:val="15"/>
                <w:color w:val="auto"/>
              </w:rPr>
            </w:pPr>
          </w:p>
        </w:tc>
        <w:tc>
          <w:tcPr>
            <w:tcW w:w="260" w:type="dxa"/>
            <w:vAlign w:val="bottom"/>
            <w:tcBorders>
              <w:top w:val="single" w:sz="8" w:color="231F20"/>
              <w:bottom w:val="single" w:sz="8" w:color="231F20"/>
            </w:tcBorders>
            <w:shd w:val="clear" w:color="auto" w:fill="FDFDFC"/>
          </w:tcPr>
          <w:p>
            <w:pPr>
              <w:spacing w:after="0"/>
              <w:rPr>
                <w:sz w:val="15"/>
                <w:szCs w:val="15"/>
                <w:color w:val="auto"/>
              </w:rPr>
            </w:pPr>
          </w:p>
        </w:tc>
        <w:tc>
          <w:tcPr>
            <w:tcW w:w="940" w:type="dxa"/>
            <w:vAlign w:val="bottom"/>
            <w:tcBorders>
              <w:top w:val="single" w:sz="8" w:color="231F20"/>
              <w:bottom w:val="single" w:sz="8" w:color="231F20"/>
            </w:tcBorders>
            <w:shd w:val="clear" w:color="auto" w:fill="FDFDFC"/>
          </w:tcPr>
          <w:p>
            <w:pPr>
              <w:jc w:val="right"/>
              <w:spacing w:after="0" w:line="178" w:lineRule="exact"/>
              <w:rPr>
                <w:sz w:val="20"/>
                <w:szCs w:val="20"/>
                <w:color w:val="auto"/>
              </w:rPr>
            </w:pPr>
            <w:r>
              <w:rPr>
                <w:rFonts w:ascii="Arial" w:cs="Arial" w:eastAsia="Arial" w:hAnsi="Arial"/>
                <w:sz w:val="17"/>
                <w:szCs w:val="17"/>
                <w:color w:val="231F20"/>
              </w:rPr>
              <w:t>2,597</w:t>
            </w:r>
          </w:p>
        </w:tc>
        <w:tc>
          <w:tcPr>
            <w:tcW w:w="120" w:type="dxa"/>
            <w:vAlign w:val="bottom"/>
            <w:tcBorders>
              <w:top w:val="single" w:sz="8" w:color="FDFDFC"/>
              <w:bottom w:val="single" w:sz="8" w:color="D0EBF2"/>
            </w:tcBorders>
            <w:shd w:val="clear" w:color="auto" w:fill="FDFDFC"/>
          </w:tcPr>
          <w:p>
            <w:pPr>
              <w:spacing w:after="0"/>
              <w:rPr>
                <w:sz w:val="15"/>
                <w:szCs w:val="15"/>
                <w:color w:val="auto"/>
              </w:rPr>
            </w:pPr>
          </w:p>
        </w:tc>
        <w:tc>
          <w:tcPr>
            <w:tcW w:w="140" w:type="dxa"/>
            <w:vAlign w:val="bottom"/>
            <w:tcBorders>
              <w:top w:val="single" w:sz="8" w:color="FDFDFC"/>
              <w:bottom w:val="single" w:sz="8" w:color="D0EBF2"/>
            </w:tcBorders>
            <w:shd w:val="clear" w:color="auto" w:fill="FDFDFC"/>
          </w:tcPr>
          <w:p>
            <w:pPr>
              <w:spacing w:after="0"/>
              <w:rPr>
                <w:sz w:val="15"/>
                <w:szCs w:val="15"/>
                <w:color w:val="auto"/>
              </w:rPr>
            </w:pPr>
          </w:p>
        </w:tc>
        <w:tc>
          <w:tcPr>
            <w:tcW w:w="260" w:type="dxa"/>
            <w:vAlign w:val="bottom"/>
            <w:tcBorders>
              <w:top w:val="single" w:sz="8" w:color="231F20"/>
              <w:bottom w:val="single" w:sz="8" w:color="231F20"/>
            </w:tcBorders>
            <w:shd w:val="clear" w:color="auto" w:fill="FDFDFC"/>
          </w:tcPr>
          <w:p>
            <w:pPr>
              <w:spacing w:after="0"/>
              <w:rPr>
                <w:sz w:val="15"/>
                <w:szCs w:val="15"/>
                <w:color w:val="auto"/>
              </w:rPr>
            </w:pPr>
          </w:p>
        </w:tc>
        <w:tc>
          <w:tcPr>
            <w:tcW w:w="940" w:type="dxa"/>
            <w:vAlign w:val="bottom"/>
            <w:tcBorders>
              <w:top w:val="single" w:sz="8" w:color="231F20"/>
              <w:bottom w:val="single" w:sz="8" w:color="231F20"/>
            </w:tcBorders>
            <w:shd w:val="clear" w:color="auto" w:fill="FDFDFC"/>
          </w:tcPr>
          <w:p>
            <w:pPr>
              <w:jc w:val="right"/>
              <w:spacing w:after="0" w:line="178" w:lineRule="exact"/>
              <w:rPr>
                <w:sz w:val="20"/>
                <w:szCs w:val="20"/>
                <w:color w:val="auto"/>
              </w:rPr>
            </w:pPr>
            <w:r>
              <w:rPr>
                <w:rFonts w:ascii="Arial" w:cs="Arial" w:eastAsia="Arial" w:hAnsi="Arial"/>
                <w:sz w:val="17"/>
                <w:szCs w:val="17"/>
                <w:color w:val="231F20"/>
              </w:rPr>
              <w:t>(1,835)</w:t>
            </w:r>
          </w:p>
        </w:tc>
        <w:tc>
          <w:tcPr>
            <w:tcW w:w="100" w:type="dxa"/>
            <w:vAlign w:val="bottom"/>
            <w:tcBorders>
              <w:top w:val="single" w:sz="8" w:color="FDFDFC"/>
              <w:bottom w:val="single" w:sz="8" w:color="D0EBF2"/>
            </w:tcBorders>
            <w:shd w:val="clear" w:color="auto" w:fill="FDFDFC"/>
          </w:tcPr>
          <w:p>
            <w:pPr>
              <w:spacing w:after="0"/>
              <w:rPr>
                <w:sz w:val="15"/>
                <w:szCs w:val="15"/>
                <w:color w:val="auto"/>
              </w:rPr>
            </w:pPr>
          </w:p>
        </w:tc>
        <w:tc>
          <w:tcPr>
            <w:tcW w:w="140" w:type="dxa"/>
            <w:vAlign w:val="bottom"/>
            <w:tcBorders>
              <w:top w:val="single" w:sz="8" w:color="FDFDFC"/>
              <w:bottom w:val="single" w:sz="8" w:color="D0EBF2"/>
            </w:tcBorders>
            <w:shd w:val="clear" w:color="auto" w:fill="FDFDFC"/>
          </w:tcPr>
          <w:p>
            <w:pPr>
              <w:spacing w:after="0"/>
              <w:rPr>
                <w:sz w:val="15"/>
                <w:szCs w:val="15"/>
                <w:color w:val="auto"/>
              </w:rPr>
            </w:pPr>
          </w:p>
        </w:tc>
        <w:tc>
          <w:tcPr>
            <w:tcW w:w="260" w:type="dxa"/>
            <w:vAlign w:val="bottom"/>
            <w:tcBorders>
              <w:top w:val="single" w:sz="8" w:color="231F20"/>
              <w:bottom w:val="single" w:sz="8" w:color="231F20"/>
            </w:tcBorders>
            <w:shd w:val="clear" w:color="auto" w:fill="FDFDFC"/>
          </w:tcPr>
          <w:p>
            <w:pPr>
              <w:spacing w:after="0"/>
              <w:rPr>
                <w:sz w:val="15"/>
                <w:szCs w:val="15"/>
                <w:color w:val="auto"/>
              </w:rPr>
            </w:pPr>
          </w:p>
        </w:tc>
        <w:tc>
          <w:tcPr>
            <w:tcW w:w="940" w:type="dxa"/>
            <w:vAlign w:val="bottom"/>
            <w:tcBorders>
              <w:top w:val="single" w:sz="8" w:color="231F20"/>
              <w:bottom w:val="single" w:sz="8" w:color="231F20"/>
            </w:tcBorders>
            <w:shd w:val="clear" w:color="auto" w:fill="FDFDFC"/>
          </w:tcPr>
          <w:p>
            <w:pPr>
              <w:jc w:val="right"/>
              <w:spacing w:after="0" w:line="178" w:lineRule="exact"/>
              <w:rPr>
                <w:sz w:val="20"/>
                <w:szCs w:val="20"/>
                <w:color w:val="auto"/>
              </w:rPr>
            </w:pPr>
            <w:r>
              <w:rPr>
                <w:rFonts w:ascii="Arial" w:cs="Arial" w:eastAsia="Arial" w:hAnsi="Arial"/>
                <w:sz w:val="17"/>
                <w:szCs w:val="17"/>
                <w:color w:val="231F20"/>
              </w:rPr>
              <w:t>5,023</w:t>
            </w:r>
          </w:p>
        </w:tc>
        <w:tc>
          <w:tcPr>
            <w:tcW w:w="100" w:type="dxa"/>
            <w:vAlign w:val="bottom"/>
            <w:tcBorders>
              <w:top w:val="single" w:sz="8" w:color="FDFDFC"/>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shd w:val="clear" w:color="auto" w:fill="D0EBF2"/>
          </w:tcPr>
          <w:p>
            <w:pPr>
              <w:spacing w:after="0" w:line="180" w:lineRule="exact"/>
              <w:rPr>
                <w:sz w:val="20"/>
                <w:szCs w:val="20"/>
                <w:color w:val="auto"/>
              </w:rPr>
            </w:pPr>
            <w:r>
              <w:rPr>
                <w:rFonts w:ascii="Arial" w:cs="Arial" w:eastAsia="Arial" w:hAnsi="Arial"/>
                <w:sz w:val="17"/>
                <w:szCs w:val="17"/>
                <w:b w:val="1"/>
                <w:bCs w:val="1"/>
                <w:color w:val="231F20"/>
              </w:rPr>
              <w:t>Net (decrease) increase in cash, cash equivalents and</w:t>
            </w:r>
          </w:p>
        </w:tc>
        <w:tc>
          <w:tcPr>
            <w:tcW w:w="140" w:type="dxa"/>
            <w:vAlign w:val="bottom"/>
            <w:shd w:val="clear" w:color="auto" w:fill="D0EBF2"/>
          </w:tcPr>
          <w:p>
            <w:pPr>
              <w:spacing w:after="0"/>
              <w:rPr>
                <w:sz w:val="15"/>
                <w:szCs w:val="15"/>
                <w:color w:val="auto"/>
              </w:rPr>
            </w:pPr>
          </w:p>
        </w:tc>
        <w:tc>
          <w:tcPr>
            <w:tcW w:w="260" w:type="dxa"/>
            <w:vAlign w:val="bottom"/>
            <w:shd w:val="clear" w:color="auto" w:fill="D0EBF2"/>
          </w:tcPr>
          <w:p>
            <w:pPr>
              <w:spacing w:after="0"/>
              <w:rPr>
                <w:sz w:val="15"/>
                <w:szCs w:val="15"/>
                <w:color w:val="auto"/>
              </w:rPr>
            </w:pPr>
          </w:p>
        </w:tc>
        <w:tc>
          <w:tcPr>
            <w:tcW w:w="94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260" w:type="dxa"/>
            <w:vAlign w:val="bottom"/>
            <w:shd w:val="clear" w:color="auto" w:fill="D0EBF2"/>
          </w:tcPr>
          <w:p>
            <w:pPr>
              <w:spacing w:after="0"/>
              <w:rPr>
                <w:sz w:val="15"/>
                <w:szCs w:val="15"/>
                <w:color w:val="auto"/>
              </w:rPr>
            </w:pPr>
          </w:p>
        </w:tc>
        <w:tc>
          <w:tcPr>
            <w:tcW w:w="94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260" w:type="dxa"/>
            <w:vAlign w:val="bottom"/>
            <w:shd w:val="clear" w:color="auto" w:fill="D0EBF2"/>
          </w:tcPr>
          <w:p>
            <w:pPr>
              <w:spacing w:after="0"/>
              <w:rPr>
                <w:sz w:val="15"/>
                <w:szCs w:val="15"/>
                <w:color w:val="auto"/>
              </w:rPr>
            </w:pPr>
          </w:p>
        </w:tc>
        <w:tc>
          <w:tcPr>
            <w:tcW w:w="94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860" w:type="dxa"/>
            <w:vAlign w:val="bottom"/>
            <w:shd w:val="clear" w:color="auto" w:fill="D0EBF2"/>
          </w:tcPr>
          <w:p>
            <w:pPr>
              <w:ind w:left="140"/>
              <w:spacing w:after="0"/>
              <w:rPr>
                <w:sz w:val="20"/>
                <w:szCs w:val="20"/>
                <w:color w:val="auto"/>
              </w:rPr>
            </w:pPr>
            <w:r>
              <w:rPr>
                <w:rFonts w:ascii="Arial" w:cs="Arial" w:eastAsia="Arial" w:hAnsi="Arial"/>
                <w:sz w:val="17"/>
                <w:szCs w:val="17"/>
                <w:b w:val="1"/>
                <w:bCs w:val="1"/>
                <w:color w:val="231F20"/>
              </w:rPr>
              <w:t>restricted cash</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(159,366)</w:t>
            </w: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303,431</w:t>
            </w: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(38,183)</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7"/>
                <w:szCs w:val="17"/>
                <w:b w:val="1"/>
                <w:bCs w:val="1"/>
                <w:color w:val="231F20"/>
              </w:rPr>
              <w:t>Cash, cash equivalents and restricted cash, beginning of year</w:t>
            </w:r>
          </w:p>
        </w:tc>
        <w:tc>
          <w:tcPr>
            <w:tcW w:w="140" w:type="dxa"/>
            <w:vAlign w:val="bottom"/>
            <w:tcBorders>
              <w:bottom w:val="single" w:sz="8" w:color="D0EBF2"/>
            </w:tcBorders>
            <w:shd w:val="clear" w:color="auto" w:fill="FDFDFC"/>
          </w:tcPr>
          <w:p>
            <w:pPr>
              <w:spacing w:after="0"/>
              <w:rPr>
                <w:sz w:val="18"/>
                <w:szCs w:val="18"/>
                <w:color w:val="auto"/>
              </w:rPr>
            </w:pPr>
          </w:p>
        </w:tc>
        <w:tc>
          <w:tcPr>
            <w:tcW w:w="260" w:type="dxa"/>
            <w:vAlign w:val="bottom"/>
            <w:tcBorders>
              <w:bottom w:val="single" w:sz="8" w:color="231F20"/>
            </w:tcBorders>
            <w:shd w:val="clear" w:color="auto" w:fill="FDFDFC"/>
          </w:tcPr>
          <w:p>
            <w:pPr>
              <w:jc w:val="right"/>
              <w:ind w:right="75"/>
              <w:spacing w:after="0"/>
              <w:rPr>
                <w:sz w:val="20"/>
                <w:szCs w:val="20"/>
                <w:color w:val="auto"/>
              </w:rPr>
            </w:pPr>
            <w:r>
              <w:rPr>
                <w:rFonts w:ascii="Arial" w:cs="Arial" w:eastAsia="Arial" w:hAnsi="Arial"/>
                <w:sz w:val="17"/>
                <w:szCs w:val="17"/>
                <w:color w:val="231F20"/>
                <w:w w:val="84"/>
              </w:rPr>
              <w:t>$</w:t>
            </w: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7"/>
                <w:szCs w:val="17"/>
                <w:color w:val="231F20"/>
              </w:rPr>
              <w:t>654,608</w:t>
            </w:r>
          </w:p>
        </w:tc>
        <w:tc>
          <w:tcPr>
            <w:tcW w:w="120" w:type="dxa"/>
            <w:vAlign w:val="bottom"/>
            <w:tcBorders>
              <w:bottom w:val="single" w:sz="8" w:color="D0EBF2"/>
            </w:tcBorders>
            <w:shd w:val="clear" w:color="auto" w:fill="FDFDFC"/>
          </w:tcPr>
          <w:p>
            <w:pPr>
              <w:spacing w:after="0"/>
              <w:rPr>
                <w:sz w:val="18"/>
                <w:szCs w:val="18"/>
                <w:color w:val="auto"/>
              </w:rPr>
            </w:pPr>
          </w:p>
        </w:tc>
        <w:tc>
          <w:tcPr>
            <w:tcW w:w="140" w:type="dxa"/>
            <w:vAlign w:val="bottom"/>
            <w:tcBorders>
              <w:bottom w:val="single" w:sz="8" w:color="D0EBF2"/>
            </w:tcBorders>
            <w:shd w:val="clear" w:color="auto" w:fill="FDFDFC"/>
          </w:tcPr>
          <w:p>
            <w:pPr>
              <w:spacing w:after="0"/>
              <w:rPr>
                <w:sz w:val="18"/>
                <w:szCs w:val="18"/>
                <w:color w:val="auto"/>
              </w:rPr>
            </w:pPr>
          </w:p>
        </w:tc>
        <w:tc>
          <w:tcPr>
            <w:tcW w:w="260" w:type="dxa"/>
            <w:vAlign w:val="bottom"/>
            <w:tcBorders>
              <w:bottom w:val="single" w:sz="8" w:color="231F20"/>
            </w:tcBorders>
            <w:shd w:val="clear" w:color="auto" w:fill="FDFDFC"/>
          </w:tcPr>
          <w:p>
            <w:pPr>
              <w:jc w:val="right"/>
              <w:ind w:right="106"/>
              <w:spacing w:after="0"/>
              <w:rPr>
                <w:sz w:val="20"/>
                <w:szCs w:val="20"/>
                <w:color w:val="auto"/>
              </w:rPr>
            </w:pPr>
            <w:r>
              <w:rPr>
                <w:rFonts w:ascii="Arial" w:cs="Arial" w:eastAsia="Arial" w:hAnsi="Arial"/>
                <w:sz w:val="15"/>
                <w:szCs w:val="15"/>
                <w:color w:val="231F20"/>
                <w:w w:val="71"/>
              </w:rPr>
              <w:t>$</w:t>
            </w: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7"/>
                <w:szCs w:val="17"/>
                <w:color w:val="231F20"/>
              </w:rPr>
              <w:t>351,177</w:t>
            </w:r>
          </w:p>
        </w:tc>
        <w:tc>
          <w:tcPr>
            <w:tcW w:w="100" w:type="dxa"/>
            <w:vAlign w:val="bottom"/>
            <w:tcBorders>
              <w:bottom w:val="single" w:sz="8" w:color="D0EBF2"/>
            </w:tcBorders>
            <w:shd w:val="clear" w:color="auto" w:fill="FDFDFC"/>
          </w:tcPr>
          <w:p>
            <w:pPr>
              <w:spacing w:after="0"/>
              <w:rPr>
                <w:sz w:val="18"/>
                <w:szCs w:val="18"/>
                <w:color w:val="auto"/>
              </w:rPr>
            </w:pPr>
          </w:p>
        </w:tc>
        <w:tc>
          <w:tcPr>
            <w:tcW w:w="140" w:type="dxa"/>
            <w:vAlign w:val="bottom"/>
            <w:tcBorders>
              <w:bottom w:val="single" w:sz="8" w:color="D0EBF2"/>
            </w:tcBorders>
            <w:shd w:val="clear" w:color="auto" w:fill="FDFDFC"/>
          </w:tcPr>
          <w:p>
            <w:pPr>
              <w:spacing w:after="0"/>
              <w:rPr>
                <w:sz w:val="18"/>
                <w:szCs w:val="18"/>
                <w:color w:val="auto"/>
              </w:rPr>
            </w:pPr>
          </w:p>
        </w:tc>
        <w:tc>
          <w:tcPr>
            <w:tcW w:w="260" w:type="dxa"/>
            <w:vAlign w:val="bottom"/>
            <w:tcBorders>
              <w:bottom w:val="single" w:sz="8" w:color="231F20"/>
            </w:tcBorders>
            <w:shd w:val="clear" w:color="auto" w:fill="FDFDFC"/>
          </w:tcPr>
          <w:p>
            <w:pPr>
              <w:jc w:val="right"/>
              <w:ind w:right="75"/>
              <w:spacing w:after="0"/>
              <w:rPr>
                <w:sz w:val="20"/>
                <w:szCs w:val="20"/>
                <w:color w:val="auto"/>
              </w:rPr>
            </w:pPr>
            <w:r>
              <w:rPr>
                <w:rFonts w:ascii="Arial" w:cs="Arial" w:eastAsia="Arial" w:hAnsi="Arial"/>
                <w:sz w:val="17"/>
                <w:szCs w:val="17"/>
                <w:color w:val="231F20"/>
                <w:w w:val="84"/>
              </w:rPr>
              <w:t>$</w:t>
            </w: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7"/>
                <w:szCs w:val="17"/>
                <w:color w:val="231F20"/>
              </w:rPr>
              <w:t>389,360</w:t>
            </w:r>
          </w:p>
        </w:tc>
        <w:tc>
          <w:tcPr>
            <w:tcW w:w="100" w:type="dxa"/>
            <w:vAlign w:val="bottom"/>
            <w:tcBorders>
              <w:bottom w:val="single" w:sz="8" w:color="D0EBF2"/>
            </w:tcBorders>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D0EBF2"/>
          </w:tcPr>
          <w:p>
            <w:pPr>
              <w:spacing w:after="0"/>
              <w:rPr>
                <w:sz w:val="20"/>
                <w:szCs w:val="20"/>
                <w:color w:val="auto"/>
              </w:rPr>
            </w:pPr>
            <w:r>
              <w:rPr>
                <w:rFonts w:ascii="Arial" w:cs="Arial" w:eastAsia="Arial" w:hAnsi="Arial"/>
                <w:sz w:val="17"/>
                <w:szCs w:val="17"/>
                <w:b w:val="1"/>
                <w:bCs w:val="1"/>
                <w:color w:val="231F20"/>
              </w:rPr>
              <w:t>Cash, cash equivalents and restricted cash, end of year</w:t>
            </w:r>
          </w:p>
        </w:tc>
        <w:tc>
          <w:tcPr>
            <w:tcW w:w="140" w:type="dxa"/>
            <w:vAlign w:val="bottom"/>
            <w:shd w:val="clear" w:color="auto" w:fill="D0EBF2"/>
          </w:tcPr>
          <w:p>
            <w:pPr>
              <w:spacing w:after="0"/>
              <w:rPr>
                <w:sz w:val="17"/>
                <w:szCs w:val="17"/>
                <w:color w:val="auto"/>
              </w:rPr>
            </w:pPr>
          </w:p>
        </w:tc>
        <w:tc>
          <w:tcPr>
            <w:tcW w:w="260" w:type="dxa"/>
            <w:vAlign w:val="bottom"/>
            <w:tcBorders>
              <w:bottom w:val="single" w:sz="8" w:color="231F20"/>
            </w:tcBorders>
            <w:shd w:val="clear" w:color="auto" w:fill="D0EBF2"/>
          </w:tcPr>
          <w:p>
            <w:pPr>
              <w:jc w:val="right"/>
              <w:ind w:right="75"/>
              <w:spacing w:after="0"/>
              <w:rPr>
                <w:sz w:val="20"/>
                <w:szCs w:val="20"/>
                <w:color w:val="auto"/>
              </w:rPr>
            </w:pPr>
            <w:r>
              <w:rPr>
                <w:rFonts w:ascii="Arial" w:cs="Arial" w:eastAsia="Arial" w:hAnsi="Arial"/>
                <w:sz w:val="17"/>
                <w:szCs w:val="17"/>
                <w:color w:val="231F20"/>
                <w:w w:val="84"/>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7"/>
                <w:szCs w:val="17"/>
                <w:color w:val="231F20"/>
              </w:rPr>
              <w:t>495,242</w:t>
            </w:r>
          </w:p>
        </w:tc>
        <w:tc>
          <w:tcPr>
            <w:tcW w:w="12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260" w:type="dxa"/>
            <w:vAlign w:val="bottom"/>
            <w:tcBorders>
              <w:bottom w:val="single" w:sz="8" w:color="231F20"/>
            </w:tcBorders>
            <w:shd w:val="clear" w:color="auto" w:fill="D0EBF2"/>
          </w:tcPr>
          <w:p>
            <w:pPr>
              <w:jc w:val="right"/>
              <w:ind w:right="106"/>
              <w:spacing w:after="0"/>
              <w:rPr>
                <w:sz w:val="20"/>
                <w:szCs w:val="20"/>
                <w:color w:val="auto"/>
              </w:rPr>
            </w:pPr>
            <w:r>
              <w:rPr>
                <w:rFonts w:ascii="Arial" w:cs="Arial" w:eastAsia="Arial" w:hAnsi="Arial"/>
                <w:sz w:val="15"/>
                <w:szCs w:val="15"/>
                <w:color w:val="231F20"/>
                <w:w w:val="71"/>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7"/>
                <w:szCs w:val="17"/>
                <w:color w:val="231F20"/>
              </w:rPr>
              <w:t>654,608</w:t>
            </w:r>
          </w:p>
        </w:tc>
        <w:tc>
          <w:tcPr>
            <w:tcW w:w="10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260" w:type="dxa"/>
            <w:vAlign w:val="bottom"/>
            <w:tcBorders>
              <w:bottom w:val="single" w:sz="8" w:color="231F20"/>
            </w:tcBorders>
            <w:shd w:val="clear" w:color="auto" w:fill="D0EBF2"/>
          </w:tcPr>
          <w:p>
            <w:pPr>
              <w:jc w:val="right"/>
              <w:ind w:right="75"/>
              <w:spacing w:after="0"/>
              <w:rPr>
                <w:sz w:val="20"/>
                <w:szCs w:val="20"/>
                <w:color w:val="auto"/>
              </w:rPr>
            </w:pPr>
            <w:r>
              <w:rPr>
                <w:rFonts w:ascii="Arial" w:cs="Arial" w:eastAsia="Arial" w:hAnsi="Arial"/>
                <w:sz w:val="17"/>
                <w:szCs w:val="17"/>
                <w:color w:val="231F20"/>
                <w:w w:val="84"/>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7"/>
                <w:szCs w:val="17"/>
                <w:color w:val="231F20"/>
              </w:rPr>
              <w:t>351,177</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The accompanying notes are an integral part of these consolidated financial statements.</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114</w:t>
      </w:r>
    </w:p>
    <w:p>
      <w:pPr>
        <w:sectPr>
          <w:pgSz w:w="12240" w:h="15840" w:orient="portrait"/>
          <w:cols w:equalWidth="0" w:num="1">
            <w:col w:w="10200"/>
          </w:cols>
          <w:pgMar w:left="1020" w:top="1440" w:right="1020" w:bottom="572" w:gutter="0" w:footer="0" w:header="0"/>
          <w:type w:val="continuous"/>
        </w:sectPr>
      </w:pPr>
    </w:p>
    <w:bookmarkStart w:id="115" w:name="page116"/>
    <w:bookmarkEnd w:id="115"/>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FLYWIRE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CONSOLIDATED STATEMENT OF CASH FLOWS</w:t>
      </w:r>
    </w:p>
    <w:p>
      <w:pPr>
        <w:jc w:val="center"/>
        <w:spacing w:after="0"/>
        <w:rPr>
          <w:sz w:val="20"/>
          <w:szCs w:val="20"/>
          <w:color w:val="auto"/>
        </w:rPr>
      </w:pPr>
      <w:r>
        <w:rPr>
          <w:rFonts w:ascii="Arial" w:cs="Arial" w:eastAsia="Arial" w:hAnsi="Arial"/>
          <w:sz w:val="19"/>
          <w:szCs w:val="19"/>
          <w:color w:val="231F20"/>
        </w:rPr>
        <w:t>(Amounts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Borders>
              <w:bottom w:val="single" w:sz="8" w:color="FDFDFC"/>
            </w:tcBorders>
            <w:shd w:val="clear" w:color="auto" w:fill="FDFDFC"/>
          </w:tcPr>
          <w:p>
            <w:pPr>
              <w:spacing w:after="0"/>
              <w:rPr>
                <w:sz w:val="16"/>
                <w:szCs w:val="16"/>
                <w:color w:val="auto"/>
              </w:rPr>
            </w:pPr>
          </w:p>
        </w:tc>
        <w:tc>
          <w:tcPr>
            <w:tcW w:w="140" w:type="dxa"/>
            <w:vAlign w:val="bottom"/>
            <w:tcBorders>
              <w:bottom w:val="single" w:sz="8" w:color="FDFDFC"/>
            </w:tcBorders>
            <w:shd w:val="clear" w:color="auto" w:fill="FDFDFC"/>
          </w:tcPr>
          <w:p>
            <w:pPr>
              <w:spacing w:after="0"/>
              <w:rPr>
                <w:sz w:val="16"/>
                <w:szCs w:val="16"/>
                <w:color w:val="auto"/>
              </w:rPr>
            </w:pPr>
          </w:p>
        </w:tc>
        <w:tc>
          <w:tcPr>
            <w:tcW w:w="260" w:type="dxa"/>
            <w:vAlign w:val="bottom"/>
            <w:tcBorders>
              <w:bottom w:val="single" w:sz="8" w:color="231F20"/>
            </w:tcBorders>
            <w:shd w:val="clear" w:color="auto" w:fill="FDFDFC"/>
          </w:tcPr>
          <w:p>
            <w:pPr>
              <w:spacing w:after="0"/>
              <w:rPr>
                <w:sz w:val="16"/>
                <w:szCs w:val="16"/>
                <w:color w:val="auto"/>
              </w:rPr>
            </w:pPr>
          </w:p>
        </w:tc>
        <w:tc>
          <w:tcPr>
            <w:tcW w:w="2900" w:type="dxa"/>
            <w:vAlign w:val="bottom"/>
            <w:tcBorders>
              <w:bottom w:val="single" w:sz="8" w:color="231F20"/>
            </w:tcBorders>
            <w:gridSpan w:val="6"/>
            <w:shd w:val="clear" w:color="auto" w:fill="FDFDFC"/>
          </w:tcPr>
          <w:p>
            <w:pPr>
              <w:jc w:val="right"/>
              <w:ind w:right="95"/>
              <w:spacing w:after="0"/>
              <w:rPr>
                <w:sz w:val="20"/>
                <w:szCs w:val="20"/>
                <w:color w:val="auto"/>
              </w:rPr>
            </w:pPr>
            <w:r>
              <w:rPr>
                <w:rFonts w:ascii="Arial" w:cs="Arial" w:eastAsia="Arial" w:hAnsi="Arial"/>
                <w:sz w:val="15"/>
                <w:szCs w:val="15"/>
                <w:b w:val="1"/>
                <w:bCs w:val="1"/>
                <w:color w:val="231F20"/>
              </w:rPr>
              <w:t>Year Ended December 31,</w:t>
            </w:r>
          </w:p>
        </w:tc>
        <w:tc>
          <w:tcPr>
            <w:tcW w:w="9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r>
      <w:tr>
        <w:trPr>
          <w:trHeight w:val="176"/>
        </w:trPr>
        <w:tc>
          <w:tcPr>
            <w:tcW w:w="586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57"/>
              <w:spacing w:after="0"/>
              <w:rPr>
                <w:sz w:val="20"/>
                <w:szCs w:val="20"/>
                <w:color w:val="auto"/>
              </w:rPr>
            </w:pPr>
            <w:r>
              <w:rPr>
                <w:rFonts w:ascii="Arial" w:cs="Arial" w:eastAsia="Arial" w:hAnsi="Arial"/>
                <w:sz w:val="15"/>
                <w:szCs w:val="15"/>
                <w:b w:val="1"/>
                <w:bCs w:val="1"/>
                <w:color w:val="231F20"/>
              </w:rPr>
              <w:t>2024</w:t>
            </w:r>
          </w:p>
        </w:tc>
        <w:tc>
          <w:tcPr>
            <w:tcW w:w="26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56"/>
              <w:spacing w:after="0"/>
              <w:rPr>
                <w:sz w:val="20"/>
                <w:szCs w:val="20"/>
                <w:color w:val="auto"/>
              </w:rPr>
            </w:pPr>
            <w:r>
              <w:rPr>
                <w:rFonts w:ascii="Arial" w:cs="Arial" w:eastAsia="Arial" w:hAnsi="Arial"/>
                <w:sz w:val="15"/>
                <w:szCs w:val="15"/>
                <w:b w:val="1"/>
                <w:bCs w:val="1"/>
                <w:color w:val="231F20"/>
              </w:rPr>
              <w:t>2023</w:t>
            </w:r>
          </w:p>
        </w:tc>
        <w:tc>
          <w:tcPr>
            <w:tcW w:w="2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56"/>
              <w:spacing w:after="0"/>
              <w:rPr>
                <w:sz w:val="20"/>
                <w:szCs w:val="20"/>
                <w:color w:val="auto"/>
              </w:rPr>
            </w:pPr>
            <w:r>
              <w:rPr>
                <w:rFonts w:ascii="Arial" w:cs="Arial" w:eastAsia="Arial" w:hAnsi="Arial"/>
                <w:sz w:val="15"/>
                <w:szCs w:val="15"/>
                <w:b w:val="1"/>
                <w:bCs w:val="1"/>
                <w:color w:val="231F20"/>
              </w:rPr>
              <w:t>2022</w:t>
            </w:r>
          </w:p>
        </w:tc>
        <w:tc>
          <w:tcPr>
            <w:tcW w:w="100" w:type="dxa"/>
            <w:vAlign w:val="bottom"/>
            <w:tcBorders>
              <w:bottom w:val="single" w:sz="8" w:color="D0EBF2"/>
            </w:tcBorders>
            <w:shd w:val="clear" w:color="auto" w:fill="FDFDFC"/>
          </w:tcPr>
          <w:p>
            <w:pPr>
              <w:spacing w:after="0"/>
              <w:rPr>
                <w:sz w:val="15"/>
                <w:szCs w:val="15"/>
                <w:color w:val="auto"/>
              </w:rPr>
            </w:pPr>
          </w:p>
        </w:tc>
      </w:tr>
      <w:tr>
        <w:trPr>
          <w:trHeight w:val="198"/>
        </w:trPr>
        <w:tc>
          <w:tcPr>
            <w:tcW w:w="5860" w:type="dxa"/>
            <w:vAlign w:val="bottom"/>
            <w:shd w:val="clear" w:color="auto" w:fill="D0EBF2"/>
          </w:tcPr>
          <w:p>
            <w:pPr>
              <w:spacing w:after="0"/>
              <w:rPr>
                <w:sz w:val="20"/>
                <w:szCs w:val="20"/>
                <w:color w:val="auto"/>
              </w:rPr>
            </w:pPr>
            <w:r>
              <w:rPr>
                <w:rFonts w:ascii="Arial" w:cs="Arial" w:eastAsia="Arial" w:hAnsi="Arial"/>
                <w:sz w:val="17"/>
                <w:szCs w:val="17"/>
                <w:b w:val="1"/>
                <w:bCs w:val="1"/>
                <w:color w:val="231F20"/>
              </w:rPr>
              <w:t>Supplemental disclosures of cash flow and noncash information</w:t>
            </w:r>
          </w:p>
        </w:tc>
        <w:tc>
          <w:tcPr>
            <w:tcW w:w="140" w:type="dxa"/>
            <w:vAlign w:val="bottom"/>
            <w:shd w:val="clear" w:color="auto" w:fill="D0EBF2"/>
          </w:tcPr>
          <w:p>
            <w:pPr>
              <w:spacing w:after="0"/>
              <w:rPr>
                <w:sz w:val="17"/>
                <w:szCs w:val="17"/>
                <w:color w:val="auto"/>
              </w:rPr>
            </w:pPr>
          </w:p>
        </w:tc>
        <w:tc>
          <w:tcPr>
            <w:tcW w:w="260" w:type="dxa"/>
            <w:vAlign w:val="bottom"/>
            <w:shd w:val="clear" w:color="auto" w:fill="D0EBF2"/>
          </w:tcPr>
          <w:p>
            <w:pPr>
              <w:spacing w:after="0"/>
              <w:rPr>
                <w:sz w:val="17"/>
                <w:szCs w:val="17"/>
                <w:color w:val="auto"/>
              </w:rPr>
            </w:pPr>
          </w:p>
        </w:tc>
        <w:tc>
          <w:tcPr>
            <w:tcW w:w="940" w:type="dxa"/>
            <w:vAlign w:val="bottom"/>
            <w:shd w:val="clear" w:color="auto" w:fill="D0EBF2"/>
          </w:tcPr>
          <w:p>
            <w:pPr>
              <w:spacing w:after="0"/>
              <w:rPr>
                <w:sz w:val="17"/>
                <w:szCs w:val="17"/>
                <w:color w:val="auto"/>
              </w:rPr>
            </w:pPr>
          </w:p>
        </w:tc>
        <w:tc>
          <w:tcPr>
            <w:tcW w:w="260" w:type="dxa"/>
            <w:vAlign w:val="bottom"/>
            <w:shd w:val="clear" w:color="auto" w:fill="D0EBF2"/>
          </w:tcPr>
          <w:p>
            <w:pPr>
              <w:spacing w:after="0"/>
              <w:rPr>
                <w:sz w:val="17"/>
                <w:szCs w:val="17"/>
                <w:color w:val="auto"/>
              </w:rPr>
            </w:pPr>
          </w:p>
        </w:tc>
        <w:tc>
          <w:tcPr>
            <w:tcW w:w="260" w:type="dxa"/>
            <w:vAlign w:val="bottom"/>
            <w:shd w:val="clear" w:color="auto" w:fill="D0EBF2"/>
          </w:tcPr>
          <w:p>
            <w:pPr>
              <w:spacing w:after="0"/>
              <w:rPr>
                <w:sz w:val="17"/>
                <w:szCs w:val="17"/>
                <w:color w:val="auto"/>
              </w:rPr>
            </w:pPr>
          </w:p>
        </w:tc>
        <w:tc>
          <w:tcPr>
            <w:tcW w:w="940" w:type="dxa"/>
            <w:vAlign w:val="bottom"/>
            <w:shd w:val="clear" w:color="auto" w:fill="D0EBF2"/>
          </w:tcPr>
          <w:p>
            <w:pPr>
              <w:spacing w:after="0"/>
              <w:rPr>
                <w:sz w:val="17"/>
                <w:szCs w:val="17"/>
                <w:color w:val="auto"/>
              </w:rPr>
            </w:pPr>
          </w:p>
        </w:tc>
        <w:tc>
          <w:tcPr>
            <w:tcW w:w="240" w:type="dxa"/>
            <w:vAlign w:val="bottom"/>
            <w:shd w:val="clear" w:color="auto" w:fill="D0EBF2"/>
          </w:tcPr>
          <w:p>
            <w:pPr>
              <w:spacing w:after="0"/>
              <w:rPr>
                <w:sz w:val="17"/>
                <w:szCs w:val="17"/>
                <w:color w:val="auto"/>
              </w:rPr>
            </w:pPr>
          </w:p>
        </w:tc>
        <w:tc>
          <w:tcPr>
            <w:tcW w:w="260" w:type="dxa"/>
            <w:vAlign w:val="bottom"/>
            <w:shd w:val="clear" w:color="auto" w:fill="D0EBF2"/>
          </w:tcPr>
          <w:p>
            <w:pPr>
              <w:spacing w:after="0"/>
              <w:rPr>
                <w:sz w:val="17"/>
                <w:szCs w:val="17"/>
                <w:color w:val="auto"/>
              </w:rPr>
            </w:pPr>
          </w:p>
        </w:tc>
        <w:tc>
          <w:tcPr>
            <w:tcW w:w="9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r>
      <w:tr>
        <w:trPr>
          <w:trHeight w:val="209"/>
        </w:trPr>
        <w:tc>
          <w:tcPr>
            <w:tcW w:w="5860" w:type="dxa"/>
            <w:vAlign w:val="bottom"/>
            <w:shd w:val="clear" w:color="auto" w:fill="FDFDFC"/>
          </w:tcPr>
          <w:p>
            <w:pPr>
              <w:spacing w:after="0"/>
              <w:rPr>
                <w:sz w:val="20"/>
                <w:szCs w:val="20"/>
                <w:color w:val="auto"/>
              </w:rPr>
            </w:pPr>
            <w:r>
              <w:rPr>
                <w:rFonts w:ascii="Arial" w:cs="Arial" w:eastAsia="Arial" w:hAnsi="Arial"/>
                <w:sz w:val="17"/>
                <w:szCs w:val="17"/>
                <w:color w:val="231F20"/>
              </w:rPr>
              <w:t>Cash paid during the period for interest</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w:t>
            </w:r>
          </w:p>
        </w:tc>
        <w:tc>
          <w:tcPr>
            <w:tcW w:w="26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w:t>
            </w:r>
          </w:p>
        </w:tc>
        <w:tc>
          <w:tcPr>
            <w:tcW w:w="2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770</w:t>
            </w:r>
          </w:p>
        </w:tc>
        <w:tc>
          <w:tcPr>
            <w:tcW w:w="100" w:type="dxa"/>
            <w:vAlign w:val="bottom"/>
            <w:shd w:val="clear" w:color="auto" w:fill="FDFDFC"/>
          </w:tcPr>
          <w:p>
            <w:pPr>
              <w:spacing w:after="0"/>
              <w:rPr>
                <w:sz w:val="18"/>
                <w:szCs w:val="18"/>
                <w:color w:val="auto"/>
              </w:rPr>
            </w:pPr>
          </w:p>
        </w:tc>
      </w:tr>
      <w:tr>
        <w:trPr>
          <w:trHeight w:val="209"/>
        </w:trPr>
        <w:tc>
          <w:tcPr>
            <w:tcW w:w="5860" w:type="dxa"/>
            <w:vAlign w:val="bottom"/>
            <w:shd w:val="clear" w:color="auto" w:fill="D0EBF2"/>
          </w:tcPr>
          <w:p>
            <w:pPr>
              <w:spacing w:after="0"/>
              <w:rPr>
                <w:sz w:val="20"/>
                <w:szCs w:val="20"/>
                <w:color w:val="auto"/>
              </w:rPr>
            </w:pPr>
            <w:r>
              <w:rPr>
                <w:rFonts w:ascii="Arial" w:cs="Arial" w:eastAsia="Arial" w:hAnsi="Arial"/>
                <w:sz w:val="17"/>
                <w:szCs w:val="17"/>
                <w:color w:val="231F20"/>
              </w:rPr>
              <w:t>Issuance of common stock for acquisition</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w:t>
            </w:r>
          </w:p>
        </w:tc>
        <w:tc>
          <w:tcPr>
            <w:tcW w:w="26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w:t>
            </w:r>
          </w:p>
        </w:tc>
        <w:tc>
          <w:tcPr>
            <w:tcW w:w="2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4,287</w:t>
            </w:r>
          </w:p>
        </w:tc>
        <w:tc>
          <w:tcPr>
            <w:tcW w:w="100" w:type="dxa"/>
            <w:vAlign w:val="bottom"/>
            <w:shd w:val="clear" w:color="auto" w:fill="D0EBF2"/>
          </w:tcPr>
          <w:p>
            <w:pPr>
              <w:spacing w:after="0"/>
              <w:rPr>
                <w:sz w:val="18"/>
                <w:szCs w:val="18"/>
                <w:color w:val="auto"/>
              </w:rPr>
            </w:pPr>
          </w:p>
        </w:tc>
      </w:tr>
      <w:tr>
        <w:trPr>
          <w:trHeight w:val="209"/>
        </w:trPr>
        <w:tc>
          <w:tcPr>
            <w:tcW w:w="5860" w:type="dxa"/>
            <w:vAlign w:val="bottom"/>
            <w:shd w:val="clear" w:color="auto" w:fill="FDFDFC"/>
          </w:tcPr>
          <w:p>
            <w:pPr>
              <w:spacing w:after="0"/>
              <w:rPr>
                <w:sz w:val="20"/>
                <w:szCs w:val="20"/>
                <w:color w:val="auto"/>
              </w:rPr>
            </w:pPr>
            <w:r>
              <w:rPr>
                <w:rFonts w:ascii="Arial" w:cs="Arial" w:eastAsia="Arial" w:hAnsi="Arial"/>
                <w:sz w:val="17"/>
                <w:szCs w:val="17"/>
                <w:color w:val="231F20"/>
              </w:rPr>
              <w:t>Accrued excise tax related to common stock repurchase</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451</w:t>
            </w:r>
          </w:p>
        </w:tc>
        <w:tc>
          <w:tcPr>
            <w:tcW w:w="26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w:t>
            </w:r>
          </w:p>
        </w:tc>
        <w:tc>
          <w:tcPr>
            <w:tcW w:w="2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120"/>
              <w:spacing w:after="0"/>
              <w:rPr>
                <w:sz w:val="20"/>
                <w:szCs w:val="20"/>
                <w:color w:val="auto"/>
              </w:rPr>
            </w:pPr>
            <w:r>
              <w:rPr>
                <w:rFonts w:ascii="Arial" w:cs="Arial" w:eastAsia="Arial" w:hAnsi="Arial"/>
                <w:sz w:val="17"/>
                <w:szCs w:val="17"/>
                <w:color w:val="231F20"/>
              </w:rPr>
              <w:t>—</w:t>
            </w:r>
          </w:p>
        </w:tc>
      </w:tr>
      <w:tr>
        <w:trPr>
          <w:trHeight w:val="209"/>
        </w:trPr>
        <w:tc>
          <w:tcPr>
            <w:tcW w:w="5860" w:type="dxa"/>
            <w:vAlign w:val="bottom"/>
            <w:shd w:val="clear" w:color="auto" w:fill="D0EBF2"/>
          </w:tcPr>
          <w:p>
            <w:pPr>
              <w:spacing w:after="0"/>
              <w:rPr>
                <w:sz w:val="20"/>
                <w:szCs w:val="20"/>
                <w:color w:val="auto"/>
              </w:rPr>
            </w:pPr>
            <w:r>
              <w:rPr>
                <w:rFonts w:ascii="Arial" w:cs="Arial" w:eastAsia="Arial" w:hAnsi="Arial"/>
                <w:sz w:val="17"/>
                <w:szCs w:val="17"/>
                <w:color w:val="231F20"/>
              </w:rPr>
              <w:t>Purchase of property and equipment in accounts payable</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16</w:t>
            </w:r>
          </w:p>
        </w:tc>
        <w:tc>
          <w:tcPr>
            <w:tcW w:w="26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14</w:t>
            </w:r>
          </w:p>
        </w:tc>
        <w:tc>
          <w:tcPr>
            <w:tcW w:w="2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36</w:t>
            </w:r>
          </w:p>
        </w:tc>
        <w:tc>
          <w:tcPr>
            <w:tcW w:w="100" w:type="dxa"/>
            <w:vAlign w:val="bottom"/>
            <w:shd w:val="clear" w:color="auto" w:fill="D0EBF2"/>
          </w:tcPr>
          <w:p>
            <w:pPr>
              <w:spacing w:after="0"/>
              <w:rPr>
                <w:sz w:val="18"/>
                <w:szCs w:val="18"/>
                <w:color w:val="auto"/>
              </w:rPr>
            </w:pPr>
          </w:p>
        </w:tc>
      </w:tr>
      <w:tr>
        <w:trPr>
          <w:trHeight w:val="209"/>
        </w:trPr>
        <w:tc>
          <w:tcPr>
            <w:tcW w:w="5860" w:type="dxa"/>
            <w:vAlign w:val="bottom"/>
            <w:shd w:val="clear" w:color="auto" w:fill="FDFDFC"/>
          </w:tcPr>
          <w:p>
            <w:pPr>
              <w:spacing w:after="0"/>
              <w:rPr>
                <w:sz w:val="20"/>
                <w:szCs w:val="20"/>
                <w:color w:val="auto"/>
              </w:rPr>
            </w:pPr>
            <w:r>
              <w:rPr>
                <w:rFonts w:ascii="Arial" w:cs="Arial" w:eastAsia="Arial" w:hAnsi="Arial"/>
                <w:sz w:val="17"/>
                <w:szCs w:val="17"/>
                <w:color w:val="231F20"/>
              </w:rPr>
              <w:t>Capitalized stock-based compensation expense</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1,519</w:t>
            </w:r>
          </w:p>
        </w:tc>
        <w:tc>
          <w:tcPr>
            <w:tcW w:w="26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7"/>
                <w:szCs w:val="17"/>
                <w:color w:val="231F20"/>
              </w:rPr>
              <w:t>—</w:t>
            </w:r>
          </w:p>
        </w:tc>
        <w:tc>
          <w:tcPr>
            <w:tcW w:w="2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120"/>
              <w:spacing w:after="0"/>
              <w:rPr>
                <w:sz w:val="20"/>
                <w:szCs w:val="20"/>
                <w:color w:val="auto"/>
              </w:rPr>
            </w:pPr>
            <w:r>
              <w:rPr>
                <w:rFonts w:ascii="Arial" w:cs="Arial" w:eastAsia="Arial" w:hAnsi="Arial"/>
                <w:sz w:val="17"/>
                <w:szCs w:val="17"/>
                <w:color w:val="231F20"/>
              </w:rPr>
              <w:t>—</w:t>
            </w:r>
          </w:p>
        </w:tc>
      </w:tr>
      <w:tr>
        <w:trPr>
          <w:trHeight w:val="209"/>
        </w:trPr>
        <w:tc>
          <w:tcPr>
            <w:tcW w:w="5860" w:type="dxa"/>
            <w:vAlign w:val="bottom"/>
            <w:shd w:val="clear" w:color="auto" w:fill="D0EBF2"/>
          </w:tcPr>
          <w:p>
            <w:pPr>
              <w:spacing w:after="0"/>
              <w:rPr>
                <w:sz w:val="20"/>
                <w:szCs w:val="20"/>
                <w:color w:val="auto"/>
              </w:rPr>
            </w:pPr>
            <w:r>
              <w:rPr>
                <w:rFonts w:ascii="Arial" w:cs="Arial" w:eastAsia="Arial" w:hAnsi="Arial"/>
                <w:sz w:val="17"/>
                <w:szCs w:val="17"/>
                <w:color w:val="231F20"/>
              </w:rPr>
              <w:t>Issuance of common stock for retention bonus</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324</w:t>
            </w:r>
          </w:p>
        </w:tc>
        <w:tc>
          <w:tcPr>
            <w:tcW w:w="26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1,196</w:t>
            </w:r>
          </w:p>
        </w:tc>
        <w:tc>
          <w:tcPr>
            <w:tcW w:w="2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120"/>
              <w:spacing w:after="0"/>
              <w:rPr>
                <w:sz w:val="20"/>
                <w:szCs w:val="20"/>
                <w:color w:val="auto"/>
              </w:rPr>
            </w:pPr>
            <w:r>
              <w:rPr>
                <w:rFonts w:ascii="Arial" w:cs="Arial" w:eastAsia="Arial" w:hAnsi="Arial"/>
                <w:sz w:val="17"/>
                <w:szCs w:val="17"/>
                <w:color w:val="231F20"/>
              </w:rPr>
              <w:t>—</w:t>
            </w:r>
          </w:p>
        </w:tc>
      </w:tr>
      <w:tr>
        <w:trPr>
          <w:trHeight w:val="209"/>
        </w:trPr>
        <w:tc>
          <w:tcPr>
            <w:tcW w:w="5860" w:type="dxa"/>
            <w:vAlign w:val="bottom"/>
            <w:shd w:val="clear" w:color="auto" w:fill="FDFDFC"/>
          </w:tcPr>
          <w:p>
            <w:pPr>
              <w:spacing w:after="0"/>
              <w:rPr>
                <w:sz w:val="20"/>
                <w:szCs w:val="20"/>
                <w:color w:val="auto"/>
              </w:rPr>
            </w:pPr>
            <w:r>
              <w:rPr>
                <w:rFonts w:ascii="Arial" w:cs="Arial" w:eastAsia="Arial" w:hAnsi="Arial"/>
                <w:sz w:val="17"/>
                <w:szCs w:val="17"/>
                <w:b w:val="1"/>
                <w:bCs w:val="1"/>
                <w:color w:val="231F20"/>
              </w:rPr>
              <w:t>Reconciliation of cash, cash equivalents and restricted cash</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r>
      <w:tr>
        <w:trPr>
          <w:trHeight w:val="209"/>
        </w:trPr>
        <w:tc>
          <w:tcPr>
            <w:tcW w:w="5860" w:type="dxa"/>
            <w:vAlign w:val="bottom"/>
            <w:shd w:val="clear" w:color="auto" w:fill="D0EBF2"/>
          </w:tcPr>
          <w:p>
            <w:pPr>
              <w:spacing w:after="0"/>
              <w:rPr>
                <w:sz w:val="20"/>
                <w:szCs w:val="20"/>
                <w:color w:val="auto"/>
              </w:rPr>
            </w:pPr>
            <w:r>
              <w:rPr>
                <w:rFonts w:ascii="Arial" w:cs="Arial" w:eastAsia="Arial" w:hAnsi="Arial"/>
                <w:sz w:val="17"/>
                <w:szCs w:val="17"/>
                <w:color w:val="231F20"/>
              </w:rPr>
              <w:t>Cash and cash equivalents</w:t>
            </w:r>
          </w:p>
        </w:tc>
        <w:tc>
          <w:tcPr>
            <w:tcW w:w="400" w:type="dxa"/>
            <w:vAlign w:val="bottom"/>
            <w:gridSpan w:val="2"/>
            <w:shd w:val="clear" w:color="auto" w:fill="D0EBF2"/>
          </w:tcPr>
          <w:p>
            <w:pPr>
              <w:jc w:val="right"/>
              <w:ind w:right="75"/>
              <w:spacing w:after="0"/>
              <w:rPr>
                <w:sz w:val="20"/>
                <w:szCs w:val="20"/>
                <w:color w:val="auto"/>
              </w:rPr>
            </w:pPr>
            <w:r>
              <w:rPr>
                <w:rFonts w:ascii="Arial" w:cs="Arial" w:eastAsia="Arial" w:hAnsi="Arial"/>
                <w:sz w:val="17"/>
                <w:szCs w:val="17"/>
                <w:color w:val="231F20"/>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495,242</w:t>
            </w:r>
          </w:p>
        </w:tc>
        <w:tc>
          <w:tcPr>
            <w:tcW w:w="520" w:type="dxa"/>
            <w:vAlign w:val="bottom"/>
            <w:gridSpan w:val="2"/>
            <w:shd w:val="clear" w:color="auto" w:fill="D0EBF2"/>
          </w:tcPr>
          <w:p>
            <w:pPr>
              <w:jc w:val="right"/>
              <w:ind w:right="106"/>
              <w:spacing w:after="0"/>
              <w:rPr>
                <w:sz w:val="20"/>
                <w:szCs w:val="20"/>
                <w:color w:val="auto"/>
              </w:rPr>
            </w:pPr>
            <w:r>
              <w:rPr>
                <w:rFonts w:ascii="Arial" w:cs="Arial" w:eastAsia="Arial" w:hAnsi="Arial"/>
                <w:sz w:val="17"/>
                <w:szCs w:val="17"/>
                <w:color w:val="231F20"/>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654,608</w:t>
            </w:r>
          </w:p>
        </w:tc>
        <w:tc>
          <w:tcPr>
            <w:tcW w:w="500" w:type="dxa"/>
            <w:vAlign w:val="bottom"/>
            <w:gridSpan w:val="2"/>
            <w:shd w:val="clear" w:color="auto" w:fill="D0EBF2"/>
          </w:tcPr>
          <w:p>
            <w:pPr>
              <w:jc w:val="right"/>
              <w:ind w:right="75"/>
              <w:spacing w:after="0"/>
              <w:rPr>
                <w:sz w:val="20"/>
                <w:szCs w:val="20"/>
                <w:color w:val="auto"/>
              </w:rPr>
            </w:pPr>
            <w:r>
              <w:rPr>
                <w:rFonts w:ascii="Arial" w:cs="Arial" w:eastAsia="Arial" w:hAnsi="Arial"/>
                <w:sz w:val="17"/>
                <w:szCs w:val="17"/>
                <w:color w:val="231F20"/>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7"/>
                <w:szCs w:val="17"/>
                <w:color w:val="231F20"/>
              </w:rPr>
              <w:t>349,177</w:t>
            </w:r>
          </w:p>
        </w:tc>
        <w:tc>
          <w:tcPr>
            <w:tcW w:w="100" w:type="dxa"/>
            <w:vAlign w:val="bottom"/>
            <w:shd w:val="clear" w:color="auto" w:fill="D0EBF2"/>
          </w:tcPr>
          <w:p>
            <w:pPr>
              <w:spacing w:after="0"/>
              <w:rPr>
                <w:sz w:val="18"/>
                <w:szCs w:val="18"/>
                <w:color w:val="auto"/>
              </w:rPr>
            </w:pPr>
          </w:p>
        </w:tc>
      </w:tr>
      <w:tr>
        <w:trPr>
          <w:trHeight w:val="209"/>
        </w:trPr>
        <w:tc>
          <w:tcPr>
            <w:tcW w:w="586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7"/>
                <w:szCs w:val="17"/>
                <w:color w:val="231F20"/>
              </w:rPr>
              <w:t>Restricted cash</w:t>
            </w:r>
          </w:p>
        </w:tc>
        <w:tc>
          <w:tcPr>
            <w:tcW w:w="140" w:type="dxa"/>
            <w:vAlign w:val="bottom"/>
            <w:tcBorders>
              <w:bottom w:val="single" w:sz="8" w:color="D0EBF2"/>
            </w:tcBorders>
            <w:shd w:val="clear" w:color="auto" w:fill="FDFDFC"/>
          </w:tcPr>
          <w:p>
            <w:pPr>
              <w:spacing w:after="0"/>
              <w:rPr>
                <w:sz w:val="18"/>
                <w:szCs w:val="18"/>
                <w:color w:val="auto"/>
              </w:rPr>
            </w:pPr>
          </w:p>
        </w:tc>
        <w:tc>
          <w:tcPr>
            <w:tcW w:w="260" w:type="dxa"/>
            <w:vAlign w:val="bottom"/>
            <w:tcBorders>
              <w:bottom w:val="single" w:sz="8" w:color="231F20"/>
            </w:tcBorders>
            <w:shd w:val="clear" w:color="auto" w:fill="FDFDFC"/>
          </w:tcPr>
          <w:p>
            <w:pPr>
              <w:spacing w:after="0"/>
              <w:rPr>
                <w:sz w:val="18"/>
                <w:szCs w:val="18"/>
                <w:color w:val="auto"/>
              </w:rPr>
            </w:pP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7"/>
                <w:szCs w:val="17"/>
                <w:color w:val="231F20"/>
              </w:rPr>
              <w:t>—</w:t>
            </w:r>
          </w:p>
        </w:tc>
        <w:tc>
          <w:tcPr>
            <w:tcW w:w="260" w:type="dxa"/>
            <w:vAlign w:val="bottom"/>
            <w:tcBorders>
              <w:bottom w:val="single" w:sz="8" w:color="D0EBF2"/>
            </w:tcBorders>
            <w:shd w:val="clear" w:color="auto" w:fill="FDFDFC"/>
          </w:tcPr>
          <w:p>
            <w:pPr>
              <w:spacing w:after="0"/>
              <w:rPr>
                <w:sz w:val="18"/>
                <w:szCs w:val="18"/>
                <w:color w:val="auto"/>
              </w:rPr>
            </w:pPr>
          </w:p>
        </w:tc>
        <w:tc>
          <w:tcPr>
            <w:tcW w:w="260" w:type="dxa"/>
            <w:vAlign w:val="bottom"/>
            <w:tcBorders>
              <w:bottom w:val="single" w:sz="8" w:color="231F20"/>
            </w:tcBorders>
            <w:shd w:val="clear" w:color="auto" w:fill="FDFDFC"/>
          </w:tcPr>
          <w:p>
            <w:pPr>
              <w:spacing w:after="0"/>
              <w:rPr>
                <w:sz w:val="18"/>
                <w:szCs w:val="18"/>
                <w:color w:val="auto"/>
              </w:rPr>
            </w:pP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7"/>
                <w:szCs w:val="17"/>
                <w:color w:val="231F20"/>
              </w:rPr>
              <w:t>—</w:t>
            </w:r>
          </w:p>
        </w:tc>
        <w:tc>
          <w:tcPr>
            <w:tcW w:w="240" w:type="dxa"/>
            <w:vAlign w:val="bottom"/>
            <w:tcBorders>
              <w:bottom w:val="single" w:sz="8" w:color="D0EBF2"/>
            </w:tcBorders>
            <w:shd w:val="clear" w:color="auto" w:fill="FDFDFC"/>
          </w:tcPr>
          <w:p>
            <w:pPr>
              <w:spacing w:after="0"/>
              <w:rPr>
                <w:sz w:val="18"/>
                <w:szCs w:val="18"/>
                <w:color w:val="auto"/>
              </w:rPr>
            </w:pPr>
          </w:p>
        </w:tc>
        <w:tc>
          <w:tcPr>
            <w:tcW w:w="260" w:type="dxa"/>
            <w:vAlign w:val="bottom"/>
            <w:tcBorders>
              <w:bottom w:val="single" w:sz="8" w:color="231F20"/>
            </w:tcBorders>
            <w:shd w:val="clear" w:color="auto" w:fill="FDFDFC"/>
          </w:tcPr>
          <w:p>
            <w:pPr>
              <w:spacing w:after="0"/>
              <w:rPr>
                <w:sz w:val="18"/>
                <w:szCs w:val="18"/>
                <w:color w:val="auto"/>
              </w:rPr>
            </w:pP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7"/>
                <w:szCs w:val="17"/>
                <w:color w:val="231F20"/>
              </w:rPr>
              <w:t>2,000</w:t>
            </w:r>
          </w:p>
        </w:tc>
        <w:tc>
          <w:tcPr>
            <w:tcW w:w="100" w:type="dxa"/>
            <w:vAlign w:val="bottom"/>
            <w:tcBorders>
              <w:bottom w:val="single" w:sz="8" w:color="D0EBF2"/>
            </w:tcBorders>
            <w:shd w:val="clear" w:color="auto" w:fill="FDFDFC"/>
          </w:tcPr>
          <w:p>
            <w:pPr>
              <w:spacing w:after="0"/>
              <w:rPr>
                <w:sz w:val="18"/>
                <w:szCs w:val="18"/>
                <w:color w:val="auto"/>
              </w:rPr>
            </w:pPr>
          </w:p>
        </w:tc>
      </w:tr>
      <w:tr>
        <w:trPr>
          <w:trHeight w:val="198"/>
        </w:trPr>
        <w:tc>
          <w:tcPr>
            <w:tcW w:w="5860" w:type="dxa"/>
            <w:vAlign w:val="bottom"/>
            <w:shd w:val="clear" w:color="auto" w:fill="D0EBF2"/>
          </w:tcPr>
          <w:p>
            <w:pPr>
              <w:ind w:left="180"/>
              <w:spacing w:after="0"/>
              <w:rPr>
                <w:sz w:val="20"/>
                <w:szCs w:val="20"/>
                <w:color w:val="auto"/>
              </w:rPr>
            </w:pPr>
            <w:r>
              <w:rPr>
                <w:rFonts w:ascii="Arial" w:cs="Arial" w:eastAsia="Arial" w:hAnsi="Arial"/>
                <w:sz w:val="17"/>
                <w:szCs w:val="17"/>
                <w:color w:val="231F20"/>
              </w:rPr>
              <w:t>Cash, cash equivalents and restricted cash</w:t>
            </w:r>
          </w:p>
        </w:tc>
        <w:tc>
          <w:tcPr>
            <w:tcW w:w="140" w:type="dxa"/>
            <w:vAlign w:val="bottom"/>
            <w:shd w:val="clear" w:color="auto" w:fill="D0EBF2"/>
          </w:tcPr>
          <w:p>
            <w:pPr>
              <w:spacing w:after="0"/>
              <w:rPr>
                <w:sz w:val="17"/>
                <w:szCs w:val="17"/>
                <w:color w:val="auto"/>
              </w:rPr>
            </w:pPr>
          </w:p>
        </w:tc>
        <w:tc>
          <w:tcPr>
            <w:tcW w:w="260" w:type="dxa"/>
            <w:vAlign w:val="bottom"/>
            <w:tcBorders>
              <w:bottom w:val="single" w:sz="8" w:color="231F20"/>
            </w:tcBorders>
            <w:shd w:val="clear" w:color="auto" w:fill="D0EBF2"/>
          </w:tcPr>
          <w:p>
            <w:pPr>
              <w:jc w:val="right"/>
              <w:ind w:right="75"/>
              <w:spacing w:after="0"/>
              <w:rPr>
                <w:sz w:val="20"/>
                <w:szCs w:val="20"/>
                <w:color w:val="auto"/>
              </w:rPr>
            </w:pPr>
            <w:r>
              <w:rPr>
                <w:rFonts w:ascii="Arial" w:cs="Arial" w:eastAsia="Arial" w:hAnsi="Arial"/>
                <w:sz w:val="17"/>
                <w:szCs w:val="17"/>
                <w:color w:val="231F20"/>
                <w:w w:val="84"/>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7"/>
                <w:szCs w:val="17"/>
                <w:color w:val="231F20"/>
              </w:rPr>
              <w:t>495,242</w:t>
            </w:r>
          </w:p>
        </w:tc>
        <w:tc>
          <w:tcPr>
            <w:tcW w:w="260" w:type="dxa"/>
            <w:vAlign w:val="bottom"/>
            <w:shd w:val="clear" w:color="auto" w:fill="D0EBF2"/>
          </w:tcPr>
          <w:p>
            <w:pPr>
              <w:spacing w:after="0"/>
              <w:rPr>
                <w:sz w:val="17"/>
                <w:szCs w:val="17"/>
                <w:color w:val="auto"/>
              </w:rPr>
            </w:pPr>
          </w:p>
        </w:tc>
        <w:tc>
          <w:tcPr>
            <w:tcW w:w="260" w:type="dxa"/>
            <w:vAlign w:val="bottom"/>
            <w:tcBorders>
              <w:bottom w:val="single" w:sz="8" w:color="231F20"/>
            </w:tcBorders>
            <w:shd w:val="clear" w:color="auto" w:fill="D0EBF2"/>
          </w:tcPr>
          <w:p>
            <w:pPr>
              <w:jc w:val="right"/>
              <w:ind w:right="106"/>
              <w:spacing w:after="0"/>
              <w:rPr>
                <w:sz w:val="20"/>
                <w:szCs w:val="20"/>
                <w:color w:val="auto"/>
              </w:rPr>
            </w:pPr>
            <w:r>
              <w:rPr>
                <w:rFonts w:ascii="Arial" w:cs="Arial" w:eastAsia="Arial" w:hAnsi="Arial"/>
                <w:sz w:val="15"/>
                <w:szCs w:val="15"/>
                <w:color w:val="231F20"/>
                <w:w w:val="71"/>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7"/>
                <w:szCs w:val="17"/>
                <w:color w:val="231F20"/>
              </w:rPr>
              <w:t>654,608</w:t>
            </w:r>
          </w:p>
        </w:tc>
        <w:tc>
          <w:tcPr>
            <w:tcW w:w="240" w:type="dxa"/>
            <w:vAlign w:val="bottom"/>
            <w:shd w:val="clear" w:color="auto" w:fill="D0EBF2"/>
          </w:tcPr>
          <w:p>
            <w:pPr>
              <w:spacing w:after="0"/>
              <w:rPr>
                <w:sz w:val="17"/>
                <w:szCs w:val="17"/>
                <w:color w:val="auto"/>
              </w:rPr>
            </w:pPr>
          </w:p>
        </w:tc>
        <w:tc>
          <w:tcPr>
            <w:tcW w:w="260" w:type="dxa"/>
            <w:vAlign w:val="bottom"/>
            <w:tcBorders>
              <w:bottom w:val="single" w:sz="8" w:color="231F20"/>
            </w:tcBorders>
            <w:shd w:val="clear" w:color="auto" w:fill="D0EBF2"/>
          </w:tcPr>
          <w:p>
            <w:pPr>
              <w:jc w:val="right"/>
              <w:ind w:right="75"/>
              <w:spacing w:after="0"/>
              <w:rPr>
                <w:sz w:val="20"/>
                <w:szCs w:val="20"/>
                <w:color w:val="auto"/>
              </w:rPr>
            </w:pPr>
            <w:r>
              <w:rPr>
                <w:rFonts w:ascii="Arial" w:cs="Arial" w:eastAsia="Arial" w:hAnsi="Arial"/>
                <w:sz w:val="17"/>
                <w:szCs w:val="17"/>
                <w:color w:val="231F20"/>
                <w:w w:val="84"/>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7"/>
                <w:szCs w:val="17"/>
                <w:color w:val="231F20"/>
              </w:rPr>
              <w:t>351,177</w:t>
            </w:r>
          </w:p>
        </w:tc>
        <w:tc>
          <w:tcPr>
            <w:tcW w:w="100" w:type="dxa"/>
            <w:vAlign w:val="bottom"/>
            <w:shd w:val="clear" w:color="auto" w:fill="D0EBF2"/>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The accompanying notes are an integral part of these consolidated financial statements.</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115</w:t>
      </w:r>
    </w:p>
    <w:p>
      <w:pPr>
        <w:sectPr>
          <w:pgSz w:w="12240" w:h="15840" w:orient="portrait"/>
          <w:cols w:equalWidth="0" w:num="1">
            <w:col w:w="10200"/>
          </w:cols>
          <w:pgMar w:left="1020" w:top="1440" w:right="1020" w:bottom="572" w:gutter="0" w:footer="0" w:header="0"/>
          <w:type w:val="continuous"/>
        </w:sectPr>
      </w:pPr>
    </w:p>
    <w:bookmarkStart w:id="116" w:name="page117"/>
    <w:bookmarkEnd w:id="116"/>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231F20"/>
        </w:rPr>
        <w:t>FLYWIRE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231F20"/>
        </w:rPr>
        <w:t>NOTES TO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Note 1. Business Overview and Summary of Significant Accounting Policies</w:t>
      </w:r>
    </w:p>
    <w:p>
      <w:pPr>
        <w:spacing w:after="0" w:line="192"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16 countries across 5 continents.</w:t>
      </w:r>
    </w:p>
    <w:p>
      <w:pPr>
        <w:spacing w:after="0" w:line="136" w:lineRule="exact"/>
        <w:rPr>
          <w:sz w:val="20"/>
          <w:szCs w:val="20"/>
          <w:color w:val="auto"/>
        </w:rPr>
      </w:pPr>
    </w:p>
    <w:p>
      <w:pPr>
        <w:ind w:firstLine="463"/>
        <w:spacing w:after="0" w:line="251" w:lineRule="auto"/>
        <w:rPr>
          <w:sz w:val="20"/>
          <w:szCs w:val="20"/>
          <w:color w:val="auto"/>
        </w:rPr>
      </w:pPr>
      <w:r>
        <w:rPr>
          <w:rFonts w:ascii="Arial" w:cs="Arial" w:eastAsia="Arial" w:hAnsi="Arial"/>
          <w:sz w:val="19"/>
          <w:szCs w:val="19"/>
          <w:color w:val="231F20"/>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2023 Follow-On Public Offering</w:t>
      </w:r>
    </w:p>
    <w:p>
      <w:pPr>
        <w:spacing w:after="0" w:line="184" w:lineRule="exact"/>
        <w:rPr>
          <w:sz w:val="20"/>
          <w:szCs w:val="20"/>
          <w:color w:val="auto"/>
        </w:rPr>
      </w:pPr>
    </w:p>
    <w:p>
      <w:pPr>
        <w:ind w:right="240" w:firstLine="463"/>
        <w:spacing w:after="0" w:line="251" w:lineRule="auto"/>
        <w:rPr>
          <w:sz w:val="20"/>
          <w:szCs w:val="20"/>
          <w:color w:val="auto"/>
        </w:rPr>
      </w:pPr>
      <w:r>
        <w:rPr>
          <w:rFonts w:ascii="Arial" w:cs="Arial" w:eastAsia="Arial" w:hAnsi="Arial"/>
          <w:sz w:val="19"/>
          <w:szCs w:val="19"/>
          <w:color w:val="231F20"/>
        </w:rPr>
        <w:t>On August 9, 2023, the Company entered into an Underwriting Agreement with Goldman Sachs &amp; Co. LLC, as representative of the several Underwriters, in connection with the offer and sale of 8,000,000 shares of voting common stock, at a price to the public of $32.00 per share. In addition, pursuant to the terms of the Underwriting Agreement, the Company granted the Option to purchase up to 1,200,000 additional shares of voting common stock.</w:t>
      </w:r>
    </w:p>
    <w:p>
      <w:pPr>
        <w:spacing w:after="0" w:line="144" w:lineRule="exact"/>
        <w:rPr>
          <w:sz w:val="20"/>
          <w:szCs w:val="20"/>
          <w:color w:val="auto"/>
        </w:rPr>
      </w:pPr>
    </w:p>
    <w:p>
      <w:pPr>
        <w:ind w:firstLine="463"/>
        <w:spacing w:after="0" w:line="251" w:lineRule="auto"/>
        <w:rPr>
          <w:sz w:val="20"/>
          <w:szCs w:val="20"/>
          <w:color w:val="auto"/>
        </w:rPr>
      </w:pPr>
      <w:r>
        <w:rPr>
          <w:rFonts w:ascii="Arial" w:cs="Arial" w:eastAsia="Arial" w:hAnsi="Arial"/>
          <w:sz w:val="19"/>
          <w:szCs w:val="19"/>
          <w:color w:val="231F20"/>
        </w:rPr>
        <w:t>The Primary Offering closed on August 14, 2023 and on September 12, 2023, the Underwriters exercised the Option in part and purchased an additional 500,000 shares of voting common stock at a price to the public of $32.00 per share. The Company received $260.1 million in net proceeds from the Public Offering, after deducting underwriting discounts and commissions of $10.9 million and other offering costs of $1.1 million.</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Basis of Presentation and Principles of Consolidation</w:t>
      </w:r>
    </w:p>
    <w:p>
      <w:pPr>
        <w:spacing w:after="0" w:line="184" w:lineRule="exact"/>
        <w:rPr>
          <w:sz w:val="20"/>
          <w:szCs w:val="20"/>
          <w:color w:val="auto"/>
        </w:rPr>
      </w:pPr>
    </w:p>
    <w:p>
      <w:pPr>
        <w:jc w:val="both"/>
        <w:ind w:right="300" w:firstLine="463"/>
        <w:spacing w:after="0" w:line="258" w:lineRule="auto"/>
        <w:rPr>
          <w:sz w:val="20"/>
          <w:szCs w:val="20"/>
          <w:color w:val="auto"/>
        </w:rPr>
      </w:pPr>
      <w:r>
        <w:rPr>
          <w:rFonts w:ascii="Arial" w:cs="Arial" w:eastAsia="Arial" w:hAnsi="Arial"/>
          <w:sz w:val="19"/>
          <w:szCs w:val="19"/>
          <w:color w:val="231F20"/>
        </w:rPr>
        <w:t>The accompanying consolidated financial statements include the accounts of the Company and its wholly owned subsidiaries and have been prepared in accordance with generally accepted accounting principles in the United States (GAAP). Intercompany accounts and transactions have been eliminated upon consolidation.</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Segment Information</w:t>
      </w:r>
    </w:p>
    <w:p>
      <w:pPr>
        <w:spacing w:after="0" w:line="184" w:lineRule="exact"/>
        <w:rPr>
          <w:sz w:val="20"/>
          <w:szCs w:val="20"/>
          <w:color w:val="auto"/>
        </w:rPr>
      </w:pPr>
    </w:p>
    <w:p>
      <w:pPr>
        <w:ind w:right="480" w:firstLine="463"/>
        <w:spacing w:after="0" w:line="278" w:lineRule="auto"/>
        <w:rPr>
          <w:sz w:val="20"/>
          <w:szCs w:val="20"/>
          <w:color w:val="auto"/>
        </w:rPr>
      </w:pPr>
      <w:r>
        <w:rPr>
          <w:rFonts w:ascii="Arial" w:cs="Arial" w:eastAsia="Arial" w:hAnsi="Arial"/>
          <w:sz w:val="19"/>
          <w:szCs w:val="19"/>
          <w:color w:val="231F20"/>
        </w:rPr>
        <w:t xml:space="preserve">The Company has a single operating and reportable segment. See </w:t>
      </w:r>
      <w:r>
        <w:rPr>
          <w:rFonts w:ascii="Arial" w:cs="Arial" w:eastAsia="Arial" w:hAnsi="Arial"/>
          <w:sz w:val="19"/>
          <w:szCs w:val="19"/>
          <w:i w:val="1"/>
          <w:iCs w:val="1"/>
          <w:color w:val="231F20"/>
        </w:rPr>
        <w:t>Note 3 - Segment Information</w:t>
      </w:r>
      <w:r>
        <w:rPr>
          <w:rFonts w:ascii="Arial" w:cs="Arial" w:eastAsia="Arial" w:hAnsi="Arial"/>
          <w:sz w:val="19"/>
          <w:szCs w:val="19"/>
          <w:color w:val="231F20"/>
        </w:rPr>
        <w:t xml:space="preserve"> for additional details regarding the Company's significant segment expenses.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Use of Estimates</w:t>
      </w:r>
    </w:p>
    <w:p>
      <w:pPr>
        <w:spacing w:after="0" w:line="184" w:lineRule="exact"/>
        <w:rPr>
          <w:sz w:val="20"/>
          <w:szCs w:val="20"/>
          <w:color w:val="auto"/>
        </w:rPr>
      </w:pPr>
    </w:p>
    <w:p>
      <w:pPr>
        <w:ind w:right="20" w:firstLine="463"/>
        <w:spacing w:after="0" w:line="242" w:lineRule="auto"/>
        <w:rPr>
          <w:sz w:val="20"/>
          <w:szCs w:val="20"/>
          <w:color w:val="auto"/>
        </w:rPr>
      </w:pPr>
      <w:r>
        <w:rPr>
          <w:rFonts w:ascii="Arial" w:cs="Arial" w:eastAsia="Arial" w:hAnsi="Arial"/>
          <w:sz w:val="19"/>
          <w:szCs w:val="19"/>
          <w:color w:val="231F20"/>
        </w:rPr>
        <w:t>The preparation of consolidated financial statements in conformity with GAAP requires management to make estimates and assumptions that affect the amounts reported and disclosed in the consolidated financial statements and the accompanying notes. Significant estimates and assumptions reflected in these financial statements include, but are not limited to, the valuation of certain stock-based compensation awards, the valuation of contingent consideration, the valuation of acquired intangible assets and their useful lives, the estimate of credit losses on accounts receivable, unbilled receivables and available-for-sale debt securities, the assessment of other-than-temporary impairment of available-for-sale debt securities, intangibles and other long-lived assets and the incremental borrowing rates for operating leases.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Impact of Inflation</w:t>
      </w:r>
    </w:p>
    <w:p>
      <w:pPr>
        <w:spacing w:after="0" w:line="184" w:lineRule="exact"/>
        <w:rPr>
          <w:sz w:val="20"/>
          <w:szCs w:val="20"/>
          <w:color w:val="auto"/>
        </w:rPr>
      </w:pPr>
    </w:p>
    <w:p>
      <w:pPr>
        <w:ind w:right="60" w:firstLine="463"/>
        <w:spacing w:after="0" w:line="278" w:lineRule="auto"/>
        <w:rPr>
          <w:sz w:val="20"/>
          <w:szCs w:val="20"/>
          <w:color w:val="auto"/>
        </w:rPr>
      </w:pPr>
      <w:r>
        <w:rPr>
          <w:rFonts w:ascii="Arial" w:cs="Arial" w:eastAsia="Arial" w:hAnsi="Arial"/>
          <w:sz w:val="19"/>
          <w:szCs w:val="19"/>
          <w:color w:val="231F20"/>
        </w:rPr>
        <w:t>Inflation did not have a material effect on the Company's cash flows and results of operations during the year ended December 31, 2024.</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Concentrations of Credit Risk, Financial Instruments and Significant Clients</w:t>
      </w:r>
    </w:p>
    <w:p>
      <w:pPr>
        <w:spacing w:after="0" w:line="184" w:lineRule="exact"/>
        <w:rPr>
          <w:sz w:val="20"/>
          <w:szCs w:val="20"/>
          <w:color w:val="auto"/>
        </w:rPr>
      </w:pPr>
    </w:p>
    <w:p>
      <w:pPr>
        <w:ind w:right="20" w:firstLine="463"/>
        <w:spacing w:after="0" w:line="258" w:lineRule="auto"/>
        <w:rPr>
          <w:sz w:val="20"/>
          <w:szCs w:val="20"/>
          <w:color w:val="auto"/>
        </w:rPr>
      </w:pPr>
      <w:r>
        <w:rPr>
          <w:rFonts w:ascii="Arial" w:cs="Arial" w:eastAsia="Arial" w:hAnsi="Arial"/>
          <w:sz w:val="19"/>
          <w:szCs w:val="19"/>
          <w:color w:val="231F20"/>
        </w:rPr>
        <w:t>Financial instruments that potentially subject the Company to concentration of credit risk consists principally of cash, cash equivalents, investments in available-for-sale debt securities, accounts receivable, unbilled receivables and funds receivable from payment partners.</w:t>
      </w:r>
    </w:p>
    <w:p>
      <w:pPr>
        <w:sectPr>
          <w:pgSz w:w="12240" w:h="15840" w:orient="portrait"/>
          <w:cols w:equalWidth="0" w:num="1">
            <w:col w:w="10180"/>
          </w:cols>
          <w:pgMar w:left="1020" w:top="1440" w:right="1040" w:bottom="572"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116</w:t>
      </w:r>
    </w:p>
    <w:p>
      <w:pPr>
        <w:sectPr>
          <w:pgSz w:w="12240" w:h="15840" w:orient="portrait"/>
          <w:cols w:equalWidth="0" w:num="1">
            <w:col w:w="10180"/>
          </w:cols>
          <w:pgMar w:left="1020" w:top="1440" w:right="1040" w:bottom="572" w:gutter="0" w:footer="0" w:header="0"/>
          <w:type w:val="continuous"/>
        </w:sectPr>
      </w:pPr>
    </w:p>
    <w:bookmarkStart w:id="117" w:name="page118"/>
    <w:bookmarkEnd w:id="117"/>
    <w:p>
      <w:pPr>
        <w:spacing w:after="0" w:line="97" w:lineRule="exact"/>
        <w:rPr>
          <w:sz w:val="20"/>
          <w:szCs w:val="20"/>
          <w:color w:val="auto"/>
        </w:rPr>
      </w:pPr>
    </w:p>
    <w:p>
      <w:pPr>
        <w:ind w:right="140" w:firstLine="463"/>
        <w:spacing w:after="0" w:line="243" w:lineRule="auto"/>
        <w:rPr>
          <w:sz w:val="20"/>
          <w:szCs w:val="20"/>
          <w:color w:val="auto"/>
        </w:rPr>
      </w:pPr>
      <w:r>
        <w:rPr>
          <w:rFonts w:ascii="Arial" w:cs="Arial" w:eastAsia="Arial" w:hAnsi="Arial"/>
          <w:sz w:val="19"/>
          <w:szCs w:val="19"/>
          <w:color w:val="231F20"/>
        </w:rPr>
        <w:t>The Company maintains its cash and cash equivalents with financial institutions that management believes are of high credit quality. Our cash equivalents include money market funds, which are AAA-rated and comprised of liquid, high quality debt securities issued by the U.S. government. The Company's cash and cash equivalents deposited with the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The Company's access to its cash and cash equivalents and client funds could be significantly impacted in volatile markets given our concentration in government money market funds.</w:t>
      </w:r>
    </w:p>
    <w:p>
      <w:pPr>
        <w:spacing w:after="0" w:line="149" w:lineRule="exact"/>
        <w:rPr>
          <w:sz w:val="20"/>
          <w:szCs w:val="20"/>
          <w:color w:val="auto"/>
        </w:rPr>
      </w:pPr>
    </w:p>
    <w:p>
      <w:pPr>
        <w:ind w:right="40" w:firstLine="463"/>
        <w:spacing w:after="0" w:line="307" w:lineRule="auto"/>
        <w:rPr>
          <w:sz w:val="20"/>
          <w:szCs w:val="20"/>
          <w:color w:val="auto"/>
        </w:rPr>
      </w:pPr>
      <w:r>
        <w:rPr>
          <w:rFonts w:ascii="Arial" w:cs="Arial" w:eastAsia="Arial" w:hAnsi="Arial"/>
          <w:sz w:val="18"/>
          <w:szCs w:val="18"/>
          <w:color w:val="231F20"/>
        </w:rPr>
        <w:t>To manage credit risk associated with investments in available-for-sale debt securities, the Company monitors credit ratings of the issuers of the securities and diversifies its investments by limiting its holding in any one security or issuer.</w:t>
      </w:r>
    </w:p>
    <w:p>
      <w:pPr>
        <w:spacing w:after="0" w:line="94" w:lineRule="exact"/>
        <w:rPr>
          <w:sz w:val="20"/>
          <w:szCs w:val="20"/>
          <w:color w:val="auto"/>
        </w:rPr>
      </w:pPr>
    </w:p>
    <w:p>
      <w:pPr>
        <w:ind w:firstLine="463"/>
        <w:spacing w:after="0" w:line="246" w:lineRule="auto"/>
        <w:rPr>
          <w:sz w:val="20"/>
          <w:szCs w:val="20"/>
          <w:color w:val="auto"/>
        </w:rPr>
      </w:pPr>
      <w:r>
        <w:rPr>
          <w:rFonts w:ascii="Arial" w:cs="Arial" w:eastAsia="Arial" w:hAnsi="Arial"/>
          <w:sz w:val="19"/>
          <w:szCs w:val="19"/>
          <w:color w:val="231F20"/>
        </w:rPr>
        <w:t>To manage credit risk related to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and forecasted information in determining its estimated loss rates, such as external forecasts, macroeconomic trends, or other factors that are associated with the credit quality of the Company’s customer base. The Company did not experience any material credit losses during the years ended December 31, 2024, 2023 and 2022.</w:t>
      </w:r>
    </w:p>
    <w:p>
      <w:pPr>
        <w:spacing w:after="0" w:line="148" w:lineRule="exact"/>
        <w:rPr>
          <w:sz w:val="20"/>
          <w:szCs w:val="20"/>
          <w:color w:val="auto"/>
        </w:rPr>
      </w:pPr>
    </w:p>
    <w:p>
      <w:pPr>
        <w:jc w:val="both"/>
        <w:ind w:right="60" w:firstLine="463"/>
        <w:spacing w:after="0" w:line="258" w:lineRule="auto"/>
        <w:rPr>
          <w:sz w:val="20"/>
          <w:szCs w:val="20"/>
          <w:color w:val="auto"/>
        </w:rPr>
      </w:pPr>
      <w:r>
        <w:rPr>
          <w:rFonts w:ascii="Arial" w:cs="Arial" w:eastAsia="Arial" w:hAnsi="Arial"/>
          <w:sz w:val="19"/>
          <w:szCs w:val="19"/>
          <w:color w:val="231F20"/>
        </w:rPr>
        <w:t>Accounts receivable are derived from revenue earned from clients located in the U.S. and internationally. Significant clients are those that represent 10% or more of accounts receivable, net. As of December 31, 2024 and 2023, there was no client that represented 10% or more of accounts receivable, net.</w:t>
      </w:r>
    </w:p>
    <w:p>
      <w:pPr>
        <w:spacing w:after="0" w:line="136"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150" w:lineRule="exact"/>
        <w:rPr>
          <w:sz w:val="20"/>
          <w:szCs w:val="20"/>
          <w:color w:val="auto"/>
        </w:rPr>
      </w:pPr>
    </w:p>
    <w:p>
      <w:pPr>
        <w:ind w:left="7980"/>
        <w:spacing w:after="0"/>
        <w:rPr>
          <w:sz w:val="20"/>
          <w:szCs w:val="20"/>
          <w:color w:val="auto"/>
        </w:rPr>
      </w:pPr>
      <w:r>
        <w:rPr>
          <w:rFonts w:ascii="Arial" w:cs="Arial" w:eastAsia="Arial" w:hAnsi="Arial"/>
          <w:sz w:val="15"/>
          <w:szCs w:val="15"/>
          <w:b w:val="1"/>
          <w:bCs w:val="1"/>
          <w:color w:val="231F20"/>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-106680</wp:posOffset>
                </wp:positionV>
                <wp:extent cx="6477000" cy="11811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18110"/>
                        </a:xfrm>
                        <a:prstGeom prst="rect">
                          <a:avLst/>
                        </a:prstGeom>
                        <a:solidFill>
                          <a:srgbClr val="FDFDFC"/>
                        </a:solidFill>
                      </wps:spPr>
                      <wps:bodyPr/>
                    </wps:wsp>
                  </a:graphicData>
                </a:graphic>
              </wp:anchor>
            </w:drawing>
          </mc:Choice>
          <mc:Fallback>
            <w:pict>
              <v:rect id="Shape 51" o:spid="_x0000_s1076" style="position:absolute;margin-left:0pt;margin-top:-8.3999pt;width:510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-106680</wp:posOffset>
                </wp:positionV>
                <wp:extent cx="4339590" cy="24257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39590" cy="242570"/>
                        </a:xfrm>
                        <a:prstGeom prst="rect">
                          <a:avLst/>
                        </a:prstGeom>
                        <a:solidFill>
                          <a:srgbClr val="FDFDFC"/>
                        </a:solidFill>
                      </wps:spPr>
                      <wps:bodyPr/>
                    </wps:wsp>
                  </a:graphicData>
                </a:graphic>
              </wp:anchor>
            </w:drawing>
          </mc:Choice>
          <mc:Fallback>
            <w:pict>
              <v:rect id="Shape 52" o:spid="_x0000_s1077" style="position:absolute;margin-left:0pt;margin-top:-8.3999pt;width:341.7pt;height:19.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tbl>
      <w:tblPr>
        <w:tblLayout w:type="fixed"/>
        <w:tblInd w:w="0" w:type="dxa"/>
        <w:tblCellMar>
          <w:top w:w="0" w:type="dxa"/>
          <w:left w:w="0" w:type="dxa"/>
          <w:bottom w:w="0" w:type="dxa"/>
          <w:right w:w="0" w:type="dxa"/>
        </w:tblCellMar>
      </w:tblPr>
      <w:tr>
        <w:trPr>
          <w:trHeight w:val="176"/>
        </w:trPr>
        <w:tc>
          <w:tcPr>
            <w:tcW w:w="6840" w:type="dxa"/>
            <w:vAlign w:val="bottom"/>
            <w:tcBorders>
              <w:bottom w:val="single" w:sz="8" w:color="D0EBF2"/>
            </w:tcBorders>
          </w:tcPr>
          <w:p>
            <w:pPr>
              <w:spacing w:after="0"/>
              <w:rPr>
                <w:sz w:val="15"/>
                <w:szCs w:val="15"/>
                <w:color w:val="auto"/>
              </w:rPr>
            </w:pPr>
          </w:p>
        </w:tc>
        <w:tc>
          <w:tcPr>
            <w:tcW w:w="120" w:type="dxa"/>
            <w:vAlign w:val="bottom"/>
            <w:tcBorders>
              <w:top w:val="single" w:sz="8" w:color="FDFDFC"/>
              <w:bottom w:val="single" w:sz="8" w:color="D0EBF2"/>
            </w:tcBorders>
            <w:shd w:val="clear" w:color="auto" w:fill="FDFDFC"/>
          </w:tcPr>
          <w:p>
            <w:pPr>
              <w:spacing w:after="0"/>
              <w:rPr>
                <w:sz w:val="15"/>
                <w:szCs w:val="15"/>
                <w:color w:val="auto"/>
              </w:rPr>
            </w:pPr>
          </w:p>
        </w:tc>
        <w:tc>
          <w:tcPr>
            <w:tcW w:w="1000" w:type="dxa"/>
            <w:vAlign w:val="bottom"/>
            <w:tcBorders>
              <w:top w:val="single" w:sz="8" w:color="231F20"/>
              <w:bottom w:val="single" w:sz="8" w:color="231F20"/>
            </w:tcBorders>
            <w:shd w:val="clear" w:color="auto" w:fill="FDFDFC"/>
          </w:tcPr>
          <w:p>
            <w:pPr>
              <w:jc w:val="right"/>
              <w:ind w:right="84"/>
              <w:spacing w:after="0"/>
              <w:rPr>
                <w:sz w:val="20"/>
                <w:szCs w:val="20"/>
                <w:color w:val="auto"/>
              </w:rPr>
            </w:pPr>
            <w:r>
              <w:rPr>
                <w:rFonts w:ascii="Arial" w:cs="Arial" w:eastAsia="Arial" w:hAnsi="Arial"/>
                <w:sz w:val="15"/>
                <w:szCs w:val="15"/>
                <w:b w:val="1"/>
                <w:bCs w:val="1"/>
                <w:color w:val="231F20"/>
              </w:rPr>
              <w:t>2024</w:t>
            </w:r>
          </w:p>
        </w:tc>
        <w:tc>
          <w:tcPr>
            <w:tcW w:w="360" w:type="dxa"/>
            <w:vAlign w:val="bottom"/>
            <w:tcBorders>
              <w:top w:val="single" w:sz="8" w:color="231F20"/>
              <w:bottom w:val="single" w:sz="8" w:color="231F20"/>
            </w:tcBorders>
            <w:shd w:val="clear" w:color="auto" w:fill="FDFDFC"/>
          </w:tcPr>
          <w:p>
            <w:pPr>
              <w:spacing w:after="0"/>
              <w:rPr>
                <w:sz w:val="15"/>
                <w:szCs w:val="15"/>
                <w:color w:val="auto"/>
              </w:rPr>
            </w:pPr>
          </w:p>
        </w:tc>
        <w:tc>
          <w:tcPr>
            <w:tcW w:w="200" w:type="dxa"/>
            <w:vAlign w:val="bottom"/>
            <w:tcBorders>
              <w:top w:val="single" w:sz="8" w:color="231F20"/>
            </w:tcBorders>
            <w:shd w:val="clear" w:color="auto" w:fill="FDFDFC"/>
          </w:tcPr>
          <w:p>
            <w:pPr>
              <w:spacing w:after="0"/>
              <w:rPr>
                <w:sz w:val="15"/>
                <w:szCs w:val="15"/>
                <w:color w:val="auto"/>
              </w:rPr>
            </w:pPr>
          </w:p>
        </w:tc>
        <w:tc>
          <w:tcPr>
            <w:tcW w:w="120" w:type="dxa"/>
            <w:vAlign w:val="bottom"/>
            <w:tcBorders>
              <w:top w:val="single" w:sz="8" w:color="231F20"/>
            </w:tcBorders>
            <w:shd w:val="clear" w:color="auto" w:fill="FDFDFC"/>
          </w:tcPr>
          <w:p>
            <w:pPr>
              <w:spacing w:after="0"/>
              <w:rPr>
                <w:sz w:val="15"/>
                <w:szCs w:val="15"/>
                <w:color w:val="auto"/>
              </w:rPr>
            </w:pPr>
          </w:p>
        </w:tc>
        <w:tc>
          <w:tcPr>
            <w:tcW w:w="1360" w:type="dxa"/>
            <w:vAlign w:val="bottom"/>
            <w:tcBorders>
              <w:top w:val="single" w:sz="8" w:color="231F20"/>
              <w:bottom w:val="single" w:sz="8" w:color="231F20"/>
            </w:tcBorders>
            <w:shd w:val="clear" w:color="auto" w:fill="FDFDFC"/>
          </w:tcPr>
          <w:p>
            <w:pPr>
              <w:jc w:val="right"/>
              <w:ind w:right="432"/>
              <w:spacing w:after="0"/>
              <w:rPr>
                <w:sz w:val="20"/>
                <w:szCs w:val="20"/>
                <w:color w:val="auto"/>
              </w:rPr>
            </w:pPr>
            <w:r>
              <w:rPr>
                <w:rFonts w:ascii="Arial" w:cs="Arial" w:eastAsia="Arial" w:hAnsi="Arial"/>
                <w:sz w:val="15"/>
                <w:szCs w:val="15"/>
                <w:b w:val="1"/>
                <w:bCs w:val="1"/>
                <w:color w:val="231F20"/>
              </w:rPr>
              <w:t>2023</w:t>
            </w:r>
          </w:p>
        </w:tc>
        <w:tc>
          <w:tcPr>
            <w:tcW w:w="200" w:type="dxa"/>
            <w:vAlign w:val="bottom"/>
            <w:tcBorders>
              <w:top w:val="single" w:sz="8" w:color="FDFDFC"/>
            </w:tcBorders>
            <w:shd w:val="clear" w:color="auto" w:fill="FDFDFC"/>
          </w:tcPr>
          <w:p>
            <w:pPr>
              <w:spacing w:after="0"/>
              <w:rPr>
                <w:sz w:val="15"/>
                <w:szCs w:val="15"/>
                <w:color w:val="auto"/>
              </w:rPr>
            </w:pPr>
          </w:p>
        </w:tc>
      </w:tr>
      <w:tr>
        <w:trPr>
          <w:trHeight w:val="220"/>
        </w:trPr>
        <w:tc>
          <w:tcPr>
            <w:tcW w:w="696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Partner A</w:t>
            </w:r>
          </w:p>
        </w:tc>
        <w:tc>
          <w:tcPr>
            <w:tcW w:w="10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9"/>
                <w:szCs w:val="19"/>
                <w:color w:val="231F20"/>
              </w:rPr>
              <w:t>19%</w:t>
            </w:r>
          </w:p>
        </w:tc>
        <w:tc>
          <w:tcPr>
            <w:tcW w:w="1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9"/>
                <w:szCs w:val="19"/>
                <w:color w:val="231F20"/>
              </w:rPr>
              <w:t>14%</w:t>
            </w:r>
          </w:p>
        </w:tc>
      </w:tr>
      <w:tr>
        <w:trPr>
          <w:trHeight w:val="230"/>
        </w:trPr>
        <w:tc>
          <w:tcPr>
            <w:tcW w:w="6960" w:type="dxa"/>
            <w:vAlign w:val="bottom"/>
            <w:gridSpan w:val="2"/>
            <w:shd w:val="clear" w:color="auto" w:fill="FDFDFC"/>
          </w:tcPr>
          <w:p>
            <w:pPr>
              <w:spacing w:after="0"/>
              <w:rPr>
                <w:sz w:val="20"/>
                <w:szCs w:val="20"/>
                <w:color w:val="auto"/>
              </w:rPr>
            </w:pPr>
            <w:r>
              <w:rPr>
                <w:rFonts w:ascii="Arial" w:cs="Arial" w:eastAsia="Arial" w:hAnsi="Arial"/>
                <w:sz w:val="19"/>
                <w:szCs w:val="19"/>
                <w:color w:val="231F20"/>
              </w:rPr>
              <w:t>Partner B</w:t>
            </w:r>
          </w:p>
        </w:tc>
        <w:tc>
          <w:tcPr>
            <w:tcW w:w="1000" w:type="dxa"/>
            <w:vAlign w:val="bottom"/>
            <w:shd w:val="clear" w:color="auto" w:fill="FDFDFC"/>
          </w:tcPr>
          <w:p>
            <w:pPr>
              <w:spacing w:after="0"/>
              <w:rPr>
                <w:sz w:val="20"/>
                <w:szCs w:val="20"/>
                <w:color w:val="auto"/>
              </w:rPr>
            </w:pPr>
          </w:p>
        </w:tc>
        <w:tc>
          <w:tcPr>
            <w:tcW w:w="56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11%</w:t>
            </w:r>
          </w:p>
        </w:tc>
        <w:tc>
          <w:tcPr>
            <w:tcW w:w="120" w:type="dxa"/>
            <w:vAlign w:val="bottom"/>
            <w:shd w:val="clear" w:color="auto" w:fill="FDFDFC"/>
          </w:tcPr>
          <w:p>
            <w:pPr>
              <w:spacing w:after="0"/>
              <w:rPr>
                <w:sz w:val="20"/>
                <w:szCs w:val="20"/>
                <w:color w:val="auto"/>
              </w:rPr>
            </w:pPr>
          </w:p>
        </w:tc>
        <w:tc>
          <w:tcPr>
            <w:tcW w:w="156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15%</w:t>
            </w:r>
          </w:p>
        </w:tc>
      </w:tr>
      <w:tr>
        <w:trPr>
          <w:trHeight w:val="230"/>
        </w:trPr>
        <w:tc>
          <w:tcPr>
            <w:tcW w:w="7960" w:type="dxa"/>
            <w:vAlign w:val="bottom"/>
            <w:gridSpan w:val="3"/>
            <w:shd w:val="clear" w:color="auto" w:fill="D0EBF2"/>
          </w:tcPr>
          <w:p>
            <w:pPr>
              <w:spacing w:after="0"/>
              <w:rPr>
                <w:sz w:val="20"/>
                <w:szCs w:val="20"/>
                <w:color w:val="auto"/>
              </w:rPr>
            </w:pPr>
            <w:r>
              <w:rPr>
                <w:rFonts w:ascii="Arial" w:cs="Arial" w:eastAsia="Arial" w:hAnsi="Arial"/>
                <w:sz w:val="19"/>
                <w:szCs w:val="19"/>
                <w:color w:val="231F20"/>
              </w:rPr>
              <w:t>Partner C</w:t>
            </w:r>
          </w:p>
        </w:tc>
        <w:tc>
          <w:tcPr>
            <w:tcW w:w="3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00" w:type="dxa"/>
            <w:vAlign w:val="bottom"/>
            <w:shd w:val="clear" w:color="auto" w:fill="D0EBF2"/>
          </w:tcPr>
          <w:p>
            <w:pPr>
              <w:spacing w:after="0"/>
              <w:rPr>
                <w:sz w:val="20"/>
                <w:szCs w:val="20"/>
                <w:color w:val="auto"/>
              </w:rPr>
            </w:pPr>
          </w:p>
        </w:tc>
        <w:tc>
          <w:tcPr>
            <w:tcW w:w="1680" w:type="dxa"/>
            <w:vAlign w:val="bottom"/>
            <w:gridSpan w:val="3"/>
            <w:shd w:val="clear" w:color="auto" w:fill="D0EBF2"/>
          </w:tcPr>
          <w:p>
            <w:pPr>
              <w:jc w:val="right"/>
              <w:ind w:right="20"/>
              <w:spacing w:after="0"/>
              <w:rPr>
                <w:sz w:val="20"/>
                <w:szCs w:val="20"/>
                <w:color w:val="auto"/>
              </w:rPr>
            </w:pPr>
            <w:r>
              <w:rPr>
                <w:rFonts w:ascii="Arial" w:cs="Arial" w:eastAsia="Arial" w:hAnsi="Arial"/>
                <w:sz w:val="19"/>
                <w:szCs w:val="19"/>
                <w:color w:val="231F20"/>
              </w:rPr>
              <w:t>13%</w:t>
            </w:r>
          </w:p>
        </w:tc>
      </w:tr>
      <w:tr>
        <w:trPr>
          <w:trHeight w:val="230"/>
        </w:trPr>
        <w:tc>
          <w:tcPr>
            <w:tcW w:w="7960" w:type="dxa"/>
            <w:vAlign w:val="bottom"/>
            <w:gridSpan w:val="3"/>
            <w:shd w:val="clear" w:color="auto" w:fill="FDFDFC"/>
          </w:tcPr>
          <w:p>
            <w:pPr>
              <w:spacing w:after="0"/>
              <w:rPr>
                <w:sz w:val="20"/>
                <w:szCs w:val="20"/>
                <w:color w:val="auto"/>
              </w:rPr>
            </w:pPr>
            <w:r>
              <w:rPr>
                <w:rFonts w:ascii="Arial" w:cs="Arial" w:eastAsia="Arial" w:hAnsi="Arial"/>
                <w:sz w:val="19"/>
                <w:szCs w:val="19"/>
                <w:color w:val="231F20"/>
              </w:rPr>
              <w:t>Partner D</w:t>
            </w:r>
          </w:p>
        </w:tc>
        <w:tc>
          <w:tcPr>
            <w:tcW w:w="3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00" w:type="dxa"/>
            <w:vAlign w:val="bottom"/>
            <w:shd w:val="clear" w:color="auto" w:fill="FDFDFC"/>
          </w:tcPr>
          <w:p>
            <w:pPr>
              <w:spacing w:after="0"/>
              <w:rPr>
                <w:sz w:val="20"/>
                <w:szCs w:val="20"/>
                <w:color w:val="auto"/>
              </w:rPr>
            </w:pPr>
          </w:p>
        </w:tc>
        <w:tc>
          <w:tcPr>
            <w:tcW w:w="168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11%</w:t>
            </w:r>
          </w:p>
        </w:tc>
      </w:tr>
      <w:tr>
        <w:trPr>
          <w:trHeight w:val="230"/>
        </w:trPr>
        <w:tc>
          <w:tcPr>
            <w:tcW w:w="7960" w:type="dxa"/>
            <w:vAlign w:val="bottom"/>
            <w:gridSpan w:val="3"/>
            <w:shd w:val="clear" w:color="auto" w:fill="D0EBF2"/>
          </w:tcPr>
          <w:p>
            <w:pPr>
              <w:spacing w:after="0"/>
              <w:rPr>
                <w:sz w:val="20"/>
                <w:szCs w:val="20"/>
                <w:color w:val="auto"/>
              </w:rPr>
            </w:pPr>
            <w:r>
              <w:rPr>
                <w:rFonts w:ascii="Arial" w:cs="Arial" w:eastAsia="Arial" w:hAnsi="Arial"/>
                <w:sz w:val="19"/>
                <w:szCs w:val="19"/>
                <w:color w:val="231F20"/>
              </w:rPr>
              <w:t>Partner E</w:t>
            </w:r>
          </w:p>
        </w:tc>
        <w:tc>
          <w:tcPr>
            <w:tcW w:w="56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28%</w:t>
            </w:r>
          </w:p>
        </w:tc>
        <w:tc>
          <w:tcPr>
            <w:tcW w:w="1680" w:type="dxa"/>
            <w:vAlign w:val="bottom"/>
            <w:gridSpan w:val="3"/>
            <w:shd w:val="clear" w:color="auto" w:fill="D0EBF2"/>
          </w:tcPr>
          <w:p>
            <w:pPr>
              <w:jc w:val="right"/>
              <w:ind w:right="20"/>
              <w:spacing w:after="0"/>
              <w:rPr>
                <w:sz w:val="20"/>
                <w:szCs w:val="20"/>
                <w:color w:val="auto"/>
              </w:rPr>
            </w:pPr>
            <w:r>
              <w:rPr>
                <w:rFonts w:ascii="Arial" w:cs="Arial" w:eastAsia="Arial" w:hAnsi="Arial"/>
                <w:sz w:val="19"/>
                <w:szCs w:val="19"/>
                <w:color w:val="231F20"/>
              </w:rPr>
              <w:t>20%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4418330</wp:posOffset>
                </wp:positionH>
                <wp:positionV relativeFrom="paragraph">
                  <wp:posOffset>-731520</wp:posOffset>
                </wp:positionV>
                <wp:extent cx="868045" cy="14668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8045" cy="146685"/>
                        </a:xfrm>
                        <a:prstGeom prst="rect">
                          <a:avLst/>
                        </a:prstGeom>
                        <a:solidFill>
                          <a:srgbClr val="D0EBF2"/>
                        </a:solidFill>
                      </wps:spPr>
                      <wps:bodyPr/>
                    </wps:wsp>
                  </a:graphicData>
                </a:graphic>
              </wp:anchor>
            </w:drawing>
          </mc:Choice>
          <mc:Fallback>
            <w:pict>
              <v:rect id="Shape 53" o:spid="_x0000_s1078" style="position:absolute;margin-left:347.9pt;margin-top:-57.5999pt;width:68.3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5286375</wp:posOffset>
                </wp:positionH>
                <wp:positionV relativeFrom="paragraph">
                  <wp:posOffset>-737235</wp:posOffset>
                </wp:positionV>
                <wp:extent cx="200660" cy="15240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660" cy="152400"/>
                        </a:xfrm>
                        <a:prstGeom prst="rect">
                          <a:avLst/>
                        </a:prstGeom>
                        <a:solidFill>
                          <a:srgbClr val="D0EBF2"/>
                        </a:solidFill>
                      </wps:spPr>
                      <wps:bodyPr/>
                    </wps:wsp>
                  </a:graphicData>
                </a:graphic>
              </wp:anchor>
            </w:drawing>
          </mc:Choice>
          <mc:Fallback>
            <w:pict>
              <v:rect id="Shape 54" o:spid="_x0000_s1079" style="position:absolute;margin-left:416.25pt;margin-top:-58.0499pt;width:15.8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5487035</wp:posOffset>
                </wp:positionH>
                <wp:positionV relativeFrom="paragraph">
                  <wp:posOffset>-731520</wp:posOffset>
                </wp:positionV>
                <wp:extent cx="868045" cy="14668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8045" cy="146685"/>
                        </a:xfrm>
                        <a:prstGeom prst="rect">
                          <a:avLst/>
                        </a:prstGeom>
                        <a:solidFill>
                          <a:srgbClr val="D0EBF2"/>
                        </a:solidFill>
                      </wps:spPr>
                      <wps:bodyPr/>
                    </wps:wsp>
                  </a:graphicData>
                </a:graphic>
              </wp:anchor>
            </w:drawing>
          </mc:Choice>
          <mc:Fallback>
            <w:pict>
              <v:rect id="Shape 55" o:spid="_x0000_s1080" style="position:absolute;margin-left:432.05pt;margin-top:-57.5999pt;width:68.3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-17145</wp:posOffset>
                </wp:positionH>
                <wp:positionV relativeFrom="paragraph">
                  <wp:posOffset>88265</wp:posOffset>
                </wp:positionV>
                <wp:extent cx="219329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3290" cy="4763"/>
                        </a:xfrm>
                        <a:prstGeom prst="line">
                          <a:avLst/>
                        </a:prstGeom>
                        <a:solidFill>
                          <a:srgbClr val="FFFFFF"/>
                        </a:solidFill>
                        <a:ln w="8991">
                          <a:solidFill>
                            <a:srgbClr val="231F2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6.95pt" to="171.35pt,6.95pt" o:allowincell="f" strokecolor="#231F20" strokeweight="0.708pt"/>
            </w:pict>
          </mc:Fallback>
        </mc:AlternateConten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231F20"/>
        </w:rPr>
        <w:t>* Less than 10% of total balance.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During the years ended December 31, 2024, 2023 and 2022, no client accounted for 10% or more of total revenue.</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Summary of Significant Accounting Policies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Cash Equivalents and Restricted Cash</w:t>
      </w:r>
    </w:p>
    <w:p>
      <w:pPr>
        <w:spacing w:after="0" w:line="184" w:lineRule="exact"/>
        <w:rPr>
          <w:sz w:val="20"/>
          <w:szCs w:val="20"/>
          <w:color w:val="auto"/>
        </w:rPr>
      </w:pPr>
    </w:p>
    <w:p>
      <w:pPr>
        <w:ind w:right="140" w:firstLine="463"/>
        <w:spacing w:after="0" w:line="258" w:lineRule="auto"/>
        <w:rPr>
          <w:sz w:val="20"/>
          <w:szCs w:val="20"/>
          <w:color w:val="auto"/>
        </w:rPr>
      </w:pPr>
      <w:r>
        <w:rPr>
          <w:rFonts w:ascii="Arial" w:cs="Arial" w:eastAsia="Arial" w:hAnsi="Arial"/>
          <w:sz w:val="19"/>
          <w:szCs w:val="19"/>
          <w:color w:val="231F20"/>
        </w:rPr>
        <w:t>Cash equivalents consist of short-term, highly liquid investments with stated maturities of three months or less from the date of purchase. Our cash equivalents include money market funds, which are AAA-rated and comprised of liquid, high-quality debt securities issued by the U.S. government.</w:t>
      </w:r>
    </w:p>
    <w:p>
      <w:pPr>
        <w:spacing w:after="0" w:line="136" w:lineRule="exact"/>
        <w:rPr>
          <w:sz w:val="20"/>
          <w:szCs w:val="20"/>
          <w:color w:val="auto"/>
        </w:rPr>
      </w:pPr>
    </w:p>
    <w:p>
      <w:pPr>
        <w:jc w:val="both"/>
        <w:ind w:right="20" w:firstLine="463"/>
        <w:spacing w:after="0" w:line="258" w:lineRule="auto"/>
        <w:rPr>
          <w:sz w:val="20"/>
          <w:szCs w:val="20"/>
          <w:color w:val="auto"/>
        </w:rPr>
      </w:pPr>
      <w:r>
        <w:rPr>
          <w:rFonts w:ascii="Arial" w:cs="Arial" w:eastAsia="Arial" w:hAnsi="Arial"/>
          <w:sz w:val="19"/>
          <w:szCs w:val="19"/>
          <w:color w:val="231F20"/>
        </w:rPr>
        <w:t>Restricted cash consists of amounts required to be maintained to cover certain banks’ or clients’ credit risk exposure related to facilitating payments for the Company. The Company did not have any restricted cash as of December 31, 2024 and 2023.</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Investments</w:t>
      </w:r>
    </w:p>
    <w:p>
      <w:pPr>
        <w:spacing w:after="0" w:line="184" w:lineRule="exact"/>
        <w:rPr>
          <w:sz w:val="20"/>
          <w:szCs w:val="20"/>
          <w:color w:val="auto"/>
        </w:rPr>
      </w:pPr>
    </w:p>
    <w:p>
      <w:pPr>
        <w:ind w:right="120" w:firstLine="463"/>
        <w:spacing w:after="0" w:line="248" w:lineRule="auto"/>
        <w:rPr>
          <w:sz w:val="20"/>
          <w:szCs w:val="20"/>
          <w:color w:val="auto"/>
        </w:rPr>
      </w:pPr>
      <w:r>
        <w:rPr>
          <w:rFonts w:ascii="Arial" w:cs="Arial" w:eastAsia="Arial" w:hAnsi="Arial"/>
          <w:sz w:val="19"/>
          <w:szCs w:val="19"/>
          <w:color w:val="231F20"/>
        </w:rPr>
        <w:t>During the year ended December 31, 2024, the Company began investing in a diversified portfolio of highly rated marketable debt securities, all of which are classified as available-for-sale. Available-for-sale debt securities with remaining maturities of greater than three months but less than one year and those identified by management at the time of purchase to be used to fund operations within one year are classified as short-term. All other available-for-sale securities are classified as long-term. Available-for-sale debt securities with readily determinable market values are</w:t>
      </w:r>
    </w:p>
    <w:p>
      <w:pPr>
        <w:sectPr>
          <w:pgSz w:w="12240" w:h="15840" w:orient="portrait"/>
          <w:cols w:equalWidth="0" w:num="1">
            <w:col w:w="10200"/>
          </w:cols>
          <w:pgMar w:left="1020" w:top="1440" w:right="1020" w:bottom="572"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117</w:t>
      </w:r>
    </w:p>
    <w:p>
      <w:pPr>
        <w:sectPr>
          <w:pgSz w:w="12240" w:h="15840" w:orient="portrait"/>
          <w:cols w:equalWidth="0" w:num="1">
            <w:col w:w="10200"/>
          </w:cols>
          <w:pgMar w:left="1020" w:top="1440" w:right="1020" w:bottom="572" w:gutter="0" w:footer="0" w:header="0"/>
          <w:type w:val="continuous"/>
        </w:sectPr>
      </w:pPr>
    </w:p>
    <w:bookmarkStart w:id="118" w:name="page119"/>
    <w:bookmarkEnd w:id="118"/>
    <w:p>
      <w:pPr>
        <w:spacing w:after="0" w:line="97" w:lineRule="exact"/>
        <w:rPr>
          <w:sz w:val="20"/>
          <w:szCs w:val="20"/>
          <w:color w:val="auto"/>
        </w:rPr>
      </w:pPr>
    </w:p>
    <w:p>
      <w:pPr>
        <w:ind w:right="200"/>
        <w:spacing w:after="0" w:line="278" w:lineRule="auto"/>
        <w:rPr>
          <w:sz w:val="20"/>
          <w:szCs w:val="20"/>
          <w:color w:val="auto"/>
        </w:rPr>
      </w:pPr>
      <w:r>
        <w:rPr>
          <w:rFonts w:ascii="Arial" w:cs="Arial" w:eastAsia="Arial" w:hAnsi="Arial"/>
          <w:sz w:val="19"/>
          <w:szCs w:val="19"/>
          <w:color w:val="231F20"/>
        </w:rPr>
        <w:t>recorded at fair value, and unrealized holding gains and temporary losses are recorded as a component of accumulated other comprehensive (loss) income, net of related estimated tax.</w:t>
      </w:r>
    </w:p>
    <w:p>
      <w:pPr>
        <w:spacing w:after="0" w:line="117" w:lineRule="exact"/>
        <w:rPr>
          <w:sz w:val="20"/>
          <w:szCs w:val="20"/>
          <w:color w:val="auto"/>
        </w:rPr>
      </w:pPr>
    </w:p>
    <w:p>
      <w:pPr>
        <w:ind w:right="60" w:firstLine="463"/>
        <w:spacing w:after="0" w:line="261" w:lineRule="auto"/>
        <w:rPr>
          <w:sz w:val="20"/>
          <w:szCs w:val="20"/>
          <w:color w:val="auto"/>
        </w:rPr>
      </w:pPr>
      <w:r>
        <w:rPr>
          <w:rFonts w:ascii="Arial" w:cs="Arial" w:eastAsia="Arial" w:hAnsi="Arial"/>
          <w:sz w:val="18"/>
          <w:szCs w:val="18"/>
          <w:color w:val="231F20"/>
        </w:rPr>
        <w:t>The Company evaluates its available-for-sale debt securities for other-than-temporary impairment on a quarterly basis. When a decline in fair value is determined to be other-than-temporary, the cost of the investment is adjusted to fair value by recording a loss on investments in the consolidated statements of operations and comprehensive loss. Gains and losses on investments are calculated on the basis of specific identification. The Company reviews several factors to determine whether a loss is other-than-temporary, such as the length and extent of the fair value decline, the financial condition and near-term prospects of the issuer, market conditions and trends and whether the Company has the intent to sell or will more likely than not be required to sell before the securities' anticipated recovery, which may be at maturity.</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Allowance for Credit Losses</w:t>
      </w:r>
    </w:p>
    <w:p>
      <w:pPr>
        <w:spacing w:after="0" w:line="184" w:lineRule="exact"/>
        <w:rPr>
          <w:sz w:val="20"/>
          <w:szCs w:val="20"/>
          <w:color w:val="auto"/>
        </w:rPr>
      </w:pPr>
    </w:p>
    <w:p>
      <w:pPr>
        <w:ind w:firstLine="463"/>
        <w:spacing w:after="0" w:line="270" w:lineRule="auto"/>
        <w:rPr>
          <w:sz w:val="20"/>
          <w:szCs w:val="20"/>
          <w:color w:val="auto"/>
        </w:rPr>
      </w:pPr>
      <w:r>
        <w:rPr>
          <w:rFonts w:ascii="Arial" w:cs="Arial" w:eastAsia="Arial" w:hAnsi="Arial"/>
          <w:sz w:val="18"/>
          <w:szCs w:val="18"/>
          <w:color w:val="231F20"/>
        </w:rPr>
        <w:t>Accounts receivable represent client obligations that are unconditional. The Company’s accounts receivable do not bear interest and generally does not require collateral or other security to support related receivables. Unbilled receivables represent the Company's unconditional right to payment. Accounts receivable and unbilled receivables are presented net of an estimated allowance for credit losses for amounts that may not be collectible over the estimated life of the assets.</w:t>
      </w:r>
    </w:p>
    <w:p>
      <w:pPr>
        <w:spacing w:after="0" w:line="126" w:lineRule="exact"/>
        <w:rPr>
          <w:sz w:val="20"/>
          <w:szCs w:val="20"/>
          <w:color w:val="auto"/>
        </w:rPr>
      </w:pPr>
    </w:p>
    <w:p>
      <w:pPr>
        <w:ind w:right="100" w:firstLine="463"/>
        <w:spacing w:after="0" w:line="244" w:lineRule="auto"/>
        <w:rPr>
          <w:sz w:val="20"/>
          <w:szCs w:val="20"/>
          <w:color w:val="auto"/>
        </w:rPr>
      </w:pPr>
      <w:r>
        <w:rPr>
          <w:rFonts w:ascii="Arial" w:cs="Arial" w:eastAsia="Arial" w:hAnsi="Arial"/>
          <w:sz w:val="19"/>
          <w:szCs w:val="19"/>
          <w:color w:val="231F20"/>
        </w:rPr>
        <w:t>The allowance for credit losses is determined by applying a loss-rate method based on an aging schedule using the Company's historical loss rates. The Company also considers reasonable and supportable current and forecasted information in determining its estimated loss rates, such as external forecasts, macroeconomic trends, or other factors that are associated with the credit quality of the Company’s customer base. The adequacy of the allowance for credit losses is evaluated on a regular basis. Account balances are written off after all means of collection are exhausted and the balance is deemed uncollectible. Subsequent recoveries, if any, are credited to the allowance. Adjustments to the allowance for credit losses are recorded within general and administrative expenses in the consolidated statements of operations and comprehensive loss.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Property and Equipment, net</w:t>
      </w:r>
    </w:p>
    <w:p>
      <w:pPr>
        <w:spacing w:after="0" w:line="184" w:lineRule="exact"/>
        <w:rPr>
          <w:sz w:val="20"/>
          <w:szCs w:val="20"/>
          <w:color w:val="auto"/>
        </w:rPr>
      </w:pPr>
    </w:p>
    <w:p>
      <w:pPr>
        <w:ind w:right="120" w:firstLine="463"/>
        <w:spacing w:after="0" w:line="243" w:lineRule="auto"/>
        <w:rPr>
          <w:sz w:val="20"/>
          <w:szCs w:val="20"/>
          <w:color w:val="auto"/>
        </w:rPr>
      </w:pPr>
      <w:r>
        <w:rPr>
          <w:rFonts w:ascii="Arial" w:cs="Arial" w:eastAsia="Arial" w:hAnsi="Arial"/>
          <w:sz w:val="19"/>
          <w:szCs w:val="19"/>
          <w:color w:val="231F20"/>
        </w:rPr>
        <w:t>Property and equipment consist primarily of computer equipment and software, internal-use software, furniture and fixtures and leasehold improvements. Property and equipment are stated at historical cost less accumulated depreciation and amortization. Depreciation and amortization are computed using the straight-line method over the estimated useful lives of the assets, which is between three to five years for computer equipment and software, five years for internal-use software, three years for furniture and fixtures, and the lesser of the useful life or remaining non-cancelable term of the lease for leasehold improvements. Costs of maintenance and repairs that do not improve or extend the lives of the respective assets are expensed as incurred. Upon retirement or sale, the cost and related accumulated depreciation are removed from the consolidated balance sheets and the resulting gain or loss is reflected in income (loss) from operations in the consolidated statements of operations and comprehensive loss.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Impairment of Long-Lived Assets</w:t>
      </w:r>
    </w:p>
    <w:p>
      <w:pPr>
        <w:spacing w:after="0" w:line="184"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The Company continually evaluates the recoverability of long-lived asset (asset group) when events and changes in circumstances indicate that the carrying amount of the long-lived asset group may not be fully recoverable. Factors the Company considers in deciding when to perform an impairment review include significant underperformance of the business in relation to expectations, significant negative industry or economic trends and significant changes or planned changes in the use of the assets. When indicators of impairment are present, the Company compares forecasts of undiscounted future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There were no impairments recorded for the Company’s long-lived assets during any of the periods presented.</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Intangible Assets, net</w:t>
      </w:r>
    </w:p>
    <w:p>
      <w:pPr>
        <w:spacing w:after="0" w:line="184" w:lineRule="exact"/>
        <w:rPr>
          <w:sz w:val="20"/>
          <w:szCs w:val="20"/>
          <w:color w:val="auto"/>
        </w:rPr>
      </w:pPr>
    </w:p>
    <w:p>
      <w:pPr>
        <w:ind w:right="60" w:firstLine="463"/>
        <w:spacing w:after="0" w:line="251" w:lineRule="auto"/>
        <w:rPr>
          <w:sz w:val="20"/>
          <w:szCs w:val="20"/>
          <w:color w:val="auto"/>
        </w:rPr>
      </w:pPr>
      <w:r>
        <w:rPr>
          <w:rFonts w:ascii="Arial" w:cs="Arial" w:eastAsia="Arial" w:hAnsi="Arial"/>
          <w:sz w:val="19"/>
          <w:szCs w:val="19"/>
          <w:color w:val="231F20"/>
        </w:rPr>
        <w:t>Intangible assets consist of acquired developed technology, acquired relationships and trade names and associated trademarks. Intangible assets are recognized at fair value using generally accepted valuation methods deemed appropriate for the type of intangible asset acquired, and reported net of accumulated amortization, separately from goodwill.</w:t>
      </w:r>
    </w:p>
    <w:p>
      <w:pPr>
        <w:spacing w:after="0" w:line="144" w:lineRule="exact"/>
        <w:rPr>
          <w:sz w:val="20"/>
          <w:szCs w:val="20"/>
          <w:color w:val="auto"/>
        </w:rPr>
      </w:pPr>
    </w:p>
    <w:p>
      <w:pPr>
        <w:ind w:right="60" w:firstLine="463"/>
        <w:spacing w:after="0" w:line="307" w:lineRule="auto"/>
        <w:rPr>
          <w:sz w:val="20"/>
          <w:szCs w:val="20"/>
          <w:color w:val="auto"/>
        </w:rPr>
      </w:pPr>
      <w:r>
        <w:rPr>
          <w:rFonts w:ascii="Arial" w:cs="Arial" w:eastAsia="Arial" w:hAnsi="Arial"/>
          <w:sz w:val="18"/>
          <w:szCs w:val="18"/>
          <w:color w:val="231F20"/>
        </w:rPr>
        <w:t>The Company estimates the fair value of acquired developed technology and trade name and associated trademarks under the income approach using the relief-from-royalty method. The relief-from-royalty method estimates the</w:t>
      </w:r>
    </w:p>
    <w:p>
      <w:pPr>
        <w:sectPr>
          <w:pgSz w:w="12240" w:h="15840" w:orient="portrait"/>
          <w:cols w:equalWidth="0" w:num="1">
            <w:col w:w="10200"/>
          </w:cols>
          <w:pgMar w:left="1020" w:top="1440" w:right="1020" w:bottom="572"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118</w:t>
      </w:r>
    </w:p>
    <w:p>
      <w:pPr>
        <w:sectPr>
          <w:pgSz w:w="12240" w:h="15840" w:orient="portrait"/>
          <w:cols w:equalWidth="0" w:num="1">
            <w:col w:w="10200"/>
          </w:cols>
          <w:pgMar w:left="1020" w:top="1440" w:right="1020" w:bottom="572" w:gutter="0" w:footer="0" w:header="0"/>
          <w:type w:val="continuous"/>
        </w:sectPr>
      </w:pPr>
    </w:p>
    <w:bookmarkStart w:id="119" w:name="page120"/>
    <w:bookmarkEnd w:id="119"/>
    <w:p>
      <w:pPr>
        <w:spacing w:after="0" w:line="97" w:lineRule="exact"/>
        <w:rPr>
          <w:sz w:val="20"/>
          <w:szCs w:val="20"/>
          <w:color w:val="auto"/>
        </w:rPr>
      </w:pPr>
    </w:p>
    <w:p>
      <w:pPr>
        <w:spacing w:after="0" w:line="244" w:lineRule="auto"/>
        <w:rPr>
          <w:sz w:val="20"/>
          <w:szCs w:val="20"/>
          <w:color w:val="auto"/>
        </w:rPr>
      </w:pPr>
      <w:r>
        <w:rPr>
          <w:rFonts w:ascii="Arial" w:cs="Arial" w:eastAsia="Arial" w:hAnsi="Arial"/>
          <w:sz w:val="19"/>
          <w:szCs w:val="19"/>
          <w:color w:val="231F20"/>
        </w:rPr>
        <w:t>cost savings that accrue to the owner of an intangible asset who would otherwise have to pay royalties or a license fee on revenues earned through the use of the asset. The estimated royalty rate is determined based on the assessment of a reasonable royalty rate that a third party would negotiate in an arm’s-length license agreement for the use of the technology, trade name or trademark. The Company estimates the fair value of acquired relationships under the income approach using the multi-period excess earnings method. The multi-period excess earnings method estimates the present value of the incremental after-tax cash flows solely attributable to the intangible asset. The estimated fair values of these intangible assets reflect various assumptions including discount rates, revenue growth rates, operating margins, terminal values and other prospective financial information.</w:t>
      </w:r>
    </w:p>
    <w:p>
      <w:pPr>
        <w:spacing w:after="0" w:line="150" w:lineRule="exact"/>
        <w:rPr>
          <w:sz w:val="20"/>
          <w:szCs w:val="20"/>
          <w:color w:val="auto"/>
        </w:rPr>
      </w:pPr>
    </w:p>
    <w:p>
      <w:pPr>
        <w:ind w:right="80" w:firstLine="463"/>
        <w:spacing w:after="0" w:line="245" w:lineRule="auto"/>
        <w:rPr>
          <w:sz w:val="20"/>
          <w:szCs w:val="20"/>
          <w:color w:val="auto"/>
        </w:rPr>
      </w:pPr>
      <w:r>
        <w:rPr>
          <w:rFonts w:ascii="Arial" w:cs="Arial" w:eastAsia="Arial" w:hAnsi="Arial"/>
          <w:sz w:val="19"/>
          <w:szCs w:val="19"/>
          <w:color w:val="231F20"/>
        </w:rPr>
        <w:t>Intangible assets are amortized using a method that reflects the pattern in which the economic benefits of the intangible asset are expected to be realized over their estimated useful lives ranging from one to fifteen years. The useful lives for developed technology are determined based on expectations regarding the evolution of existing technology and future investments. The useful lives for acquired related intangible assets are determined based primarily on forecasted cash flows, which include estimates for the revenues, expenses and customer attrition associated with the assets. The useful lives of definite-lived trademarks and trade names are based on the Company’s plans to phase out the trademarks and trade names in the applicable markets.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No significant residual value is estimated for intangible assets.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Software Developed for Internal-Use</w:t>
      </w:r>
    </w:p>
    <w:p>
      <w:pPr>
        <w:spacing w:after="0" w:line="184"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The Company capitalizes costs related to internal-use software during the application development stage including third-party consulting costs and compensation expenses related to FlyMates who devote time to the development of the projects. The Company records software development costs in property and equipment. Costs incurred in the preliminary stages of development activities and post implementation activities are expensed in the period incurred and are included in technology and development expense in the consolidated statements of operations and comprehensive loss. The Company also capitalizes costs related to specific upgrades and enhancements when it is probable the expenditures will result in additional functionality. Once the additional functionality is available for general use, capitalization ceases and the asset begins being amortized. The Company periodically assesses whether triggering events are present to review the useful lives of internal-use software. Unforeseen circumstances in software development, such as a significant change in the manner in which the software is intended to be used, obsolescence or a significant reduction in revenues due to attrition, could require us to implement alternative plans with respect to a particular effort, which could result in the impairment of previously capitalized software development costs. Software developed for internal-use is amortized straight-line over its estimated useful life of five years.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Goodwill</w:t>
      </w:r>
    </w:p>
    <w:p>
      <w:pPr>
        <w:spacing w:after="0" w:line="184" w:lineRule="exact"/>
        <w:rPr>
          <w:sz w:val="20"/>
          <w:szCs w:val="20"/>
          <w:color w:val="auto"/>
        </w:rPr>
      </w:pPr>
    </w:p>
    <w:p>
      <w:pPr>
        <w:ind w:firstLine="463"/>
        <w:spacing w:after="0" w:line="241" w:lineRule="auto"/>
        <w:rPr>
          <w:sz w:val="20"/>
          <w:szCs w:val="20"/>
          <w:color w:val="auto"/>
        </w:rPr>
      </w:pPr>
      <w:r>
        <w:rPr>
          <w:rFonts w:ascii="Arial" w:cs="Arial" w:eastAsia="Arial" w:hAnsi="Arial"/>
          <w:sz w:val="19"/>
          <w:szCs w:val="19"/>
          <w:color w:val="231F20"/>
        </w:rPr>
        <w:t>The Company tests goodwill for impairment on an annual basis on the first day of the fourth quarter or more frequently if events or changes in circumstances indicate that goodwill may be impaired. The Company’s goodwill impairment test is performed at the enterprise level given it is the sole reporting unit. Events that could indicate goodwill impairment and trigger an interim impairment assessment include, but are not limited to, market conditions, economic conditions, entity-specific financial performance and other events such as significant adverse change in legal factors, business climate, operational performance of the business or key personnel, and an adverse action or assessment by a regulator. Goodwill is tested for impairment by first performing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including goodwill. Goodwill is considered impaired if the carrying value of the reporting unit exceeds its fair value. The fair value of the reporting unit is estimated using a combination of income and market approaches. The discounted cash flow method, a form of the income approach, uses expected future operating results and a market participant discount rate. The market approach uses comparable company prices and other relevant information generated by market transactions (either publicly traded entities or mergers and acquisitions) to develop pricing metrics to be applied to historical and expected future operating results of the reporting unit. Failure to achieve these expected results, changes in the discount rate or market pricing metrics, may cause a future impairment of goodwill. There were no impairments of goodwill during any of the periods presented.</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Leases</w:t>
      </w:r>
    </w:p>
    <w:p>
      <w:pPr>
        <w:spacing w:after="0" w:line="184" w:lineRule="exact"/>
        <w:rPr>
          <w:sz w:val="20"/>
          <w:szCs w:val="20"/>
          <w:color w:val="auto"/>
        </w:rPr>
      </w:pPr>
    </w:p>
    <w:p>
      <w:pPr>
        <w:ind w:right="420" w:firstLine="463"/>
        <w:spacing w:after="0" w:line="279" w:lineRule="auto"/>
        <w:rPr>
          <w:sz w:val="20"/>
          <w:szCs w:val="20"/>
          <w:color w:val="auto"/>
        </w:rPr>
      </w:pPr>
      <w:r>
        <w:rPr>
          <w:rFonts w:ascii="Arial" w:cs="Arial" w:eastAsia="Arial" w:hAnsi="Arial"/>
          <w:sz w:val="18"/>
          <w:szCs w:val="18"/>
          <w:color w:val="231F20"/>
        </w:rPr>
        <w:t>The Company recognizes leases on its consolidated balance sheets as right-of-use (ROU) assets and lease liabilities. ROU assets represent the Company's right to use underlying assets for the lease terms and lease liabilities represent obligations to make lease payments arising from the leases. ROU assets are included in Other assets and</w:t>
      </w:r>
    </w:p>
    <w:p>
      <w:pPr>
        <w:sectPr>
          <w:pgSz w:w="12240" w:h="15840" w:orient="portrait"/>
          <w:cols w:equalWidth="0" w:num="1">
            <w:col w:w="10180"/>
          </w:cols>
          <w:pgMar w:left="1020" w:top="1440" w:right="1040" w:bottom="572"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119</w:t>
      </w:r>
    </w:p>
    <w:p>
      <w:pPr>
        <w:sectPr>
          <w:pgSz w:w="12240" w:h="15840" w:orient="portrait"/>
          <w:cols w:equalWidth="0" w:num="1">
            <w:col w:w="10180"/>
          </w:cols>
          <w:pgMar w:left="1020" w:top="1440" w:right="1040" w:bottom="572" w:gutter="0" w:footer="0" w:header="0"/>
          <w:type w:val="continuous"/>
        </w:sectPr>
      </w:pPr>
    </w:p>
    <w:bookmarkStart w:id="120" w:name="page121"/>
    <w:bookmarkEnd w:id="120"/>
    <w:p>
      <w:pPr>
        <w:spacing w:after="0" w:line="97" w:lineRule="exact"/>
        <w:rPr>
          <w:sz w:val="20"/>
          <w:szCs w:val="20"/>
          <w:color w:val="auto"/>
        </w:rPr>
      </w:pPr>
    </w:p>
    <w:p>
      <w:pPr>
        <w:ind w:right="40"/>
        <w:spacing w:after="0" w:line="242" w:lineRule="auto"/>
        <w:rPr>
          <w:sz w:val="20"/>
          <w:szCs w:val="20"/>
          <w:color w:val="auto"/>
        </w:rPr>
      </w:pPr>
      <w:r>
        <w:rPr>
          <w:rFonts w:ascii="Arial" w:cs="Arial" w:eastAsia="Arial" w:hAnsi="Arial"/>
          <w:sz w:val="19"/>
          <w:szCs w:val="19"/>
          <w:color w:val="231F20"/>
        </w:rPr>
        <w:t>lease liabilities are included in Other liabilities. Lease classification is determined at commencement date. All of the Company's leases are accounted for as operating leases. ROU assets and lease liabilities are recognized at the lease commencement date based on the estimated present value of lease payments over the lease term. As the implicit rate of the leases is not determinable, the Company uses its incremental borrowing rate in determining the present value of the lease payments. ROU assets are adjusted for deferred rent and any lease incentives. Variable lease payments for maintenance, property taxes and other operating expenses are recognized as expense in the period in which the obligation for the payment is incurred. The Company elected not to separate lease and non-lease components, as well as the short-term lease recognition exemption and will not recognize ROU assets or lease liabilities for leases with a term less than 12 months. The operating lease expense associated with operating leases is recognized as a single lease cost on a straight-line basis over the lease term and is included in general and administrative expenses in the consolidated statements of operations and comprehensive loss.</w:t>
      </w:r>
    </w:p>
    <w:p>
      <w:pPr>
        <w:spacing w:after="0" w:line="3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Business Combinations</w:t>
      </w:r>
    </w:p>
    <w:p>
      <w:pPr>
        <w:spacing w:after="0" w:line="184" w:lineRule="exact"/>
        <w:rPr>
          <w:sz w:val="20"/>
          <w:szCs w:val="20"/>
          <w:color w:val="auto"/>
        </w:rPr>
      </w:pPr>
    </w:p>
    <w:p>
      <w:pPr>
        <w:ind w:right="20" w:firstLine="463"/>
        <w:spacing w:after="0" w:line="243" w:lineRule="auto"/>
        <w:rPr>
          <w:sz w:val="20"/>
          <w:szCs w:val="20"/>
          <w:color w:val="auto"/>
        </w:rPr>
      </w:pPr>
      <w:r>
        <w:rPr>
          <w:rFonts w:ascii="Arial" w:cs="Arial" w:eastAsia="Arial" w:hAnsi="Arial"/>
          <w:sz w:val="19"/>
          <w:szCs w:val="19"/>
          <w:color w:val="231F20"/>
        </w:rPr>
        <w:t>In determining whether an acquisition should be accounted for as a business combination or an asset acquisition, the Company first determines whether substantially all of the fair value of the gross assets acquired is concentrated in a single identifiable asset or a group of similar identifiable assets. If substantially all of the fair value of the gross assets acquired is concentrated in a single identifiable asset or group of similar identifiable assets, the set is not considered a business acquisition. If substantially all of the fair value of the gross assets acquired is not concentrated in a single identifiable asset or group of similar identifiable assets, the Company further evaluates whether the integrated set of assets and activities include, at a minimum, an input and a substantive process that together significantly contribute to the ability to create outputs. If so, the Company concludes that the integrated set of assets and activities is a business acquisition.</w:t>
      </w:r>
    </w:p>
    <w:p>
      <w:pPr>
        <w:spacing w:after="0" w:line="153" w:lineRule="exact"/>
        <w:rPr>
          <w:sz w:val="20"/>
          <w:szCs w:val="20"/>
          <w:color w:val="auto"/>
        </w:rPr>
      </w:pPr>
    </w:p>
    <w:p>
      <w:pPr>
        <w:ind w:right="160" w:firstLine="463"/>
        <w:spacing w:after="0" w:line="245" w:lineRule="auto"/>
        <w:rPr>
          <w:sz w:val="20"/>
          <w:szCs w:val="20"/>
          <w:color w:val="auto"/>
        </w:rPr>
      </w:pPr>
      <w:r>
        <w:rPr>
          <w:rFonts w:ascii="Arial" w:cs="Arial" w:eastAsia="Arial" w:hAnsi="Arial"/>
          <w:sz w:val="19"/>
          <w:szCs w:val="19"/>
          <w:color w:val="231F20"/>
        </w:rPr>
        <w:t>The Company accounts for business acquisitions using the acquisition method of accounting. In accordance with this method,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 Contract assets and contract liabilities acquired in a business combination are recognized and measured as if the acquirer entered into the original contract at the same time and same date as the acquiree in accordance with Topic 606.</w:t>
      </w:r>
    </w:p>
    <w:p>
      <w:pPr>
        <w:spacing w:after="0" w:line="148" w:lineRule="exact"/>
        <w:rPr>
          <w:sz w:val="20"/>
          <w:szCs w:val="20"/>
          <w:color w:val="auto"/>
        </w:rPr>
      </w:pPr>
    </w:p>
    <w:p>
      <w:pPr>
        <w:ind w:right="40" w:firstLine="463"/>
        <w:spacing w:after="0" w:line="243" w:lineRule="auto"/>
        <w:rPr>
          <w:sz w:val="20"/>
          <w:szCs w:val="20"/>
          <w:color w:val="auto"/>
        </w:rPr>
      </w:pPr>
      <w:r>
        <w:rPr>
          <w:rFonts w:ascii="Arial" w:cs="Arial" w:eastAsia="Arial" w:hAnsi="Arial"/>
          <w:sz w:val="19"/>
          <w:szCs w:val="19"/>
          <w:color w:val="231F20"/>
        </w:rPr>
        <w:t>Determining the fair value of assets acquired and liabilities assumed is judgmental in nature and can involve the use of significant estimates and assumptions. Fair value and useful life determinations are based on, among other factors, estimates of future expected cash flows, revenue growth rates, royalty rates, operating margins and appropriate discount rates used in computing present values. These estimates may materially impact the net income or loss in periods subsequent to acquisition through depreciation and amortization, and in certain instances through impairment charges, if assets become impaired in the future. Additionally, actual results may vary from these estimates that may result in adjustments to goodwill and acquisition date fair values of assets and liabilities during a measurement period or upon a final determination of asset and liability fair values, whichever comes first. Adjustments to fair values of assets and liabilities made after the end of the measurement period are recorded within operating results.</w:t>
      </w:r>
    </w:p>
    <w:p>
      <w:pPr>
        <w:spacing w:after="0" w:line="153" w:lineRule="exact"/>
        <w:rPr>
          <w:sz w:val="20"/>
          <w:szCs w:val="20"/>
          <w:color w:val="auto"/>
        </w:rPr>
      </w:pPr>
    </w:p>
    <w:p>
      <w:pPr>
        <w:ind w:firstLine="463"/>
        <w:spacing w:after="0" w:line="251" w:lineRule="auto"/>
        <w:rPr>
          <w:sz w:val="20"/>
          <w:szCs w:val="20"/>
          <w:color w:val="auto"/>
        </w:rPr>
      </w:pPr>
      <w:r>
        <w:rPr>
          <w:rFonts w:ascii="Arial" w:cs="Arial" w:eastAsia="Arial" w:hAnsi="Arial"/>
          <w:sz w:val="19"/>
          <w:szCs w:val="19"/>
          <w:color w:val="231F20"/>
        </w:rPr>
        <w:t>Contingent consideration in business combinations is recognized at fair value on the acquisition date. Subsequent to the acquisition date, at each reporting date, the contingent consideration is remeasured and changes in the fair value resulting from changes in the underlying inputs are recognized in general and administrative expense in the consolidated statements of operations and comprehensive loss until the contingent consideration is settled.</w:t>
      </w:r>
    </w:p>
    <w:p>
      <w:pPr>
        <w:spacing w:after="0" w:line="144" w:lineRule="exact"/>
        <w:rPr>
          <w:sz w:val="20"/>
          <w:szCs w:val="20"/>
          <w:color w:val="auto"/>
        </w:rPr>
      </w:pPr>
    </w:p>
    <w:p>
      <w:pPr>
        <w:ind w:right="120" w:firstLine="463"/>
        <w:spacing w:after="0" w:line="248" w:lineRule="auto"/>
        <w:rPr>
          <w:sz w:val="20"/>
          <w:szCs w:val="20"/>
          <w:color w:val="auto"/>
        </w:rPr>
      </w:pPr>
      <w:r>
        <w:rPr>
          <w:rFonts w:ascii="Arial" w:cs="Arial" w:eastAsia="Arial" w:hAnsi="Arial"/>
          <w:sz w:val="19"/>
          <w:szCs w:val="19"/>
          <w:color w:val="231F20"/>
        </w:rPr>
        <w:t xml:space="preserve">The fair value of the contingent consideration in the Company's consolidated balance sheets was determined using either an option pricing model that reflects the Company’s expectations about the probability of payment based on facts and circumstances that existed at the acquisition closing date or a scenario-based method formed on the likelihoods of achieving each of the milestones. See </w:t>
      </w:r>
      <w:r>
        <w:rPr>
          <w:rFonts w:ascii="Arial" w:cs="Arial" w:eastAsia="Arial" w:hAnsi="Arial"/>
          <w:sz w:val="19"/>
          <w:szCs w:val="19"/>
          <w:i w:val="1"/>
          <w:iCs w:val="1"/>
          <w:color w:val="231F20"/>
        </w:rPr>
        <w:t>Note 5 - Fair Value Measurements</w:t>
      </w:r>
      <w:r>
        <w:rPr>
          <w:rFonts w:ascii="Arial" w:cs="Arial" w:eastAsia="Arial" w:hAnsi="Arial"/>
          <w:sz w:val="19"/>
          <w:szCs w:val="19"/>
          <w:color w:val="231F20"/>
        </w:rPr>
        <w:t xml:space="preserve"> for inputs used to fair value contingent consideration.</w:t>
      </w:r>
    </w:p>
    <w:p>
      <w:pPr>
        <w:spacing w:after="0" w:line="146" w:lineRule="exact"/>
        <w:rPr>
          <w:sz w:val="20"/>
          <w:szCs w:val="20"/>
          <w:color w:val="auto"/>
        </w:rPr>
      </w:pPr>
    </w:p>
    <w:p>
      <w:pPr>
        <w:ind w:right="560" w:firstLine="463"/>
        <w:spacing w:after="0" w:line="278" w:lineRule="auto"/>
        <w:rPr>
          <w:sz w:val="20"/>
          <w:szCs w:val="20"/>
          <w:color w:val="auto"/>
        </w:rPr>
      </w:pPr>
      <w:r>
        <w:rPr>
          <w:rFonts w:ascii="Arial" w:cs="Arial" w:eastAsia="Arial" w:hAnsi="Arial"/>
          <w:sz w:val="19"/>
          <w:szCs w:val="19"/>
          <w:color w:val="231F20"/>
        </w:rPr>
        <w:t>Transaction costs related to business combinations are expensed as incurred and are included in general and administrative expense in consolidated statements of operations and comprehensive loss.</w:t>
      </w:r>
    </w:p>
    <w:p>
      <w:pPr>
        <w:sectPr>
          <w:pgSz w:w="12240" w:h="15840" w:orient="portrait"/>
          <w:cols w:equalWidth="0" w:num="1">
            <w:col w:w="10180"/>
          </w:cols>
          <w:pgMar w:left="1020" w:top="1440" w:right="104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120</w:t>
      </w:r>
    </w:p>
    <w:p>
      <w:pPr>
        <w:sectPr>
          <w:pgSz w:w="12240" w:h="15840" w:orient="portrait"/>
          <w:cols w:equalWidth="0" w:num="1">
            <w:col w:w="10180"/>
          </w:cols>
          <w:pgMar w:left="1020" w:top="1440" w:right="1040" w:bottom="572" w:gutter="0" w:footer="0" w:header="0"/>
          <w:type w:val="continuous"/>
        </w:sectPr>
      </w:pPr>
    </w:p>
    <w:bookmarkStart w:id="121" w:name="page122"/>
    <w:bookmarkEnd w:id="121"/>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Fair Value Measurements</w:t>
      </w:r>
    </w:p>
    <w:p>
      <w:pPr>
        <w:spacing w:after="0" w:line="184" w:lineRule="exact"/>
        <w:rPr>
          <w:sz w:val="20"/>
          <w:szCs w:val="20"/>
          <w:color w:val="auto"/>
        </w:rPr>
      </w:pPr>
    </w:p>
    <w:p>
      <w:pPr>
        <w:ind w:right="20" w:firstLine="463"/>
        <w:spacing w:after="0" w:line="262" w:lineRule="auto"/>
        <w:rPr>
          <w:sz w:val="20"/>
          <w:szCs w:val="20"/>
          <w:color w:val="auto"/>
        </w:rPr>
      </w:pPr>
      <w:r>
        <w:rPr>
          <w:rFonts w:ascii="Arial" w:cs="Arial" w:eastAsia="Arial" w:hAnsi="Arial"/>
          <w:sz w:val="18"/>
          <w:szCs w:val="18"/>
          <w:color w:val="231F20"/>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9"/>
          <w:szCs w:val="19"/>
          <w:color w:val="231F20"/>
        </w:rPr>
        <w:t>Level 1 - Quoted prices in active markets for identical assets or liabilities.</w:t>
      </w:r>
    </w:p>
    <w:p>
      <w:pPr>
        <w:spacing w:after="0" w:line="188" w:lineRule="exact"/>
        <w:rPr>
          <w:sz w:val="20"/>
          <w:szCs w:val="20"/>
          <w:color w:val="auto"/>
        </w:rPr>
      </w:pPr>
    </w:p>
    <w:p>
      <w:pPr>
        <w:jc w:val="both"/>
        <w:ind w:left="580" w:right="140"/>
        <w:spacing w:after="0" w:line="258" w:lineRule="auto"/>
        <w:rPr>
          <w:sz w:val="20"/>
          <w:szCs w:val="20"/>
          <w:color w:val="auto"/>
        </w:rPr>
      </w:pPr>
      <w:r>
        <w:rPr>
          <w:rFonts w:ascii="Arial" w:cs="Arial" w:eastAsia="Arial" w:hAnsi="Arial"/>
          <w:sz w:val="19"/>
          <w:szCs w:val="19"/>
          <w:color w:val="231F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36" w:lineRule="exact"/>
        <w:rPr>
          <w:sz w:val="20"/>
          <w:szCs w:val="20"/>
          <w:color w:val="auto"/>
        </w:rPr>
      </w:pPr>
    </w:p>
    <w:p>
      <w:pPr>
        <w:ind w:left="580" w:right="120"/>
        <w:spacing w:after="0" w:line="258" w:lineRule="auto"/>
        <w:rPr>
          <w:sz w:val="20"/>
          <w:szCs w:val="20"/>
          <w:color w:val="auto"/>
        </w:rPr>
      </w:pPr>
      <w:r>
        <w:rPr>
          <w:rFonts w:ascii="Arial" w:cs="Arial" w:eastAsia="Arial" w:hAnsi="Arial"/>
          <w:sz w:val="19"/>
          <w:szCs w:val="19"/>
          <w:color w:val="231F20"/>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36" w:lineRule="exact"/>
        <w:rPr>
          <w:sz w:val="20"/>
          <w:szCs w:val="20"/>
          <w:color w:val="auto"/>
        </w:rPr>
      </w:pPr>
    </w:p>
    <w:p>
      <w:pPr>
        <w:ind w:right="180" w:firstLine="463"/>
        <w:spacing w:after="0" w:line="242" w:lineRule="auto"/>
        <w:rPr>
          <w:sz w:val="20"/>
          <w:szCs w:val="20"/>
          <w:color w:val="auto"/>
        </w:rPr>
      </w:pPr>
      <w:r>
        <w:rPr>
          <w:rFonts w:ascii="Arial" w:cs="Arial" w:eastAsia="Arial" w:hAnsi="Arial"/>
          <w:sz w:val="19"/>
          <w:szCs w:val="19"/>
          <w:color w:val="231F20"/>
        </w:rPr>
        <w:t>The Company’s cash equivalents are carried at fair value (Level 1) as determined according to the fair value hierarchy described above. The Company’s cash equivalents include money market funds, which are measured at fair value using the net asset value (NAV) per share practical expedient. The money market funds, which are AAA-rated are comprised of liquid, high-quality debt securities issued by the U.S. government. Shares in money market funds are purchased and redeemed at the NAV at the time of the purchase or sale, which may be purchased or redeemed on demand, as may be required by the Company. The Company's investments in available-for-sale debt securities are carried at fair value, determined using Level 2 inputs in the fair value hierarchy as quoted prices are available to support the valuation. The carrying values of accounts receivable, funds receivable from 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Foreign Currency Translation and Transactions</w:t>
      </w:r>
    </w:p>
    <w:p>
      <w:pPr>
        <w:spacing w:after="0" w:line="184"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The Company’s reporting currency is the U.S. Dollar. The financial statements of the Company’s foreign subsidiaries are translated from local currency into U.S. dollars using the exchange rate at the balance sheet date for assets and liabilities, and the average exchange rate in effect during the period for revenue and expenses. The functional currency of the Company and its subsidiaries, with the exception of its U.K. and Australian subsidiaries, is the U.S. Dollar. The functional currency for the U.K. and the Australian subsidiaries is considered to be the local currency and, accordingly, translation adjustments for these entities are included as a component of accumulated other comprehensive (loss) income in the Company’s consolidated balance sheets. Gains and losses from the remeasurement of foreign currency transactions into the functional currency are recognized as in the consolidated statements of operations and comprehensive loss.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Derivative Instruments and Hedging</w:t>
      </w:r>
    </w:p>
    <w:p>
      <w:pPr>
        <w:spacing w:after="0" w:line="184" w:lineRule="exact"/>
        <w:rPr>
          <w:sz w:val="20"/>
          <w:szCs w:val="20"/>
          <w:color w:val="auto"/>
        </w:rPr>
      </w:pPr>
    </w:p>
    <w:p>
      <w:pPr>
        <w:ind w:right="120" w:firstLine="463"/>
        <w:spacing w:after="0" w:line="251" w:lineRule="auto"/>
        <w:rPr>
          <w:sz w:val="20"/>
          <w:szCs w:val="20"/>
          <w:color w:val="auto"/>
        </w:rPr>
      </w:pPr>
      <w:r>
        <w:rPr>
          <w:rFonts w:ascii="Arial" w:cs="Arial" w:eastAsia="Arial" w:hAnsi="Arial"/>
          <w:sz w:val="19"/>
          <w:szCs w:val="19"/>
          <w:color w:val="231F20"/>
        </w:rPr>
        <w:t>The Company generates revenues and incurs expenses by processing payments in foreign currencies. Changes in the value of foreign currencies could impact the Company’s consolidated statements of operations and comprehensive loss. To mitigate the volatility related to fluctuations in the foreign exchange rates, the Company enters into non-deliverable forward foreign currency contracts.</w:t>
      </w:r>
    </w:p>
    <w:p>
      <w:pPr>
        <w:spacing w:after="0" w:line="144" w:lineRule="exact"/>
        <w:rPr>
          <w:sz w:val="20"/>
          <w:szCs w:val="20"/>
          <w:color w:val="auto"/>
        </w:rPr>
      </w:pPr>
    </w:p>
    <w:p>
      <w:pPr>
        <w:ind w:right="300" w:firstLine="515"/>
        <w:spacing w:after="0" w:line="270" w:lineRule="auto"/>
        <w:rPr>
          <w:sz w:val="20"/>
          <w:szCs w:val="20"/>
          <w:color w:val="auto"/>
        </w:rPr>
      </w:pPr>
      <w:r>
        <w:rPr>
          <w:rFonts w:ascii="Arial" w:cs="Arial" w:eastAsia="Arial" w:hAnsi="Arial"/>
          <w:sz w:val="18"/>
          <w:szCs w:val="18"/>
          <w:color w:val="231F20"/>
        </w:rPr>
        <w:t>The Company’s foreign currency forward contracts economically hedge certain risk but are not designated as hedges for financial reporting purposes. All changes in the fair value of these derivative instruments are recorded as foreign currency transaction gains or losses and are included as a component of general and administrative in the consolidated statements of operations and comprehensive loss. The Company records all derivative instruments in the</w:t>
      </w:r>
    </w:p>
    <w:p>
      <w:pPr>
        <w:sectPr>
          <w:pgSz w:w="12240" w:h="15840" w:orient="portrait"/>
          <w:cols w:equalWidth="0" w:num="1">
            <w:col w:w="10180"/>
          </w:cols>
          <w:pgMar w:left="1020" w:top="1440" w:right="104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121</w:t>
      </w:r>
    </w:p>
    <w:p>
      <w:pPr>
        <w:sectPr>
          <w:pgSz w:w="12240" w:h="15840" w:orient="portrait"/>
          <w:cols w:equalWidth="0" w:num="1">
            <w:col w:w="10180"/>
          </w:cols>
          <w:pgMar w:left="1020" w:top="1440" w:right="1040" w:bottom="572" w:gutter="0" w:footer="0" w:header="0"/>
          <w:type w:val="continuous"/>
        </w:sectPr>
      </w:pPr>
    </w:p>
    <w:bookmarkStart w:id="122" w:name="page123"/>
    <w:bookmarkEnd w:id="122"/>
    <w:p>
      <w:pPr>
        <w:spacing w:after="0" w:line="97" w:lineRule="exact"/>
        <w:rPr>
          <w:sz w:val="20"/>
          <w:szCs w:val="20"/>
          <w:color w:val="auto"/>
        </w:rPr>
      </w:pPr>
    </w:p>
    <w:p>
      <w:pPr>
        <w:ind w:right="200"/>
        <w:spacing w:after="0" w:line="278" w:lineRule="auto"/>
        <w:rPr>
          <w:sz w:val="20"/>
          <w:szCs w:val="20"/>
          <w:color w:val="auto"/>
        </w:rPr>
      </w:pPr>
      <w:r>
        <w:rPr>
          <w:rFonts w:ascii="Arial" w:cs="Arial" w:eastAsia="Arial" w:hAnsi="Arial"/>
          <w:sz w:val="19"/>
          <w:szCs w:val="19"/>
          <w:color w:val="231F20"/>
        </w:rPr>
        <w:t>consolidated balance sheet at their fair values in prepaid expenses and other current assets and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Revenue Recognition</w:t>
      </w:r>
    </w:p>
    <w:p>
      <w:pPr>
        <w:spacing w:after="0" w:line="184" w:lineRule="exact"/>
        <w:rPr>
          <w:sz w:val="20"/>
          <w:szCs w:val="20"/>
          <w:color w:val="auto"/>
        </w:rPr>
      </w:pPr>
    </w:p>
    <w:p>
      <w:pPr>
        <w:ind w:right="100" w:firstLine="463"/>
        <w:spacing w:after="0" w:line="258" w:lineRule="auto"/>
        <w:rPr>
          <w:sz w:val="20"/>
          <w:szCs w:val="20"/>
          <w:color w:val="auto"/>
        </w:rPr>
      </w:pPr>
      <w:r>
        <w:rPr>
          <w:rFonts w:ascii="Arial" w:cs="Arial" w:eastAsia="Arial" w:hAnsi="Arial"/>
          <w:sz w:val="19"/>
          <w:szCs w:val="19"/>
          <w:color w:val="231F20"/>
        </w:rPr>
        <w:t>Revenue is recognized when a customer obtains control of the promised goods or services, in an amount that reflects the consideration which the entity expects to receive in exchange for those goods or services. In order to achieve this core principle, the Company applies the following five steps:</w:t>
      </w:r>
    </w:p>
    <w:p>
      <w:pPr>
        <w:spacing w:after="0" w:line="136" w:lineRule="exact"/>
        <w:rPr>
          <w:sz w:val="20"/>
          <w:szCs w:val="20"/>
          <w:color w:val="auto"/>
        </w:rPr>
      </w:pPr>
    </w:p>
    <w:p>
      <w:pPr>
        <w:ind w:left="1840" w:hanging="743"/>
        <w:spacing w:after="0"/>
        <w:tabs>
          <w:tab w:leader="none" w:pos="1840" w:val="left"/>
        </w:tabs>
        <w:numPr>
          <w:ilvl w:val="0"/>
          <w:numId w:val="51"/>
        </w:numPr>
        <w:rPr>
          <w:rFonts w:ascii="Arial" w:cs="Arial" w:eastAsia="Arial" w:hAnsi="Arial"/>
          <w:sz w:val="19"/>
          <w:szCs w:val="19"/>
          <w:color w:val="231F20"/>
        </w:rPr>
      </w:pPr>
      <w:r>
        <w:rPr>
          <w:rFonts w:ascii="Arial" w:cs="Arial" w:eastAsia="Arial" w:hAnsi="Arial"/>
          <w:sz w:val="19"/>
          <w:szCs w:val="19"/>
          <w:color w:val="231F20"/>
        </w:rPr>
        <w:t>Identify the contract(s) with a customer.</w:t>
      </w:r>
    </w:p>
    <w:p>
      <w:pPr>
        <w:spacing w:after="0" w:line="187" w:lineRule="exact"/>
        <w:rPr>
          <w:rFonts w:ascii="Arial" w:cs="Arial" w:eastAsia="Arial" w:hAnsi="Arial"/>
          <w:sz w:val="19"/>
          <w:szCs w:val="19"/>
          <w:color w:val="231F20"/>
        </w:rPr>
      </w:pPr>
    </w:p>
    <w:p>
      <w:pPr>
        <w:ind w:left="1840" w:hanging="785"/>
        <w:spacing w:after="0"/>
        <w:tabs>
          <w:tab w:leader="none" w:pos="1840" w:val="left"/>
        </w:tabs>
        <w:numPr>
          <w:ilvl w:val="0"/>
          <w:numId w:val="51"/>
        </w:numPr>
        <w:rPr>
          <w:rFonts w:ascii="Arial" w:cs="Arial" w:eastAsia="Arial" w:hAnsi="Arial"/>
          <w:sz w:val="19"/>
          <w:szCs w:val="19"/>
          <w:color w:val="231F20"/>
        </w:rPr>
      </w:pPr>
      <w:r>
        <w:rPr>
          <w:rFonts w:ascii="Arial" w:cs="Arial" w:eastAsia="Arial" w:hAnsi="Arial"/>
          <w:sz w:val="19"/>
          <w:szCs w:val="19"/>
          <w:color w:val="231F20"/>
        </w:rPr>
        <w:t>Identify the performance obligations in the contract.</w:t>
      </w:r>
    </w:p>
    <w:p>
      <w:pPr>
        <w:spacing w:after="0" w:line="187" w:lineRule="exact"/>
        <w:rPr>
          <w:rFonts w:ascii="Arial" w:cs="Arial" w:eastAsia="Arial" w:hAnsi="Arial"/>
          <w:sz w:val="19"/>
          <w:szCs w:val="19"/>
          <w:color w:val="231F20"/>
        </w:rPr>
      </w:pPr>
    </w:p>
    <w:p>
      <w:pPr>
        <w:ind w:left="1840" w:hanging="827"/>
        <w:spacing w:after="0"/>
        <w:tabs>
          <w:tab w:leader="none" w:pos="1840" w:val="left"/>
        </w:tabs>
        <w:numPr>
          <w:ilvl w:val="0"/>
          <w:numId w:val="51"/>
        </w:numPr>
        <w:rPr>
          <w:rFonts w:ascii="Arial" w:cs="Arial" w:eastAsia="Arial" w:hAnsi="Arial"/>
          <w:sz w:val="19"/>
          <w:szCs w:val="19"/>
          <w:color w:val="231F20"/>
        </w:rPr>
      </w:pPr>
      <w:r>
        <w:rPr>
          <w:rFonts w:ascii="Arial" w:cs="Arial" w:eastAsia="Arial" w:hAnsi="Arial"/>
          <w:sz w:val="19"/>
          <w:szCs w:val="19"/>
          <w:color w:val="231F20"/>
        </w:rPr>
        <w:t>Determine the transaction price.</w:t>
      </w:r>
    </w:p>
    <w:p>
      <w:pPr>
        <w:spacing w:after="0" w:line="187" w:lineRule="exact"/>
        <w:rPr>
          <w:rFonts w:ascii="Arial" w:cs="Arial" w:eastAsia="Arial" w:hAnsi="Arial"/>
          <w:sz w:val="19"/>
          <w:szCs w:val="19"/>
          <w:color w:val="231F20"/>
        </w:rPr>
      </w:pPr>
    </w:p>
    <w:p>
      <w:pPr>
        <w:ind w:left="1840" w:hanging="838"/>
        <w:spacing w:after="0"/>
        <w:tabs>
          <w:tab w:leader="none" w:pos="1840" w:val="left"/>
        </w:tabs>
        <w:numPr>
          <w:ilvl w:val="0"/>
          <w:numId w:val="51"/>
        </w:numPr>
        <w:rPr>
          <w:rFonts w:ascii="Arial" w:cs="Arial" w:eastAsia="Arial" w:hAnsi="Arial"/>
          <w:sz w:val="19"/>
          <w:szCs w:val="19"/>
          <w:color w:val="231F20"/>
        </w:rPr>
      </w:pPr>
      <w:r>
        <w:rPr>
          <w:rFonts w:ascii="Arial" w:cs="Arial" w:eastAsia="Arial" w:hAnsi="Arial"/>
          <w:sz w:val="19"/>
          <w:szCs w:val="19"/>
          <w:color w:val="231F20"/>
        </w:rPr>
        <w:t>Allocate the transaction price to the performance obligations in the contract.</w:t>
      </w:r>
    </w:p>
    <w:p>
      <w:pPr>
        <w:spacing w:after="0" w:line="187" w:lineRule="exact"/>
        <w:rPr>
          <w:rFonts w:ascii="Arial" w:cs="Arial" w:eastAsia="Arial" w:hAnsi="Arial"/>
          <w:sz w:val="19"/>
          <w:szCs w:val="19"/>
          <w:color w:val="231F20"/>
        </w:rPr>
      </w:pPr>
    </w:p>
    <w:p>
      <w:pPr>
        <w:ind w:left="1840" w:hanging="796"/>
        <w:spacing w:after="0"/>
        <w:tabs>
          <w:tab w:leader="none" w:pos="1840" w:val="left"/>
        </w:tabs>
        <w:numPr>
          <w:ilvl w:val="0"/>
          <w:numId w:val="51"/>
        </w:numPr>
        <w:rPr>
          <w:rFonts w:ascii="Arial" w:cs="Arial" w:eastAsia="Arial" w:hAnsi="Arial"/>
          <w:sz w:val="19"/>
          <w:szCs w:val="19"/>
          <w:color w:val="231F20"/>
        </w:rPr>
      </w:pPr>
      <w:r>
        <w:rPr>
          <w:rFonts w:ascii="Arial" w:cs="Arial" w:eastAsia="Arial" w:hAnsi="Arial"/>
          <w:sz w:val="19"/>
          <w:szCs w:val="19"/>
          <w:color w:val="231F20"/>
        </w:rPr>
        <w:t>Recognize revenue as the entity satisfies a performance obligation.</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231F20"/>
        </w:rPr>
        <w:t>The Company derives revenue primarily from transactions and platform and other revenues.</w:t>
      </w:r>
    </w:p>
    <w:p>
      <w:pPr>
        <w:spacing w:after="0" w:line="188" w:lineRule="exact"/>
        <w:rPr>
          <w:sz w:val="20"/>
          <w:szCs w:val="20"/>
          <w:color w:val="auto"/>
        </w:rPr>
      </w:pPr>
    </w:p>
    <w:p>
      <w:pPr>
        <w:ind w:left="580" w:firstLine="463"/>
        <w:spacing w:after="0" w:line="242" w:lineRule="auto"/>
        <w:rPr>
          <w:sz w:val="20"/>
          <w:szCs w:val="20"/>
          <w:color w:val="auto"/>
        </w:rPr>
      </w:pPr>
      <w:r>
        <w:rPr>
          <w:rFonts w:ascii="Arial" w:cs="Arial" w:eastAsia="Arial" w:hAnsi="Arial"/>
          <w:sz w:val="19"/>
          <w:szCs w:val="19"/>
          <w:i w:val="1"/>
          <w:iCs w:val="1"/>
          <w:color w:val="231F20"/>
        </w:rPr>
        <w:t xml:space="preserve">Transaction Revenue </w:t>
      </w:r>
      <w:r>
        <w:rPr>
          <w:rFonts w:ascii="Arial" w:cs="Arial" w:eastAsia="Arial" w:hAnsi="Arial"/>
          <w:sz w:val="19"/>
          <w:szCs w:val="19"/>
          <w:color w:val="231F20"/>
        </w:rPr>
        <w:t>- relates to fees charged for payment processing services provided to educational</w:t>
      </w:r>
      <w:r>
        <w:rPr>
          <w:rFonts w:ascii="Arial" w:cs="Arial" w:eastAsia="Arial" w:hAnsi="Arial"/>
          <w:sz w:val="19"/>
          <w:szCs w:val="19"/>
          <w:i w:val="1"/>
          <w:iCs w:val="1"/>
          <w:color w:val="231F20"/>
        </w:rPr>
        <w:t xml:space="preserve"> </w:t>
      </w:r>
      <w:r>
        <w:rPr>
          <w:rFonts w:ascii="Arial" w:cs="Arial" w:eastAsia="Arial" w:hAnsi="Arial"/>
          <w:sz w:val="19"/>
          <w:szCs w:val="19"/>
          <w:color w:val="231F20"/>
        </w:rPr>
        <w:t>institutions, healthcare entities and other commercial entities (each a client), which is comprised of processing domestic and cross-border transactions. The Company’s services relate to facilitating payments from individuals, such as students and patients, and organizations (client’s customer) to clients. Fees charged for payment processing services consist of a rate applied to the monetary value of the payment and can vary based on the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The Company does not recognize the underlying amount of the transaction being settled between the client and the client’s customer as revenue in the consolidated statements of operations and comprehensive loss, as the Company is not the responsible party for fulfilling the obligation between the client and the client’s customer. Therefore, revenue is only recognized for the fee to which the Company is entitled for processing the payment.</w:t>
      </w:r>
    </w:p>
    <w:p>
      <w:pPr>
        <w:spacing w:after="0" w:line="152" w:lineRule="exact"/>
        <w:rPr>
          <w:sz w:val="20"/>
          <w:szCs w:val="20"/>
          <w:color w:val="auto"/>
        </w:rPr>
      </w:pPr>
    </w:p>
    <w:p>
      <w:pPr>
        <w:ind w:left="580" w:right="280" w:firstLine="463"/>
        <w:spacing w:after="0" w:line="245" w:lineRule="auto"/>
        <w:rPr>
          <w:sz w:val="20"/>
          <w:szCs w:val="20"/>
          <w:color w:val="auto"/>
        </w:rPr>
      </w:pPr>
      <w:r>
        <w:rPr>
          <w:rFonts w:ascii="Arial" w:cs="Arial" w:eastAsia="Arial" w:hAnsi="Arial"/>
          <w:sz w:val="19"/>
          <w:szCs w:val="19"/>
          <w:color w:val="231F20"/>
        </w:rPr>
        <w:t>The money can be wired directly from the client’s customer to the Company; however, in certain situations when the client’s customer resides in a country where the Company does not have an active bank account, the Company uses third-party service providers (Partners) to collect wired funds before remitting the funds to the Company. On a recurring basis, the Partner invoices the Company a fee for each payment processed and deposited into the Company’s bank account. The fee paid to Partners as well as any foreign exchange banking fees paid by the Company are reflected in the payment processing services costs line in the consolidated statements of operations and comprehensive loss.</w:t>
      </w:r>
    </w:p>
    <w:p>
      <w:pPr>
        <w:spacing w:after="0" w:line="148" w:lineRule="exact"/>
        <w:rPr>
          <w:sz w:val="20"/>
          <w:szCs w:val="20"/>
          <w:color w:val="auto"/>
        </w:rPr>
      </w:pPr>
    </w:p>
    <w:p>
      <w:pPr>
        <w:ind w:left="580" w:firstLine="463"/>
        <w:spacing w:after="0" w:line="245" w:lineRule="auto"/>
        <w:rPr>
          <w:sz w:val="20"/>
          <w:szCs w:val="20"/>
          <w:color w:val="auto"/>
        </w:rPr>
      </w:pPr>
      <w:r>
        <w:rPr>
          <w:rFonts w:ascii="Arial" w:cs="Arial" w:eastAsia="Arial" w:hAnsi="Arial"/>
          <w:sz w:val="19"/>
          <w:szCs w:val="19"/>
          <w:color w:val="231F20"/>
        </w:rPr>
        <w:t>Once a Partner receives funds from a client’s customer, the Company has the right to receive those funds from the Partner. The funds are not remitted to the Company immediately. When the Partner receives funds from the client’s customer, the Company records a receivable, which is included in funds receivables from payment partners, and a corresponding liability, included in funds payable to clients, in the consolidated balance sheets. The amounts are generally collected or paid within one to 30 days. Partners report to the Company the funds received from the client’s customer on a daily basis. Revenue in transactions where Partners are involved is not recognized until the payment is remitted to clients.</w:t>
      </w:r>
    </w:p>
    <w:p>
      <w:pPr>
        <w:spacing w:after="0" w:line="148" w:lineRule="exact"/>
        <w:rPr>
          <w:sz w:val="20"/>
          <w:szCs w:val="20"/>
          <w:color w:val="auto"/>
        </w:rPr>
      </w:pPr>
    </w:p>
    <w:p>
      <w:pPr>
        <w:ind w:left="580" w:right="160" w:firstLine="463"/>
        <w:spacing w:after="0" w:line="262" w:lineRule="auto"/>
        <w:rPr>
          <w:sz w:val="20"/>
          <w:szCs w:val="20"/>
          <w:color w:val="auto"/>
        </w:rPr>
      </w:pPr>
      <w:r>
        <w:rPr>
          <w:rFonts w:ascii="Arial" w:cs="Arial" w:eastAsia="Arial" w:hAnsi="Arial"/>
          <w:sz w:val="18"/>
          <w:szCs w:val="18"/>
          <w:color w:val="231F20"/>
        </w:rPr>
        <w:t>The Company also earns revenue from fees charged to credit card service providers for marketing arrangements in which the Company performs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 Marketing services provided leverages the Company’s existing network and transaction processing platform; therefore, these arrangements are considered part of the Company’s ordinary business activities.</w:t>
      </w:r>
    </w:p>
    <w:p>
      <w:pPr>
        <w:spacing w:after="0" w:line="136" w:lineRule="exact"/>
        <w:rPr>
          <w:sz w:val="20"/>
          <w:szCs w:val="20"/>
          <w:color w:val="auto"/>
        </w:rPr>
      </w:pPr>
    </w:p>
    <w:p>
      <w:pPr>
        <w:ind w:left="580" w:right="240" w:firstLine="463"/>
        <w:spacing w:after="0" w:line="279" w:lineRule="auto"/>
        <w:rPr>
          <w:sz w:val="20"/>
          <w:szCs w:val="20"/>
          <w:color w:val="auto"/>
        </w:rPr>
      </w:pPr>
      <w:r>
        <w:rPr>
          <w:rFonts w:ascii="Arial" w:cs="Arial" w:eastAsia="Arial" w:hAnsi="Arial"/>
          <w:sz w:val="18"/>
          <w:szCs w:val="18"/>
          <w:color w:val="231F20"/>
        </w:rPr>
        <w:t>In certain circumstances, the Company provides marketing services to financial institutions that are considered both a client (for marketing services) and a service provider (for processing payments). Each one of these services are negotiated separately, each agreement is for distinct service and they are priced at fair value;</w:t>
      </w:r>
    </w:p>
    <w:p>
      <w:pPr>
        <w:sectPr>
          <w:pgSz w:w="12240" w:h="15840" w:orient="portrait"/>
          <w:cols w:equalWidth="0" w:num="1">
            <w:col w:w="10180"/>
          </w:cols>
          <w:pgMar w:left="1020" w:top="1440" w:right="1040" w:bottom="572"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122</w:t>
      </w:r>
    </w:p>
    <w:p>
      <w:pPr>
        <w:sectPr>
          <w:pgSz w:w="12240" w:h="15840" w:orient="portrait"/>
          <w:cols w:equalWidth="0" w:num="1">
            <w:col w:w="10180"/>
          </w:cols>
          <w:pgMar w:left="1020" w:top="1440" w:right="1040" w:bottom="572" w:gutter="0" w:footer="0" w:header="0"/>
          <w:type w:val="continuous"/>
        </w:sectPr>
      </w:pPr>
    </w:p>
    <w:bookmarkStart w:id="123" w:name="page124"/>
    <w:bookmarkEnd w:id="123"/>
    <w:p>
      <w:pPr>
        <w:spacing w:after="0" w:line="97" w:lineRule="exact"/>
        <w:rPr>
          <w:sz w:val="20"/>
          <w:szCs w:val="20"/>
          <w:color w:val="auto"/>
        </w:rPr>
      </w:pPr>
    </w:p>
    <w:p>
      <w:pPr>
        <w:ind w:left="580" w:right="580"/>
        <w:spacing w:after="0" w:line="278" w:lineRule="auto"/>
        <w:rPr>
          <w:sz w:val="20"/>
          <w:szCs w:val="20"/>
          <w:color w:val="auto"/>
        </w:rPr>
      </w:pPr>
      <w:r>
        <w:rPr>
          <w:rFonts w:ascii="Arial" w:cs="Arial" w:eastAsia="Arial" w:hAnsi="Arial"/>
          <w:sz w:val="19"/>
          <w:szCs w:val="19"/>
          <w:color w:val="231F20"/>
        </w:rPr>
        <w:t>therefore, fees included in the marketing arrangements are accounted for as revenue, while fees paid by the Company are accounted for as payment processing services cost.</w:t>
      </w:r>
    </w:p>
    <w:p>
      <w:pPr>
        <w:spacing w:after="0" w:line="117" w:lineRule="exact"/>
        <w:rPr>
          <w:sz w:val="20"/>
          <w:szCs w:val="20"/>
          <w:color w:val="auto"/>
        </w:rPr>
      </w:pPr>
    </w:p>
    <w:p>
      <w:pPr>
        <w:ind w:left="580" w:right="80" w:firstLine="463"/>
        <w:spacing w:after="0" w:line="261" w:lineRule="auto"/>
        <w:rPr>
          <w:sz w:val="20"/>
          <w:szCs w:val="20"/>
          <w:color w:val="auto"/>
        </w:rPr>
      </w:pPr>
      <w:r>
        <w:rPr>
          <w:rFonts w:ascii="Arial" w:cs="Arial" w:eastAsia="Arial" w:hAnsi="Arial"/>
          <w:sz w:val="18"/>
          <w:szCs w:val="18"/>
          <w:i w:val="1"/>
          <w:iCs w:val="1"/>
          <w:color w:val="231F20"/>
        </w:rPr>
        <w:t xml:space="preserve">Platform and other revenues </w:t>
      </w:r>
      <w:r>
        <w:rPr>
          <w:rFonts w:ascii="Arial" w:cs="Arial" w:eastAsia="Arial" w:hAnsi="Arial"/>
          <w:sz w:val="18"/>
          <w:szCs w:val="18"/>
          <w:color w:val="231F20"/>
        </w:rPr>
        <w:t>- primarily includes (i) fees earned for the utilization of the Company's platforms</w:t>
      </w:r>
      <w:r>
        <w:rPr>
          <w:rFonts w:ascii="Arial" w:cs="Arial" w:eastAsia="Arial" w:hAnsi="Arial"/>
          <w:sz w:val="18"/>
          <w:szCs w:val="18"/>
          <w:i w:val="1"/>
          <w:iCs w:val="1"/>
          <w:color w:val="231F20"/>
        </w:rPr>
        <w:t xml:space="preserve"> </w:t>
      </w:r>
      <w:r>
        <w:rPr>
          <w:rFonts w:ascii="Arial" w:cs="Arial" w:eastAsia="Arial" w:hAnsi="Arial"/>
          <w:sz w:val="18"/>
          <w:szCs w:val="18"/>
          <w:color w:val="231F20"/>
        </w:rPr>
        <w:t>to optimize cash collections and student application processing, which include revenue earned from software subscription fees and usage-based fees, (ii) fees for the establishment of payment plans on the Company's payment platform, (iii) fees related to printing, mailing, and other services which are ancillary to the solutions the Company provides to its clients, (iv) commissions from insurance providers when an end-user purchases an insurance policy, and (v) revenue from interest earned on funds held for customers in interest-bearing accounts. Platform and other revenues has been referred to as platform and usage-based fee revenue in prior filings.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9"/>
          <w:szCs w:val="19"/>
          <w:i w:val="1"/>
          <w:iCs w:val="1"/>
          <w:color w:val="231F20"/>
        </w:rPr>
        <w:t>Performance Obligations</w:t>
      </w:r>
    </w:p>
    <w:p>
      <w:pPr>
        <w:spacing w:after="0" w:line="180" w:lineRule="exact"/>
        <w:rPr>
          <w:sz w:val="20"/>
          <w:szCs w:val="20"/>
          <w:color w:val="auto"/>
        </w:rPr>
      </w:pPr>
    </w:p>
    <w:p>
      <w:pPr>
        <w:jc w:val="both"/>
        <w:ind w:right="300" w:firstLine="463"/>
        <w:spacing w:after="0" w:line="258" w:lineRule="auto"/>
        <w:rPr>
          <w:sz w:val="20"/>
          <w:szCs w:val="20"/>
          <w:color w:val="auto"/>
        </w:rPr>
      </w:pPr>
      <w:r>
        <w:rPr>
          <w:rFonts w:ascii="Arial" w:cs="Arial" w:eastAsia="Arial" w:hAnsi="Arial"/>
          <w:sz w:val="19"/>
          <w:szCs w:val="19"/>
          <w:color w:val="231F20"/>
        </w:rPr>
        <w:t>Substantially all of the Company’s arrangements represent a single promise to provide continuous access to the Company’s platform to perform payment processing services, cash collection optimization services, marketing, printing and mailing services, on an as-needed basis.</w:t>
      </w:r>
    </w:p>
    <w:p>
      <w:pPr>
        <w:spacing w:after="0" w:line="136" w:lineRule="exact"/>
        <w:rPr>
          <w:sz w:val="20"/>
          <w:szCs w:val="20"/>
          <w:color w:val="auto"/>
        </w:rPr>
      </w:pPr>
    </w:p>
    <w:p>
      <w:pPr>
        <w:ind w:right="60" w:firstLine="463"/>
        <w:spacing w:after="0" w:line="251" w:lineRule="auto"/>
        <w:rPr>
          <w:sz w:val="20"/>
          <w:szCs w:val="20"/>
          <w:color w:val="auto"/>
        </w:rPr>
      </w:pPr>
      <w:r>
        <w:rPr>
          <w:rFonts w:ascii="Arial" w:cs="Arial" w:eastAsia="Arial" w:hAnsi="Arial"/>
          <w:sz w:val="19"/>
          <w:szCs w:val="19"/>
          <w:color w:val="231F20"/>
        </w:rPr>
        <w:t>As each day of providing these services is substantially the same and the client simultaneously receives and consumes the benefits as services are provided, these services are viewed as a single performance obligation comprised of a series of distinct daily services. The Company satisfies its performance obligation as these services are provided. Revenue is recognized in the month the service is complete.</w:t>
      </w:r>
    </w:p>
    <w:p>
      <w:pPr>
        <w:spacing w:after="0" w:line="144" w:lineRule="exact"/>
        <w:rPr>
          <w:sz w:val="20"/>
          <w:szCs w:val="20"/>
          <w:color w:val="auto"/>
        </w:rPr>
      </w:pPr>
    </w:p>
    <w:p>
      <w:pPr>
        <w:ind w:right="80" w:firstLine="463"/>
        <w:spacing w:after="0" w:line="278" w:lineRule="auto"/>
        <w:rPr>
          <w:sz w:val="20"/>
          <w:szCs w:val="20"/>
          <w:color w:val="auto"/>
        </w:rPr>
      </w:pPr>
      <w:r>
        <w:rPr>
          <w:rFonts w:ascii="Arial" w:cs="Arial" w:eastAsia="Arial" w:hAnsi="Arial"/>
          <w:sz w:val="19"/>
          <w:szCs w:val="19"/>
          <w:color w:val="231F20"/>
        </w:rPr>
        <w:t>For those arrangements that include fixed consideration, the fixed component is recognized ratably over the service period while variable consideration is recognized in the period earned.</w:t>
      </w:r>
    </w:p>
    <w:p>
      <w:pPr>
        <w:spacing w:after="0" w:line="117"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The Company considers implementation services as an activity to fulfill a contract, rather than a distinct performance obligation as the client does not obtain benefits from the implementation service alone. The Company charges an immaterial amount for implementation services.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Variable Consideration</w:t>
      </w:r>
    </w:p>
    <w:p>
      <w:pPr>
        <w:spacing w:after="0" w:line="180" w:lineRule="exact"/>
        <w:rPr>
          <w:sz w:val="20"/>
          <w:szCs w:val="20"/>
          <w:color w:val="auto"/>
        </w:rPr>
      </w:pPr>
    </w:p>
    <w:p>
      <w:pPr>
        <w:ind w:right="140" w:firstLine="463"/>
        <w:spacing w:after="0" w:line="246" w:lineRule="auto"/>
        <w:rPr>
          <w:sz w:val="20"/>
          <w:szCs w:val="20"/>
          <w:color w:val="auto"/>
        </w:rPr>
      </w:pPr>
      <w:r>
        <w:rPr>
          <w:rFonts w:ascii="Arial" w:cs="Arial" w:eastAsia="Arial" w:hAnsi="Arial"/>
          <w:sz w:val="19"/>
          <w:szCs w:val="19"/>
          <w:color w:val="231F20"/>
        </w:rPr>
        <w:t>The Company’s contracts contain variable consideration as the amount the Company expects to receive in a contract is based on the occurrence or non-occurrence of future events, such as processing services performed as a transaction-based pricing arrangement. The variable consideration relates specifically to the Company’s effort to transfer each distinct daily service, as such the Company allocates the variable consideration earned to the distinct day in which those activities are performed and it recognizes these fees as revenue in period earned, at which point the variable amount is known and it does not require estimation.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Payment Terms</w:t>
      </w:r>
    </w:p>
    <w:p>
      <w:pPr>
        <w:spacing w:after="0" w:line="180" w:lineRule="exact"/>
        <w:rPr>
          <w:sz w:val="20"/>
          <w:szCs w:val="20"/>
          <w:color w:val="auto"/>
        </w:rPr>
      </w:pPr>
    </w:p>
    <w:p>
      <w:pPr>
        <w:ind w:right="200" w:firstLine="463"/>
        <w:spacing w:after="0" w:line="258" w:lineRule="auto"/>
        <w:rPr>
          <w:sz w:val="20"/>
          <w:szCs w:val="20"/>
          <w:color w:val="auto"/>
        </w:rPr>
      </w:pPr>
      <w:r>
        <w:rPr>
          <w:rFonts w:ascii="Arial" w:cs="Arial" w:eastAsia="Arial" w:hAnsi="Arial"/>
          <w:sz w:val="19"/>
          <w:szCs w:val="19"/>
          <w:color w:val="231F20"/>
        </w:rPr>
        <w:t>The Company’s payment terms vary by type of client, client’s customers and services offered and ranges between one and 60 days. Typically, the Company charges either a fixed fee, a fixed fee per transaction or percentage of transaction value or a combination of both.</w:t>
      </w:r>
    </w:p>
    <w:p>
      <w:pPr>
        <w:spacing w:after="0" w:line="136" w:lineRule="exact"/>
        <w:rPr>
          <w:sz w:val="20"/>
          <w:szCs w:val="20"/>
          <w:color w:val="auto"/>
        </w:rPr>
      </w:pPr>
    </w:p>
    <w:p>
      <w:pPr>
        <w:ind w:right="80" w:firstLine="463"/>
        <w:spacing w:after="0" w:line="258" w:lineRule="auto"/>
        <w:rPr>
          <w:sz w:val="20"/>
          <w:szCs w:val="20"/>
          <w:color w:val="auto"/>
        </w:rPr>
      </w:pPr>
      <w:r>
        <w:rPr>
          <w:rFonts w:ascii="Arial" w:cs="Arial" w:eastAsia="Arial" w:hAnsi="Arial"/>
          <w:sz w:val="19"/>
          <w:szCs w:val="19"/>
          <w:color w:val="231F20"/>
        </w:rPr>
        <w:t>The Company does not assess whether a significant financing component exists if the period between performance obligations under the contract and payment is one year or less. None of the Company’s contracts contain a significant financing component as of December 31, 2024, 2023 and 2022.</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Other Revenue Recognition Policies</w:t>
      </w:r>
    </w:p>
    <w:p>
      <w:pPr>
        <w:spacing w:after="0" w:line="180" w:lineRule="exact"/>
        <w:rPr>
          <w:sz w:val="20"/>
          <w:szCs w:val="20"/>
          <w:color w:val="auto"/>
        </w:rPr>
      </w:pPr>
    </w:p>
    <w:p>
      <w:pPr>
        <w:ind w:right="100" w:firstLine="463"/>
        <w:spacing w:after="0" w:line="246" w:lineRule="auto"/>
        <w:rPr>
          <w:sz w:val="20"/>
          <w:szCs w:val="20"/>
          <w:color w:val="auto"/>
        </w:rPr>
      </w:pPr>
      <w:r>
        <w:rPr>
          <w:rFonts w:ascii="Arial" w:cs="Arial" w:eastAsia="Arial" w:hAnsi="Arial"/>
          <w:sz w:val="19"/>
          <w:szCs w:val="19"/>
          <w:color w:val="231F20"/>
        </w:rPr>
        <w:t>The Company incurs costs in processing payments which may include banking, credit card processing, foreign currency translation, partner fees, printing and mailing fees. These fees are direct costs of the Company in providing payment processing services. Since the Company controls the related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Remaining Performance Obligations</w:t>
      </w:r>
    </w:p>
    <w:p>
      <w:pPr>
        <w:spacing w:after="0" w:line="180" w:lineRule="exact"/>
        <w:rPr>
          <w:sz w:val="20"/>
          <w:szCs w:val="20"/>
          <w:color w:val="auto"/>
        </w:rPr>
      </w:pPr>
    </w:p>
    <w:p>
      <w:pPr>
        <w:ind w:right="200" w:firstLine="463"/>
        <w:spacing w:after="0" w:line="307" w:lineRule="auto"/>
        <w:rPr>
          <w:sz w:val="20"/>
          <w:szCs w:val="20"/>
          <w:color w:val="auto"/>
        </w:rPr>
      </w:pPr>
      <w:r>
        <w:rPr>
          <w:rFonts w:ascii="Arial" w:cs="Arial" w:eastAsia="Arial" w:hAnsi="Arial"/>
          <w:sz w:val="18"/>
          <w:szCs w:val="18"/>
          <w:color w:val="231F20"/>
        </w:rPr>
        <w:t>The Company does not disclose the value of remaining performance obligations for (i) contracts with an original contract term of one year or less, (ii) contracts for which the Company recognizes revenue at the amount to which it has</w:t>
      </w:r>
    </w:p>
    <w:p>
      <w:pPr>
        <w:sectPr>
          <w:pgSz w:w="12240" w:h="15840" w:orient="portrait"/>
          <w:cols w:equalWidth="0" w:num="1">
            <w:col w:w="10180"/>
          </w:cols>
          <w:pgMar w:left="1020" w:top="1440" w:right="1040" w:bottom="572"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123</w:t>
      </w:r>
    </w:p>
    <w:p>
      <w:pPr>
        <w:sectPr>
          <w:pgSz w:w="12240" w:h="15840" w:orient="portrait"/>
          <w:cols w:equalWidth="0" w:num="1">
            <w:col w:w="10180"/>
          </w:cols>
          <w:pgMar w:left="1020" w:top="1440" w:right="1040" w:bottom="572" w:gutter="0" w:footer="0" w:header="0"/>
          <w:type w:val="continuous"/>
        </w:sectPr>
      </w:pPr>
    </w:p>
    <w:bookmarkStart w:id="124" w:name="page125"/>
    <w:bookmarkEnd w:id="124"/>
    <w:p>
      <w:pPr>
        <w:spacing w:after="0" w:line="97" w:lineRule="exact"/>
        <w:rPr>
          <w:sz w:val="20"/>
          <w:szCs w:val="20"/>
          <w:color w:val="auto"/>
        </w:rPr>
      </w:pPr>
    </w:p>
    <w:p>
      <w:pPr>
        <w:ind w:right="320"/>
        <w:spacing w:after="0" w:line="258" w:lineRule="auto"/>
        <w:rPr>
          <w:sz w:val="20"/>
          <w:szCs w:val="20"/>
          <w:color w:val="auto"/>
        </w:rPr>
      </w:pPr>
      <w:r>
        <w:rPr>
          <w:rFonts w:ascii="Arial" w:cs="Arial" w:eastAsia="Arial" w:hAnsi="Arial"/>
          <w:sz w:val="19"/>
          <w:szCs w:val="19"/>
          <w:color w:val="231F20"/>
        </w:rPr>
        <w:t>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 xml:space="preserve">See </w:t>
      </w:r>
      <w:r>
        <w:rPr>
          <w:rFonts w:ascii="Arial" w:cs="Arial" w:eastAsia="Arial" w:hAnsi="Arial"/>
          <w:sz w:val="19"/>
          <w:szCs w:val="19"/>
          <w:i w:val="1"/>
          <w:iCs w:val="1"/>
          <w:color w:val="231F20"/>
        </w:rPr>
        <w:t>Note 2 - Revenue and Recognition</w:t>
      </w:r>
      <w:r>
        <w:rPr>
          <w:rFonts w:ascii="Arial" w:cs="Arial" w:eastAsia="Arial" w:hAnsi="Arial"/>
          <w:sz w:val="19"/>
          <w:szCs w:val="19"/>
          <w:color w:val="231F20"/>
        </w:rPr>
        <w:t xml:space="preserve"> for additional information on revenue recognition.</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Payment Processing Services Costs</w:t>
      </w:r>
    </w:p>
    <w:p>
      <w:pPr>
        <w:spacing w:after="0" w:line="184" w:lineRule="exact"/>
        <w:rPr>
          <w:sz w:val="20"/>
          <w:szCs w:val="20"/>
          <w:color w:val="auto"/>
        </w:rPr>
      </w:pPr>
    </w:p>
    <w:p>
      <w:pPr>
        <w:ind w:right="40" w:firstLine="463"/>
        <w:spacing w:after="0" w:line="251" w:lineRule="auto"/>
        <w:rPr>
          <w:sz w:val="20"/>
          <w:szCs w:val="20"/>
          <w:color w:val="auto"/>
        </w:rPr>
      </w:pPr>
      <w:r>
        <w:rPr>
          <w:rFonts w:ascii="Arial" w:cs="Arial" w:eastAsia="Arial" w:hAnsi="Arial"/>
          <w:sz w:val="19"/>
          <w:szCs w:val="19"/>
          <w:color w:val="231F20"/>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to our FlyMates who provide implementation services to the Company’s clients.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Technology and Development</w:t>
      </w:r>
    </w:p>
    <w:p>
      <w:pPr>
        <w:spacing w:after="0" w:line="184" w:lineRule="exact"/>
        <w:rPr>
          <w:sz w:val="20"/>
          <w:szCs w:val="20"/>
          <w:color w:val="auto"/>
        </w:rPr>
      </w:pPr>
    </w:p>
    <w:p>
      <w:pPr>
        <w:ind w:firstLine="463"/>
        <w:spacing w:after="0" w:line="244" w:lineRule="auto"/>
        <w:rPr>
          <w:sz w:val="20"/>
          <w:szCs w:val="20"/>
          <w:color w:val="auto"/>
        </w:rPr>
      </w:pPr>
      <w:r>
        <w:rPr>
          <w:rFonts w:ascii="Arial" w:cs="Arial" w:eastAsia="Arial" w:hAnsi="Arial"/>
          <w:sz w:val="19"/>
          <w:szCs w:val="19"/>
          <w:color w:val="231F20"/>
        </w:rPr>
        <w:t>Technology and development includes (a) costs incurred in connection with the development of the Company’s transaction processing and payments platform, new solutions, and the improvement of existing solutions, including the amortization of software and website development costs incurred in developing transaction processing and payments platform, which are capitalized, and acquired developed technology, (b) site operations and other infrastructure costs incurred to support the transaction processing and payments platform, (c) amortization related to capitalized cost to fulfill a contract, (d) personnel-related expenses, including salaries, stock based compensation and other expenses, (e) hardware and software engineering, consultant services and other costs associated with the Company’s technology platform and products, (f) research materials and facilities and (g) depreciation and maintenance expense.</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Selling and Marketing</w:t>
      </w:r>
    </w:p>
    <w:p>
      <w:pPr>
        <w:spacing w:after="0" w:line="184" w:lineRule="exact"/>
        <w:rPr>
          <w:sz w:val="20"/>
          <w:szCs w:val="20"/>
          <w:color w:val="auto"/>
        </w:rPr>
      </w:pPr>
    </w:p>
    <w:p>
      <w:pPr>
        <w:ind w:right="320" w:firstLine="463"/>
        <w:spacing w:after="0" w:line="251" w:lineRule="auto"/>
        <w:rPr>
          <w:sz w:val="20"/>
          <w:szCs w:val="20"/>
          <w:color w:val="auto"/>
        </w:rPr>
      </w:pPr>
      <w:r>
        <w:rPr>
          <w:rFonts w:ascii="Arial" w:cs="Arial" w:eastAsia="Arial" w:hAnsi="Arial"/>
          <w:sz w:val="19"/>
          <w:szCs w:val="19"/>
          <w:color w:val="231F20"/>
        </w:rPr>
        <w:t>Selling and marketing expenses consist of personnel-related expenses, including stock-based compensation expense, sales commissions, amortization of acquired customer relationship intangible assets, marketing program expenses, travel-related expenses and costs to market and promote the Company's solutions through advertisements, marketing events, partnership arrangements, and direct client acquisition.</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General and Administrative</w:t>
      </w:r>
    </w:p>
    <w:p>
      <w:pPr>
        <w:spacing w:after="0" w:line="184" w:lineRule="exact"/>
        <w:rPr>
          <w:sz w:val="20"/>
          <w:szCs w:val="20"/>
          <w:color w:val="auto"/>
        </w:rPr>
      </w:pPr>
    </w:p>
    <w:p>
      <w:pPr>
        <w:ind w:right="240" w:firstLine="463"/>
        <w:spacing w:after="0" w:line="258" w:lineRule="auto"/>
        <w:rPr>
          <w:sz w:val="20"/>
          <w:szCs w:val="20"/>
          <w:color w:val="auto"/>
        </w:rPr>
      </w:pPr>
      <w:r>
        <w:rPr>
          <w:rFonts w:ascii="Arial" w:cs="Arial" w:eastAsia="Arial" w:hAnsi="Arial"/>
          <w:sz w:val="19"/>
          <w:szCs w:val="19"/>
          <w:color w:val="231F20"/>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Advertising Costs</w:t>
      </w:r>
    </w:p>
    <w:p>
      <w:pPr>
        <w:spacing w:after="0" w:line="184" w:lineRule="exact"/>
        <w:rPr>
          <w:sz w:val="20"/>
          <w:szCs w:val="20"/>
          <w:color w:val="auto"/>
        </w:rPr>
      </w:pPr>
    </w:p>
    <w:p>
      <w:pPr>
        <w:jc w:val="both"/>
        <w:ind w:right="160" w:firstLine="463"/>
        <w:spacing w:after="0" w:line="258" w:lineRule="auto"/>
        <w:rPr>
          <w:sz w:val="20"/>
          <w:szCs w:val="20"/>
          <w:color w:val="auto"/>
        </w:rPr>
      </w:pPr>
      <w:r>
        <w:rPr>
          <w:rFonts w:ascii="Arial" w:cs="Arial" w:eastAsia="Arial" w:hAnsi="Arial"/>
          <w:sz w:val="19"/>
          <w:szCs w:val="19"/>
          <w:color w:val="231F20"/>
        </w:rPr>
        <w:t>Advertising costs are expensed as incurred and are included in selling and marketing expenses in the consolidated statements of operations and comprehensive loss. Advertising expenses were $7.5 million, $6.6 million and $4.9 million for the years ended December 31, 2024, 2023 and 2022,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Stock-Based Compensation</w:t>
      </w:r>
    </w:p>
    <w:p>
      <w:pPr>
        <w:spacing w:after="0" w:line="184" w:lineRule="exact"/>
        <w:rPr>
          <w:sz w:val="20"/>
          <w:szCs w:val="20"/>
          <w:color w:val="auto"/>
        </w:rPr>
      </w:pPr>
    </w:p>
    <w:p>
      <w:pPr>
        <w:jc w:val="both"/>
        <w:ind w:right="200" w:firstLine="463"/>
        <w:spacing w:after="0" w:line="258" w:lineRule="auto"/>
        <w:rPr>
          <w:sz w:val="20"/>
          <w:szCs w:val="20"/>
          <w:color w:val="auto"/>
        </w:rPr>
      </w:pPr>
      <w:r>
        <w:rPr>
          <w:rFonts w:ascii="Arial" w:cs="Arial" w:eastAsia="Arial" w:hAnsi="Arial"/>
          <w:sz w:val="19"/>
          <w:szCs w:val="19"/>
          <w:color w:val="231F20"/>
        </w:rPr>
        <w:t>The Company recognizes compensation cost for all stock-based compensation awards made to employees, net of an estimated forfeiture rate and recognizes compensation cost only for those shares expected to vest over the requisite service period of the award.</w:t>
      </w:r>
    </w:p>
    <w:p>
      <w:pPr>
        <w:spacing w:after="0" w:line="136" w:lineRule="exact"/>
        <w:rPr>
          <w:sz w:val="20"/>
          <w:szCs w:val="20"/>
          <w:color w:val="auto"/>
        </w:rPr>
      </w:pPr>
    </w:p>
    <w:p>
      <w:pPr>
        <w:ind w:right="280" w:firstLine="463"/>
        <w:spacing w:after="0" w:line="278" w:lineRule="auto"/>
        <w:rPr>
          <w:sz w:val="20"/>
          <w:szCs w:val="20"/>
          <w:color w:val="auto"/>
        </w:rPr>
      </w:pPr>
      <w:r>
        <w:rPr>
          <w:rFonts w:ascii="Arial" w:cs="Arial" w:eastAsia="Arial" w:hAnsi="Arial"/>
          <w:sz w:val="19"/>
          <w:szCs w:val="19"/>
          <w:color w:val="231F20"/>
        </w:rPr>
        <w:t>The Company determines compensation expense associated with restricted stock units based on the fair value of the Company's common stock on the date of the grant.</w:t>
      </w:r>
    </w:p>
    <w:p>
      <w:pPr>
        <w:spacing w:after="0" w:line="117" w:lineRule="exact"/>
        <w:rPr>
          <w:sz w:val="20"/>
          <w:szCs w:val="20"/>
          <w:color w:val="auto"/>
        </w:rPr>
      </w:pPr>
    </w:p>
    <w:p>
      <w:pPr>
        <w:ind w:right="60" w:firstLine="463"/>
        <w:spacing w:after="0" w:line="258" w:lineRule="auto"/>
        <w:rPr>
          <w:sz w:val="20"/>
          <w:szCs w:val="20"/>
          <w:color w:val="auto"/>
        </w:rPr>
      </w:pPr>
      <w:r>
        <w:rPr>
          <w:rFonts w:ascii="Arial" w:cs="Arial" w:eastAsia="Arial" w:hAnsi="Arial"/>
          <w:sz w:val="19"/>
          <w:szCs w:val="19"/>
          <w:color w:val="231F20"/>
        </w:rPr>
        <w:t>The Company determines compensation expense associated with options to purchase shares of common stock and Employee Stock Purchase Plan (ESPP) based on the grant date fair value method using the Black-Scholes valuation model.</w:t>
      </w:r>
    </w:p>
    <w:p>
      <w:pPr>
        <w:spacing w:after="0" w:line="136" w:lineRule="exact"/>
        <w:rPr>
          <w:sz w:val="20"/>
          <w:szCs w:val="20"/>
          <w:color w:val="auto"/>
        </w:rPr>
      </w:pPr>
    </w:p>
    <w:p>
      <w:pPr>
        <w:ind w:right="40" w:firstLine="463"/>
        <w:spacing w:after="0" w:line="251" w:lineRule="auto"/>
        <w:rPr>
          <w:sz w:val="20"/>
          <w:szCs w:val="20"/>
          <w:color w:val="auto"/>
        </w:rPr>
      </w:pPr>
      <w:r>
        <w:rPr>
          <w:rFonts w:ascii="Arial" w:cs="Arial" w:eastAsia="Arial" w:hAnsi="Arial"/>
          <w:sz w:val="19"/>
          <w:szCs w:val="19"/>
          <w:color w:val="231F20"/>
        </w:rPr>
        <w:t>The Black-Scholes valuation model requires judgments and estimates. Such estimates include the exercise price, expected volatility, expected term, risk free rate and expected dividend yield. Any changes to those estimates may have a significant impact on the stock-based compensation expense recorded and could materially impact the Company’s results of operations.</w:t>
      </w:r>
    </w:p>
    <w:p>
      <w:pPr>
        <w:sectPr>
          <w:pgSz w:w="12240" w:h="15840" w:orient="portrait"/>
          <w:cols w:equalWidth="0" w:num="1">
            <w:col w:w="10200"/>
          </w:cols>
          <w:pgMar w:left="1020" w:top="1440" w:right="1020" w:bottom="572"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124</w:t>
      </w:r>
    </w:p>
    <w:p>
      <w:pPr>
        <w:sectPr>
          <w:pgSz w:w="12240" w:h="15840" w:orient="portrait"/>
          <w:cols w:equalWidth="0" w:num="1">
            <w:col w:w="10200"/>
          </w:cols>
          <w:pgMar w:left="1020" w:top="1440" w:right="1020" w:bottom="572" w:gutter="0" w:footer="0" w:header="0"/>
          <w:type w:val="continuous"/>
        </w:sectPr>
      </w:pPr>
    </w:p>
    <w:bookmarkStart w:id="125" w:name="page126"/>
    <w:bookmarkEnd w:id="125"/>
    <w:p>
      <w:pPr>
        <w:spacing w:after="0" w:line="97" w:lineRule="exact"/>
        <w:rPr>
          <w:sz w:val="20"/>
          <w:szCs w:val="20"/>
          <w:color w:val="auto"/>
        </w:rPr>
      </w:pPr>
    </w:p>
    <w:p>
      <w:pPr>
        <w:ind w:right="560" w:firstLine="463"/>
        <w:spacing w:after="0" w:line="278" w:lineRule="auto"/>
        <w:rPr>
          <w:sz w:val="20"/>
          <w:szCs w:val="20"/>
          <w:color w:val="auto"/>
        </w:rPr>
      </w:pPr>
      <w:r>
        <w:rPr>
          <w:rFonts w:ascii="Arial" w:cs="Arial" w:eastAsia="Arial" w:hAnsi="Arial"/>
          <w:sz w:val="19"/>
          <w:szCs w:val="19"/>
          <w:color w:val="231F20"/>
        </w:rPr>
        <w:t>The fair value of the Company’s common stock is determined based on the closing quoted market price of the Company’s common stock.</w:t>
      </w:r>
    </w:p>
    <w:p>
      <w:pPr>
        <w:spacing w:after="0" w:line="117" w:lineRule="exact"/>
        <w:rPr>
          <w:sz w:val="20"/>
          <w:szCs w:val="20"/>
          <w:color w:val="auto"/>
        </w:rPr>
      </w:pPr>
    </w:p>
    <w:p>
      <w:pPr>
        <w:ind w:right="280" w:firstLine="463"/>
        <w:spacing w:after="0" w:line="251" w:lineRule="auto"/>
        <w:rPr>
          <w:sz w:val="20"/>
          <w:szCs w:val="20"/>
          <w:color w:val="auto"/>
        </w:rPr>
      </w:pPr>
      <w:r>
        <w:rPr>
          <w:rFonts w:ascii="Arial" w:cs="Arial" w:eastAsia="Arial" w:hAnsi="Arial"/>
          <w:sz w:val="19"/>
          <w:szCs w:val="19"/>
          <w:color w:val="231F20"/>
        </w:rPr>
        <w:t>The expected volatility is estimated based on the historical volatility of the Company’s common stock. However, since the Company’s initial public offering occurred in 2021, the Company lacked sufficient Company-specific historical and implied volatility information for its stock options granted in 2022; therefore, the Company estimated its expected stock volatility based on the historical volatility of publicly traded peer companies.</w:t>
      </w:r>
    </w:p>
    <w:p>
      <w:pPr>
        <w:spacing w:after="0" w:line="144" w:lineRule="exact"/>
        <w:rPr>
          <w:sz w:val="20"/>
          <w:szCs w:val="20"/>
          <w:color w:val="auto"/>
        </w:rPr>
      </w:pPr>
    </w:p>
    <w:p>
      <w:pPr>
        <w:ind w:right="300" w:firstLine="463"/>
        <w:spacing w:after="0" w:line="258" w:lineRule="auto"/>
        <w:rPr>
          <w:sz w:val="20"/>
          <w:szCs w:val="20"/>
          <w:color w:val="auto"/>
        </w:rPr>
      </w:pPr>
      <w:r>
        <w:rPr>
          <w:rFonts w:ascii="Arial" w:cs="Arial" w:eastAsia="Arial" w:hAnsi="Arial"/>
          <w:sz w:val="19"/>
          <w:szCs w:val="19"/>
          <w:color w:val="231F20"/>
        </w:rPr>
        <w:t>The expected term represents the period that stock-based awards are expected to be outstanding. The expected term for options grants is determined using the simplified method. The simplified method deems the term to be the average of the time-to-vesting and the contractual life of the stock-based awards.</w:t>
      </w:r>
    </w:p>
    <w:p>
      <w:pPr>
        <w:spacing w:after="0" w:line="136" w:lineRule="exact"/>
        <w:rPr>
          <w:sz w:val="20"/>
          <w:szCs w:val="20"/>
          <w:color w:val="auto"/>
        </w:rPr>
      </w:pPr>
    </w:p>
    <w:p>
      <w:pPr>
        <w:ind w:right="60" w:firstLine="463"/>
        <w:spacing w:after="0" w:line="278" w:lineRule="auto"/>
        <w:rPr>
          <w:sz w:val="20"/>
          <w:szCs w:val="20"/>
          <w:color w:val="auto"/>
        </w:rPr>
      </w:pPr>
      <w:r>
        <w:rPr>
          <w:rFonts w:ascii="Arial" w:cs="Arial" w:eastAsia="Arial" w:hAnsi="Arial"/>
          <w:sz w:val="19"/>
          <w:szCs w:val="19"/>
          <w:color w:val="231F20"/>
        </w:rPr>
        <w:t>The risk-free interest rate is determined by reference to the U.S. Treasury yield curve in effect at the time of grant of the award for time periods approximately equal to the expected term of the award.</w:t>
      </w:r>
    </w:p>
    <w:p>
      <w:pPr>
        <w:spacing w:after="0" w:line="117" w:lineRule="exact"/>
        <w:rPr>
          <w:sz w:val="20"/>
          <w:szCs w:val="20"/>
          <w:color w:val="auto"/>
        </w:rPr>
      </w:pPr>
    </w:p>
    <w:p>
      <w:pPr>
        <w:ind w:right="220" w:firstLine="463"/>
        <w:spacing w:after="0" w:line="278" w:lineRule="auto"/>
        <w:rPr>
          <w:sz w:val="20"/>
          <w:szCs w:val="20"/>
          <w:color w:val="auto"/>
        </w:rPr>
      </w:pPr>
      <w:r>
        <w:rPr>
          <w:rFonts w:ascii="Arial" w:cs="Arial" w:eastAsia="Arial" w:hAnsi="Arial"/>
          <w:sz w:val="19"/>
          <w:szCs w:val="19"/>
          <w:color w:val="231F20"/>
        </w:rPr>
        <w:t>Expected dividend yield is zero based on the fact that the Company does not have a history of declaring or paying cash dividends.</w:t>
      </w:r>
    </w:p>
    <w:p>
      <w:pPr>
        <w:spacing w:after="0" w:line="117" w:lineRule="exact"/>
        <w:rPr>
          <w:sz w:val="20"/>
          <w:szCs w:val="20"/>
          <w:color w:val="auto"/>
        </w:rPr>
      </w:pPr>
    </w:p>
    <w:p>
      <w:pPr>
        <w:ind w:right="180" w:firstLine="463"/>
        <w:spacing w:after="0" w:line="248" w:lineRule="auto"/>
        <w:rPr>
          <w:sz w:val="20"/>
          <w:szCs w:val="20"/>
          <w:color w:val="auto"/>
        </w:rPr>
      </w:pPr>
      <w:r>
        <w:rPr>
          <w:rFonts w:ascii="Arial" w:cs="Arial" w:eastAsia="Arial" w:hAnsi="Arial"/>
          <w:sz w:val="19"/>
          <w:szCs w:val="19"/>
          <w:color w:val="231F20"/>
        </w:rPr>
        <w:t>Compensation expense is recognized using a straight-line amortization method over the requisite service period of the award, which is generally the vesting term of four years for stock options, one to four years for restricted stock units and the offering period of 6 months for ESPP. The Company has elected to estimate the expected forfeiture rate and recognize expense only for those shares expected to vest. The expected forfeiture rate is estimated based on historical experience, which was determined to be 5% for the year ending December 31, 2024.</w:t>
      </w:r>
    </w:p>
    <w:p>
      <w:pPr>
        <w:spacing w:after="0" w:line="146" w:lineRule="exact"/>
        <w:rPr>
          <w:sz w:val="20"/>
          <w:szCs w:val="20"/>
          <w:color w:val="auto"/>
        </w:rPr>
      </w:pPr>
    </w:p>
    <w:p>
      <w:pPr>
        <w:ind w:right="600" w:firstLine="463"/>
        <w:spacing w:after="0" w:line="278" w:lineRule="auto"/>
        <w:rPr>
          <w:sz w:val="20"/>
          <w:szCs w:val="20"/>
          <w:color w:val="auto"/>
        </w:rPr>
      </w:pPr>
      <w:r>
        <w:rPr>
          <w:rFonts w:ascii="Arial" w:cs="Arial" w:eastAsia="Arial" w:hAnsi="Arial"/>
          <w:sz w:val="19"/>
          <w:szCs w:val="19"/>
          <w:color w:val="231F20"/>
        </w:rPr>
        <w:t>The Company classifies stock-based compensation expense in its consolidated statements of operations and comprehensive loss in the same manner in which the award recipient’s payroll costs are classified.</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Income Taxes</w:t>
      </w:r>
    </w:p>
    <w:p>
      <w:pPr>
        <w:spacing w:after="0" w:line="184" w:lineRule="exact"/>
        <w:rPr>
          <w:sz w:val="20"/>
          <w:szCs w:val="20"/>
          <w:color w:val="auto"/>
        </w:rPr>
      </w:pPr>
    </w:p>
    <w:p>
      <w:pPr>
        <w:ind w:firstLine="463"/>
        <w:spacing w:after="0" w:line="251" w:lineRule="auto"/>
        <w:rPr>
          <w:sz w:val="20"/>
          <w:szCs w:val="20"/>
          <w:color w:val="auto"/>
        </w:rPr>
      </w:pPr>
      <w:r>
        <w:rPr>
          <w:rFonts w:ascii="Arial" w:cs="Arial" w:eastAsia="Arial" w:hAnsi="Arial"/>
          <w:sz w:val="19"/>
          <w:szCs w:val="19"/>
          <w:color w:val="231F20"/>
        </w:rPr>
        <w:t>The Company accounts for income taxes using the asset and liability method, which requires the recognition of deferred tax assets and liabilities for the expected future tax consequences of temporary differences between the financial statement and the tax basis of assets and liabilities, as measured by enacted tax rates anticipated to be in effect when these differences are expected to reverse.</w:t>
      </w:r>
    </w:p>
    <w:p>
      <w:pPr>
        <w:spacing w:after="0" w:line="144" w:lineRule="exact"/>
        <w:rPr>
          <w:sz w:val="20"/>
          <w:szCs w:val="20"/>
          <w:color w:val="auto"/>
        </w:rPr>
      </w:pPr>
    </w:p>
    <w:p>
      <w:pPr>
        <w:ind w:right="40" w:firstLine="463"/>
        <w:spacing w:after="0" w:line="258" w:lineRule="auto"/>
        <w:rPr>
          <w:sz w:val="20"/>
          <w:szCs w:val="20"/>
          <w:color w:val="auto"/>
        </w:rPr>
      </w:pPr>
      <w:r>
        <w:rPr>
          <w:rFonts w:ascii="Arial" w:cs="Arial" w:eastAsia="Arial" w:hAnsi="Arial"/>
          <w:sz w:val="19"/>
          <w:szCs w:val="19"/>
          <w:color w:val="231F20"/>
        </w:rPr>
        <w:t>The measurement of deferred tax assets is reduced by a valuation allowance if, based upon available evidence, it is more-likely-than-not that some or all of the deferred tax assets will not be realized. The Company classifies deferred tax assets and liabilities as noncurrent within the consolidated balance sheets.</w:t>
      </w:r>
    </w:p>
    <w:p>
      <w:pPr>
        <w:spacing w:after="0" w:line="136" w:lineRule="exact"/>
        <w:rPr>
          <w:sz w:val="20"/>
          <w:szCs w:val="20"/>
          <w:color w:val="auto"/>
        </w:rPr>
      </w:pPr>
    </w:p>
    <w:p>
      <w:pPr>
        <w:ind w:right="140" w:firstLine="463"/>
        <w:spacing w:after="0" w:line="246" w:lineRule="auto"/>
        <w:rPr>
          <w:sz w:val="20"/>
          <w:szCs w:val="20"/>
          <w:color w:val="auto"/>
        </w:rPr>
      </w:pPr>
      <w:r>
        <w:rPr>
          <w:rFonts w:ascii="Arial" w:cs="Arial" w:eastAsia="Arial" w:hAnsi="Arial"/>
          <w:sz w:val="19"/>
          <w:szCs w:val="19"/>
          <w:color w:val="231F20"/>
        </w:rPr>
        <w:t>The Company accounts for uncertain tax positions using a two-step process to determine the amount of tax benefit to be recognized. First, the tax position is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Interest and penalties related to uncertain tax positions are recognized in the provision for income taxes.</w:t>
      </w:r>
    </w:p>
    <w:p>
      <w:pPr>
        <w:spacing w:after="0" w:line="148" w:lineRule="exact"/>
        <w:rPr>
          <w:sz w:val="20"/>
          <w:szCs w:val="20"/>
          <w:color w:val="auto"/>
        </w:rPr>
      </w:pPr>
    </w:p>
    <w:p>
      <w:pPr>
        <w:ind w:right="180" w:firstLine="463"/>
        <w:spacing w:after="0" w:line="307" w:lineRule="auto"/>
        <w:rPr>
          <w:sz w:val="20"/>
          <w:szCs w:val="20"/>
          <w:color w:val="auto"/>
        </w:rPr>
      </w:pPr>
      <w:r>
        <w:rPr>
          <w:rFonts w:ascii="Arial" w:cs="Arial" w:eastAsia="Arial" w:hAnsi="Arial"/>
          <w:sz w:val="18"/>
          <w:szCs w:val="18"/>
          <w:color w:val="231F20"/>
        </w:rPr>
        <w:t>The Company accounts for the earnings of its foreign subsidiaries, if any, as permanently reinvested and therefore does not provide for U.S. income taxes that could result from the distribution of those earnings to the U.S. parent.</w:t>
      </w:r>
    </w:p>
    <w:p>
      <w:pPr>
        <w:spacing w:after="0" w:line="94" w:lineRule="exact"/>
        <w:rPr>
          <w:sz w:val="20"/>
          <w:szCs w:val="20"/>
          <w:color w:val="auto"/>
        </w:rPr>
      </w:pPr>
    </w:p>
    <w:p>
      <w:pPr>
        <w:ind w:right="60" w:firstLine="463"/>
        <w:spacing w:after="0" w:line="258" w:lineRule="auto"/>
        <w:rPr>
          <w:sz w:val="20"/>
          <w:szCs w:val="20"/>
          <w:color w:val="auto"/>
        </w:rPr>
      </w:pPr>
      <w:r>
        <w:rPr>
          <w:rFonts w:ascii="Arial" w:cs="Arial" w:eastAsia="Arial" w:hAnsi="Arial"/>
          <w:sz w:val="19"/>
          <w:szCs w:val="19"/>
          <w:color w:val="231F20"/>
        </w:rPr>
        <w:t>The Company is open to future tax examinations from 2018 to the present; however, carryforward attributes that were generated prior to 2018 may still be adjusted upon examination by federal, state or local tax authorities to the extent they will be used in a future period.</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Comprehensive Loss</w:t>
      </w:r>
    </w:p>
    <w:p>
      <w:pPr>
        <w:spacing w:after="0" w:line="184" w:lineRule="exact"/>
        <w:rPr>
          <w:sz w:val="20"/>
          <w:szCs w:val="20"/>
          <w:color w:val="auto"/>
        </w:rPr>
      </w:pPr>
    </w:p>
    <w:p>
      <w:pPr>
        <w:ind w:right="200" w:firstLine="463"/>
        <w:spacing w:after="0" w:line="307" w:lineRule="auto"/>
        <w:rPr>
          <w:sz w:val="20"/>
          <w:szCs w:val="20"/>
          <w:color w:val="auto"/>
        </w:rPr>
      </w:pPr>
      <w:r>
        <w:rPr>
          <w:rFonts w:ascii="Arial" w:cs="Arial" w:eastAsia="Arial" w:hAnsi="Arial"/>
          <w:sz w:val="18"/>
          <w:szCs w:val="18"/>
          <w:color w:val="231F20"/>
        </w:rPr>
        <w:t>Comprehensive loss includes net income (loss) as well as other changes in stockholders’ equity that result from transactions and economic events other than those with stockholders. The comprehensive loss for the Company equals</w:t>
      </w:r>
    </w:p>
    <w:p>
      <w:pPr>
        <w:sectPr>
          <w:pgSz w:w="12240" w:h="15840" w:orient="portrait"/>
          <w:cols w:equalWidth="0" w:num="1">
            <w:col w:w="10180"/>
          </w:cols>
          <w:pgMar w:left="1020" w:top="1440" w:right="104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125</w:t>
      </w:r>
    </w:p>
    <w:p>
      <w:pPr>
        <w:sectPr>
          <w:pgSz w:w="12240" w:h="15840" w:orient="portrait"/>
          <w:cols w:equalWidth="0" w:num="1">
            <w:col w:w="10180"/>
          </w:cols>
          <w:pgMar w:left="1020" w:top="1440" w:right="1040" w:bottom="572" w:gutter="0" w:footer="0" w:header="0"/>
          <w:type w:val="continuous"/>
        </w:sectPr>
      </w:pPr>
    </w:p>
    <w:bookmarkStart w:id="126" w:name="page127"/>
    <w:bookmarkEnd w:id="126"/>
    <w:p>
      <w:pPr>
        <w:spacing w:after="0" w:line="97" w:lineRule="exact"/>
        <w:rPr>
          <w:sz w:val="20"/>
          <w:szCs w:val="20"/>
          <w:color w:val="auto"/>
        </w:rPr>
      </w:pPr>
    </w:p>
    <w:p>
      <w:pPr>
        <w:ind w:right="120"/>
        <w:spacing w:after="0" w:line="278" w:lineRule="auto"/>
        <w:rPr>
          <w:sz w:val="20"/>
          <w:szCs w:val="20"/>
          <w:color w:val="auto"/>
        </w:rPr>
      </w:pPr>
      <w:r>
        <w:rPr>
          <w:rFonts w:ascii="Arial" w:cs="Arial" w:eastAsia="Arial" w:hAnsi="Arial"/>
          <w:sz w:val="19"/>
          <w:szCs w:val="19"/>
          <w:color w:val="231F20"/>
        </w:rPr>
        <w:t>its net income (loss) plus changes in foreign currency translation and unrealized gains (losses) on available-for-sale debt securities, net of taxes for all periods presented.</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Net Income (Loss) per Share</w:t>
      </w:r>
    </w:p>
    <w:p>
      <w:pPr>
        <w:spacing w:after="0" w:line="184" w:lineRule="exact"/>
        <w:rPr>
          <w:sz w:val="20"/>
          <w:szCs w:val="20"/>
          <w:color w:val="auto"/>
        </w:rPr>
      </w:pPr>
    </w:p>
    <w:p>
      <w:pPr>
        <w:ind w:firstLine="463"/>
        <w:spacing w:after="0" w:line="244" w:lineRule="auto"/>
        <w:rPr>
          <w:sz w:val="20"/>
          <w:szCs w:val="20"/>
          <w:color w:val="auto"/>
        </w:rPr>
      </w:pPr>
      <w:r>
        <w:rPr>
          <w:rFonts w:ascii="Arial" w:cs="Arial" w:eastAsia="Arial" w:hAnsi="Arial"/>
          <w:sz w:val="19"/>
          <w:szCs w:val="19"/>
          <w:color w:val="231F20"/>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 The dilutive effect of outstanding equity incentive awards is reflected in diluted net income (loss) per share by application of the treasury stock method.</w:t>
      </w:r>
    </w:p>
    <w:p>
      <w:pPr>
        <w:spacing w:after="0" w:line="149" w:lineRule="exact"/>
        <w:rPr>
          <w:sz w:val="20"/>
          <w:szCs w:val="20"/>
          <w:color w:val="auto"/>
        </w:rPr>
      </w:pPr>
    </w:p>
    <w:p>
      <w:pPr>
        <w:ind w:right="180" w:firstLine="463"/>
        <w:spacing w:after="0" w:line="245" w:lineRule="auto"/>
        <w:rPr>
          <w:sz w:val="20"/>
          <w:szCs w:val="20"/>
          <w:color w:val="auto"/>
        </w:rPr>
      </w:pPr>
      <w:r>
        <w:rPr>
          <w:rFonts w:ascii="Arial" w:cs="Arial" w:eastAsia="Arial" w:hAnsi="Arial"/>
          <w:sz w:val="19"/>
          <w:szCs w:val="19"/>
          <w:color w:val="231F20"/>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net income attributable to common stockholders for the year ended December 31, 2024. The Company reported net loss attributable to common stockholders for the years ended December 31, 2023 and 2022; accordingly, basic net loss per share attributable to common stockholders was the same as diluted net loss per share attributable to common stockholders.</w:t>
      </w:r>
    </w:p>
    <w:p>
      <w:pPr>
        <w:spacing w:after="0" w:line="148" w:lineRule="exact"/>
        <w:rPr>
          <w:sz w:val="20"/>
          <w:szCs w:val="20"/>
          <w:color w:val="auto"/>
        </w:rPr>
      </w:pPr>
    </w:p>
    <w:p>
      <w:pPr>
        <w:ind w:right="140" w:firstLine="463"/>
        <w:spacing w:after="0" w:line="248" w:lineRule="auto"/>
        <w:rPr>
          <w:sz w:val="20"/>
          <w:szCs w:val="20"/>
          <w:color w:val="auto"/>
        </w:rPr>
      </w:pPr>
      <w:r>
        <w:rPr>
          <w:rFonts w:ascii="Arial" w:cs="Arial" w:eastAsia="Arial" w:hAnsi="Arial"/>
          <w:sz w:val="19"/>
          <w:szCs w:val="19"/>
          <w:color w:val="231F20"/>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income (loss) per share attributable to common stockholders are, therefore, the same for both voting and non-voting common stock on both individual and combined basis.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Recently Adopted Accounting Pronouncements</w:t>
      </w:r>
    </w:p>
    <w:p>
      <w:pPr>
        <w:spacing w:after="0" w:line="184" w:lineRule="exact"/>
        <w:rPr>
          <w:sz w:val="20"/>
          <w:szCs w:val="20"/>
          <w:color w:val="auto"/>
        </w:rPr>
      </w:pPr>
    </w:p>
    <w:p>
      <w:pPr>
        <w:ind w:right="280" w:firstLine="463"/>
        <w:spacing w:after="0" w:line="278" w:lineRule="auto"/>
        <w:rPr>
          <w:sz w:val="20"/>
          <w:szCs w:val="20"/>
          <w:color w:val="auto"/>
        </w:rPr>
      </w:pPr>
      <w:r>
        <w:rPr>
          <w:rFonts w:ascii="Arial" w:cs="Arial" w:eastAsia="Arial" w:hAnsi="Arial"/>
          <w:sz w:val="19"/>
          <w:szCs w:val="19"/>
          <w:color w:val="231F20"/>
        </w:rPr>
        <w:t>The following Accounting Standards Update (ASU) was issued by the Financial Accounting Standards Board and adopted by Flywire during the year ended December 31, 2024:</w:t>
      </w:r>
    </w:p>
    <w:p>
      <w:pPr>
        <w:spacing w:after="0" w:line="117" w:lineRule="exact"/>
        <w:rPr>
          <w:sz w:val="20"/>
          <w:szCs w:val="20"/>
          <w:color w:val="auto"/>
        </w:rPr>
      </w:pPr>
    </w:p>
    <w:p>
      <w:pPr>
        <w:ind w:right="40" w:firstLine="463"/>
        <w:spacing w:after="0" w:line="261" w:lineRule="auto"/>
        <w:rPr>
          <w:sz w:val="20"/>
          <w:szCs w:val="20"/>
          <w:color w:val="auto"/>
        </w:rPr>
      </w:pPr>
      <w:r>
        <w:rPr>
          <w:rFonts w:ascii="Arial" w:cs="Arial" w:eastAsia="Arial" w:hAnsi="Arial"/>
          <w:sz w:val="18"/>
          <w:szCs w:val="18"/>
          <w:color w:val="231F20"/>
        </w:rPr>
        <w:t>ASU 2023-07</w:t>
      </w:r>
      <w:r>
        <w:rPr>
          <w:rFonts w:ascii="Arial" w:cs="Arial" w:eastAsia="Arial" w:hAnsi="Arial"/>
          <w:sz w:val="18"/>
          <w:szCs w:val="18"/>
          <w:i w:val="1"/>
          <w:iCs w:val="1"/>
          <w:color w:val="231F20"/>
        </w:rPr>
        <w:t>, Segment Reporting (Topic 280): Improvements to Reportable Segment Disclosures:</w:t>
      </w:r>
      <w:r>
        <w:rPr>
          <w:rFonts w:ascii="Arial" w:cs="Arial" w:eastAsia="Arial" w:hAnsi="Arial"/>
          <w:sz w:val="18"/>
          <w:szCs w:val="18"/>
          <w:color w:val="231F20"/>
        </w:rPr>
        <w:t xml:space="preserve"> ASU 2023-07 improves reportable segment disclosure requirements, primarily through enhanced disclosures about significant segment expenses. ASU 2023-07 also enhances interim disclosure requirements, clarifies circumstances in which an entity can disclose multiple segment measures of profit or loss, provides new segment disclosure requirements for entities with a single reportable and contains other disclosure requirements. The Company adopted ASU 2023-07 retrospectively for the annual period during the year ended December 31, 2024. The adoption of this standard resulted in additional disclosures for segment reporting. Refer to </w:t>
      </w:r>
      <w:r>
        <w:rPr>
          <w:rFonts w:ascii="Arial" w:cs="Arial" w:eastAsia="Arial" w:hAnsi="Arial"/>
          <w:sz w:val="18"/>
          <w:szCs w:val="18"/>
          <w:i w:val="1"/>
          <w:iCs w:val="1"/>
          <w:color w:val="231F20"/>
        </w:rPr>
        <w:t>Note 3 - Segment Reporting</w:t>
      </w:r>
      <w:r>
        <w:rPr>
          <w:rFonts w:ascii="Arial" w:cs="Arial" w:eastAsia="Arial" w:hAnsi="Arial"/>
          <w:sz w:val="18"/>
          <w:szCs w:val="18"/>
          <w:color w:val="231F20"/>
        </w:rPr>
        <w:t xml:space="preserve"> for additional details on the adoption of ASU 2023-07.</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Accounting Pronouncements Not Yet Adopted as of December 31, 2024</w:t>
      </w:r>
    </w:p>
    <w:p>
      <w:pPr>
        <w:spacing w:after="0" w:line="184" w:lineRule="exact"/>
        <w:rPr>
          <w:sz w:val="20"/>
          <w:szCs w:val="20"/>
          <w:color w:val="auto"/>
        </w:rPr>
      </w:pPr>
    </w:p>
    <w:p>
      <w:pPr>
        <w:ind w:right="40" w:firstLine="463"/>
        <w:spacing w:after="0" w:line="243" w:lineRule="auto"/>
        <w:rPr>
          <w:sz w:val="20"/>
          <w:szCs w:val="20"/>
          <w:color w:val="auto"/>
        </w:rPr>
      </w:pPr>
      <w:r>
        <w:rPr>
          <w:rFonts w:ascii="Arial" w:cs="Arial" w:eastAsia="Arial" w:hAnsi="Arial"/>
          <w:sz w:val="19"/>
          <w:szCs w:val="19"/>
          <w:color w:val="231F20"/>
        </w:rPr>
        <w:t xml:space="preserve">ASU 2023-09, </w:t>
      </w:r>
      <w:r>
        <w:rPr>
          <w:rFonts w:ascii="Arial" w:cs="Arial" w:eastAsia="Arial" w:hAnsi="Arial"/>
          <w:sz w:val="19"/>
          <w:szCs w:val="19"/>
          <w:i w:val="1"/>
          <w:iCs w:val="1"/>
          <w:color w:val="231F20"/>
        </w:rPr>
        <w:t>Income Taxes (Topic 740): Improvements to Income Tax Disclosures:</w:t>
      </w:r>
      <w:r>
        <w:rPr>
          <w:rFonts w:ascii="Arial" w:cs="Arial" w:eastAsia="Arial" w:hAnsi="Arial"/>
          <w:sz w:val="19"/>
          <w:szCs w:val="19"/>
          <w:color w:val="231F20"/>
        </w:rPr>
        <w:t xml:space="preserve"> ASU 2023-09 requires public business entities to disclose on an annual basis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In addition, ASU 2023-09 requires disclosure pertaining to taxes paid, net of refunds received, to be disaggregated for federal, state, and foreign taxes and further disaggregated for specific jurisdictions to the extent the related amounts exceed a quantitative threshold. ASU 2023-09 is effective for the Company for the annual period beginning on January 1, 2025. Early adoption is permitted. ASU 2023-09 should be applied on a prospective basis. However, companies have the option to apply the standard retrospectively. The Company is currently evaluating the impact of this standard on its consolidated financial statements and disclosures.</w:t>
      </w:r>
    </w:p>
    <w:p>
      <w:pPr>
        <w:spacing w:after="0" w:line="149" w:lineRule="exact"/>
        <w:rPr>
          <w:sz w:val="20"/>
          <w:szCs w:val="20"/>
          <w:color w:val="auto"/>
        </w:rPr>
      </w:pPr>
    </w:p>
    <w:p>
      <w:pPr>
        <w:ind w:right="180" w:firstLine="463"/>
        <w:spacing w:after="0" w:line="262" w:lineRule="auto"/>
        <w:rPr>
          <w:sz w:val="20"/>
          <w:szCs w:val="20"/>
          <w:color w:val="auto"/>
        </w:rPr>
      </w:pPr>
      <w:r>
        <w:rPr>
          <w:rFonts w:ascii="Arial" w:cs="Arial" w:eastAsia="Arial" w:hAnsi="Arial"/>
          <w:sz w:val="18"/>
          <w:szCs w:val="18"/>
          <w:color w:val="231F20"/>
        </w:rPr>
        <w:t xml:space="preserve">ASU 2024-03, </w:t>
      </w:r>
      <w:r>
        <w:rPr>
          <w:rFonts w:ascii="Arial" w:cs="Arial" w:eastAsia="Arial" w:hAnsi="Arial"/>
          <w:sz w:val="18"/>
          <w:szCs w:val="18"/>
          <w:i w:val="1"/>
          <w:iCs w:val="1"/>
          <w:color w:val="231F20"/>
        </w:rPr>
        <w:t>Income Statement - Reporting Comprehensive Income - Expense Disaggregation Disclosures</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(Subtopic 220-40): Disaggregation of Income Statement Expenses: </w:t>
      </w:r>
      <w:r>
        <w:rPr>
          <w:rFonts w:ascii="Arial" w:cs="Arial" w:eastAsia="Arial" w:hAnsi="Arial"/>
          <w:sz w:val="18"/>
          <w:szCs w:val="18"/>
          <w:color w:val="231F20"/>
        </w:rPr>
        <w:t>ASU 2024-03 is intended to improve the disclosures</w:t>
      </w:r>
      <w:r>
        <w:rPr>
          <w:rFonts w:ascii="Arial" w:cs="Arial" w:eastAsia="Arial" w:hAnsi="Arial"/>
          <w:sz w:val="18"/>
          <w:szCs w:val="18"/>
          <w:i w:val="1"/>
          <w:iCs w:val="1"/>
          <w:color w:val="231F20"/>
        </w:rPr>
        <w:t xml:space="preserve"> </w:t>
      </w:r>
      <w:r>
        <w:rPr>
          <w:rFonts w:ascii="Arial" w:cs="Arial" w:eastAsia="Arial" w:hAnsi="Arial"/>
          <w:sz w:val="18"/>
          <w:szCs w:val="18"/>
          <w:color w:val="231F20"/>
        </w:rPr>
        <w:t>of expenses by providing more detailed information about the types of expenses in commonly presented expense captions. The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w:t>
      </w:r>
    </w:p>
    <w:p>
      <w:pPr>
        <w:sectPr>
          <w:pgSz w:w="12240" w:h="15840" w:orient="portrait"/>
          <w:cols w:equalWidth="0" w:num="1">
            <w:col w:w="10180"/>
          </w:cols>
          <w:pgMar w:left="1020" w:top="1440" w:right="1040" w:bottom="572"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126</w:t>
      </w:r>
    </w:p>
    <w:p>
      <w:pPr>
        <w:sectPr>
          <w:pgSz w:w="12240" w:h="15840" w:orient="portrait"/>
          <w:cols w:equalWidth="0" w:num="1">
            <w:col w:w="10180"/>
          </w:cols>
          <w:pgMar w:left="1020" w:top="1440" w:right="1040" w:bottom="572" w:gutter="0" w:footer="0" w:header="0"/>
          <w:type w:val="continuous"/>
        </w:sectPr>
      </w:pPr>
    </w:p>
    <w:bookmarkStart w:id="127" w:name="page128"/>
    <w:bookmarkEnd w:id="127"/>
    <w:p>
      <w:pPr>
        <w:spacing w:after="0" w:line="97" w:lineRule="exact"/>
        <w:rPr>
          <w:sz w:val="20"/>
          <w:szCs w:val="20"/>
          <w:color w:val="auto"/>
        </w:rPr>
      </w:pPr>
    </w:p>
    <w:p>
      <w:pPr>
        <w:ind w:right="120"/>
        <w:spacing w:after="0" w:line="248" w:lineRule="auto"/>
        <w:rPr>
          <w:sz w:val="20"/>
          <w:szCs w:val="20"/>
          <w:color w:val="auto"/>
        </w:rPr>
      </w:pPr>
      <w:r>
        <w:rPr>
          <w:rFonts w:ascii="Arial" w:cs="Arial" w:eastAsia="Arial" w:hAnsi="Arial"/>
          <w:sz w:val="19"/>
          <w:szCs w:val="19"/>
          <w:color w:val="231F20"/>
        </w:rPr>
        <w:t>The amendment also requires disclosure of the total amount of selling expense and, in annual reporting periods, an entity’s definition of selling expenses. ASU 2024-03 is effective for the Company for the annual period beginning on January 1, 2027, and interim reporting periods within annual reporting periods beginning January 1, 2028. Early adoption is permitted. The ASU can be applied either prospectively or retrospectively. The Company is currently evaluating the impact of this standard on its consolidated financial statements and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Note 2. Revenue and Recognition</w:t>
      </w:r>
    </w:p>
    <w:p>
      <w:pPr>
        <w:spacing w:after="0" w:line="192" w:lineRule="exact"/>
        <w:rPr>
          <w:sz w:val="20"/>
          <w:szCs w:val="20"/>
          <w:color w:val="auto"/>
        </w:rPr>
      </w:pPr>
    </w:p>
    <w:p>
      <w:pPr>
        <w:ind w:right="20" w:firstLine="463"/>
        <w:spacing w:after="0" w:line="278" w:lineRule="auto"/>
        <w:rPr>
          <w:sz w:val="20"/>
          <w:szCs w:val="20"/>
          <w:color w:val="auto"/>
        </w:rPr>
      </w:pPr>
      <w:r>
        <w:rPr>
          <w:rFonts w:ascii="Arial" w:cs="Arial" w:eastAsia="Arial" w:hAnsi="Arial"/>
          <w:sz w:val="19"/>
          <w:szCs w:val="19"/>
          <w:color w:val="231F20"/>
        </w:rPr>
        <w:t>The following table presents revenue disaggregated by geographical area and major solutions. The categorization of revenue by geographical location is determined based on the location of where the client resides.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Borders>
              <w:bottom w:val="single" w:sz="8" w:color="FDFDFC"/>
            </w:tcBorders>
            <w:shd w:val="clear" w:color="auto" w:fill="FDFDFC"/>
          </w:tcPr>
          <w:p>
            <w:pPr>
              <w:spacing w:after="0"/>
              <w:rPr>
                <w:sz w:val="16"/>
                <w:szCs w:val="16"/>
                <w:color w:val="auto"/>
              </w:rPr>
            </w:pPr>
          </w:p>
        </w:tc>
        <w:tc>
          <w:tcPr>
            <w:tcW w:w="140" w:type="dxa"/>
            <w:vAlign w:val="bottom"/>
            <w:tcBorders>
              <w:bottom w:val="single" w:sz="8" w:color="FDFDFC"/>
            </w:tcBorders>
            <w:shd w:val="clear" w:color="auto" w:fill="FDFDFC"/>
          </w:tcPr>
          <w:p>
            <w:pPr>
              <w:spacing w:after="0"/>
              <w:rPr>
                <w:sz w:val="16"/>
                <w:szCs w:val="16"/>
                <w:color w:val="auto"/>
              </w:rPr>
            </w:pPr>
          </w:p>
        </w:tc>
        <w:tc>
          <w:tcPr>
            <w:tcW w:w="280" w:type="dxa"/>
            <w:vAlign w:val="bottom"/>
            <w:tcBorders>
              <w:bottom w:val="single" w:sz="8" w:color="231F20"/>
            </w:tcBorders>
            <w:shd w:val="clear" w:color="auto" w:fill="FDFDFC"/>
          </w:tcPr>
          <w:p>
            <w:pPr>
              <w:spacing w:after="0"/>
              <w:rPr>
                <w:sz w:val="16"/>
                <w:szCs w:val="16"/>
                <w:color w:val="auto"/>
              </w:rPr>
            </w:pPr>
          </w:p>
        </w:tc>
        <w:tc>
          <w:tcPr>
            <w:tcW w:w="2880" w:type="dxa"/>
            <w:vAlign w:val="bottom"/>
            <w:tcBorders>
              <w:bottom w:val="single" w:sz="8" w:color="231F20"/>
            </w:tcBorders>
            <w:gridSpan w:val="6"/>
            <w:shd w:val="clear" w:color="auto" w:fill="FDFDFC"/>
          </w:tcPr>
          <w:p>
            <w:pPr>
              <w:jc w:val="right"/>
              <w:ind w:right="86"/>
              <w:spacing w:after="0"/>
              <w:rPr>
                <w:sz w:val="20"/>
                <w:szCs w:val="20"/>
                <w:color w:val="auto"/>
              </w:rPr>
            </w:pPr>
            <w:r>
              <w:rPr>
                <w:rFonts w:ascii="Arial" w:cs="Arial" w:eastAsia="Arial" w:hAnsi="Arial"/>
                <w:sz w:val="15"/>
                <w:szCs w:val="15"/>
                <w:b w:val="1"/>
                <w:bCs w:val="1"/>
                <w:color w:val="231F20"/>
              </w:rPr>
              <w:t>Year Ended December 31,</w:t>
            </w:r>
          </w:p>
        </w:tc>
        <w:tc>
          <w:tcPr>
            <w:tcW w:w="9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FDFDFC"/>
            </w:tcBorders>
            <w:vMerge w:val="restart"/>
            <w:shd w:val="clear" w:color="auto" w:fill="FDFDFC"/>
          </w:tcPr>
          <w:p>
            <w:pPr>
              <w:spacing w:after="0"/>
              <w:rPr>
                <w:sz w:val="20"/>
                <w:szCs w:val="20"/>
                <w:color w:val="auto"/>
              </w:rPr>
            </w:pPr>
            <w:r>
              <w:rPr>
                <w:rFonts w:ascii="Arial" w:cs="Arial" w:eastAsia="Arial" w:hAnsi="Arial"/>
                <w:sz w:val="15"/>
                <w:szCs w:val="15"/>
                <w:b w:val="1"/>
                <w:bCs w:val="1"/>
                <w:color w:val="231F20"/>
              </w:rPr>
              <w:t>(in thousands)</w:t>
            </w:r>
          </w:p>
        </w:tc>
        <w:tc>
          <w:tcPr>
            <w:tcW w:w="140" w:type="dxa"/>
            <w:vAlign w:val="bottom"/>
            <w:tcBorders>
              <w:bottom w:val="single" w:sz="8" w:color="FDFDFC"/>
            </w:tcBorders>
            <w:shd w:val="clear" w:color="auto" w:fill="FDFDFC"/>
          </w:tcPr>
          <w:p>
            <w:pPr>
              <w:spacing w:after="0"/>
              <w:rPr>
                <w:sz w:val="15"/>
                <w:szCs w:val="15"/>
                <w:color w:val="auto"/>
              </w:rPr>
            </w:pPr>
          </w:p>
        </w:tc>
        <w:tc>
          <w:tcPr>
            <w:tcW w:w="280" w:type="dxa"/>
            <w:vAlign w:val="bottom"/>
            <w:tcBorders>
              <w:bottom w:val="single" w:sz="8" w:color="231F20"/>
            </w:tcBorders>
            <w:shd w:val="clear" w:color="auto" w:fill="FDFDFC"/>
          </w:tcPr>
          <w:p>
            <w:pPr>
              <w:spacing w:after="0"/>
              <w:rPr>
                <w:sz w:val="15"/>
                <w:szCs w:val="15"/>
                <w:color w:val="auto"/>
              </w:rPr>
            </w:pPr>
          </w:p>
        </w:tc>
        <w:tc>
          <w:tcPr>
            <w:tcW w:w="920" w:type="dxa"/>
            <w:vAlign w:val="bottom"/>
            <w:tcBorders>
              <w:bottom w:val="single" w:sz="8" w:color="231F20"/>
            </w:tcBorders>
            <w:shd w:val="clear" w:color="auto" w:fill="FDFDFC"/>
          </w:tcPr>
          <w:p>
            <w:pPr>
              <w:jc w:val="right"/>
              <w:ind w:right="330"/>
              <w:spacing w:after="0"/>
              <w:rPr>
                <w:sz w:val="20"/>
                <w:szCs w:val="20"/>
                <w:color w:val="auto"/>
              </w:rPr>
            </w:pPr>
            <w:r>
              <w:rPr>
                <w:rFonts w:ascii="Arial" w:cs="Arial" w:eastAsia="Arial" w:hAnsi="Arial"/>
                <w:sz w:val="15"/>
                <w:szCs w:val="15"/>
                <w:b w:val="1"/>
                <w:bCs w:val="1"/>
                <w:color w:val="231F20"/>
              </w:rPr>
              <w:t>2024</w:t>
            </w:r>
          </w:p>
        </w:tc>
        <w:tc>
          <w:tcPr>
            <w:tcW w:w="260" w:type="dxa"/>
            <w:vAlign w:val="bottom"/>
            <w:tcBorders>
              <w:bottom w:val="single" w:sz="8" w:color="FDFDFC"/>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48"/>
              <w:spacing w:after="0"/>
              <w:rPr>
                <w:sz w:val="20"/>
                <w:szCs w:val="20"/>
                <w:color w:val="auto"/>
              </w:rPr>
            </w:pPr>
            <w:r>
              <w:rPr>
                <w:rFonts w:ascii="Arial" w:cs="Arial" w:eastAsia="Arial" w:hAnsi="Arial"/>
                <w:sz w:val="15"/>
                <w:szCs w:val="15"/>
                <w:b w:val="1"/>
                <w:bCs w:val="1"/>
                <w:color w:val="231F20"/>
              </w:rPr>
              <w:t>2023</w:t>
            </w:r>
          </w:p>
        </w:tc>
        <w:tc>
          <w:tcPr>
            <w:tcW w:w="240" w:type="dxa"/>
            <w:vAlign w:val="bottom"/>
            <w:tcBorders>
              <w:bottom w:val="single" w:sz="8" w:color="FDFDFC"/>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48"/>
              <w:spacing w:after="0"/>
              <w:rPr>
                <w:sz w:val="20"/>
                <w:szCs w:val="20"/>
                <w:color w:val="auto"/>
              </w:rPr>
            </w:pPr>
            <w:r>
              <w:rPr>
                <w:rFonts w:ascii="Arial" w:cs="Arial" w:eastAsia="Arial" w:hAnsi="Arial"/>
                <w:sz w:val="15"/>
                <w:szCs w:val="15"/>
                <w:b w:val="1"/>
                <w:bCs w:val="1"/>
                <w:color w:val="231F20"/>
              </w:rPr>
              <w:t>2022</w:t>
            </w:r>
          </w:p>
        </w:tc>
        <w:tc>
          <w:tcPr>
            <w:tcW w:w="10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vMerge w:val="continue"/>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280" w:type="dxa"/>
            <w:vAlign w:val="bottom"/>
            <w:shd w:val="clear" w:color="auto" w:fill="FDFDFC"/>
          </w:tcPr>
          <w:p>
            <w:pPr>
              <w:spacing w:after="0"/>
              <w:rPr>
                <w:sz w:val="15"/>
                <w:szCs w:val="15"/>
                <w:color w:val="auto"/>
              </w:rPr>
            </w:pPr>
          </w:p>
        </w:tc>
        <w:tc>
          <w:tcPr>
            <w:tcW w:w="920" w:type="dxa"/>
            <w:vAlign w:val="bottom"/>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94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94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D0EBF2"/>
          </w:tcPr>
          <w:p>
            <w:pPr>
              <w:spacing w:after="0"/>
              <w:rPr>
                <w:sz w:val="20"/>
                <w:szCs w:val="20"/>
                <w:color w:val="auto"/>
              </w:rPr>
            </w:pPr>
            <w:r>
              <w:rPr>
                <w:rFonts w:ascii="Arial" w:cs="Arial" w:eastAsia="Arial" w:hAnsi="Arial"/>
                <w:sz w:val="19"/>
                <w:szCs w:val="19"/>
                <w:b w:val="1"/>
                <w:bCs w:val="1"/>
                <w:color w:val="231F20"/>
              </w:rPr>
              <w:t>Primary geographical markets</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92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FDFDFC"/>
          </w:tcPr>
          <w:p>
            <w:pPr>
              <w:spacing w:after="0"/>
              <w:rPr>
                <w:sz w:val="20"/>
                <w:szCs w:val="20"/>
                <w:color w:val="auto"/>
              </w:rPr>
            </w:pPr>
            <w:r>
              <w:rPr>
                <w:rFonts w:ascii="Arial" w:cs="Arial" w:eastAsia="Arial" w:hAnsi="Arial"/>
                <w:sz w:val="19"/>
                <w:szCs w:val="19"/>
                <w:color w:val="231F20"/>
              </w:rPr>
              <w:t>Americas</w:t>
            </w:r>
          </w:p>
        </w:tc>
        <w:tc>
          <w:tcPr>
            <w:tcW w:w="280" w:type="dxa"/>
            <w:vAlign w:val="bottom"/>
            <w:shd w:val="clear" w:color="auto" w:fill="FDFDFC"/>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221,616</w:t>
            </w:r>
          </w:p>
        </w:tc>
        <w:tc>
          <w:tcPr>
            <w:tcW w:w="520" w:type="dxa"/>
            <w:vAlign w:val="bottom"/>
            <w:gridSpan w:val="2"/>
            <w:shd w:val="clear" w:color="auto" w:fill="FDFDFC"/>
          </w:tcPr>
          <w:p>
            <w:pPr>
              <w:jc w:val="right"/>
              <w:ind w:right="66"/>
              <w:spacing w:after="0"/>
              <w:rPr>
                <w:sz w:val="20"/>
                <w:szCs w:val="20"/>
                <w:color w:val="auto"/>
              </w:rPr>
            </w:pPr>
            <w:r>
              <w:rPr>
                <w:rFonts w:ascii="Arial" w:cs="Arial" w:eastAsia="Arial" w:hAnsi="Arial"/>
                <w:sz w:val="19"/>
                <w:szCs w:val="19"/>
                <w:color w:val="231F20"/>
              </w:rPr>
              <w:t>$</w:t>
            </w: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222,580</w:t>
            </w:r>
          </w:p>
        </w:tc>
        <w:tc>
          <w:tcPr>
            <w:tcW w:w="500" w:type="dxa"/>
            <w:vAlign w:val="bottom"/>
            <w:gridSpan w:val="2"/>
            <w:shd w:val="clear" w:color="auto" w:fill="FDFDFC"/>
          </w:tcPr>
          <w:p>
            <w:pPr>
              <w:jc w:val="right"/>
              <w:ind w:right="66"/>
              <w:spacing w:after="0"/>
              <w:rPr>
                <w:sz w:val="20"/>
                <w:szCs w:val="20"/>
                <w:color w:val="auto"/>
              </w:rPr>
            </w:pPr>
            <w:r>
              <w:rPr>
                <w:rFonts w:ascii="Arial" w:cs="Arial" w:eastAsia="Arial" w:hAnsi="Arial"/>
                <w:sz w:val="19"/>
                <w:szCs w:val="19"/>
                <w:color w:val="231F20"/>
              </w:rPr>
              <w:t>$</w:t>
            </w: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194,429</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EMEA</w:t>
            </w:r>
          </w:p>
        </w:tc>
        <w:tc>
          <w:tcPr>
            <w:tcW w:w="280" w:type="dxa"/>
            <w:vAlign w:val="bottom"/>
            <w:shd w:val="clear" w:color="auto" w:fill="D0EBF2"/>
          </w:tcPr>
          <w:p>
            <w:pPr>
              <w:spacing w:after="0"/>
              <w:rPr>
                <w:sz w:val="20"/>
                <w:szCs w:val="20"/>
                <w:color w:val="auto"/>
              </w:rPr>
            </w:pP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188,869</w:t>
            </w:r>
          </w:p>
        </w:tc>
        <w:tc>
          <w:tcPr>
            <w:tcW w:w="26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120,840</w:t>
            </w:r>
          </w:p>
        </w:tc>
        <w:tc>
          <w:tcPr>
            <w:tcW w:w="2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69,185</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D0EBF2"/>
            </w:tcBorders>
            <w:gridSpan w:val="2"/>
            <w:shd w:val="clear" w:color="auto" w:fill="FDFDFC"/>
          </w:tcPr>
          <w:p>
            <w:pPr>
              <w:spacing w:after="0"/>
              <w:rPr>
                <w:sz w:val="20"/>
                <w:szCs w:val="20"/>
                <w:color w:val="auto"/>
              </w:rPr>
            </w:pPr>
            <w:r>
              <w:rPr>
                <w:rFonts w:ascii="Arial" w:cs="Arial" w:eastAsia="Arial" w:hAnsi="Arial"/>
                <w:sz w:val="19"/>
                <w:szCs w:val="19"/>
                <w:color w:val="231F20"/>
              </w:rPr>
              <w:t>APAC</w:t>
            </w:r>
          </w:p>
        </w:tc>
        <w:tc>
          <w:tcPr>
            <w:tcW w:w="280" w:type="dxa"/>
            <w:vAlign w:val="bottom"/>
            <w:tcBorders>
              <w:bottom w:val="single" w:sz="8" w:color="231F20"/>
            </w:tcBorders>
            <w:shd w:val="clear" w:color="auto" w:fill="FDFDFC"/>
          </w:tcPr>
          <w:p>
            <w:pPr>
              <w:spacing w:after="0"/>
              <w:rPr>
                <w:sz w:val="20"/>
                <w:szCs w:val="20"/>
                <w:color w:val="auto"/>
              </w:rPr>
            </w:pPr>
          </w:p>
        </w:tc>
        <w:tc>
          <w:tcPr>
            <w:tcW w:w="9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81,659</w:t>
            </w:r>
          </w:p>
        </w:tc>
        <w:tc>
          <w:tcPr>
            <w:tcW w:w="260" w:type="dxa"/>
            <w:vAlign w:val="bottom"/>
            <w:tcBorders>
              <w:bottom w:val="single" w:sz="8" w:color="D0EBF2"/>
            </w:tcBorders>
            <w:shd w:val="clear" w:color="auto" w:fill="FDFDFC"/>
          </w:tcPr>
          <w:p>
            <w:pPr>
              <w:spacing w:after="0"/>
              <w:rPr>
                <w:sz w:val="20"/>
                <w:szCs w:val="20"/>
                <w:color w:val="auto"/>
              </w:rPr>
            </w:pPr>
          </w:p>
        </w:tc>
        <w:tc>
          <w:tcPr>
            <w:tcW w:w="260" w:type="dxa"/>
            <w:vAlign w:val="bottom"/>
            <w:tcBorders>
              <w:bottom w:val="single" w:sz="8" w:color="231F20"/>
            </w:tcBorders>
            <w:shd w:val="clear" w:color="auto" w:fill="FDFDFC"/>
          </w:tcPr>
          <w:p>
            <w:pPr>
              <w:spacing w:after="0"/>
              <w:rPr>
                <w:sz w:val="20"/>
                <w:szCs w:val="20"/>
                <w:color w:val="auto"/>
              </w:rPr>
            </w:pP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59,674</w:t>
            </w:r>
          </w:p>
        </w:tc>
        <w:tc>
          <w:tcPr>
            <w:tcW w:w="240" w:type="dxa"/>
            <w:vAlign w:val="bottom"/>
            <w:tcBorders>
              <w:bottom w:val="single" w:sz="8" w:color="D0EBF2"/>
            </w:tcBorders>
            <w:shd w:val="clear" w:color="auto" w:fill="FDFDFC"/>
          </w:tcPr>
          <w:p>
            <w:pPr>
              <w:spacing w:after="0"/>
              <w:rPr>
                <w:sz w:val="20"/>
                <w:szCs w:val="20"/>
                <w:color w:val="auto"/>
              </w:rPr>
            </w:pPr>
          </w:p>
        </w:tc>
        <w:tc>
          <w:tcPr>
            <w:tcW w:w="260" w:type="dxa"/>
            <w:vAlign w:val="bottom"/>
            <w:tcBorders>
              <w:bottom w:val="single" w:sz="8" w:color="231F20"/>
            </w:tcBorders>
            <w:shd w:val="clear" w:color="auto" w:fill="FDFDFC"/>
          </w:tcPr>
          <w:p>
            <w:pPr>
              <w:spacing w:after="0"/>
              <w:rPr>
                <w:sz w:val="20"/>
                <w:szCs w:val="20"/>
                <w:color w:val="auto"/>
              </w:rPr>
            </w:pP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25,761</w:t>
            </w:r>
          </w:p>
        </w:tc>
        <w:tc>
          <w:tcPr>
            <w:tcW w:w="10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6000" w:type="dxa"/>
            <w:vAlign w:val="bottom"/>
            <w:tcBorders>
              <w:bottom w:val="single" w:sz="8" w:color="D0EBF2"/>
            </w:tcBorders>
            <w:gridSpan w:val="2"/>
            <w:shd w:val="clear" w:color="auto" w:fill="D0EBF2"/>
          </w:tcPr>
          <w:p>
            <w:pPr>
              <w:ind w:left="260"/>
              <w:spacing w:after="0"/>
              <w:rPr>
                <w:sz w:val="20"/>
                <w:szCs w:val="20"/>
                <w:color w:val="auto"/>
              </w:rPr>
            </w:pPr>
            <w:r>
              <w:rPr>
                <w:rFonts w:ascii="Arial" w:cs="Arial" w:eastAsia="Arial" w:hAnsi="Arial"/>
                <w:sz w:val="19"/>
                <w:szCs w:val="19"/>
                <w:b w:val="1"/>
                <w:bCs w:val="1"/>
                <w:color w:val="231F20"/>
              </w:rPr>
              <w:t>Total revenue</w:t>
            </w:r>
          </w:p>
        </w:tc>
        <w:tc>
          <w:tcPr>
            <w:tcW w:w="28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b w:val="1"/>
                <w:bCs w:val="1"/>
                <w:color w:val="231F20"/>
                <w:w w:val="94"/>
              </w:rPr>
              <w:t>$</w:t>
            </w:r>
          </w:p>
        </w:tc>
        <w:tc>
          <w:tcPr>
            <w:tcW w:w="92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b w:val="1"/>
                <w:bCs w:val="1"/>
                <w:color w:val="231F20"/>
              </w:rPr>
              <w:t>492,144</w:t>
            </w:r>
          </w:p>
        </w:tc>
        <w:tc>
          <w:tcPr>
            <w:tcW w:w="260" w:type="dxa"/>
            <w:vAlign w:val="bottom"/>
            <w:tcBorders>
              <w:bottom w:val="single" w:sz="8" w:color="D0EBF2"/>
            </w:tcBorders>
            <w:shd w:val="clear" w:color="auto" w:fill="D0EBF2"/>
          </w:tcPr>
          <w:p>
            <w:pPr>
              <w:spacing w:after="0"/>
              <w:rPr>
                <w:sz w:val="24"/>
                <w:szCs w:val="24"/>
                <w:color w:val="auto"/>
              </w:rPr>
            </w:pPr>
          </w:p>
        </w:tc>
        <w:tc>
          <w:tcPr>
            <w:tcW w:w="26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b w:val="1"/>
                <w:bCs w:val="1"/>
                <w:color w:val="231F20"/>
                <w:w w:val="75"/>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b w:val="1"/>
                <w:bCs w:val="1"/>
                <w:color w:val="231F20"/>
              </w:rPr>
              <w:t>403,094</w:t>
            </w:r>
          </w:p>
        </w:tc>
        <w:tc>
          <w:tcPr>
            <w:tcW w:w="240" w:type="dxa"/>
            <w:vAlign w:val="bottom"/>
            <w:tcBorders>
              <w:bottom w:val="single" w:sz="8" w:color="D0EBF2"/>
            </w:tcBorders>
            <w:shd w:val="clear" w:color="auto" w:fill="D0EBF2"/>
          </w:tcPr>
          <w:p>
            <w:pPr>
              <w:spacing w:after="0"/>
              <w:rPr>
                <w:sz w:val="24"/>
                <w:szCs w:val="24"/>
                <w:color w:val="auto"/>
              </w:rPr>
            </w:pPr>
          </w:p>
        </w:tc>
        <w:tc>
          <w:tcPr>
            <w:tcW w:w="26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b w:val="1"/>
                <w:bCs w:val="1"/>
                <w:color w:val="231F20"/>
                <w:w w:val="75"/>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b w:val="1"/>
                <w:bCs w:val="1"/>
                <w:color w:val="231F20"/>
              </w:rPr>
              <w:t>289,375</w:t>
            </w:r>
          </w:p>
        </w:tc>
        <w:tc>
          <w:tcPr>
            <w:tcW w:w="100" w:type="dxa"/>
            <w:vAlign w:val="bottom"/>
            <w:tcBorders>
              <w:bottom w:val="single" w:sz="8" w:color="D0EBF2"/>
            </w:tcBorders>
            <w:shd w:val="clear" w:color="auto" w:fill="D0EBF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000" w:type="dxa"/>
            <w:vAlign w:val="bottom"/>
            <w:tcBorders>
              <w:top w:val="single" w:sz="8" w:color="FDFDFC"/>
            </w:tcBorders>
            <w:gridSpan w:val="2"/>
            <w:shd w:val="clear" w:color="auto" w:fill="FDFDFC"/>
          </w:tcPr>
          <w:p>
            <w:pPr>
              <w:spacing w:after="0" w:line="193" w:lineRule="exact"/>
              <w:rPr>
                <w:sz w:val="20"/>
                <w:szCs w:val="20"/>
                <w:color w:val="auto"/>
              </w:rPr>
            </w:pPr>
            <w:r>
              <w:rPr>
                <w:rFonts w:ascii="Arial" w:cs="Arial" w:eastAsia="Arial" w:hAnsi="Arial"/>
                <w:sz w:val="19"/>
                <w:szCs w:val="19"/>
                <w:b w:val="1"/>
                <w:bCs w:val="1"/>
                <w:color w:val="231F20"/>
              </w:rPr>
              <w:t>Major solutions</w:t>
            </w:r>
          </w:p>
        </w:tc>
        <w:tc>
          <w:tcPr>
            <w:tcW w:w="280" w:type="dxa"/>
            <w:vAlign w:val="bottom"/>
            <w:tcBorders>
              <w:top w:val="single" w:sz="8" w:color="231F20"/>
            </w:tcBorders>
            <w:shd w:val="clear" w:color="auto" w:fill="FDFDFC"/>
          </w:tcPr>
          <w:p>
            <w:pPr>
              <w:spacing w:after="0"/>
              <w:rPr>
                <w:sz w:val="16"/>
                <w:szCs w:val="16"/>
                <w:color w:val="auto"/>
              </w:rPr>
            </w:pPr>
          </w:p>
        </w:tc>
        <w:tc>
          <w:tcPr>
            <w:tcW w:w="920" w:type="dxa"/>
            <w:vAlign w:val="bottom"/>
            <w:tcBorders>
              <w:top w:val="single" w:sz="8" w:color="231F20"/>
            </w:tcBorders>
            <w:shd w:val="clear" w:color="auto" w:fill="FDFDFC"/>
          </w:tcPr>
          <w:p>
            <w:pPr>
              <w:spacing w:after="0"/>
              <w:rPr>
                <w:sz w:val="16"/>
                <w:szCs w:val="16"/>
                <w:color w:val="auto"/>
              </w:rPr>
            </w:pPr>
          </w:p>
        </w:tc>
        <w:tc>
          <w:tcPr>
            <w:tcW w:w="260" w:type="dxa"/>
            <w:vAlign w:val="bottom"/>
            <w:tcBorders>
              <w:top w:val="single" w:sz="8" w:color="FDFDFC"/>
            </w:tcBorders>
            <w:shd w:val="clear" w:color="auto" w:fill="FDFDFC"/>
          </w:tcPr>
          <w:p>
            <w:pPr>
              <w:spacing w:after="0"/>
              <w:rPr>
                <w:sz w:val="16"/>
                <w:szCs w:val="16"/>
                <w:color w:val="auto"/>
              </w:rPr>
            </w:pPr>
          </w:p>
        </w:tc>
        <w:tc>
          <w:tcPr>
            <w:tcW w:w="260" w:type="dxa"/>
            <w:vAlign w:val="bottom"/>
            <w:tcBorders>
              <w:top w:val="single" w:sz="8" w:color="231F20"/>
            </w:tcBorders>
            <w:shd w:val="clear" w:color="auto" w:fill="FDFDFC"/>
          </w:tcPr>
          <w:p>
            <w:pPr>
              <w:spacing w:after="0"/>
              <w:rPr>
                <w:sz w:val="16"/>
                <w:szCs w:val="16"/>
                <w:color w:val="auto"/>
              </w:rPr>
            </w:pPr>
          </w:p>
        </w:tc>
        <w:tc>
          <w:tcPr>
            <w:tcW w:w="940" w:type="dxa"/>
            <w:vAlign w:val="bottom"/>
            <w:tcBorders>
              <w:top w:val="single" w:sz="8" w:color="231F20"/>
            </w:tcBorders>
            <w:shd w:val="clear" w:color="auto" w:fill="FDFDFC"/>
          </w:tcPr>
          <w:p>
            <w:pPr>
              <w:spacing w:after="0"/>
              <w:rPr>
                <w:sz w:val="16"/>
                <w:szCs w:val="16"/>
                <w:color w:val="auto"/>
              </w:rPr>
            </w:pPr>
          </w:p>
        </w:tc>
        <w:tc>
          <w:tcPr>
            <w:tcW w:w="240" w:type="dxa"/>
            <w:vAlign w:val="bottom"/>
            <w:tcBorders>
              <w:top w:val="single" w:sz="8" w:color="FDFDFC"/>
            </w:tcBorders>
            <w:shd w:val="clear" w:color="auto" w:fill="FDFDFC"/>
          </w:tcPr>
          <w:p>
            <w:pPr>
              <w:spacing w:after="0"/>
              <w:rPr>
                <w:sz w:val="16"/>
                <w:szCs w:val="16"/>
                <w:color w:val="auto"/>
              </w:rPr>
            </w:pPr>
          </w:p>
        </w:tc>
        <w:tc>
          <w:tcPr>
            <w:tcW w:w="260" w:type="dxa"/>
            <w:vAlign w:val="bottom"/>
            <w:tcBorders>
              <w:top w:val="single" w:sz="8" w:color="231F20"/>
            </w:tcBorders>
            <w:shd w:val="clear" w:color="auto" w:fill="FDFDFC"/>
          </w:tcPr>
          <w:p>
            <w:pPr>
              <w:spacing w:after="0"/>
              <w:rPr>
                <w:sz w:val="16"/>
                <w:szCs w:val="16"/>
                <w:color w:val="auto"/>
              </w:rPr>
            </w:pPr>
          </w:p>
        </w:tc>
        <w:tc>
          <w:tcPr>
            <w:tcW w:w="940" w:type="dxa"/>
            <w:vAlign w:val="bottom"/>
            <w:tcBorders>
              <w:top w:val="single" w:sz="8" w:color="231F20"/>
            </w:tcBorders>
            <w:shd w:val="clear" w:color="auto" w:fill="FDFDFC"/>
          </w:tcPr>
          <w:p>
            <w:pPr>
              <w:spacing w:after="0"/>
              <w:rPr>
                <w:sz w:val="16"/>
                <w:szCs w:val="16"/>
                <w:color w:val="auto"/>
              </w:rPr>
            </w:pPr>
          </w:p>
        </w:tc>
        <w:tc>
          <w:tcPr>
            <w:tcW w:w="100" w:type="dxa"/>
            <w:vAlign w:val="bottom"/>
            <w:tcBorders>
              <w:top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Transaction</w:t>
            </w:r>
          </w:p>
        </w:tc>
        <w:tc>
          <w:tcPr>
            <w:tcW w:w="28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410,256</w:t>
            </w:r>
          </w:p>
        </w:tc>
        <w:tc>
          <w:tcPr>
            <w:tcW w:w="260" w:type="dxa"/>
            <w:vAlign w:val="bottom"/>
            <w:shd w:val="clear" w:color="auto" w:fill="D0EBF2"/>
          </w:tcPr>
          <w:p>
            <w:pPr>
              <w:spacing w:after="0"/>
              <w:rPr>
                <w:sz w:val="20"/>
                <w:szCs w:val="20"/>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329,721</w:t>
            </w:r>
          </w:p>
        </w:tc>
        <w:tc>
          <w:tcPr>
            <w:tcW w:w="240" w:type="dxa"/>
            <w:vAlign w:val="bottom"/>
            <w:shd w:val="clear" w:color="auto" w:fill="D0EBF2"/>
          </w:tcPr>
          <w:p>
            <w:pPr>
              <w:spacing w:after="0"/>
              <w:rPr>
                <w:sz w:val="20"/>
                <w:szCs w:val="20"/>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224,149</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D0EBF2"/>
            </w:tcBorders>
            <w:gridSpan w:val="2"/>
            <w:shd w:val="clear" w:color="auto" w:fill="FDFDFC"/>
          </w:tcPr>
          <w:p>
            <w:pPr>
              <w:spacing w:after="0"/>
              <w:rPr>
                <w:sz w:val="20"/>
                <w:szCs w:val="20"/>
                <w:color w:val="auto"/>
              </w:rPr>
            </w:pPr>
            <w:r>
              <w:rPr>
                <w:rFonts w:ascii="Arial" w:cs="Arial" w:eastAsia="Arial" w:hAnsi="Arial"/>
                <w:sz w:val="19"/>
                <w:szCs w:val="19"/>
                <w:color w:val="231F20"/>
              </w:rPr>
              <w:t>Platform and other revenues</w:t>
            </w:r>
          </w:p>
        </w:tc>
        <w:tc>
          <w:tcPr>
            <w:tcW w:w="280" w:type="dxa"/>
            <w:vAlign w:val="bottom"/>
            <w:tcBorders>
              <w:bottom w:val="single" w:sz="8" w:color="231F20"/>
            </w:tcBorders>
            <w:shd w:val="clear" w:color="auto" w:fill="FDFDFC"/>
          </w:tcPr>
          <w:p>
            <w:pPr>
              <w:spacing w:after="0"/>
              <w:rPr>
                <w:sz w:val="20"/>
                <w:szCs w:val="20"/>
                <w:color w:val="auto"/>
              </w:rPr>
            </w:pPr>
          </w:p>
        </w:tc>
        <w:tc>
          <w:tcPr>
            <w:tcW w:w="9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81,888</w:t>
            </w:r>
          </w:p>
        </w:tc>
        <w:tc>
          <w:tcPr>
            <w:tcW w:w="260" w:type="dxa"/>
            <w:vAlign w:val="bottom"/>
            <w:tcBorders>
              <w:bottom w:val="single" w:sz="8" w:color="D0EBF2"/>
            </w:tcBorders>
            <w:shd w:val="clear" w:color="auto" w:fill="FDFDFC"/>
          </w:tcPr>
          <w:p>
            <w:pPr>
              <w:spacing w:after="0"/>
              <w:rPr>
                <w:sz w:val="20"/>
                <w:szCs w:val="20"/>
                <w:color w:val="auto"/>
              </w:rPr>
            </w:pPr>
          </w:p>
        </w:tc>
        <w:tc>
          <w:tcPr>
            <w:tcW w:w="260" w:type="dxa"/>
            <w:vAlign w:val="bottom"/>
            <w:tcBorders>
              <w:bottom w:val="single" w:sz="8" w:color="231F20"/>
            </w:tcBorders>
            <w:shd w:val="clear" w:color="auto" w:fill="FDFDFC"/>
          </w:tcPr>
          <w:p>
            <w:pPr>
              <w:spacing w:after="0"/>
              <w:rPr>
                <w:sz w:val="20"/>
                <w:szCs w:val="20"/>
                <w:color w:val="auto"/>
              </w:rPr>
            </w:pP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73,373</w:t>
            </w:r>
          </w:p>
        </w:tc>
        <w:tc>
          <w:tcPr>
            <w:tcW w:w="240" w:type="dxa"/>
            <w:vAlign w:val="bottom"/>
            <w:tcBorders>
              <w:bottom w:val="single" w:sz="8" w:color="D0EBF2"/>
            </w:tcBorders>
            <w:shd w:val="clear" w:color="auto" w:fill="FDFDFC"/>
          </w:tcPr>
          <w:p>
            <w:pPr>
              <w:spacing w:after="0"/>
              <w:rPr>
                <w:sz w:val="20"/>
                <w:szCs w:val="20"/>
                <w:color w:val="auto"/>
              </w:rPr>
            </w:pPr>
          </w:p>
        </w:tc>
        <w:tc>
          <w:tcPr>
            <w:tcW w:w="260" w:type="dxa"/>
            <w:vAlign w:val="bottom"/>
            <w:tcBorders>
              <w:bottom w:val="single" w:sz="8" w:color="231F20"/>
            </w:tcBorders>
            <w:shd w:val="clear" w:color="auto" w:fill="FDFDFC"/>
          </w:tcPr>
          <w:p>
            <w:pPr>
              <w:spacing w:after="0"/>
              <w:rPr>
                <w:sz w:val="20"/>
                <w:szCs w:val="20"/>
                <w:color w:val="auto"/>
              </w:rPr>
            </w:pP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65,226</w:t>
            </w:r>
          </w:p>
        </w:tc>
        <w:tc>
          <w:tcPr>
            <w:tcW w:w="10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0" w:type="dxa"/>
            <w:vAlign w:val="bottom"/>
            <w:gridSpan w:val="2"/>
            <w:shd w:val="clear" w:color="auto" w:fill="D0EBF2"/>
          </w:tcPr>
          <w:p>
            <w:pPr>
              <w:ind w:left="260"/>
              <w:spacing w:after="0"/>
              <w:rPr>
                <w:sz w:val="20"/>
                <w:szCs w:val="20"/>
                <w:color w:val="auto"/>
              </w:rPr>
            </w:pPr>
            <w:r>
              <w:rPr>
                <w:rFonts w:ascii="Arial" w:cs="Arial" w:eastAsia="Arial" w:hAnsi="Arial"/>
                <w:sz w:val="19"/>
                <w:szCs w:val="19"/>
                <w:b w:val="1"/>
                <w:bCs w:val="1"/>
                <w:color w:val="231F20"/>
              </w:rPr>
              <w:t>Total revenue</w:t>
            </w:r>
          </w:p>
        </w:tc>
        <w:tc>
          <w:tcPr>
            <w:tcW w:w="28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b w:val="1"/>
                <w:bCs w:val="1"/>
                <w:color w:val="231F20"/>
                <w:w w:val="94"/>
              </w:rPr>
              <w:t>$</w:t>
            </w:r>
          </w:p>
        </w:tc>
        <w:tc>
          <w:tcPr>
            <w:tcW w:w="92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b w:val="1"/>
                <w:bCs w:val="1"/>
                <w:color w:val="231F20"/>
              </w:rPr>
              <w:t>492,144</w:t>
            </w:r>
          </w:p>
        </w:tc>
        <w:tc>
          <w:tcPr>
            <w:tcW w:w="260" w:type="dxa"/>
            <w:vAlign w:val="bottom"/>
            <w:shd w:val="clear" w:color="auto" w:fill="D0EBF2"/>
          </w:tcPr>
          <w:p>
            <w:pPr>
              <w:spacing w:after="0"/>
              <w:rPr>
                <w:sz w:val="19"/>
                <w:szCs w:val="19"/>
                <w:color w:val="auto"/>
              </w:rPr>
            </w:pPr>
          </w:p>
        </w:tc>
        <w:tc>
          <w:tcPr>
            <w:tcW w:w="26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b w:val="1"/>
                <w:bCs w:val="1"/>
                <w:color w:val="231F20"/>
                <w:w w:val="75"/>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b w:val="1"/>
                <w:bCs w:val="1"/>
                <w:color w:val="231F20"/>
              </w:rPr>
              <w:t>403,094</w:t>
            </w:r>
          </w:p>
        </w:tc>
        <w:tc>
          <w:tcPr>
            <w:tcW w:w="240" w:type="dxa"/>
            <w:vAlign w:val="bottom"/>
            <w:shd w:val="clear" w:color="auto" w:fill="D0EBF2"/>
          </w:tcPr>
          <w:p>
            <w:pPr>
              <w:spacing w:after="0"/>
              <w:rPr>
                <w:sz w:val="19"/>
                <w:szCs w:val="19"/>
                <w:color w:val="auto"/>
              </w:rPr>
            </w:pPr>
          </w:p>
        </w:tc>
        <w:tc>
          <w:tcPr>
            <w:tcW w:w="26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b w:val="1"/>
                <w:bCs w:val="1"/>
                <w:color w:val="231F20"/>
                <w:w w:val="75"/>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b w:val="1"/>
                <w:bCs w:val="1"/>
                <w:color w:val="231F20"/>
              </w:rPr>
              <w:t>289,375</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Contract Balances from Contracts with Clients</w:t>
      </w:r>
    </w:p>
    <w:p>
      <w:pPr>
        <w:spacing w:after="0" w:line="184" w:lineRule="exact"/>
        <w:rPr>
          <w:sz w:val="20"/>
          <w:szCs w:val="20"/>
          <w:color w:val="auto"/>
        </w:rPr>
      </w:pPr>
    </w:p>
    <w:p>
      <w:pPr>
        <w:ind w:right="240" w:firstLine="463"/>
        <w:spacing w:after="0" w:line="278" w:lineRule="auto"/>
        <w:rPr>
          <w:sz w:val="20"/>
          <w:szCs w:val="20"/>
          <w:color w:val="auto"/>
        </w:rPr>
      </w:pPr>
      <w:r>
        <w:rPr>
          <w:rFonts w:ascii="Arial" w:cs="Arial" w:eastAsia="Arial" w:hAnsi="Arial"/>
          <w:sz w:val="19"/>
          <w:szCs w:val="19"/>
          <w:color w:val="231F20"/>
        </w:rPr>
        <w:t>The timing of revenue recognition, billing and cash collection results in billed receivables, unbilled receivables and deferred revenue on the consolidated balance sheet.</w:t>
      </w:r>
    </w:p>
    <w:p>
      <w:pPr>
        <w:spacing w:after="0" w:line="117" w:lineRule="exact"/>
        <w:rPr>
          <w:sz w:val="20"/>
          <w:szCs w:val="20"/>
          <w:color w:val="auto"/>
        </w:rPr>
      </w:pPr>
    </w:p>
    <w:p>
      <w:pPr>
        <w:ind w:right="20" w:firstLine="463"/>
        <w:spacing w:after="0" w:line="258" w:lineRule="auto"/>
        <w:rPr>
          <w:sz w:val="20"/>
          <w:szCs w:val="20"/>
          <w:color w:val="auto"/>
        </w:rPr>
      </w:pPr>
      <w:r>
        <w:rPr>
          <w:rFonts w:ascii="Arial" w:cs="Arial" w:eastAsia="Arial" w:hAnsi="Arial"/>
          <w:sz w:val="19"/>
          <w:szCs w:val="19"/>
          <w:color w:val="231F20"/>
        </w:rPr>
        <w:t>When fees are received prior to transferring services to the client under the terms of a contract, deferred revenue, which is a contract liability, is recorded. Contract liabilities are recognized as revenue when services are performed and all other revenue recognition criteria have been met.</w:t>
      </w:r>
    </w:p>
    <w:p>
      <w:pPr>
        <w:spacing w:after="0" w:line="136" w:lineRule="exact"/>
        <w:rPr>
          <w:sz w:val="20"/>
          <w:szCs w:val="20"/>
          <w:color w:val="auto"/>
        </w:rPr>
      </w:pPr>
    </w:p>
    <w:p>
      <w:pPr>
        <w:ind w:right="520" w:firstLine="463"/>
        <w:spacing w:after="0" w:line="307" w:lineRule="auto"/>
        <w:rPr>
          <w:sz w:val="20"/>
          <w:szCs w:val="20"/>
          <w:color w:val="auto"/>
        </w:rPr>
      </w:pPr>
      <w:r>
        <w:rPr>
          <w:rFonts w:ascii="Arial" w:cs="Arial" w:eastAsia="Arial" w:hAnsi="Arial"/>
          <w:sz w:val="18"/>
          <w:szCs w:val="18"/>
          <w:color w:val="231F20"/>
        </w:rPr>
        <w:t>In certain instances, the Company delivers services in advance of billing. In this case the Company recognizes unbilled receivables which is not a contract asset as the Company has an unconditional right for payment.</w:t>
      </w:r>
    </w:p>
    <w:p>
      <w:pPr>
        <w:spacing w:after="0" w:line="94" w:lineRule="exact"/>
        <w:rPr>
          <w:sz w:val="20"/>
          <w:szCs w:val="20"/>
          <w:color w:val="auto"/>
        </w:rPr>
      </w:pPr>
    </w:p>
    <w:p>
      <w:pPr>
        <w:ind w:right="100" w:firstLine="463"/>
        <w:spacing w:after="0" w:line="278" w:lineRule="auto"/>
        <w:rPr>
          <w:sz w:val="20"/>
          <w:szCs w:val="20"/>
          <w:color w:val="auto"/>
        </w:rPr>
      </w:pPr>
      <w:r>
        <w:rPr>
          <w:rFonts w:ascii="Arial" w:cs="Arial" w:eastAsia="Arial" w:hAnsi="Arial"/>
          <w:sz w:val="19"/>
          <w:szCs w:val="19"/>
          <w:color w:val="231F20"/>
        </w:rPr>
        <w:t>The following table provides information about accounts receivable, unbilled receivables and deferred revenue from contracts with clients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4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320" w:type="dxa"/>
            <w:vAlign w:val="bottom"/>
            <w:shd w:val="clear" w:color="auto" w:fill="FDFDFC"/>
          </w:tcPr>
          <w:p>
            <w:pPr>
              <w:spacing w:after="0"/>
              <w:rPr>
                <w:sz w:val="16"/>
                <w:szCs w:val="16"/>
                <w:color w:val="auto"/>
              </w:rPr>
            </w:pPr>
          </w:p>
        </w:tc>
        <w:tc>
          <w:tcPr>
            <w:tcW w:w="2880" w:type="dxa"/>
            <w:vAlign w:val="bottom"/>
            <w:gridSpan w:val="5"/>
            <w:shd w:val="clear" w:color="auto" w:fill="FDFDFC"/>
          </w:tcPr>
          <w:p>
            <w:pPr>
              <w:ind w:left="300"/>
              <w:spacing w:after="0"/>
              <w:rPr>
                <w:sz w:val="20"/>
                <w:szCs w:val="20"/>
                <w:color w:val="auto"/>
              </w:rPr>
            </w:pPr>
            <w:r>
              <w:rPr>
                <w:rFonts w:ascii="Arial" w:cs="Arial" w:eastAsia="Arial" w:hAnsi="Arial"/>
                <w:sz w:val="15"/>
                <w:szCs w:val="15"/>
                <w:b w:val="1"/>
                <w:bCs w:val="1"/>
                <w:color w:val="231F20"/>
              </w:rPr>
              <w:t>Year Ended December 31,</w:t>
            </w:r>
          </w:p>
        </w:tc>
      </w:tr>
      <w:tr>
        <w:trPr>
          <w:trHeight w:val="176"/>
        </w:trPr>
        <w:tc>
          <w:tcPr>
            <w:tcW w:w="6840" w:type="dxa"/>
            <w:vAlign w:val="bottom"/>
            <w:tcBorders>
              <w:top w:val="single" w:sz="8" w:color="FDFDFC"/>
              <w:bottom w:val="single" w:sz="8" w:color="D0EBF2"/>
            </w:tcBorders>
            <w:shd w:val="clear" w:color="auto" w:fill="FDFDFC"/>
          </w:tcPr>
          <w:p>
            <w:pPr>
              <w:spacing w:after="0"/>
              <w:rPr>
                <w:sz w:val="15"/>
                <w:szCs w:val="15"/>
                <w:color w:val="auto"/>
              </w:rPr>
            </w:pPr>
          </w:p>
        </w:tc>
        <w:tc>
          <w:tcPr>
            <w:tcW w:w="160" w:type="dxa"/>
            <w:vAlign w:val="bottom"/>
            <w:tcBorders>
              <w:top w:val="single" w:sz="8" w:color="FDFDFC"/>
              <w:bottom w:val="single" w:sz="8" w:color="D0EBF2"/>
            </w:tcBorders>
            <w:shd w:val="clear" w:color="auto" w:fill="FDFDFC"/>
          </w:tcPr>
          <w:p>
            <w:pPr>
              <w:spacing w:after="0"/>
              <w:rPr>
                <w:sz w:val="15"/>
                <w:szCs w:val="15"/>
                <w:color w:val="auto"/>
              </w:rPr>
            </w:pPr>
          </w:p>
        </w:tc>
        <w:tc>
          <w:tcPr>
            <w:tcW w:w="320" w:type="dxa"/>
            <w:vAlign w:val="bottom"/>
            <w:tcBorders>
              <w:top w:val="single" w:sz="8" w:color="231F20"/>
              <w:bottom w:val="single" w:sz="8" w:color="231F20"/>
            </w:tcBorders>
            <w:shd w:val="clear" w:color="auto" w:fill="FDFDFC"/>
          </w:tcPr>
          <w:p>
            <w:pPr>
              <w:spacing w:after="0"/>
              <w:rPr>
                <w:sz w:val="15"/>
                <w:szCs w:val="15"/>
                <w:color w:val="auto"/>
              </w:rPr>
            </w:pPr>
          </w:p>
        </w:tc>
        <w:tc>
          <w:tcPr>
            <w:tcW w:w="1100" w:type="dxa"/>
            <w:vAlign w:val="bottom"/>
            <w:tcBorders>
              <w:top w:val="single" w:sz="8" w:color="231F20"/>
              <w:bottom w:val="single" w:sz="8" w:color="231F20"/>
            </w:tcBorders>
            <w:shd w:val="clear" w:color="auto" w:fill="FDFDFC"/>
          </w:tcPr>
          <w:p>
            <w:pPr>
              <w:jc w:val="right"/>
              <w:ind w:right="472"/>
              <w:spacing w:after="0"/>
              <w:rPr>
                <w:sz w:val="20"/>
                <w:szCs w:val="20"/>
                <w:color w:val="auto"/>
              </w:rPr>
            </w:pPr>
            <w:r>
              <w:rPr>
                <w:rFonts w:ascii="Arial" w:cs="Arial" w:eastAsia="Arial" w:hAnsi="Arial"/>
                <w:sz w:val="15"/>
                <w:szCs w:val="15"/>
                <w:b w:val="1"/>
                <w:bCs w:val="1"/>
                <w:color w:val="231F20"/>
              </w:rPr>
              <w:t>2024</w:t>
            </w:r>
          </w:p>
        </w:tc>
        <w:tc>
          <w:tcPr>
            <w:tcW w:w="260" w:type="dxa"/>
            <w:vAlign w:val="bottom"/>
            <w:tcBorders>
              <w:top w:val="single" w:sz="8" w:color="231F20"/>
              <w:bottom w:val="single" w:sz="8" w:color="D0EBF2"/>
            </w:tcBorders>
            <w:shd w:val="clear" w:color="auto" w:fill="FDFDFC"/>
          </w:tcPr>
          <w:p>
            <w:pPr>
              <w:spacing w:after="0"/>
              <w:rPr>
                <w:sz w:val="15"/>
                <w:szCs w:val="15"/>
                <w:color w:val="auto"/>
              </w:rPr>
            </w:pPr>
          </w:p>
        </w:tc>
        <w:tc>
          <w:tcPr>
            <w:tcW w:w="320" w:type="dxa"/>
            <w:vAlign w:val="bottom"/>
            <w:tcBorders>
              <w:top w:val="single" w:sz="8" w:color="231F20"/>
              <w:bottom w:val="single" w:sz="8" w:color="231F20"/>
            </w:tcBorders>
            <w:shd w:val="clear" w:color="auto" w:fill="FDFDFC"/>
          </w:tcPr>
          <w:p>
            <w:pPr>
              <w:spacing w:after="0"/>
              <w:rPr>
                <w:sz w:val="15"/>
                <w:szCs w:val="15"/>
                <w:color w:val="auto"/>
              </w:rPr>
            </w:pPr>
          </w:p>
        </w:tc>
        <w:tc>
          <w:tcPr>
            <w:tcW w:w="1100" w:type="dxa"/>
            <w:vAlign w:val="bottom"/>
            <w:tcBorders>
              <w:top w:val="single" w:sz="8" w:color="231F20"/>
              <w:bottom w:val="single" w:sz="8" w:color="231F20"/>
            </w:tcBorders>
            <w:shd w:val="clear" w:color="auto" w:fill="FDFDFC"/>
          </w:tcPr>
          <w:p>
            <w:pPr>
              <w:jc w:val="right"/>
              <w:ind w:right="449"/>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top w:val="single" w:sz="8" w:color="FDFDFC"/>
              <w:bottom w:val="single" w:sz="8" w:color="D0EBF2"/>
            </w:tcBorders>
            <w:shd w:val="clear" w:color="auto" w:fill="FDFDFC"/>
          </w:tcPr>
          <w:p>
            <w:pPr>
              <w:spacing w:after="0"/>
              <w:rPr>
                <w:sz w:val="15"/>
                <w:szCs w:val="15"/>
                <w:color w:val="auto"/>
              </w:rPr>
            </w:pPr>
          </w:p>
        </w:tc>
      </w:tr>
      <w:tr>
        <w:trPr>
          <w:trHeight w:val="220"/>
        </w:trPr>
        <w:tc>
          <w:tcPr>
            <w:tcW w:w="6840" w:type="dxa"/>
            <w:vAlign w:val="bottom"/>
            <w:shd w:val="clear" w:color="auto" w:fill="D0EBF2"/>
          </w:tcPr>
          <w:p>
            <w:pPr>
              <w:spacing w:after="0"/>
              <w:rPr>
                <w:sz w:val="20"/>
                <w:szCs w:val="20"/>
                <w:color w:val="auto"/>
              </w:rPr>
            </w:pPr>
            <w:r>
              <w:rPr>
                <w:rFonts w:ascii="Arial" w:cs="Arial" w:eastAsia="Arial" w:hAnsi="Arial"/>
                <w:sz w:val="19"/>
                <w:szCs w:val="19"/>
                <w:color w:val="231F20"/>
              </w:rPr>
              <w:t>Accounts receivable, net</w:t>
            </w:r>
          </w:p>
        </w:tc>
        <w:tc>
          <w:tcPr>
            <w:tcW w:w="160" w:type="dxa"/>
            <w:vAlign w:val="bottom"/>
            <w:shd w:val="clear" w:color="auto" w:fill="D0EBF2"/>
          </w:tcPr>
          <w:p>
            <w:pPr>
              <w:spacing w:after="0"/>
              <w:rPr>
                <w:sz w:val="19"/>
                <w:szCs w:val="19"/>
                <w:color w:val="auto"/>
              </w:rPr>
            </w:pPr>
          </w:p>
        </w:tc>
        <w:tc>
          <w:tcPr>
            <w:tcW w:w="320" w:type="dxa"/>
            <w:vAlign w:val="bottom"/>
            <w:shd w:val="clear" w:color="auto" w:fill="D0EBF2"/>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23,703</w:t>
            </w:r>
          </w:p>
        </w:tc>
        <w:tc>
          <w:tcPr>
            <w:tcW w:w="260" w:type="dxa"/>
            <w:vAlign w:val="bottom"/>
            <w:shd w:val="clear" w:color="auto" w:fill="D0EBF2"/>
          </w:tcPr>
          <w:p>
            <w:pPr>
              <w:spacing w:after="0"/>
              <w:rPr>
                <w:sz w:val="19"/>
                <w:szCs w:val="19"/>
                <w:color w:val="auto"/>
              </w:rPr>
            </w:pPr>
          </w:p>
        </w:tc>
        <w:tc>
          <w:tcPr>
            <w:tcW w:w="320" w:type="dxa"/>
            <w:vAlign w:val="bottom"/>
            <w:shd w:val="clear" w:color="auto" w:fill="D0EBF2"/>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18,215</w:t>
            </w:r>
          </w:p>
        </w:tc>
        <w:tc>
          <w:tcPr>
            <w:tcW w:w="100" w:type="dxa"/>
            <w:vAlign w:val="bottom"/>
            <w:shd w:val="clear" w:color="auto" w:fill="D0EBF2"/>
          </w:tcPr>
          <w:p>
            <w:pPr>
              <w:spacing w:after="0"/>
              <w:rPr>
                <w:sz w:val="19"/>
                <w:szCs w:val="19"/>
                <w:color w:val="auto"/>
              </w:rPr>
            </w:pPr>
          </w:p>
        </w:tc>
      </w:tr>
      <w:tr>
        <w:trPr>
          <w:trHeight w:val="230"/>
        </w:trPr>
        <w:tc>
          <w:tcPr>
            <w:tcW w:w="6840" w:type="dxa"/>
            <w:vAlign w:val="bottom"/>
            <w:shd w:val="clear" w:color="auto" w:fill="FDFDFC"/>
          </w:tcPr>
          <w:p>
            <w:pPr>
              <w:spacing w:after="0"/>
              <w:rPr>
                <w:sz w:val="20"/>
                <w:szCs w:val="20"/>
                <w:color w:val="auto"/>
              </w:rPr>
            </w:pPr>
            <w:r>
              <w:rPr>
                <w:rFonts w:ascii="Arial" w:cs="Arial" w:eastAsia="Arial" w:hAnsi="Arial"/>
                <w:sz w:val="19"/>
                <w:szCs w:val="19"/>
                <w:color w:val="231F20"/>
              </w:rPr>
              <w:t>Unbilled receivables, net</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15,453</w:t>
            </w:r>
          </w:p>
        </w:tc>
        <w:tc>
          <w:tcPr>
            <w:tcW w:w="2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10,689</w:t>
            </w:r>
          </w:p>
        </w:tc>
        <w:tc>
          <w:tcPr>
            <w:tcW w:w="100" w:type="dxa"/>
            <w:vAlign w:val="bottom"/>
            <w:shd w:val="clear" w:color="auto" w:fill="FDFDFC"/>
          </w:tcPr>
          <w:p>
            <w:pPr>
              <w:spacing w:after="0"/>
              <w:rPr>
                <w:sz w:val="20"/>
                <w:szCs w:val="20"/>
                <w:color w:val="auto"/>
              </w:rPr>
            </w:pPr>
          </w:p>
        </w:tc>
      </w:tr>
      <w:tr>
        <w:trPr>
          <w:trHeight w:val="230"/>
        </w:trPr>
        <w:tc>
          <w:tcPr>
            <w:tcW w:w="6840" w:type="dxa"/>
            <w:vAlign w:val="bottom"/>
            <w:shd w:val="clear" w:color="auto" w:fill="D0EBF2"/>
          </w:tcPr>
          <w:p>
            <w:pPr>
              <w:spacing w:after="0"/>
              <w:rPr>
                <w:sz w:val="20"/>
                <w:szCs w:val="20"/>
                <w:color w:val="auto"/>
              </w:rPr>
            </w:pPr>
            <w:r>
              <w:rPr>
                <w:rFonts w:ascii="Arial" w:cs="Arial" w:eastAsia="Arial" w:hAnsi="Arial"/>
                <w:sz w:val="19"/>
                <w:szCs w:val="19"/>
                <w:color w:val="231F20"/>
              </w:rPr>
              <w:t>Deferred revenue – current</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7,337</w:t>
            </w:r>
          </w:p>
        </w:tc>
        <w:tc>
          <w:tcPr>
            <w:tcW w:w="2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6,968</w:t>
            </w:r>
          </w:p>
        </w:tc>
        <w:tc>
          <w:tcPr>
            <w:tcW w:w="100" w:type="dxa"/>
            <w:vAlign w:val="bottom"/>
            <w:shd w:val="clear" w:color="auto" w:fill="D0EBF2"/>
          </w:tcPr>
          <w:p>
            <w:pPr>
              <w:spacing w:after="0"/>
              <w:rPr>
                <w:sz w:val="20"/>
                <w:szCs w:val="20"/>
                <w:color w:val="auto"/>
              </w:rPr>
            </w:pPr>
          </w:p>
        </w:tc>
      </w:tr>
      <w:tr>
        <w:trPr>
          <w:trHeight w:val="230"/>
        </w:trPr>
        <w:tc>
          <w:tcPr>
            <w:tcW w:w="6840" w:type="dxa"/>
            <w:vAlign w:val="bottom"/>
            <w:shd w:val="clear" w:color="auto" w:fill="FDFDFC"/>
          </w:tcPr>
          <w:p>
            <w:pPr>
              <w:spacing w:after="0"/>
              <w:rPr>
                <w:sz w:val="20"/>
                <w:szCs w:val="20"/>
                <w:color w:val="auto"/>
              </w:rPr>
            </w:pPr>
            <w:r>
              <w:rPr>
                <w:rFonts w:ascii="Arial" w:cs="Arial" w:eastAsia="Arial" w:hAnsi="Arial"/>
                <w:sz w:val="19"/>
                <w:szCs w:val="19"/>
                <w:color w:val="231F20"/>
              </w:rPr>
              <w:t>Deferred revenue – non-current</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207</w:t>
            </w:r>
          </w:p>
        </w:tc>
        <w:tc>
          <w:tcPr>
            <w:tcW w:w="2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169</w:t>
            </w:r>
          </w:p>
        </w:tc>
        <w:tc>
          <w:tcPr>
            <w:tcW w:w="100" w:type="dxa"/>
            <w:vAlign w:val="bottom"/>
            <w:shd w:val="clear" w:color="auto" w:fill="FDFDFC"/>
          </w:tcPr>
          <w:p>
            <w:pPr>
              <w:spacing w:after="0"/>
              <w:rPr>
                <w:sz w:val="20"/>
                <w:szCs w:val="20"/>
                <w:color w:val="auto"/>
              </w:rPr>
            </w:pPr>
          </w:p>
        </w:tc>
      </w:tr>
    </w:tbl>
    <w:p>
      <w:pPr>
        <w:spacing w:after="0" w:line="171" w:lineRule="exact"/>
        <w:rPr>
          <w:sz w:val="20"/>
          <w:szCs w:val="20"/>
          <w:color w:val="auto"/>
        </w:rPr>
      </w:pPr>
    </w:p>
    <w:p>
      <w:pPr>
        <w:ind w:right="240" w:firstLine="463"/>
        <w:spacing w:after="0" w:line="278" w:lineRule="auto"/>
        <w:rPr>
          <w:sz w:val="20"/>
          <w:szCs w:val="20"/>
          <w:color w:val="auto"/>
        </w:rPr>
      </w:pPr>
      <w:r>
        <w:rPr>
          <w:rFonts w:ascii="Arial" w:cs="Arial" w:eastAsia="Arial" w:hAnsi="Arial"/>
          <w:sz w:val="19"/>
          <w:szCs w:val="19"/>
          <w:color w:val="231F20"/>
        </w:rPr>
        <w:t>For the year ended December 31, 2024, the Company recognized $5.8 million in revenue from amounts that were included in deferred revenue as of December 31, 2023.</w:t>
      </w:r>
    </w:p>
    <w:p>
      <w:pPr>
        <w:spacing w:after="0" w:line="117" w:lineRule="exact"/>
        <w:rPr>
          <w:sz w:val="20"/>
          <w:szCs w:val="20"/>
          <w:color w:val="auto"/>
        </w:rPr>
      </w:pPr>
    </w:p>
    <w:p>
      <w:pPr>
        <w:ind w:right="240" w:firstLine="463"/>
        <w:spacing w:after="0" w:line="278" w:lineRule="auto"/>
        <w:rPr>
          <w:sz w:val="20"/>
          <w:szCs w:val="20"/>
          <w:color w:val="auto"/>
        </w:rPr>
      </w:pPr>
      <w:r>
        <w:rPr>
          <w:rFonts w:ascii="Arial" w:cs="Arial" w:eastAsia="Arial" w:hAnsi="Arial"/>
          <w:sz w:val="19"/>
          <w:szCs w:val="19"/>
          <w:color w:val="231F20"/>
        </w:rPr>
        <w:t>For the year ended December 31, 2023, the Company recognized $4.8 million in revenue from amounts that were included in deferred revenue as of December 31, 2022.</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Remaining Performance Obligations</w:t>
      </w:r>
    </w:p>
    <w:p>
      <w:pPr>
        <w:spacing w:after="0" w:line="184" w:lineRule="exact"/>
        <w:rPr>
          <w:sz w:val="20"/>
          <w:szCs w:val="20"/>
          <w:color w:val="auto"/>
        </w:rPr>
      </w:pPr>
    </w:p>
    <w:p>
      <w:pPr>
        <w:ind w:firstLine="463"/>
        <w:spacing w:after="0" w:line="262" w:lineRule="auto"/>
        <w:rPr>
          <w:sz w:val="20"/>
          <w:szCs w:val="20"/>
          <w:color w:val="auto"/>
        </w:rPr>
      </w:pPr>
      <w:r>
        <w:rPr>
          <w:rFonts w:ascii="Arial" w:cs="Arial" w:eastAsia="Arial" w:hAnsi="Arial"/>
          <w:sz w:val="18"/>
          <w:szCs w:val="18"/>
          <w:color w:val="231F20"/>
        </w:rPr>
        <w:t>The Company has performance obligations associated with certain clients' contracts for future services that have not yet been recognized as revenue. As of December 31, 2024, the aggregate amount of transaction price allocated to performance obligations that are unsatisfied or partially unsatisfied, including deferred revenue, was approximately $10.8 million. Of the total remaining performance obligations, the Company expects to recognize approximately 62.0% within the next year, 23.6% after one year through year two and 14.4% over the next three to five years thereafter. Actual amounts and timing of revenue recognized may differ due to subsequent contract modifications, renewals and/or terminations.</w:t>
      </w:r>
    </w:p>
    <w:p>
      <w:pPr>
        <w:sectPr>
          <w:pgSz w:w="12240" w:h="15840" w:orient="portrait"/>
          <w:cols w:equalWidth="0" w:num="1">
            <w:col w:w="10200"/>
          </w:cols>
          <w:pgMar w:left="1020" w:top="1440" w:right="1020" w:bottom="572" w:gutter="0" w:footer="0" w:header="0"/>
        </w:sectPr>
      </w:pPr>
    </w:p>
    <w:p>
      <w:pPr>
        <w:spacing w:after="0" w:line="69"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127</w:t>
      </w:r>
    </w:p>
    <w:p>
      <w:pPr>
        <w:sectPr>
          <w:pgSz w:w="12240" w:h="15840" w:orient="portrait"/>
          <w:cols w:equalWidth="0" w:num="1">
            <w:col w:w="10200"/>
          </w:cols>
          <w:pgMar w:left="1020" w:top="1440" w:right="1020" w:bottom="572" w:gutter="0" w:footer="0" w:header="0"/>
          <w:type w:val="continuous"/>
        </w:sectPr>
      </w:pPr>
    </w:p>
    <w:bookmarkStart w:id="128" w:name="page129"/>
    <w:bookmarkEnd w:id="128"/>
    <w:p>
      <w:pPr>
        <w:spacing w:after="0" w:line="101"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231F20"/>
        </w:rPr>
        <w:t>Contract Costs</w:t>
      </w:r>
    </w:p>
    <w:p>
      <w:pPr>
        <w:spacing w:after="0" w:line="184" w:lineRule="exact"/>
        <w:rPr>
          <w:sz w:val="20"/>
          <w:szCs w:val="20"/>
          <w:color w:val="auto"/>
        </w:rPr>
      </w:pPr>
    </w:p>
    <w:p>
      <w:pPr>
        <w:ind w:left="20" w:right="20" w:firstLine="463"/>
        <w:spacing w:after="0" w:line="245" w:lineRule="auto"/>
        <w:rPr>
          <w:sz w:val="20"/>
          <w:szCs w:val="20"/>
          <w:color w:val="auto"/>
        </w:rPr>
      </w:pPr>
      <w:r>
        <w:rPr>
          <w:rFonts w:ascii="Arial" w:cs="Arial" w:eastAsia="Arial" w:hAnsi="Arial"/>
          <w:sz w:val="19"/>
          <w:szCs w:val="19"/>
          <w:color w:val="231F20"/>
        </w:rPr>
        <w:t>Incremental costs for obtaining contracts that are deemed recoverable are capitalized as contract costs and are included in other assets in the consolidated balance sheets. Such costs result from the payment of sales incentives and totaled $3.4 million, $3.5 million and $4.0 million as of December 31, 2024, 2023 and 2022, respectively. Capitalized sales incentives are amortized over the period of benefits, which the Company has determined to be three years. The amortization is included in selling and marketing expense line in the consolidated statements of operations and comprehensive loss, and totaled $2.0 million, $1.2 million and $0.4 million for the years ended December 31, 2024, 2023 and 2022, respectively.</w:t>
      </w:r>
    </w:p>
    <w:p>
      <w:pPr>
        <w:spacing w:after="0" w:line="148" w:lineRule="exact"/>
        <w:rPr>
          <w:sz w:val="20"/>
          <w:szCs w:val="20"/>
          <w:color w:val="auto"/>
        </w:rPr>
      </w:pPr>
    </w:p>
    <w:p>
      <w:pPr>
        <w:ind w:left="20" w:firstLine="463"/>
        <w:spacing w:after="0" w:line="243" w:lineRule="auto"/>
        <w:rPr>
          <w:sz w:val="20"/>
          <w:szCs w:val="20"/>
          <w:color w:val="auto"/>
        </w:rPr>
      </w:pPr>
      <w:r>
        <w:rPr>
          <w:rFonts w:ascii="Arial" w:cs="Arial" w:eastAsia="Arial" w:hAnsi="Arial"/>
          <w:sz w:val="19"/>
          <w:szCs w:val="19"/>
          <w:color w:val="231F20"/>
        </w:rPr>
        <w:t>Costs to fulfill a contract are capitalized when they relate directly to an existing contract or specific anticipated contract, generate or enhance resources that will be used to fulfill performance obligations and are recoverable. Such costs primarily represent set-up and implementation costs, which include any direct cost incurred at inception of a contract. The Company capitalized $3.0 million, $2.3 million and $2.0 million of costs in 2024, 2023 and 2022, respectively within other assets on the consolidated balance sheets. These capitalized costs are amortized on a straight-line basis over the expected contract life, which generally is five years, starting on go-live date. The amortization is included in technology and development expense line in the consolidated statements of operations and comprehensive loss, and totaled $1.2 million, $0.6 million and $1.8 million for the years ended December 31, 2024, 2023 and 2022, respectively. Included in the amortization expense for the year ended December 31, 2022 is $1.5 million resulting from the impairment of customer set-up costs associated with technology integration.</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231F20"/>
        </w:rPr>
        <w:t>Note 3. Segment Information</w:t>
      </w:r>
    </w:p>
    <w:p>
      <w:pPr>
        <w:spacing w:after="0" w:line="192" w:lineRule="exact"/>
        <w:rPr>
          <w:sz w:val="20"/>
          <w:szCs w:val="20"/>
          <w:color w:val="auto"/>
        </w:rPr>
      </w:pPr>
    </w:p>
    <w:p>
      <w:pPr>
        <w:ind w:left="20" w:right="200" w:firstLine="463"/>
        <w:spacing w:after="0" w:line="258" w:lineRule="auto"/>
        <w:rPr>
          <w:sz w:val="20"/>
          <w:szCs w:val="20"/>
          <w:color w:val="auto"/>
        </w:rPr>
      </w:pPr>
      <w:r>
        <w:rPr>
          <w:rFonts w:ascii="Arial" w:cs="Arial" w:eastAsia="Arial" w:hAnsi="Arial"/>
          <w:sz w:val="19"/>
          <w:szCs w:val="19"/>
          <w:color w:val="231F20"/>
        </w:rPr>
        <w:t>The Company has a single operating and reportable segment. The Company’s chief operating decision maker (CODM) is its Chief Executive Officer, who reviews financial information presented on a consolidated basis for purposes of making operating decisions, assessing financial performance and allocating resources.</w:t>
      </w:r>
    </w:p>
    <w:p>
      <w:pPr>
        <w:spacing w:after="0" w:line="136" w:lineRule="exact"/>
        <w:rPr>
          <w:sz w:val="20"/>
          <w:szCs w:val="20"/>
          <w:color w:val="auto"/>
        </w:rPr>
      </w:pPr>
    </w:p>
    <w:p>
      <w:pPr>
        <w:ind w:left="20" w:right="320" w:firstLine="463"/>
        <w:spacing w:after="0" w:line="251" w:lineRule="auto"/>
        <w:rPr>
          <w:sz w:val="20"/>
          <w:szCs w:val="20"/>
          <w:color w:val="auto"/>
        </w:rPr>
      </w:pPr>
      <w:r>
        <w:rPr>
          <w:rFonts w:ascii="Arial" w:cs="Arial" w:eastAsia="Arial" w:hAnsi="Arial"/>
          <w:sz w:val="19"/>
          <w:szCs w:val="19"/>
          <w:color w:val="231F20"/>
        </w:rPr>
        <w:t>Beginning in 2024 annual reporting, we adopted ASU 2023-07 retrospectively. The following table presents the Company's significant segment expenses and other segment items for the years ended December 31, 2024, 2023 and 2022. The CODM does not regularly review segment asset information for the purpose of assessing performance and making resource allocation decisions; therefore, such information is not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860" w:type="dxa"/>
            <w:vAlign w:val="bottom"/>
            <w:tcBorders>
              <w:bottom w:val="single" w:sz="8" w:color="FDFDFC"/>
            </w:tcBorders>
            <w:gridSpan w:val="2"/>
            <w:vMerge w:val="restart"/>
            <w:shd w:val="clear" w:color="auto" w:fill="FDFDFC"/>
          </w:tcPr>
          <w:p>
            <w:pPr>
              <w:spacing w:after="0"/>
              <w:rPr>
                <w:sz w:val="20"/>
                <w:szCs w:val="20"/>
                <w:color w:val="auto"/>
              </w:rPr>
            </w:pPr>
            <w:r>
              <w:rPr>
                <w:rFonts w:ascii="Arial" w:cs="Arial" w:eastAsia="Arial" w:hAnsi="Arial"/>
                <w:sz w:val="15"/>
                <w:szCs w:val="15"/>
                <w:b w:val="1"/>
                <w:bCs w:val="1"/>
                <w:color w:val="231F20"/>
              </w:rPr>
              <w:t>(in thousands)</w:t>
            </w:r>
          </w:p>
        </w:tc>
        <w:tc>
          <w:tcPr>
            <w:tcW w:w="140" w:type="dxa"/>
            <w:vAlign w:val="bottom"/>
            <w:tcBorders>
              <w:bottom w:val="single" w:sz="8" w:color="FDFDFC"/>
            </w:tcBorders>
            <w:shd w:val="clear" w:color="auto" w:fill="FDFDFC"/>
          </w:tcPr>
          <w:p>
            <w:pPr>
              <w:spacing w:after="0"/>
              <w:rPr>
                <w:sz w:val="16"/>
                <w:szCs w:val="16"/>
                <w:color w:val="auto"/>
              </w:rPr>
            </w:pPr>
          </w:p>
        </w:tc>
        <w:tc>
          <w:tcPr>
            <w:tcW w:w="280" w:type="dxa"/>
            <w:vAlign w:val="bottom"/>
            <w:tcBorders>
              <w:bottom w:val="single" w:sz="8" w:color="231F20"/>
            </w:tcBorders>
            <w:shd w:val="clear" w:color="auto" w:fill="FDFDFC"/>
          </w:tcPr>
          <w:p>
            <w:pPr>
              <w:spacing w:after="0"/>
              <w:rPr>
                <w:sz w:val="16"/>
                <w:szCs w:val="16"/>
                <w:color w:val="auto"/>
              </w:rPr>
            </w:pPr>
          </w:p>
        </w:tc>
        <w:tc>
          <w:tcPr>
            <w:tcW w:w="92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300" w:type="dxa"/>
            <w:vAlign w:val="bottom"/>
            <w:tcBorders>
              <w:bottom w:val="single" w:sz="8" w:color="231F20"/>
            </w:tcBorders>
            <w:gridSpan w:val="3"/>
            <w:shd w:val="clear" w:color="auto" w:fill="FDFDFC"/>
          </w:tcPr>
          <w:p>
            <w:pPr>
              <w:ind w:left="100"/>
              <w:spacing w:after="0"/>
              <w:rPr>
                <w:sz w:val="20"/>
                <w:szCs w:val="20"/>
                <w:color w:val="auto"/>
              </w:rPr>
            </w:pPr>
            <w:r>
              <w:rPr>
                <w:rFonts w:ascii="Arial" w:cs="Arial" w:eastAsia="Arial" w:hAnsi="Arial"/>
                <w:sz w:val="15"/>
                <w:szCs w:val="15"/>
                <w:b w:val="1"/>
                <w:bCs w:val="1"/>
                <w:color w:val="231F20"/>
              </w:rPr>
              <w:t>December 31,</w:t>
            </w:r>
          </w:p>
        </w:tc>
        <w:tc>
          <w:tcPr>
            <w:tcW w:w="140" w:type="dxa"/>
            <w:vAlign w:val="bottom"/>
            <w:tcBorders>
              <w:bottom w:val="single" w:sz="8" w:color="231F20"/>
            </w:tcBorders>
            <w:shd w:val="clear" w:color="auto" w:fill="FDFDFC"/>
          </w:tcPr>
          <w:p>
            <w:pPr>
              <w:spacing w:after="0"/>
              <w:rPr>
                <w:sz w:val="16"/>
                <w:szCs w:val="16"/>
                <w:color w:val="auto"/>
              </w:rPr>
            </w:pPr>
          </w:p>
        </w:tc>
        <w:tc>
          <w:tcPr>
            <w:tcW w:w="260" w:type="dxa"/>
            <w:vAlign w:val="bottom"/>
            <w:tcBorders>
              <w:bottom w:val="single" w:sz="8" w:color="231F20"/>
            </w:tcBorders>
            <w:shd w:val="clear" w:color="auto" w:fill="FDFDFC"/>
          </w:tcPr>
          <w:p>
            <w:pPr>
              <w:spacing w:after="0"/>
              <w:rPr>
                <w:sz w:val="16"/>
                <w:szCs w:val="16"/>
                <w:color w:val="auto"/>
              </w:rPr>
            </w:pPr>
          </w:p>
        </w:tc>
        <w:tc>
          <w:tcPr>
            <w:tcW w:w="9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60" w:type="dxa"/>
            <w:vAlign w:val="bottom"/>
            <w:tcBorders>
              <w:bottom w:val="single" w:sz="8" w:color="D0EBF2"/>
            </w:tcBorders>
            <w:gridSpan w:val="2"/>
            <w:vMerge w:val="continue"/>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80" w:type="dxa"/>
            <w:vAlign w:val="bottom"/>
            <w:tcBorders>
              <w:bottom w:val="single" w:sz="8" w:color="231F20"/>
            </w:tcBorders>
            <w:shd w:val="clear" w:color="auto" w:fill="FDFDFC"/>
          </w:tcPr>
          <w:p>
            <w:pPr>
              <w:spacing w:after="0"/>
              <w:rPr>
                <w:sz w:val="15"/>
                <w:szCs w:val="15"/>
                <w:color w:val="auto"/>
              </w:rPr>
            </w:pPr>
          </w:p>
        </w:tc>
        <w:tc>
          <w:tcPr>
            <w:tcW w:w="920" w:type="dxa"/>
            <w:vAlign w:val="bottom"/>
            <w:tcBorders>
              <w:bottom w:val="single" w:sz="8" w:color="231F20"/>
            </w:tcBorders>
            <w:shd w:val="clear" w:color="auto" w:fill="FDFDFC"/>
          </w:tcPr>
          <w:p>
            <w:pPr>
              <w:jc w:val="right"/>
              <w:ind w:right="327"/>
              <w:spacing w:after="0"/>
              <w:rPr>
                <w:sz w:val="20"/>
                <w:szCs w:val="20"/>
                <w:color w:val="auto"/>
              </w:rPr>
            </w:pPr>
            <w:r>
              <w:rPr>
                <w:rFonts w:ascii="Arial" w:cs="Arial" w:eastAsia="Arial" w:hAnsi="Arial"/>
                <w:sz w:val="15"/>
                <w:szCs w:val="15"/>
                <w:b w:val="1"/>
                <w:bCs w:val="1"/>
                <w:color w:val="231F20"/>
              </w:rPr>
              <w:t>2024</w:t>
            </w:r>
          </w:p>
        </w:tc>
        <w:tc>
          <w:tcPr>
            <w:tcW w:w="12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47"/>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47"/>
              <w:spacing w:after="0"/>
              <w:rPr>
                <w:sz w:val="20"/>
                <w:szCs w:val="20"/>
                <w:color w:val="auto"/>
              </w:rPr>
            </w:pPr>
            <w:r>
              <w:rPr>
                <w:rFonts w:ascii="Arial" w:cs="Arial" w:eastAsia="Arial" w:hAnsi="Arial"/>
                <w:sz w:val="15"/>
                <w:szCs w:val="15"/>
                <w:b w:val="1"/>
                <w:bCs w:val="1"/>
                <w:color w:val="231F20"/>
              </w:rPr>
              <w:t>2022</w:t>
            </w:r>
          </w:p>
        </w:tc>
        <w:tc>
          <w:tcPr>
            <w:tcW w:w="1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60" w:type="dxa"/>
            <w:vAlign w:val="bottom"/>
            <w:gridSpan w:val="2"/>
            <w:shd w:val="clear" w:color="auto" w:fill="D0EBF2"/>
          </w:tcPr>
          <w:p>
            <w:pPr>
              <w:spacing w:after="0" w:line="220" w:lineRule="exact"/>
              <w:rPr>
                <w:sz w:val="20"/>
                <w:szCs w:val="20"/>
                <w:color w:val="auto"/>
              </w:rPr>
            </w:pPr>
            <w:r>
              <w:rPr>
                <w:rFonts w:ascii="Arial" w:cs="Arial" w:eastAsia="Arial" w:hAnsi="Arial"/>
                <w:sz w:val="19"/>
                <w:szCs w:val="19"/>
                <w:color w:val="231F20"/>
              </w:rPr>
              <w:t xml:space="preserve">Revenue Less Ancillary Services </w:t>
            </w:r>
            <w:r>
              <w:rPr>
                <w:rFonts w:ascii="Arial" w:cs="Arial" w:eastAsia="Arial" w:hAnsi="Arial"/>
                <w:sz w:val="24"/>
                <w:szCs w:val="24"/>
                <w:color w:val="231F20"/>
                <w:vertAlign w:val="superscript"/>
              </w:rPr>
              <w:t>(a)</w:t>
            </w:r>
          </w:p>
        </w:tc>
        <w:tc>
          <w:tcPr>
            <w:tcW w:w="140" w:type="dxa"/>
            <w:vAlign w:val="bottom"/>
            <w:shd w:val="clear" w:color="auto" w:fill="D0EBF2"/>
          </w:tcPr>
          <w:p>
            <w:pPr>
              <w:spacing w:after="0"/>
              <w:rPr>
                <w:sz w:val="19"/>
                <w:szCs w:val="19"/>
                <w:color w:val="auto"/>
              </w:rPr>
            </w:pPr>
          </w:p>
        </w:tc>
        <w:tc>
          <w:tcPr>
            <w:tcW w:w="28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474,311</w:t>
            </w:r>
          </w:p>
        </w:tc>
        <w:tc>
          <w:tcPr>
            <w:tcW w:w="12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75"/>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381,506</w:t>
            </w:r>
          </w:p>
        </w:tc>
        <w:tc>
          <w:tcPr>
            <w:tcW w:w="1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267,047</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FDFDFC"/>
          </w:tcPr>
          <w:p>
            <w:pPr>
              <w:ind w:left="260"/>
              <w:spacing w:after="0"/>
              <w:rPr>
                <w:sz w:val="20"/>
                <w:szCs w:val="20"/>
                <w:color w:val="auto"/>
              </w:rPr>
            </w:pPr>
            <w:r>
              <w:rPr>
                <w:rFonts w:ascii="Arial" w:cs="Arial" w:eastAsia="Arial" w:hAnsi="Arial"/>
                <w:sz w:val="19"/>
                <w:szCs w:val="19"/>
                <w:color w:val="231F20"/>
              </w:rPr>
              <w:t>Less:</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9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D0EBF2"/>
          </w:tcPr>
          <w:p>
            <w:pPr>
              <w:ind w:left="400"/>
              <w:spacing w:after="0"/>
              <w:rPr>
                <w:sz w:val="20"/>
                <w:szCs w:val="20"/>
                <w:color w:val="auto"/>
              </w:rPr>
            </w:pPr>
            <w:r>
              <w:rPr>
                <w:rFonts w:ascii="Arial" w:cs="Arial" w:eastAsia="Arial" w:hAnsi="Arial"/>
                <w:sz w:val="19"/>
                <w:szCs w:val="19"/>
                <w:color w:val="231F20"/>
              </w:rPr>
              <w:t>Payment processing services costs</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161,086</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127,303</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85,512</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FDFDFC"/>
          </w:tcPr>
          <w:p>
            <w:pPr>
              <w:ind w:left="400"/>
              <w:spacing w:after="0" w:line="230" w:lineRule="exact"/>
              <w:rPr>
                <w:sz w:val="20"/>
                <w:szCs w:val="20"/>
                <w:color w:val="auto"/>
              </w:rPr>
            </w:pPr>
            <w:r>
              <w:rPr>
                <w:rFonts w:ascii="Arial" w:cs="Arial" w:eastAsia="Arial" w:hAnsi="Arial"/>
                <w:sz w:val="19"/>
                <w:szCs w:val="19"/>
                <w:color w:val="231F20"/>
              </w:rPr>
              <w:t xml:space="preserve">Personnel expense </w:t>
            </w:r>
            <w:r>
              <w:rPr>
                <w:rFonts w:ascii="Arial" w:cs="Arial" w:eastAsia="Arial" w:hAnsi="Arial"/>
                <w:sz w:val="24"/>
                <w:szCs w:val="24"/>
                <w:color w:val="231F20"/>
                <w:vertAlign w:val="superscript"/>
              </w:rPr>
              <w:t>(b)</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9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154,969</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137,127</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109,486</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D0EBF2"/>
          </w:tcPr>
          <w:p>
            <w:pPr>
              <w:ind w:left="400"/>
              <w:spacing w:after="0" w:line="230" w:lineRule="exact"/>
              <w:rPr>
                <w:sz w:val="20"/>
                <w:szCs w:val="20"/>
                <w:color w:val="auto"/>
              </w:rPr>
            </w:pPr>
            <w:r>
              <w:rPr>
                <w:rFonts w:ascii="Arial" w:cs="Arial" w:eastAsia="Arial" w:hAnsi="Arial"/>
                <w:sz w:val="19"/>
                <w:szCs w:val="19"/>
                <w:color w:val="231F20"/>
              </w:rPr>
              <w:t xml:space="preserve">Other segment items </w:t>
            </w:r>
            <w:r>
              <w:rPr>
                <w:rFonts w:ascii="Arial" w:cs="Arial" w:eastAsia="Arial" w:hAnsi="Arial"/>
                <w:sz w:val="24"/>
                <w:szCs w:val="24"/>
                <w:color w:val="231F20"/>
                <w:vertAlign w:val="superscript"/>
              </w:rPr>
              <w:t>(c)</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81,247</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77,014</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56,851</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FDFDFC"/>
          </w:tcPr>
          <w:p>
            <w:pPr>
              <w:ind w:left="400"/>
              <w:spacing w:after="0"/>
              <w:rPr>
                <w:sz w:val="20"/>
                <w:szCs w:val="20"/>
                <w:color w:val="auto"/>
              </w:rPr>
            </w:pPr>
            <w:r>
              <w:rPr>
                <w:rFonts w:ascii="Arial" w:cs="Arial" w:eastAsia="Arial" w:hAnsi="Arial"/>
                <w:sz w:val="19"/>
                <w:szCs w:val="19"/>
                <w:color w:val="231F20"/>
              </w:rPr>
              <w:t>Depreciation and amortization expense</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9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18,541</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16,368</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14,103</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D0EBF2"/>
          </w:tcPr>
          <w:p>
            <w:pPr>
              <w:ind w:left="400"/>
              <w:spacing w:after="0"/>
              <w:rPr>
                <w:sz w:val="20"/>
                <w:szCs w:val="20"/>
                <w:color w:val="auto"/>
              </w:rPr>
            </w:pPr>
            <w:r>
              <w:rPr>
                <w:rFonts w:ascii="Arial" w:cs="Arial" w:eastAsia="Arial" w:hAnsi="Arial"/>
                <w:sz w:val="19"/>
                <w:szCs w:val="19"/>
                <w:color w:val="231F20"/>
              </w:rPr>
              <w:t>Stock-based compensation expense</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65,754</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45,215</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31,317</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FDFDFC"/>
          </w:tcPr>
          <w:p>
            <w:pPr>
              <w:ind w:left="400"/>
              <w:spacing w:after="0"/>
              <w:rPr>
                <w:sz w:val="20"/>
                <w:szCs w:val="20"/>
                <w:color w:val="auto"/>
              </w:rPr>
            </w:pPr>
            <w:r>
              <w:rPr>
                <w:rFonts w:ascii="Arial" w:cs="Arial" w:eastAsia="Arial" w:hAnsi="Arial"/>
                <w:sz w:val="19"/>
                <w:szCs w:val="19"/>
                <w:color w:val="231F20"/>
              </w:rPr>
              <w:t>Interest expense</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9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538</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372</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1,211</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D0EBF2"/>
          </w:tcPr>
          <w:p>
            <w:pPr>
              <w:ind w:left="400"/>
              <w:spacing w:after="0"/>
              <w:rPr>
                <w:sz w:val="20"/>
                <w:szCs w:val="20"/>
                <w:color w:val="auto"/>
              </w:rPr>
            </w:pPr>
            <w:r>
              <w:rPr>
                <w:rFonts w:ascii="Arial" w:cs="Arial" w:eastAsia="Arial" w:hAnsi="Arial"/>
                <w:sz w:val="19"/>
                <w:szCs w:val="19"/>
                <w:color w:val="231F20"/>
              </w:rPr>
              <w:t>Interest income</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21,440</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13,349</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3,242</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FDFDFC"/>
          </w:tcPr>
          <w:p>
            <w:pPr>
              <w:ind w:left="400"/>
              <w:spacing w:after="0"/>
              <w:rPr>
                <w:sz w:val="20"/>
                <w:szCs w:val="20"/>
                <w:color w:val="auto"/>
              </w:rPr>
            </w:pPr>
            <w:r>
              <w:rPr>
                <w:rFonts w:ascii="Arial" w:cs="Arial" w:eastAsia="Arial" w:hAnsi="Arial"/>
                <w:sz w:val="19"/>
                <w:szCs w:val="19"/>
                <w:color w:val="231F20"/>
              </w:rPr>
              <w:t>Gain (loss) from remeasurement of foreign currency</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(11,756)</w:t>
            </w: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4,192</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(9,168)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D0EBF2"/>
          </w:tcPr>
          <w:p>
            <w:pPr>
              <w:ind w:left="400"/>
              <w:spacing w:after="0"/>
              <w:rPr>
                <w:sz w:val="20"/>
                <w:szCs w:val="20"/>
                <w:color w:val="auto"/>
              </w:rPr>
            </w:pPr>
            <w:r>
              <w:rPr>
                <w:rFonts w:ascii="Arial" w:cs="Arial" w:eastAsia="Arial" w:hAnsi="Arial"/>
                <w:sz w:val="19"/>
                <w:szCs w:val="19"/>
                <w:color w:val="231F20"/>
              </w:rPr>
              <w:t>(Benefit from) provision for income taxes</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(1,040)</w:t>
            </w: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4,214</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1,988</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60" w:type="dxa"/>
            <w:vAlign w:val="bottom"/>
            <w:tcBorders>
              <w:top w:val="single" w:sz="8" w:color="FDFDFC"/>
            </w:tcBorders>
            <w:gridSpan w:val="2"/>
            <w:shd w:val="clear" w:color="auto" w:fill="FDFDFC"/>
          </w:tcPr>
          <w:p>
            <w:pPr>
              <w:ind w:left="520"/>
              <w:spacing w:after="0"/>
              <w:rPr>
                <w:sz w:val="20"/>
                <w:szCs w:val="20"/>
                <w:color w:val="auto"/>
              </w:rPr>
            </w:pPr>
            <w:r>
              <w:rPr>
                <w:rFonts w:ascii="Arial" w:cs="Arial" w:eastAsia="Arial" w:hAnsi="Arial"/>
                <w:sz w:val="19"/>
                <w:szCs w:val="19"/>
                <w:color w:val="231F20"/>
              </w:rPr>
              <w:t>Segment income (loss)</w:t>
            </w:r>
          </w:p>
        </w:tc>
        <w:tc>
          <w:tcPr>
            <w:tcW w:w="140" w:type="dxa"/>
            <w:vAlign w:val="bottom"/>
            <w:tcBorders>
              <w:top w:val="single" w:sz="8" w:color="FDFDFC"/>
            </w:tcBorders>
            <w:shd w:val="clear" w:color="auto" w:fill="FDFDFC"/>
          </w:tcPr>
          <w:p>
            <w:pPr>
              <w:spacing w:after="0"/>
              <w:rPr>
                <w:sz w:val="19"/>
                <w:szCs w:val="19"/>
                <w:color w:val="auto"/>
              </w:rPr>
            </w:pPr>
          </w:p>
        </w:tc>
        <w:tc>
          <w:tcPr>
            <w:tcW w:w="280" w:type="dxa"/>
            <w:vAlign w:val="bottom"/>
            <w:tcBorders>
              <w:top w:val="single" w:sz="8" w:color="231F20"/>
              <w:bottom w:val="single" w:sz="8" w:color="231F20"/>
            </w:tcBorders>
            <w:shd w:val="clear" w:color="auto" w:fill="FDFDFC"/>
          </w:tcPr>
          <w:p>
            <w:pPr>
              <w:spacing w:after="0"/>
              <w:rPr>
                <w:sz w:val="19"/>
                <w:szCs w:val="19"/>
                <w:color w:val="auto"/>
              </w:rPr>
            </w:pPr>
          </w:p>
        </w:tc>
        <w:tc>
          <w:tcPr>
            <w:tcW w:w="92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2,900</w:t>
            </w:r>
          </w:p>
        </w:tc>
        <w:tc>
          <w:tcPr>
            <w:tcW w:w="120" w:type="dxa"/>
            <w:vAlign w:val="bottom"/>
            <w:tcBorders>
              <w:top w:val="single" w:sz="8" w:color="FDFDFC"/>
            </w:tcBorders>
            <w:shd w:val="clear" w:color="auto" w:fill="FDFDFC"/>
          </w:tcPr>
          <w:p>
            <w:pPr>
              <w:spacing w:after="0"/>
              <w:rPr>
                <w:sz w:val="19"/>
                <w:szCs w:val="19"/>
                <w:color w:val="auto"/>
              </w:rPr>
            </w:pPr>
          </w:p>
        </w:tc>
        <w:tc>
          <w:tcPr>
            <w:tcW w:w="140" w:type="dxa"/>
            <w:vAlign w:val="bottom"/>
            <w:tcBorders>
              <w:top w:val="single" w:sz="8" w:color="FDFDFC"/>
            </w:tcBorders>
            <w:shd w:val="clear" w:color="auto" w:fill="FDFDFC"/>
          </w:tcPr>
          <w:p>
            <w:pPr>
              <w:spacing w:after="0"/>
              <w:rPr>
                <w:sz w:val="19"/>
                <w:szCs w:val="19"/>
                <w:color w:val="auto"/>
              </w:rPr>
            </w:pPr>
          </w:p>
        </w:tc>
        <w:tc>
          <w:tcPr>
            <w:tcW w:w="260" w:type="dxa"/>
            <w:vAlign w:val="bottom"/>
            <w:tcBorders>
              <w:top w:val="single" w:sz="8" w:color="231F20"/>
              <w:bottom w:val="single" w:sz="8" w:color="231F20"/>
            </w:tcBorders>
            <w:shd w:val="clear" w:color="auto" w:fill="FDFDFC"/>
          </w:tcPr>
          <w:p>
            <w:pPr>
              <w:spacing w:after="0"/>
              <w:rPr>
                <w:sz w:val="19"/>
                <w:szCs w:val="19"/>
                <w:color w:val="auto"/>
              </w:rPr>
            </w:pPr>
          </w:p>
        </w:tc>
        <w:tc>
          <w:tcPr>
            <w:tcW w:w="94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(8,566)</w:t>
            </w:r>
          </w:p>
        </w:tc>
        <w:tc>
          <w:tcPr>
            <w:tcW w:w="100" w:type="dxa"/>
            <w:vAlign w:val="bottom"/>
            <w:tcBorders>
              <w:top w:val="single" w:sz="8" w:color="FDFDFC"/>
            </w:tcBorders>
            <w:shd w:val="clear" w:color="auto" w:fill="FDFDFC"/>
          </w:tcPr>
          <w:p>
            <w:pPr>
              <w:spacing w:after="0"/>
              <w:rPr>
                <w:sz w:val="19"/>
                <w:szCs w:val="19"/>
                <w:color w:val="auto"/>
              </w:rPr>
            </w:pPr>
          </w:p>
        </w:tc>
        <w:tc>
          <w:tcPr>
            <w:tcW w:w="140" w:type="dxa"/>
            <w:vAlign w:val="bottom"/>
            <w:tcBorders>
              <w:top w:val="single" w:sz="8" w:color="FDFDFC"/>
            </w:tcBorders>
            <w:shd w:val="clear" w:color="auto" w:fill="FDFDFC"/>
          </w:tcPr>
          <w:p>
            <w:pPr>
              <w:spacing w:after="0"/>
              <w:rPr>
                <w:sz w:val="19"/>
                <w:szCs w:val="19"/>
                <w:color w:val="auto"/>
              </w:rPr>
            </w:pPr>
          </w:p>
        </w:tc>
        <w:tc>
          <w:tcPr>
            <w:tcW w:w="260" w:type="dxa"/>
            <w:vAlign w:val="bottom"/>
            <w:tcBorders>
              <w:top w:val="single" w:sz="8" w:color="231F20"/>
              <w:bottom w:val="single" w:sz="8" w:color="231F20"/>
            </w:tcBorders>
            <w:shd w:val="clear" w:color="auto" w:fill="FDFDFC"/>
          </w:tcPr>
          <w:p>
            <w:pPr>
              <w:spacing w:after="0"/>
              <w:rPr>
                <w:sz w:val="19"/>
                <w:szCs w:val="19"/>
                <w:color w:val="auto"/>
              </w:rPr>
            </w:pPr>
          </w:p>
        </w:tc>
        <w:tc>
          <w:tcPr>
            <w:tcW w:w="94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(39,347)</w:t>
            </w:r>
          </w:p>
        </w:tc>
        <w:tc>
          <w:tcPr>
            <w:tcW w:w="100" w:type="dxa"/>
            <w:vAlign w:val="bottom"/>
            <w:tcBorders>
              <w:top w:val="single" w:sz="8" w:color="FDFDFC"/>
            </w:tcBorders>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Borders>
              <w:bottom w:val="single" w:sz="8" w:color="231F20"/>
            </w:tcBorders>
          </w:tcPr>
          <w:p>
            <w:pPr>
              <w:spacing w:after="0"/>
              <w:rPr>
                <w:sz w:val="9"/>
                <w:szCs w:val="9"/>
                <w:color w:val="auto"/>
              </w:rPr>
            </w:pPr>
          </w:p>
        </w:tc>
        <w:tc>
          <w:tcPr>
            <w:tcW w:w="3420" w:type="dxa"/>
            <w:vAlign w:val="bottom"/>
            <w:tcBorders>
              <w:bottom w:val="single" w:sz="8" w:color="231F20"/>
            </w:tcBorders>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40"/>
        <w:spacing w:after="0"/>
        <w:tabs>
          <w:tab w:leader="none" w:pos="160" w:val="left"/>
        </w:tabs>
        <w:numPr>
          <w:ilvl w:val="0"/>
          <w:numId w:val="52"/>
        </w:numPr>
        <w:rPr>
          <w:rFonts w:ascii="Arial" w:cs="Arial" w:eastAsia="Arial" w:hAnsi="Arial"/>
          <w:sz w:val="9"/>
          <w:szCs w:val="9"/>
          <w:color w:val="131617"/>
        </w:rPr>
      </w:pPr>
      <w:r>
        <w:rPr>
          <w:rFonts w:ascii="Arial" w:cs="Arial" w:eastAsia="Arial" w:hAnsi="Arial"/>
          <w:sz w:val="15"/>
          <w:szCs w:val="15"/>
          <w:color w:val="131617"/>
        </w:rPr>
        <w:t>Revenue less Ancillary Services represents segment revenue.</w:t>
      </w:r>
    </w:p>
    <w:p>
      <w:pPr>
        <w:spacing w:after="0" w:line="190" w:lineRule="exact"/>
        <w:rPr>
          <w:rFonts w:ascii="Arial" w:cs="Arial" w:eastAsia="Arial" w:hAnsi="Arial"/>
          <w:sz w:val="9"/>
          <w:szCs w:val="9"/>
          <w:color w:val="131617"/>
        </w:rPr>
      </w:pPr>
    </w:p>
    <w:p>
      <w:pPr>
        <w:ind w:left="20" w:right="380"/>
        <w:spacing w:after="0" w:line="286" w:lineRule="auto"/>
        <w:tabs>
          <w:tab w:leader="none" w:pos="162" w:val="left"/>
        </w:tabs>
        <w:numPr>
          <w:ilvl w:val="0"/>
          <w:numId w:val="52"/>
        </w:numPr>
        <w:rPr>
          <w:rFonts w:ascii="Arial" w:cs="Arial" w:eastAsia="Arial" w:hAnsi="Arial"/>
          <w:sz w:val="9"/>
          <w:szCs w:val="9"/>
          <w:color w:val="131617"/>
        </w:rPr>
      </w:pPr>
      <w:r>
        <w:rPr>
          <w:rFonts w:ascii="Arial" w:cs="Arial" w:eastAsia="Arial" w:hAnsi="Arial"/>
          <w:sz w:val="15"/>
          <w:szCs w:val="15"/>
          <w:color w:val="131617"/>
        </w:rPr>
        <w:t>Personnel expense includes employees' and contractors' compensation in Technology and development, Selling and marketing and General and administrative operating expenses.</w:t>
      </w:r>
    </w:p>
    <w:p>
      <w:pPr>
        <w:spacing w:after="0" w:line="125" w:lineRule="exact"/>
        <w:rPr>
          <w:rFonts w:ascii="Arial" w:cs="Arial" w:eastAsia="Arial" w:hAnsi="Arial"/>
          <w:sz w:val="9"/>
          <w:szCs w:val="9"/>
          <w:color w:val="131617"/>
        </w:rPr>
      </w:pPr>
    </w:p>
    <w:p>
      <w:pPr>
        <w:ind w:left="20" w:right="340"/>
        <w:spacing w:after="0" w:line="286" w:lineRule="auto"/>
        <w:tabs>
          <w:tab w:leader="none" w:pos="156" w:val="left"/>
        </w:tabs>
        <w:numPr>
          <w:ilvl w:val="0"/>
          <w:numId w:val="52"/>
        </w:numPr>
        <w:rPr>
          <w:rFonts w:ascii="Arial" w:cs="Arial" w:eastAsia="Arial" w:hAnsi="Arial"/>
          <w:sz w:val="9"/>
          <w:szCs w:val="9"/>
          <w:color w:val="131617"/>
        </w:rPr>
      </w:pPr>
      <w:r>
        <w:rPr>
          <w:rFonts w:ascii="Arial" w:cs="Arial" w:eastAsia="Arial" w:hAnsi="Arial"/>
          <w:sz w:val="15"/>
          <w:szCs w:val="15"/>
          <w:color w:val="131617"/>
        </w:rPr>
        <w:t>Other segments items included in segment income (loss) includes the following expenses: professional fees, marketing, travel, facilities, software, acquisition and other general and administrative.</w:t>
      </w:r>
    </w:p>
    <w:p>
      <w:pPr>
        <w:sectPr>
          <w:pgSz w:w="12240" w:h="15840" w:orient="portrait"/>
          <w:cols w:equalWidth="0" w:num="1">
            <w:col w:w="10220"/>
          </w:cols>
          <w:pgMar w:left="100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128</w:t>
      </w:r>
    </w:p>
    <w:p>
      <w:pPr>
        <w:sectPr>
          <w:pgSz w:w="12240" w:h="15840" w:orient="portrait"/>
          <w:cols w:equalWidth="0" w:num="1">
            <w:col w:w="10220"/>
          </w:cols>
          <w:pgMar w:left="1000" w:top="1440" w:right="1020" w:bottom="572" w:gutter="0" w:footer="0" w:header="0"/>
          <w:type w:val="continuous"/>
        </w:sectPr>
      </w:pPr>
    </w:p>
    <w:bookmarkStart w:id="129" w:name="page130"/>
    <w:bookmarkEnd w:id="129"/>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Note 4. Investments</w:t>
      </w:r>
    </w:p>
    <w:p>
      <w:pPr>
        <w:spacing w:after="0" w:line="192" w:lineRule="exact"/>
        <w:rPr>
          <w:sz w:val="20"/>
          <w:szCs w:val="20"/>
          <w:color w:val="auto"/>
        </w:rPr>
      </w:pPr>
    </w:p>
    <w:p>
      <w:pPr>
        <w:ind w:right="280" w:firstLine="463"/>
        <w:spacing w:after="0" w:line="278" w:lineRule="auto"/>
        <w:rPr>
          <w:sz w:val="20"/>
          <w:szCs w:val="20"/>
          <w:color w:val="auto"/>
        </w:rPr>
      </w:pPr>
      <w:r>
        <w:rPr>
          <w:rFonts w:ascii="Arial" w:cs="Arial" w:eastAsia="Arial" w:hAnsi="Arial"/>
          <w:sz w:val="19"/>
          <w:szCs w:val="19"/>
          <w:color w:val="231F20"/>
        </w:rPr>
        <w:t>The following table summarizes the estimated fair value of available-for-sale debt securities included within short-term and long-term investments as of December 31, 2024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60" w:type="dxa"/>
            <w:vAlign w:val="bottom"/>
            <w:tcBorders>
              <w:bottom w:val="single" w:sz="8" w:color="FDFDFC"/>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20" w:type="dxa"/>
            <w:vAlign w:val="bottom"/>
            <w:tcBorders>
              <w:bottom w:val="single" w:sz="8" w:color="FDFDFC"/>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880" w:type="dxa"/>
            <w:vAlign w:val="bottom"/>
            <w:tcBorders>
              <w:bottom w:val="single" w:sz="8" w:color="231F20"/>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40" w:type="dxa"/>
            <w:vAlign w:val="bottom"/>
            <w:tcBorders>
              <w:bottom w:val="single" w:sz="8" w:color="231F20"/>
              <w:right w:val="single" w:sz="8" w:color="FDFDFC"/>
            </w:tcBorders>
            <w:shd w:val="clear" w:color="auto" w:fill="FDFDFC"/>
          </w:tcPr>
          <w:p>
            <w:pPr>
              <w:spacing w:after="0"/>
              <w:rPr>
                <w:sz w:val="16"/>
                <w:szCs w:val="16"/>
                <w:color w:val="auto"/>
              </w:rPr>
            </w:pPr>
          </w:p>
        </w:tc>
        <w:tc>
          <w:tcPr>
            <w:tcW w:w="60" w:type="dxa"/>
            <w:vAlign w:val="bottom"/>
            <w:tcBorders>
              <w:bottom w:val="single" w:sz="8" w:color="231F20"/>
            </w:tcBorders>
            <w:shd w:val="clear" w:color="auto" w:fill="FDFDFC"/>
          </w:tcPr>
          <w:p>
            <w:pPr>
              <w:spacing w:after="0"/>
              <w:rPr>
                <w:sz w:val="16"/>
                <w:szCs w:val="16"/>
                <w:color w:val="auto"/>
              </w:rPr>
            </w:pPr>
          </w:p>
        </w:tc>
        <w:tc>
          <w:tcPr>
            <w:tcW w:w="2120" w:type="dxa"/>
            <w:vAlign w:val="bottom"/>
            <w:tcBorders>
              <w:bottom w:val="single" w:sz="8" w:color="231F20"/>
            </w:tcBorders>
            <w:gridSpan w:val="8"/>
            <w:shd w:val="clear" w:color="auto" w:fill="FDFDFC"/>
          </w:tcPr>
          <w:p>
            <w:pPr>
              <w:ind w:left="320"/>
              <w:spacing w:after="0"/>
              <w:rPr>
                <w:sz w:val="20"/>
                <w:szCs w:val="20"/>
                <w:color w:val="auto"/>
              </w:rPr>
            </w:pPr>
            <w:r>
              <w:rPr>
                <w:rFonts w:ascii="Arial" w:cs="Arial" w:eastAsia="Arial" w:hAnsi="Arial"/>
                <w:sz w:val="15"/>
                <w:szCs w:val="15"/>
                <w:b w:val="1"/>
                <w:bCs w:val="1"/>
                <w:color w:val="231F20"/>
              </w:rPr>
              <w:t>December 31, 2024</w:t>
            </w:r>
          </w:p>
        </w:tc>
        <w:tc>
          <w:tcPr>
            <w:tcW w:w="20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c>
          <w:tcPr>
            <w:tcW w:w="20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231F20"/>
            </w:tcBorders>
            <w:shd w:val="clear" w:color="auto" w:fill="FDFDFC"/>
          </w:tcPr>
          <w:p>
            <w:pPr>
              <w:spacing w:after="0"/>
              <w:rPr>
                <w:sz w:val="16"/>
                <w:szCs w:val="16"/>
                <w:color w:val="auto"/>
              </w:rPr>
            </w:pPr>
          </w:p>
        </w:tc>
        <w:tc>
          <w:tcPr>
            <w:tcW w:w="88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96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880" w:type="dxa"/>
            <w:vAlign w:val="bottom"/>
            <w:shd w:val="clear" w:color="auto" w:fill="FDFDFC"/>
          </w:tcPr>
          <w:p>
            <w:pPr>
              <w:jc w:val="center"/>
              <w:ind w:right="30"/>
              <w:spacing w:after="0" w:line="159" w:lineRule="exact"/>
              <w:rPr>
                <w:sz w:val="20"/>
                <w:szCs w:val="20"/>
                <w:color w:val="auto"/>
              </w:rPr>
            </w:pPr>
            <w:r>
              <w:rPr>
                <w:rFonts w:ascii="Arial" w:cs="Arial" w:eastAsia="Arial" w:hAnsi="Arial"/>
                <w:sz w:val="15"/>
                <w:szCs w:val="15"/>
                <w:b w:val="1"/>
                <w:bCs w:val="1"/>
                <w:color w:val="231F20"/>
              </w:rPr>
              <w:t>Gross</w:t>
            </w:r>
          </w:p>
        </w:tc>
        <w:tc>
          <w:tcPr>
            <w:tcW w:w="22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860" w:type="dxa"/>
            <w:vAlign w:val="bottom"/>
            <w:shd w:val="clear" w:color="auto" w:fill="FDFDFC"/>
          </w:tcPr>
          <w:p>
            <w:pPr>
              <w:jc w:val="center"/>
              <w:ind w:right="52"/>
              <w:spacing w:after="0" w:line="159" w:lineRule="exact"/>
              <w:rPr>
                <w:sz w:val="20"/>
                <w:szCs w:val="20"/>
                <w:color w:val="auto"/>
              </w:rPr>
            </w:pPr>
            <w:r>
              <w:rPr>
                <w:rFonts w:ascii="Arial" w:cs="Arial" w:eastAsia="Arial" w:hAnsi="Arial"/>
                <w:sz w:val="15"/>
                <w:szCs w:val="15"/>
                <w:b w:val="1"/>
                <w:bCs w:val="1"/>
                <w:color w:val="231F20"/>
              </w:rPr>
              <w:t>Gross</w:t>
            </w:r>
          </w:p>
        </w:tc>
        <w:tc>
          <w:tcPr>
            <w:tcW w:w="220" w:type="dxa"/>
            <w:vAlign w:val="bottom"/>
            <w:shd w:val="clear" w:color="auto" w:fill="FDFDFC"/>
          </w:tcPr>
          <w:p>
            <w:pPr>
              <w:spacing w:after="0"/>
              <w:rPr>
                <w:sz w:val="13"/>
                <w:szCs w:val="13"/>
                <w:color w:val="auto"/>
              </w:rPr>
            </w:pPr>
          </w:p>
        </w:tc>
        <w:tc>
          <w:tcPr>
            <w:tcW w:w="40" w:type="dxa"/>
            <w:vAlign w:val="bottom"/>
            <w:tcBorders>
              <w:right w:val="single" w:sz="8" w:color="FDFDFC"/>
            </w:tcBorders>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900" w:type="dxa"/>
            <w:vAlign w:val="bottom"/>
            <w:shd w:val="clear" w:color="auto" w:fill="FDFDFC"/>
          </w:tcPr>
          <w:p>
            <w:pPr>
              <w:jc w:val="center"/>
              <w:ind w:right="11"/>
              <w:spacing w:after="0" w:line="159" w:lineRule="exact"/>
              <w:rPr>
                <w:sz w:val="20"/>
                <w:szCs w:val="20"/>
                <w:color w:val="auto"/>
              </w:rPr>
            </w:pPr>
            <w:r>
              <w:rPr>
                <w:rFonts w:ascii="Arial" w:cs="Arial" w:eastAsia="Arial" w:hAnsi="Arial"/>
                <w:sz w:val="15"/>
                <w:szCs w:val="15"/>
                <w:b w:val="1"/>
                <w:bCs w:val="1"/>
                <w:color w:val="231F20"/>
              </w:rPr>
              <w:t>Gross</w:t>
            </w:r>
          </w:p>
        </w:tc>
        <w:tc>
          <w:tcPr>
            <w:tcW w:w="10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900" w:type="dxa"/>
            <w:vAlign w:val="bottom"/>
            <w:gridSpan w:val="2"/>
            <w:shd w:val="clear" w:color="auto" w:fill="FDFDFC"/>
          </w:tcPr>
          <w:p>
            <w:pPr>
              <w:jc w:val="center"/>
              <w:ind w:right="140"/>
              <w:spacing w:after="0" w:line="159" w:lineRule="exact"/>
              <w:rPr>
                <w:sz w:val="20"/>
                <w:szCs w:val="20"/>
                <w:color w:val="auto"/>
              </w:rPr>
            </w:pPr>
            <w:r>
              <w:rPr>
                <w:rFonts w:ascii="Arial" w:cs="Arial" w:eastAsia="Arial" w:hAnsi="Arial"/>
                <w:sz w:val="15"/>
                <w:szCs w:val="15"/>
                <w:b w:val="1"/>
                <w:bCs w:val="1"/>
                <w:color w:val="231F20"/>
              </w:rPr>
              <w:t>Allowance</w:t>
            </w:r>
          </w:p>
        </w:tc>
        <w:tc>
          <w:tcPr>
            <w:tcW w:w="20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860" w:type="dxa"/>
            <w:vAlign w:val="bottom"/>
            <w:shd w:val="clear" w:color="auto" w:fill="FDFDFC"/>
          </w:tcPr>
          <w:p>
            <w:pPr>
              <w:jc w:val="center"/>
              <w:ind w:right="68"/>
              <w:spacing w:after="0" w:line="159" w:lineRule="exact"/>
              <w:rPr>
                <w:sz w:val="20"/>
                <w:szCs w:val="20"/>
                <w:color w:val="auto"/>
              </w:rPr>
            </w:pPr>
            <w:r>
              <w:rPr>
                <w:rFonts w:ascii="Arial" w:cs="Arial" w:eastAsia="Arial" w:hAnsi="Arial"/>
                <w:sz w:val="15"/>
                <w:szCs w:val="15"/>
                <w:b w:val="1"/>
                <w:bCs w:val="1"/>
                <w:color w:val="231F20"/>
              </w:rPr>
              <w:t>Accrued</w:t>
            </w:r>
          </w:p>
        </w:tc>
        <w:tc>
          <w:tcPr>
            <w:tcW w:w="20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vMerge w:val="restart"/>
            <w:shd w:val="clear" w:color="auto" w:fill="FDFDFC"/>
          </w:tcPr>
          <w:p>
            <w:pPr>
              <w:jc w:val="right"/>
              <w:ind w:right="28"/>
              <w:spacing w:after="0"/>
              <w:rPr>
                <w:sz w:val="20"/>
                <w:szCs w:val="20"/>
                <w:color w:val="auto"/>
              </w:rPr>
            </w:pPr>
            <w:r>
              <w:rPr>
                <w:rFonts w:ascii="Arial" w:cs="Arial" w:eastAsia="Arial" w:hAnsi="Arial"/>
                <w:sz w:val="15"/>
                <w:szCs w:val="15"/>
                <w:b w:val="1"/>
                <w:bCs w:val="1"/>
                <w:color w:val="231F20"/>
                <w:w w:val="99"/>
              </w:rPr>
              <w:t>Aggregate</w:t>
            </w:r>
          </w:p>
        </w:tc>
        <w:tc>
          <w:tcPr>
            <w:tcW w:w="10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80" w:type="dxa"/>
            <w:vAlign w:val="bottom"/>
            <w:shd w:val="clear" w:color="auto" w:fill="FDFDFC"/>
          </w:tcPr>
          <w:p>
            <w:pPr>
              <w:jc w:val="center"/>
              <w:ind w:right="50"/>
              <w:spacing w:after="0"/>
              <w:rPr>
                <w:sz w:val="20"/>
                <w:szCs w:val="20"/>
                <w:color w:val="auto"/>
              </w:rPr>
            </w:pPr>
            <w:r>
              <w:rPr>
                <w:rFonts w:ascii="Arial" w:cs="Arial" w:eastAsia="Arial" w:hAnsi="Arial"/>
                <w:sz w:val="15"/>
                <w:szCs w:val="15"/>
                <w:b w:val="1"/>
                <w:bCs w:val="1"/>
                <w:color w:val="231F20"/>
              </w:rPr>
              <w:t>Amortized</w:t>
            </w:r>
          </w:p>
        </w:tc>
        <w:tc>
          <w:tcPr>
            <w:tcW w:w="2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880" w:type="dxa"/>
            <w:vAlign w:val="bottom"/>
            <w:gridSpan w:val="2"/>
            <w:shd w:val="clear" w:color="auto" w:fill="FDFDFC"/>
          </w:tcPr>
          <w:p>
            <w:pPr>
              <w:jc w:val="center"/>
              <w:ind w:right="32"/>
              <w:spacing w:after="0"/>
              <w:rPr>
                <w:sz w:val="20"/>
                <w:szCs w:val="20"/>
                <w:color w:val="auto"/>
              </w:rPr>
            </w:pPr>
            <w:r>
              <w:rPr>
                <w:rFonts w:ascii="Arial" w:cs="Arial" w:eastAsia="Arial" w:hAnsi="Arial"/>
                <w:sz w:val="15"/>
                <w:szCs w:val="15"/>
                <w:b w:val="1"/>
                <w:bCs w:val="1"/>
                <w:color w:val="231F20"/>
              </w:rPr>
              <w:t>Unrealized</w:t>
            </w:r>
          </w:p>
        </w:tc>
        <w:tc>
          <w:tcPr>
            <w:tcW w:w="220" w:type="dxa"/>
            <w:vAlign w:val="bottom"/>
            <w:shd w:val="clear" w:color="auto" w:fill="FDFDFC"/>
          </w:tcPr>
          <w:p>
            <w:pPr>
              <w:spacing w:after="0"/>
              <w:rPr>
                <w:sz w:val="15"/>
                <w:szCs w:val="15"/>
                <w:color w:val="auto"/>
              </w:rPr>
            </w:pPr>
          </w:p>
        </w:tc>
        <w:tc>
          <w:tcPr>
            <w:tcW w:w="40" w:type="dxa"/>
            <w:vAlign w:val="bottom"/>
            <w:tcBorders>
              <w:right w:val="single" w:sz="8" w:color="FDFDFC"/>
            </w:tcBorders>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900" w:type="dxa"/>
            <w:vAlign w:val="bottom"/>
            <w:shd w:val="clear" w:color="auto" w:fill="FDFDFC"/>
          </w:tcPr>
          <w:p>
            <w:pPr>
              <w:jc w:val="center"/>
              <w:ind w:right="11"/>
              <w:spacing w:after="0"/>
              <w:rPr>
                <w:sz w:val="20"/>
                <w:szCs w:val="20"/>
                <w:color w:val="auto"/>
              </w:rPr>
            </w:pPr>
            <w:r>
              <w:rPr>
                <w:rFonts w:ascii="Arial" w:cs="Arial" w:eastAsia="Arial" w:hAnsi="Arial"/>
                <w:sz w:val="15"/>
                <w:szCs w:val="15"/>
                <w:b w:val="1"/>
                <w:bCs w:val="1"/>
                <w:color w:val="231F20"/>
              </w:rPr>
              <w:t>Unrealized</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900" w:type="dxa"/>
            <w:vAlign w:val="bottom"/>
            <w:gridSpan w:val="2"/>
            <w:shd w:val="clear" w:color="auto" w:fill="FDFDFC"/>
          </w:tcPr>
          <w:p>
            <w:pPr>
              <w:jc w:val="center"/>
              <w:ind w:right="140"/>
              <w:spacing w:after="0"/>
              <w:rPr>
                <w:sz w:val="20"/>
                <w:szCs w:val="20"/>
                <w:color w:val="auto"/>
              </w:rPr>
            </w:pPr>
            <w:r>
              <w:rPr>
                <w:rFonts w:ascii="Arial" w:cs="Arial" w:eastAsia="Arial" w:hAnsi="Arial"/>
                <w:sz w:val="15"/>
                <w:szCs w:val="15"/>
                <w:b w:val="1"/>
                <w:bCs w:val="1"/>
                <w:color w:val="231F20"/>
              </w:rPr>
              <w:t>for Credit</w:t>
            </w:r>
          </w:p>
        </w:tc>
        <w:tc>
          <w:tcPr>
            <w:tcW w:w="2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60" w:type="dxa"/>
            <w:vAlign w:val="bottom"/>
            <w:shd w:val="clear" w:color="auto" w:fill="FDFDFC"/>
          </w:tcPr>
          <w:p>
            <w:pPr>
              <w:jc w:val="center"/>
              <w:ind w:right="68"/>
              <w:spacing w:after="0"/>
              <w:rPr>
                <w:sz w:val="20"/>
                <w:szCs w:val="20"/>
                <w:color w:val="auto"/>
              </w:rPr>
            </w:pPr>
            <w:r>
              <w:rPr>
                <w:rFonts w:ascii="Arial" w:cs="Arial" w:eastAsia="Arial" w:hAnsi="Arial"/>
                <w:sz w:val="15"/>
                <w:szCs w:val="15"/>
                <w:b w:val="1"/>
                <w:bCs w:val="1"/>
                <w:color w:val="231F20"/>
                <w:w w:val="99"/>
              </w:rPr>
              <w:t>Interest</w:t>
            </w:r>
          </w:p>
        </w:tc>
        <w:tc>
          <w:tcPr>
            <w:tcW w:w="2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88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96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2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880" w:type="dxa"/>
            <w:vAlign w:val="bottom"/>
            <w:tcBorders>
              <w:bottom w:val="single" w:sz="8" w:color="231F20"/>
            </w:tcBorders>
            <w:shd w:val="clear" w:color="auto" w:fill="FDFDFC"/>
          </w:tcPr>
          <w:p>
            <w:pPr>
              <w:jc w:val="center"/>
              <w:ind w:right="50"/>
              <w:spacing w:after="0"/>
              <w:rPr>
                <w:sz w:val="20"/>
                <w:szCs w:val="20"/>
                <w:color w:val="auto"/>
              </w:rPr>
            </w:pPr>
            <w:r>
              <w:rPr>
                <w:rFonts w:ascii="Arial" w:cs="Arial" w:eastAsia="Arial" w:hAnsi="Arial"/>
                <w:sz w:val="15"/>
                <w:szCs w:val="15"/>
                <w:b w:val="1"/>
                <w:bCs w:val="1"/>
                <w:color w:val="231F20"/>
              </w:rPr>
              <w:t>Cost</w:t>
            </w:r>
          </w:p>
        </w:tc>
        <w:tc>
          <w:tcPr>
            <w:tcW w:w="220" w:type="dxa"/>
            <w:vAlign w:val="bottom"/>
            <w:tcBorders>
              <w:bottom w:val="single" w:sz="8" w:color="D0EBF2"/>
            </w:tcBorders>
            <w:shd w:val="clear" w:color="auto" w:fill="FDFDFC"/>
          </w:tcPr>
          <w:p>
            <w:pPr>
              <w:spacing w:after="0"/>
              <w:rPr>
                <w:sz w:val="16"/>
                <w:szCs w:val="16"/>
                <w:color w:val="auto"/>
              </w:rPr>
            </w:pPr>
          </w:p>
        </w:tc>
        <w:tc>
          <w:tcPr>
            <w:tcW w:w="20" w:type="dxa"/>
            <w:vAlign w:val="bottom"/>
            <w:tcBorders>
              <w:bottom w:val="single" w:sz="8" w:color="D0EBF2"/>
            </w:tcBorders>
            <w:shd w:val="clear" w:color="auto" w:fill="FDFDFC"/>
          </w:tcPr>
          <w:p>
            <w:pPr>
              <w:spacing w:after="0"/>
              <w:rPr>
                <w:sz w:val="16"/>
                <w:szCs w:val="16"/>
                <w:color w:val="auto"/>
              </w:rPr>
            </w:pPr>
          </w:p>
        </w:tc>
        <w:tc>
          <w:tcPr>
            <w:tcW w:w="8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jc w:val="center"/>
              <w:ind w:right="32"/>
              <w:spacing w:after="0"/>
              <w:rPr>
                <w:sz w:val="20"/>
                <w:szCs w:val="20"/>
                <w:color w:val="auto"/>
              </w:rPr>
            </w:pPr>
            <w:r>
              <w:rPr>
                <w:rFonts w:ascii="Arial" w:cs="Arial" w:eastAsia="Arial" w:hAnsi="Arial"/>
                <w:sz w:val="15"/>
                <w:szCs w:val="15"/>
                <w:b w:val="1"/>
                <w:bCs w:val="1"/>
                <w:color w:val="231F20"/>
              </w:rPr>
              <w:t>Gains</w:t>
            </w:r>
          </w:p>
        </w:tc>
        <w:tc>
          <w:tcPr>
            <w:tcW w:w="220" w:type="dxa"/>
            <w:vAlign w:val="bottom"/>
            <w:tcBorders>
              <w:bottom w:val="single" w:sz="8" w:color="D0EBF2"/>
            </w:tcBorders>
            <w:shd w:val="clear" w:color="auto" w:fill="FDFDFC"/>
          </w:tcPr>
          <w:p>
            <w:pPr>
              <w:spacing w:after="0"/>
              <w:rPr>
                <w:sz w:val="16"/>
                <w:szCs w:val="16"/>
                <w:color w:val="auto"/>
              </w:rPr>
            </w:pPr>
          </w:p>
        </w:tc>
        <w:tc>
          <w:tcPr>
            <w:tcW w:w="40" w:type="dxa"/>
            <w:vAlign w:val="bottom"/>
            <w:tcBorders>
              <w:bottom w:val="single" w:sz="8" w:color="D0EBF2"/>
              <w:right w:val="single" w:sz="8" w:color="FDFDFC"/>
            </w:tcBorders>
            <w:shd w:val="clear" w:color="auto" w:fill="FDFDFC"/>
          </w:tcPr>
          <w:p>
            <w:pPr>
              <w:spacing w:after="0"/>
              <w:rPr>
                <w:sz w:val="16"/>
                <w:szCs w:val="16"/>
                <w:color w:val="auto"/>
              </w:rPr>
            </w:pPr>
          </w:p>
        </w:tc>
        <w:tc>
          <w:tcPr>
            <w:tcW w:w="60" w:type="dxa"/>
            <w:vAlign w:val="bottom"/>
            <w:tcBorders>
              <w:bottom w:val="single" w:sz="8" w:color="231F20"/>
            </w:tcBorders>
            <w:shd w:val="clear" w:color="auto" w:fill="FDFDFC"/>
          </w:tcPr>
          <w:p>
            <w:pPr>
              <w:spacing w:after="0"/>
              <w:rPr>
                <w:sz w:val="16"/>
                <w:szCs w:val="16"/>
                <w:color w:val="auto"/>
              </w:rPr>
            </w:pPr>
          </w:p>
        </w:tc>
        <w:tc>
          <w:tcPr>
            <w:tcW w:w="900" w:type="dxa"/>
            <w:vAlign w:val="bottom"/>
            <w:tcBorders>
              <w:bottom w:val="single" w:sz="8" w:color="231F20"/>
            </w:tcBorders>
            <w:shd w:val="clear" w:color="auto" w:fill="FDFDFC"/>
          </w:tcPr>
          <w:p>
            <w:pPr>
              <w:jc w:val="center"/>
              <w:ind w:right="11"/>
              <w:spacing w:after="0"/>
              <w:rPr>
                <w:sz w:val="20"/>
                <w:szCs w:val="20"/>
                <w:color w:val="auto"/>
              </w:rPr>
            </w:pPr>
            <w:r>
              <w:rPr>
                <w:rFonts w:ascii="Arial" w:cs="Arial" w:eastAsia="Arial" w:hAnsi="Arial"/>
                <w:sz w:val="15"/>
                <w:szCs w:val="15"/>
                <w:b w:val="1"/>
                <w:bCs w:val="1"/>
                <w:color w:val="231F20"/>
              </w:rPr>
              <w:t>Losses</w:t>
            </w:r>
          </w:p>
        </w:tc>
        <w:tc>
          <w:tcPr>
            <w:tcW w:w="10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D0EBF2"/>
            </w:tcBorders>
            <w:shd w:val="clear" w:color="auto" w:fill="FDFDFC"/>
          </w:tcPr>
          <w:p>
            <w:pPr>
              <w:spacing w:after="0"/>
              <w:rPr>
                <w:sz w:val="16"/>
                <w:szCs w:val="16"/>
                <w:color w:val="auto"/>
              </w:rPr>
            </w:pPr>
          </w:p>
        </w:tc>
        <w:tc>
          <w:tcPr>
            <w:tcW w:w="20" w:type="dxa"/>
            <w:vAlign w:val="bottom"/>
            <w:tcBorders>
              <w:bottom w:val="single" w:sz="8" w:color="D0EBF2"/>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60" w:type="dxa"/>
            <w:vAlign w:val="bottom"/>
            <w:tcBorders>
              <w:bottom w:val="single" w:sz="8" w:color="231F20"/>
            </w:tcBorders>
            <w:shd w:val="clear" w:color="auto" w:fill="FDFDFC"/>
          </w:tcPr>
          <w:p>
            <w:pPr>
              <w:spacing w:after="0"/>
              <w:rPr>
                <w:sz w:val="16"/>
                <w:szCs w:val="16"/>
                <w:color w:val="auto"/>
              </w:rPr>
            </w:pPr>
          </w:p>
        </w:tc>
        <w:tc>
          <w:tcPr>
            <w:tcW w:w="900" w:type="dxa"/>
            <w:vAlign w:val="bottom"/>
            <w:tcBorders>
              <w:bottom w:val="single" w:sz="8" w:color="231F20"/>
            </w:tcBorders>
            <w:gridSpan w:val="2"/>
            <w:shd w:val="clear" w:color="auto" w:fill="FDFDFC"/>
          </w:tcPr>
          <w:p>
            <w:pPr>
              <w:jc w:val="center"/>
              <w:ind w:right="140"/>
              <w:spacing w:after="0"/>
              <w:rPr>
                <w:sz w:val="20"/>
                <w:szCs w:val="20"/>
                <w:color w:val="auto"/>
              </w:rPr>
            </w:pPr>
            <w:r>
              <w:rPr>
                <w:rFonts w:ascii="Arial" w:cs="Arial" w:eastAsia="Arial" w:hAnsi="Arial"/>
                <w:sz w:val="15"/>
                <w:szCs w:val="15"/>
                <w:b w:val="1"/>
                <w:bCs w:val="1"/>
                <w:color w:val="231F20"/>
              </w:rPr>
              <w:t>Losses</w:t>
            </w:r>
          </w:p>
        </w:tc>
        <w:tc>
          <w:tcPr>
            <w:tcW w:w="200" w:type="dxa"/>
            <w:vAlign w:val="bottom"/>
            <w:tcBorders>
              <w:bottom w:val="single" w:sz="8" w:color="D0EBF2"/>
            </w:tcBorders>
            <w:shd w:val="clear" w:color="auto" w:fill="FDFDFC"/>
          </w:tcPr>
          <w:p>
            <w:pPr>
              <w:spacing w:after="0"/>
              <w:rPr>
                <w:sz w:val="16"/>
                <w:szCs w:val="16"/>
                <w:color w:val="auto"/>
              </w:rPr>
            </w:pPr>
          </w:p>
        </w:tc>
        <w:tc>
          <w:tcPr>
            <w:tcW w:w="20" w:type="dxa"/>
            <w:vAlign w:val="bottom"/>
            <w:tcBorders>
              <w:bottom w:val="single" w:sz="8" w:color="D0EBF2"/>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960" w:type="dxa"/>
            <w:vAlign w:val="bottom"/>
            <w:tcBorders>
              <w:bottom w:val="single" w:sz="8" w:color="231F20"/>
            </w:tcBorders>
            <w:gridSpan w:val="2"/>
            <w:shd w:val="clear" w:color="auto" w:fill="FDFDFC"/>
          </w:tcPr>
          <w:p>
            <w:pPr>
              <w:jc w:val="center"/>
              <w:spacing w:after="0"/>
              <w:rPr>
                <w:sz w:val="20"/>
                <w:szCs w:val="20"/>
                <w:color w:val="auto"/>
              </w:rPr>
            </w:pPr>
            <w:r>
              <w:rPr>
                <w:rFonts w:ascii="Arial" w:cs="Arial" w:eastAsia="Arial" w:hAnsi="Arial"/>
                <w:sz w:val="15"/>
                <w:szCs w:val="15"/>
                <w:b w:val="1"/>
                <w:bCs w:val="1"/>
                <w:color w:val="231F20"/>
                <w:w w:val="99"/>
              </w:rPr>
              <w:t>Receivable</w:t>
            </w:r>
          </w:p>
        </w:tc>
        <w:tc>
          <w:tcPr>
            <w:tcW w:w="200" w:type="dxa"/>
            <w:vAlign w:val="bottom"/>
            <w:tcBorders>
              <w:bottom w:val="single" w:sz="8" w:color="D0EBF2"/>
            </w:tcBorders>
            <w:shd w:val="clear" w:color="auto" w:fill="FDFDFC"/>
          </w:tcPr>
          <w:p>
            <w:pPr>
              <w:spacing w:after="0"/>
              <w:rPr>
                <w:sz w:val="16"/>
                <w:szCs w:val="16"/>
                <w:color w:val="auto"/>
              </w:rPr>
            </w:pPr>
          </w:p>
        </w:tc>
        <w:tc>
          <w:tcPr>
            <w:tcW w:w="20" w:type="dxa"/>
            <w:vAlign w:val="bottom"/>
            <w:tcBorders>
              <w:bottom w:val="single" w:sz="8" w:color="D0EBF2"/>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231F20"/>
            </w:tcBorders>
            <w:shd w:val="clear" w:color="auto" w:fill="FDFDFC"/>
          </w:tcPr>
          <w:p>
            <w:pPr>
              <w:spacing w:after="0"/>
              <w:rPr>
                <w:sz w:val="16"/>
                <w:szCs w:val="16"/>
                <w:color w:val="auto"/>
              </w:rPr>
            </w:pPr>
          </w:p>
        </w:tc>
        <w:tc>
          <w:tcPr>
            <w:tcW w:w="880" w:type="dxa"/>
            <w:vAlign w:val="bottom"/>
            <w:tcBorders>
              <w:bottom w:val="single" w:sz="8" w:color="231F20"/>
            </w:tcBorders>
            <w:shd w:val="clear" w:color="auto" w:fill="FDFDFC"/>
          </w:tcPr>
          <w:p>
            <w:pPr>
              <w:jc w:val="right"/>
              <w:ind w:right="48"/>
              <w:spacing w:after="0"/>
              <w:rPr>
                <w:sz w:val="20"/>
                <w:szCs w:val="20"/>
                <w:color w:val="auto"/>
              </w:rPr>
            </w:pPr>
            <w:r>
              <w:rPr>
                <w:rFonts w:ascii="Arial" w:cs="Arial" w:eastAsia="Arial" w:hAnsi="Arial"/>
                <w:sz w:val="15"/>
                <w:szCs w:val="15"/>
                <w:b w:val="1"/>
                <w:bCs w:val="1"/>
                <w:color w:val="231F20"/>
              </w:rPr>
              <w:t>Fair Value</w:t>
            </w:r>
          </w:p>
        </w:tc>
        <w:tc>
          <w:tcPr>
            <w:tcW w:w="100" w:type="dxa"/>
            <w:vAlign w:val="bottom"/>
            <w:tcBorders>
              <w:bottom w:val="single" w:sz="8" w:color="D0EBF2"/>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960" w:type="dxa"/>
            <w:vAlign w:val="bottom"/>
            <w:shd w:val="clear" w:color="auto" w:fill="D0EBF2"/>
          </w:tcPr>
          <w:p>
            <w:pPr>
              <w:spacing w:after="0"/>
              <w:rPr>
                <w:sz w:val="20"/>
                <w:szCs w:val="20"/>
                <w:color w:val="auto"/>
              </w:rPr>
            </w:pPr>
            <w:r>
              <w:rPr>
                <w:rFonts w:ascii="Arial" w:cs="Arial" w:eastAsia="Arial" w:hAnsi="Arial"/>
                <w:sz w:val="19"/>
                <w:szCs w:val="19"/>
                <w:color w:val="231F20"/>
              </w:rPr>
              <w:t>Short-term investments</w:t>
            </w:r>
          </w:p>
        </w:tc>
        <w:tc>
          <w:tcPr>
            <w:tcW w:w="10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880" w:type="dxa"/>
            <w:vAlign w:val="bottom"/>
            <w:shd w:val="clear" w:color="auto" w:fill="D0EBF2"/>
          </w:tcPr>
          <w:p>
            <w:pPr>
              <w:spacing w:after="0"/>
              <w:rPr>
                <w:sz w:val="19"/>
                <w:szCs w:val="19"/>
                <w:color w:val="auto"/>
              </w:rPr>
            </w:pPr>
          </w:p>
        </w:tc>
        <w:tc>
          <w:tcPr>
            <w:tcW w:w="2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8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860" w:type="dxa"/>
            <w:vAlign w:val="bottom"/>
            <w:shd w:val="clear" w:color="auto" w:fill="D0EBF2"/>
          </w:tcPr>
          <w:p>
            <w:pPr>
              <w:spacing w:after="0"/>
              <w:rPr>
                <w:sz w:val="19"/>
                <w:szCs w:val="19"/>
                <w:color w:val="auto"/>
              </w:rPr>
            </w:pPr>
          </w:p>
        </w:tc>
        <w:tc>
          <w:tcPr>
            <w:tcW w:w="220" w:type="dxa"/>
            <w:vAlign w:val="bottom"/>
            <w:shd w:val="clear" w:color="auto" w:fill="D0EBF2"/>
          </w:tcPr>
          <w:p>
            <w:pPr>
              <w:spacing w:after="0"/>
              <w:rPr>
                <w:sz w:val="19"/>
                <w:szCs w:val="19"/>
                <w:color w:val="auto"/>
              </w:rPr>
            </w:pPr>
          </w:p>
        </w:tc>
        <w:tc>
          <w:tcPr>
            <w:tcW w:w="40" w:type="dxa"/>
            <w:vAlign w:val="bottom"/>
            <w:tcBorders>
              <w:right w:val="single" w:sz="8" w:color="D0EBF2"/>
            </w:tcBorders>
            <w:shd w:val="clear" w:color="auto" w:fill="D0EBF2"/>
          </w:tcPr>
          <w:p>
            <w:pPr>
              <w:spacing w:after="0"/>
              <w:rPr>
                <w:sz w:val="19"/>
                <w:szCs w:val="19"/>
                <w:color w:val="auto"/>
              </w:rPr>
            </w:pPr>
          </w:p>
        </w:tc>
        <w:tc>
          <w:tcPr>
            <w:tcW w:w="60" w:type="dxa"/>
            <w:vAlign w:val="bottom"/>
            <w:shd w:val="clear" w:color="auto" w:fill="D0EBF2"/>
          </w:tcPr>
          <w:p>
            <w:pPr>
              <w:spacing w:after="0"/>
              <w:rPr>
                <w:sz w:val="19"/>
                <w:szCs w:val="19"/>
                <w:color w:val="auto"/>
              </w:rPr>
            </w:pPr>
          </w:p>
        </w:tc>
        <w:tc>
          <w:tcPr>
            <w:tcW w:w="90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60" w:type="dxa"/>
            <w:vAlign w:val="bottom"/>
            <w:shd w:val="clear" w:color="auto" w:fill="D0EBF2"/>
          </w:tcPr>
          <w:p>
            <w:pPr>
              <w:spacing w:after="0"/>
              <w:rPr>
                <w:sz w:val="19"/>
                <w:szCs w:val="19"/>
                <w:color w:val="auto"/>
              </w:rPr>
            </w:pPr>
          </w:p>
        </w:tc>
        <w:tc>
          <w:tcPr>
            <w:tcW w:w="88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20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860" w:type="dxa"/>
            <w:vAlign w:val="bottom"/>
            <w:shd w:val="clear" w:color="auto" w:fill="D0EBF2"/>
          </w:tcPr>
          <w:p>
            <w:pPr>
              <w:spacing w:after="0"/>
              <w:rPr>
                <w:sz w:val="19"/>
                <w:szCs w:val="19"/>
                <w:color w:val="auto"/>
              </w:rPr>
            </w:pPr>
          </w:p>
        </w:tc>
        <w:tc>
          <w:tcPr>
            <w:tcW w:w="20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80" w:type="dxa"/>
            <w:vAlign w:val="bottom"/>
            <w:shd w:val="clear" w:color="auto" w:fill="D0EBF2"/>
          </w:tcPr>
          <w:p>
            <w:pPr>
              <w:spacing w:after="0"/>
              <w:rPr>
                <w:sz w:val="19"/>
                <w:szCs w:val="19"/>
                <w:color w:val="auto"/>
              </w:rPr>
            </w:pPr>
          </w:p>
        </w:tc>
        <w:tc>
          <w:tcPr>
            <w:tcW w:w="88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Corporate bonds</w:t>
            </w:r>
          </w:p>
        </w:tc>
        <w:tc>
          <w:tcPr>
            <w:tcW w:w="1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jc w:val="right"/>
              <w:spacing w:after="0"/>
              <w:rPr>
                <w:sz w:val="20"/>
                <w:szCs w:val="20"/>
                <w:color w:val="auto"/>
              </w:rPr>
            </w:pPr>
            <w:r>
              <w:rPr>
                <w:rFonts w:ascii="Arial" w:cs="Arial" w:eastAsia="Arial" w:hAnsi="Arial"/>
                <w:sz w:val="15"/>
                <w:szCs w:val="15"/>
                <w:color w:val="231F20"/>
                <w:w w:val="71"/>
              </w:rPr>
              <w:t>$</w:t>
            </w: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61,941</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jc w:val="right"/>
              <w:spacing w:after="0"/>
              <w:rPr>
                <w:sz w:val="20"/>
                <w:szCs w:val="20"/>
                <w:color w:val="auto"/>
              </w:rPr>
            </w:pPr>
            <w:r>
              <w:rPr>
                <w:rFonts w:ascii="Arial" w:cs="Arial" w:eastAsia="Arial" w:hAnsi="Arial"/>
                <w:sz w:val="15"/>
                <w:szCs w:val="15"/>
                <w:color w:val="231F20"/>
                <w:w w:val="71"/>
              </w:rPr>
              <w:t>$</w:t>
            </w:r>
          </w:p>
        </w:tc>
        <w:tc>
          <w:tcPr>
            <w:tcW w:w="20" w:type="dxa"/>
            <w:vAlign w:val="bottom"/>
            <w:shd w:val="clear" w:color="auto" w:fill="FDFDFC"/>
          </w:tcPr>
          <w:p>
            <w:pPr>
              <w:spacing w:after="0"/>
              <w:rPr>
                <w:sz w:val="20"/>
                <w:szCs w:val="20"/>
                <w:color w:val="auto"/>
              </w:rPr>
            </w:pP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143</w:t>
            </w:r>
          </w:p>
        </w:tc>
        <w:tc>
          <w:tcPr>
            <w:tcW w:w="220" w:type="dxa"/>
            <w:vAlign w:val="bottom"/>
            <w:shd w:val="clear" w:color="auto" w:fill="FDFDFC"/>
          </w:tcPr>
          <w:p>
            <w:pPr>
              <w:spacing w:after="0"/>
              <w:rPr>
                <w:sz w:val="20"/>
                <w:szCs w:val="20"/>
                <w:color w:val="auto"/>
              </w:rPr>
            </w:pPr>
          </w:p>
        </w:tc>
        <w:tc>
          <w:tcPr>
            <w:tcW w:w="40" w:type="dxa"/>
            <w:vAlign w:val="bottom"/>
            <w:tcBorders>
              <w:right w:val="single" w:sz="8" w:color="FDFDFC"/>
            </w:tcBorders>
            <w:shd w:val="clear" w:color="auto" w:fill="FDFDFC"/>
          </w:tcPr>
          <w:p>
            <w:pPr>
              <w:spacing w:after="0"/>
              <w:rPr>
                <w:sz w:val="20"/>
                <w:szCs w:val="20"/>
                <w:color w:val="auto"/>
              </w:rPr>
            </w:pPr>
          </w:p>
        </w:tc>
        <w:tc>
          <w:tcPr>
            <w:tcW w:w="60" w:type="dxa"/>
            <w:vAlign w:val="bottom"/>
            <w:shd w:val="clear" w:color="auto" w:fill="FDFDFC"/>
          </w:tcPr>
          <w:p>
            <w:pPr>
              <w:jc w:val="right"/>
              <w:spacing w:after="0"/>
              <w:rPr>
                <w:sz w:val="20"/>
                <w:szCs w:val="20"/>
                <w:color w:val="auto"/>
              </w:rPr>
            </w:pPr>
            <w:r>
              <w:rPr>
                <w:rFonts w:ascii="Arial" w:cs="Arial" w:eastAsia="Arial" w:hAnsi="Arial"/>
                <w:sz w:val="10"/>
                <w:szCs w:val="10"/>
                <w:color w:val="231F20"/>
                <w:w w:val="71"/>
              </w:rPr>
              <w:t>$</w:t>
            </w:r>
          </w:p>
        </w:tc>
        <w:tc>
          <w:tcPr>
            <w:tcW w:w="100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(3)</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60" w:type="dxa"/>
            <w:vAlign w:val="bottom"/>
            <w:shd w:val="clear" w:color="auto" w:fill="FDFDFC"/>
          </w:tcPr>
          <w:p>
            <w:pPr>
              <w:jc w:val="right"/>
              <w:spacing w:after="0"/>
              <w:rPr>
                <w:sz w:val="20"/>
                <w:szCs w:val="20"/>
                <w:color w:val="auto"/>
              </w:rPr>
            </w:pPr>
            <w:r>
              <w:rPr>
                <w:rFonts w:ascii="Arial" w:cs="Arial" w:eastAsia="Arial" w:hAnsi="Arial"/>
                <w:sz w:val="10"/>
                <w:szCs w:val="10"/>
                <w:color w:val="231F20"/>
                <w:w w:val="71"/>
              </w:rPr>
              <w:t>$</w:t>
            </w:r>
          </w:p>
        </w:tc>
        <w:tc>
          <w:tcPr>
            <w:tcW w:w="900" w:type="dxa"/>
            <w:vAlign w:val="bottom"/>
            <w:gridSpan w:val="2"/>
            <w:shd w:val="clear" w:color="auto" w:fill="FDFDFC"/>
          </w:tcPr>
          <w:p>
            <w:pPr>
              <w:ind w:left="680"/>
              <w:spacing w:after="0"/>
              <w:rPr>
                <w:sz w:val="20"/>
                <w:szCs w:val="20"/>
                <w:color w:val="auto"/>
              </w:rPr>
            </w:pPr>
            <w:r>
              <w:rPr>
                <w:rFonts w:ascii="Arial" w:cs="Arial" w:eastAsia="Arial" w:hAnsi="Arial"/>
                <w:sz w:val="19"/>
                <w:szCs w:val="19"/>
                <w:color w:val="231F20"/>
              </w:rPr>
              <w:t>—</w:t>
            </w:r>
          </w:p>
        </w:tc>
        <w:tc>
          <w:tcPr>
            <w:tcW w:w="2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jc w:val="right"/>
              <w:spacing w:after="0"/>
              <w:rPr>
                <w:sz w:val="20"/>
                <w:szCs w:val="20"/>
                <w:color w:val="auto"/>
              </w:rPr>
            </w:pPr>
            <w:r>
              <w:rPr>
                <w:rFonts w:ascii="Arial" w:cs="Arial" w:eastAsia="Arial" w:hAnsi="Arial"/>
                <w:sz w:val="10"/>
                <w:szCs w:val="10"/>
                <w:color w:val="231F20"/>
                <w:w w:val="71"/>
              </w:rPr>
              <w:t>$</w:t>
            </w: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544</w:t>
            </w:r>
          </w:p>
        </w:tc>
        <w:tc>
          <w:tcPr>
            <w:tcW w:w="2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jc w:val="right"/>
              <w:spacing w:after="0"/>
              <w:rPr>
                <w:sz w:val="20"/>
                <w:szCs w:val="20"/>
                <w:color w:val="auto"/>
              </w:rPr>
            </w:pPr>
            <w:r>
              <w:rPr>
                <w:rFonts w:ascii="Arial" w:cs="Arial" w:eastAsia="Arial" w:hAnsi="Arial"/>
                <w:sz w:val="15"/>
                <w:szCs w:val="15"/>
                <w:color w:val="231F20"/>
                <w:w w:val="71"/>
              </w:rPr>
              <w:t>$</w:t>
            </w: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62,625</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U.S. Government obligations</w:t>
            </w:r>
          </w:p>
        </w:tc>
        <w:tc>
          <w:tcPr>
            <w:tcW w:w="1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36,358</w:t>
            </w:r>
          </w:p>
        </w:tc>
        <w:tc>
          <w:tcPr>
            <w:tcW w:w="2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8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76</w:t>
            </w:r>
          </w:p>
        </w:tc>
        <w:tc>
          <w:tcPr>
            <w:tcW w:w="220" w:type="dxa"/>
            <w:vAlign w:val="bottom"/>
            <w:shd w:val="clear" w:color="auto" w:fill="D0EBF2"/>
          </w:tcPr>
          <w:p>
            <w:pPr>
              <w:spacing w:after="0"/>
              <w:rPr>
                <w:sz w:val="20"/>
                <w:szCs w:val="20"/>
                <w:color w:val="auto"/>
              </w:rPr>
            </w:pPr>
          </w:p>
        </w:tc>
        <w:tc>
          <w:tcPr>
            <w:tcW w:w="40" w:type="dxa"/>
            <w:vAlign w:val="bottom"/>
            <w:tcBorders>
              <w:right w:val="single" w:sz="8" w:color="D0EBF2"/>
            </w:tcBorders>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100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(4)</w:t>
            </w:r>
          </w:p>
        </w:tc>
        <w:tc>
          <w:tcPr>
            <w:tcW w:w="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900" w:type="dxa"/>
            <w:vAlign w:val="bottom"/>
            <w:gridSpan w:val="2"/>
            <w:shd w:val="clear" w:color="auto" w:fill="D0EBF2"/>
          </w:tcPr>
          <w:p>
            <w:pPr>
              <w:ind w:left="680"/>
              <w:spacing w:after="0"/>
              <w:rPr>
                <w:sz w:val="20"/>
                <w:szCs w:val="20"/>
                <w:color w:val="auto"/>
              </w:rPr>
            </w:pPr>
            <w:r>
              <w:rPr>
                <w:rFonts w:ascii="Arial" w:cs="Arial" w:eastAsia="Arial" w:hAnsi="Arial"/>
                <w:sz w:val="19"/>
                <w:szCs w:val="19"/>
                <w:color w:val="231F20"/>
              </w:rPr>
              <w:t>—</w:t>
            </w:r>
          </w:p>
        </w:tc>
        <w:tc>
          <w:tcPr>
            <w:tcW w:w="2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8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325</w:t>
            </w:r>
          </w:p>
        </w:tc>
        <w:tc>
          <w:tcPr>
            <w:tcW w:w="2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36,755</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Treasury bill</w:t>
            </w:r>
          </w:p>
        </w:tc>
        <w:tc>
          <w:tcPr>
            <w:tcW w:w="1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6,979</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880" w:type="dxa"/>
            <w:vAlign w:val="bottom"/>
            <w:gridSpan w:val="2"/>
            <w:shd w:val="clear" w:color="auto" w:fill="FDFDFC"/>
          </w:tcPr>
          <w:p>
            <w:pPr>
              <w:jc w:val="right"/>
              <w:spacing w:after="0"/>
              <w:rPr>
                <w:sz w:val="20"/>
                <w:szCs w:val="20"/>
                <w:color w:val="auto"/>
              </w:rPr>
            </w:pPr>
            <w:r>
              <w:rPr>
                <w:rFonts w:ascii="Arial" w:cs="Arial" w:eastAsia="Arial" w:hAnsi="Arial"/>
                <w:sz w:val="19"/>
                <w:szCs w:val="19"/>
                <w:color w:val="231F20"/>
              </w:rPr>
              <w:t>4</w:t>
            </w:r>
          </w:p>
        </w:tc>
        <w:tc>
          <w:tcPr>
            <w:tcW w:w="220" w:type="dxa"/>
            <w:vAlign w:val="bottom"/>
            <w:shd w:val="clear" w:color="auto" w:fill="FDFDFC"/>
          </w:tcPr>
          <w:p>
            <w:pPr>
              <w:spacing w:after="0"/>
              <w:rPr>
                <w:sz w:val="20"/>
                <w:szCs w:val="20"/>
                <w:color w:val="auto"/>
              </w:rPr>
            </w:pPr>
          </w:p>
        </w:tc>
        <w:tc>
          <w:tcPr>
            <w:tcW w:w="40" w:type="dxa"/>
            <w:vAlign w:val="bottom"/>
            <w:tcBorders>
              <w:right w:val="single" w:sz="8" w:color="FDFDFC"/>
            </w:tcBorders>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1000" w:type="dxa"/>
            <w:vAlign w:val="bottom"/>
            <w:gridSpan w:val="2"/>
            <w:shd w:val="clear" w:color="auto" w:fill="FDFDFC"/>
          </w:tcPr>
          <w:p>
            <w:pPr>
              <w:jc w:val="right"/>
              <w:ind w:right="12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900" w:type="dxa"/>
            <w:vAlign w:val="bottom"/>
            <w:gridSpan w:val="2"/>
            <w:shd w:val="clear" w:color="auto" w:fill="FDFDFC"/>
          </w:tcPr>
          <w:p>
            <w:pPr>
              <w:ind w:left="680"/>
              <w:spacing w:after="0"/>
              <w:rPr>
                <w:sz w:val="20"/>
                <w:szCs w:val="20"/>
                <w:color w:val="auto"/>
              </w:rPr>
            </w:pPr>
            <w:r>
              <w:rPr>
                <w:rFonts w:ascii="Arial" w:cs="Arial" w:eastAsia="Arial" w:hAnsi="Arial"/>
                <w:sz w:val="19"/>
                <w:szCs w:val="19"/>
                <w:color w:val="231F20"/>
              </w:rPr>
              <w:t>—</w:t>
            </w:r>
          </w:p>
        </w:tc>
        <w:tc>
          <w:tcPr>
            <w:tcW w:w="2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6,983</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Foreign agency securities</w:t>
            </w:r>
          </w:p>
        </w:tc>
        <w:tc>
          <w:tcPr>
            <w:tcW w:w="1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2,583</w:t>
            </w:r>
          </w:p>
        </w:tc>
        <w:tc>
          <w:tcPr>
            <w:tcW w:w="2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880" w:type="dxa"/>
            <w:vAlign w:val="bottom"/>
            <w:gridSpan w:val="2"/>
            <w:shd w:val="clear" w:color="auto" w:fill="D0EBF2"/>
          </w:tcPr>
          <w:p>
            <w:pPr>
              <w:jc w:val="right"/>
              <w:spacing w:after="0"/>
              <w:rPr>
                <w:sz w:val="20"/>
                <w:szCs w:val="20"/>
                <w:color w:val="auto"/>
              </w:rPr>
            </w:pPr>
            <w:r>
              <w:rPr>
                <w:rFonts w:ascii="Arial" w:cs="Arial" w:eastAsia="Arial" w:hAnsi="Arial"/>
                <w:sz w:val="19"/>
                <w:szCs w:val="19"/>
                <w:color w:val="231F20"/>
              </w:rPr>
              <w:t>3</w:t>
            </w:r>
          </w:p>
        </w:tc>
        <w:tc>
          <w:tcPr>
            <w:tcW w:w="220" w:type="dxa"/>
            <w:vAlign w:val="bottom"/>
            <w:shd w:val="clear" w:color="auto" w:fill="D0EBF2"/>
          </w:tcPr>
          <w:p>
            <w:pPr>
              <w:spacing w:after="0"/>
              <w:rPr>
                <w:sz w:val="20"/>
                <w:szCs w:val="20"/>
                <w:color w:val="auto"/>
              </w:rPr>
            </w:pPr>
          </w:p>
        </w:tc>
        <w:tc>
          <w:tcPr>
            <w:tcW w:w="40" w:type="dxa"/>
            <w:vAlign w:val="bottom"/>
            <w:tcBorders>
              <w:right w:val="single" w:sz="8" w:color="D0EBF2"/>
            </w:tcBorders>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1000" w:type="dxa"/>
            <w:vAlign w:val="bottom"/>
            <w:gridSpan w:val="2"/>
            <w:shd w:val="clear" w:color="auto" w:fill="D0EBF2"/>
          </w:tcPr>
          <w:p>
            <w:pPr>
              <w:jc w:val="right"/>
              <w:ind w:right="12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900" w:type="dxa"/>
            <w:vAlign w:val="bottom"/>
            <w:gridSpan w:val="2"/>
            <w:shd w:val="clear" w:color="auto" w:fill="D0EBF2"/>
          </w:tcPr>
          <w:p>
            <w:pPr>
              <w:ind w:left="680"/>
              <w:spacing w:after="0"/>
              <w:rPr>
                <w:sz w:val="20"/>
                <w:szCs w:val="20"/>
                <w:color w:val="auto"/>
              </w:rPr>
            </w:pPr>
            <w:r>
              <w:rPr>
                <w:rFonts w:ascii="Arial" w:cs="Arial" w:eastAsia="Arial" w:hAnsi="Arial"/>
                <w:sz w:val="19"/>
                <w:szCs w:val="19"/>
                <w:color w:val="231F20"/>
              </w:rPr>
              <w:t>—</w:t>
            </w:r>
          </w:p>
        </w:tc>
        <w:tc>
          <w:tcPr>
            <w:tcW w:w="2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8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21</w:t>
            </w:r>
          </w:p>
        </w:tc>
        <w:tc>
          <w:tcPr>
            <w:tcW w:w="2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2,607</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D0EBF2"/>
            </w:tcBorders>
            <w:shd w:val="clear" w:color="auto" w:fill="FDFDFC"/>
          </w:tcPr>
          <w:p>
            <w:pPr>
              <w:ind w:left="140"/>
              <w:spacing w:after="0"/>
              <w:rPr>
                <w:sz w:val="20"/>
                <w:szCs w:val="20"/>
                <w:color w:val="auto"/>
              </w:rPr>
            </w:pPr>
            <w:r>
              <w:rPr>
                <w:rFonts w:ascii="Arial" w:cs="Arial" w:eastAsia="Arial" w:hAnsi="Arial"/>
                <w:sz w:val="19"/>
                <w:szCs w:val="19"/>
                <w:color w:val="231F20"/>
              </w:rPr>
              <w:t>Commercial paper</w:t>
            </w:r>
          </w:p>
        </w:tc>
        <w:tc>
          <w:tcPr>
            <w:tcW w:w="10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231F20"/>
            </w:tcBorders>
            <w:shd w:val="clear" w:color="auto" w:fill="FDFDFC"/>
          </w:tcPr>
          <w:p>
            <w:pPr>
              <w:spacing w:after="0"/>
              <w:rPr>
                <w:sz w:val="20"/>
                <w:szCs w:val="20"/>
                <w:color w:val="auto"/>
              </w:rPr>
            </w:pPr>
          </w:p>
        </w:tc>
        <w:tc>
          <w:tcPr>
            <w:tcW w:w="100" w:type="dxa"/>
            <w:vAlign w:val="bottom"/>
            <w:tcBorders>
              <w:bottom w:val="single" w:sz="8" w:color="231F20"/>
            </w:tcBorders>
            <w:shd w:val="clear" w:color="auto" w:fill="FDFDFC"/>
          </w:tcPr>
          <w:p>
            <w:pPr>
              <w:spacing w:after="0"/>
              <w:rPr>
                <w:sz w:val="20"/>
                <w:szCs w:val="20"/>
                <w:color w:val="auto"/>
              </w:rPr>
            </w:pPr>
          </w:p>
        </w:tc>
        <w:tc>
          <w:tcPr>
            <w:tcW w:w="8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6,877</w:t>
            </w:r>
          </w:p>
        </w:tc>
        <w:tc>
          <w:tcPr>
            <w:tcW w:w="22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231F20"/>
            </w:tcBorders>
            <w:shd w:val="clear" w:color="auto" w:fill="FDFDFC"/>
          </w:tcPr>
          <w:p>
            <w:pPr>
              <w:spacing w:after="0"/>
              <w:rPr>
                <w:sz w:val="20"/>
                <w:szCs w:val="20"/>
                <w:color w:val="auto"/>
              </w:rPr>
            </w:pPr>
          </w:p>
        </w:tc>
        <w:tc>
          <w:tcPr>
            <w:tcW w:w="80" w:type="dxa"/>
            <w:vAlign w:val="bottom"/>
            <w:tcBorders>
              <w:bottom w:val="single" w:sz="8" w:color="231F20"/>
            </w:tcBorders>
            <w:shd w:val="clear" w:color="auto" w:fill="FDFDFC"/>
          </w:tcPr>
          <w:p>
            <w:pPr>
              <w:spacing w:after="0"/>
              <w:rPr>
                <w:sz w:val="20"/>
                <w:szCs w:val="20"/>
                <w:color w:val="auto"/>
              </w:rPr>
            </w:pPr>
          </w:p>
        </w:tc>
        <w:tc>
          <w:tcPr>
            <w:tcW w:w="880" w:type="dxa"/>
            <w:vAlign w:val="bottom"/>
            <w:tcBorders>
              <w:bottom w:val="single" w:sz="8" w:color="231F20"/>
            </w:tcBorders>
            <w:gridSpan w:val="2"/>
            <w:shd w:val="clear" w:color="auto" w:fill="FDFDFC"/>
          </w:tcPr>
          <w:p>
            <w:pPr>
              <w:jc w:val="right"/>
              <w:spacing w:after="0"/>
              <w:rPr>
                <w:sz w:val="20"/>
                <w:szCs w:val="20"/>
                <w:color w:val="auto"/>
              </w:rPr>
            </w:pPr>
            <w:r>
              <w:rPr>
                <w:rFonts w:ascii="Arial" w:cs="Arial" w:eastAsia="Arial" w:hAnsi="Arial"/>
                <w:sz w:val="19"/>
                <w:szCs w:val="19"/>
                <w:color w:val="231F20"/>
              </w:rPr>
              <w:t>1</w:t>
            </w:r>
          </w:p>
        </w:tc>
        <w:tc>
          <w:tcPr>
            <w:tcW w:w="220" w:type="dxa"/>
            <w:vAlign w:val="bottom"/>
            <w:tcBorders>
              <w:bottom w:val="single" w:sz="8" w:color="D0EBF2"/>
            </w:tcBorders>
            <w:shd w:val="clear" w:color="auto" w:fill="FDFDFC"/>
          </w:tcPr>
          <w:p>
            <w:pPr>
              <w:spacing w:after="0"/>
              <w:rPr>
                <w:sz w:val="20"/>
                <w:szCs w:val="20"/>
                <w:color w:val="auto"/>
              </w:rPr>
            </w:pPr>
          </w:p>
        </w:tc>
        <w:tc>
          <w:tcPr>
            <w:tcW w:w="40" w:type="dxa"/>
            <w:vAlign w:val="bottom"/>
            <w:tcBorders>
              <w:bottom w:val="single" w:sz="8" w:color="231F20"/>
              <w:right w:val="single" w:sz="8" w:color="FDFDFC"/>
            </w:tcBorders>
            <w:shd w:val="clear" w:color="auto" w:fill="FDFDFC"/>
          </w:tcPr>
          <w:p>
            <w:pPr>
              <w:spacing w:after="0"/>
              <w:rPr>
                <w:sz w:val="20"/>
                <w:szCs w:val="20"/>
                <w:color w:val="auto"/>
              </w:rPr>
            </w:pPr>
          </w:p>
        </w:tc>
        <w:tc>
          <w:tcPr>
            <w:tcW w:w="60" w:type="dxa"/>
            <w:vAlign w:val="bottom"/>
            <w:tcBorders>
              <w:bottom w:val="single" w:sz="8" w:color="231F20"/>
            </w:tcBorders>
            <w:shd w:val="clear" w:color="auto" w:fill="FDFDFC"/>
          </w:tcPr>
          <w:p>
            <w:pPr>
              <w:spacing w:after="0"/>
              <w:rPr>
                <w:sz w:val="20"/>
                <w:szCs w:val="20"/>
                <w:color w:val="auto"/>
              </w:rPr>
            </w:pPr>
          </w:p>
        </w:tc>
        <w:tc>
          <w:tcPr>
            <w:tcW w:w="9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100" w:type="dxa"/>
            <w:vAlign w:val="bottom"/>
            <w:shd w:val="clear" w:color="auto" w:fill="FDFDFC"/>
          </w:tcPr>
          <w:p>
            <w:pPr>
              <w:spacing w:after="0"/>
              <w:rPr>
                <w:sz w:val="20"/>
                <w:szCs w:val="20"/>
                <w:color w:val="auto"/>
              </w:rPr>
            </w:pPr>
          </w:p>
        </w:tc>
        <w:tc>
          <w:tcPr>
            <w:tcW w:w="12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231F20"/>
            </w:tcBorders>
            <w:shd w:val="clear" w:color="auto" w:fill="FDFDFC"/>
          </w:tcPr>
          <w:p>
            <w:pPr>
              <w:spacing w:after="0"/>
              <w:rPr>
                <w:sz w:val="20"/>
                <w:szCs w:val="20"/>
                <w:color w:val="auto"/>
              </w:rPr>
            </w:pPr>
          </w:p>
        </w:tc>
        <w:tc>
          <w:tcPr>
            <w:tcW w:w="20" w:type="dxa"/>
            <w:vAlign w:val="bottom"/>
            <w:tcBorders>
              <w:bottom w:val="single" w:sz="8" w:color="231F20"/>
            </w:tcBorders>
            <w:shd w:val="clear" w:color="auto" w:fill="FDFDFC"/>
          </w:tcPr>
          <w:p>
            <w:pPr>
              <w:spacing w:after="0"/>
              <w:rPr>
                <w:sz w:val="20"/>
                <w:szCs w:val="20"/>
                <w:color w:val="auto"/>
              </w:rPr>
            </w:pPr>
          </w:p>
        </w:tc>
        <w:tc>
          <w:tcPr>
            <w:tcW w:w="60" w:type="dxa"/>
            <w:vAlign w:val="bottom"/>
            <w:tcBorders>
              <w:bottom w:val="single" w:sz="8" w:color="231F20"/>
            </w:tcBorders>
            <w:shd w:val="clear" w:color="auto" w:fill="FDFDFC"/>
          </w:tcPr>
          <w:p>
            <w:pPr>
              <w:spacing w:after="0"/>
              <w:rPr>
                <w:sz w:val="20"/>
                <w:szCs w:val="20"/>
                <w:color w:val="auto"/>
              </w:rPr>
            </w:pPr>
          </w:p>
        </w:tc>
        <w:tc>
          <w:tcPr>
            <w:tcW w:w="880" w:type="dxa"/>
            <w:vAlign w:val="bottom"/>
            <w:tcBorders>
              <w:bottom w:val="single" w:sz="8" w:color="231F20"/>
            </w:tcBorders>
            <w:shd w:val="clear" w:color="auto" w:fill="FDFDFC"/>
          </w:tcPr>
          <w:p>
            <w:pPr>
              <w:ind w:left="680"/>
              <w:spacing w:after="0"/>
              <w:rPr>
                <w:sz w:val="20"/>
                <w:szCs w:val="20"/>
                <w:color w:val="auto"/>
              </w:rPr>
            </w:pPr>
            <w:r>
              <w:rPr>
                <w:rFonts w:ascii="Arial" w:cs="Arial" w:eastAsia="Arial" w:hAnsi="Arial"/>
                <w:sz w:val="19"/>
                <w:szCs w:val="19"/>
                <w:color w:val="231F20"/>
                <w:w w:val="94"/>
              </w:rPr>
              <w:t>—</w:t>
            </w:r>
          </w:p>
        </w:tc>
        <w:tc>
          <w:tcPr>
            <w:tcW w:w="20" w:type="dxa"/>
            <w:vAlign w:val="bottom"/>
            <w:tcBorders>
              <w:bottom w:val="single" w:sz="8" w:color="D0EBF2"/>
            </w:tcBorders>
            <w:shd w:val="clear" w:color="auto" w:fill="FDFDFC"/>
          </w:tcPr>
          <w:p>
            <w:pPr>
              <w:spacing w:after="0"/>
              <w:rPr>
                <w:sz w:val="20"/>
                <w:szCs w:val="20"/>
                <w:color w:val="auto"/>
              </w:rPr>
            </w:pPr>
          </w:p>
        </w:tc>
        <w:tc>
          <w:tcPr>
            <w:tcW w:w="20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231F20"/>
            </w:tcBorders>
            <w:shd w:val="clear" w:color="auto" w:fill="FDFDFC"/>
          </w:tcPr>
          <w:p>
            <w:pPr>
              <w:spacing w:after="0"/>
              <w:rPr>
                <w:sz w:val="20"/>
                <w:szCs w:val="20"/>
                <w:color w:val="auto"/>
              </w:rPr>
            </w:pPr>
          </w:p>
        </w:tc>
        <w:tc>
          <w:tcPr>
            <w:tcW w:w="20" w:type="dxa"/>
            <w:vAlign w:val="bottom"/>
            <w:tcBorders>
              <w:bottom w:val="single" w:sz="8" w:color="231F20"/>
            </w:tcBorders>
            <w:shd w:val="clear" w:color="auto" w:fill="FDFDFC"/>
          </w:tcPr>
          <w:p>
            <w:pPr>
              <w:spacing w:after="0"/>
              <w:rPr>
                <w:sz w:val="20"/>
                <w:szCs w:val="20"/>
                <w:color w:val="auto"/>
              </w:rPr>
            </w:pPr>
          </w:p>
        </w:tc>
        <w:tc>
          <w:tcPr>
            <w:tcW w:w="100" w:type="dxa"/>
            <w:vAlign w:val="bottom"/>
            <w:tcBorders>
              <w:bottom w:val="single" w:sz="8" w:color="231F20"/>
            </w:tcBorders>
            <w:shd w:val="clear" w:color="auto" w:fill="FDFDFC"/>
          </w:tcPr>
          <w:p>
            <w:pPr>
              <w:spacing w:after="0"/>
              <w:rPr>
                <w:sz w:val="20"/>
                <w:szCs w:val="20"/>
                <w:color w:val="auto"/>
              </w:rPr>
            </w:pPr>
          </w:p>
        </w:tc>
        <w:tc>
          <w:tcPr>
            <w:tcW w:w="86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0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231F20"/>
            </w:tcBorders>
            <w:shd w:val="clear" w:color="auto" w:fill="FDFDFC"/>
          </w:tcPr>
          <w:p>
            <w:pPr>
              <w:spacing w:after="0"/>
              <w:rPr>
                <w:sz w:val="20"/>
                <w:szCs w:val="20"/>
                <w:color w:val="auto"/>
              </w:rPr>
            </w:pPr>
          </w:p>
        </w:tc>
        <w:tc>
          <w:tcPr>
            <w:tcW w:w="20" w:type="dxa"/>
            <w:vAlign w:val="bottom"/>
            <w:tcBorders>
              <w:bottom w:val="single" w:sz="8" w:color="231F20"/>
            </w:tcBorders>
            <w:shd w:val="clear" w:color="auto" w:fill="FDFDFC"/>
          </w:tcPr>
          <w:p>
            <w:pPr>
              <w:spacing w:after="0"/>
              <w:rPr>
                <w:sz w:val="20"/>
                <w:szCs w:val="20"/>
                <w:color w:val="auto"/>
              </w:rPr>
            </w:pPr>
          </w:p>
        </w:tc>
        <w:tc>
          <w:tcPr>
            <w:tcW w:w="80" w:type="dxa"/>
            <w:vAlign w:val="bottom"/>
            <w:tcBorders>
              <w:bottom w:val="single" w:sz="8" w:color="231F20"/>
            </w:tcBorders>
            <w:shd w:val="clear" w:color="auto" w:fill="FDFDFC"/>
          </w:tcPr>
          <w:p>
            <w:pPr>
              <w:spacing w:after="0"/>
              <w:rPr>
                <w:sz w:val="20"/>
                <w:szCs w:val="20"/>
                <w:color w:val="auto"/>
              </w:rPr>
            </w:pPr>
          </w:p>
        </w:tc>
        <w:tc>
          <w:tcPr>
            <w:tcW w:w="8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6,878</w:t>
            </w:r>
          </w:p>
        </w:tc>
        <w:tc>
          <w:tcPr>
            <w:tcW w:w="10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96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Total short-term investments</w:t>
            </w:r>
          </w:p>
        </w:tc>
        <w:tc>
          <w:tcPr>
            <w:tcW w:w="100" w:type="dxa"/>
            <w:vAlign w:val="bottom"/>
            <w:shd w:val="clear" w:color="auto" w:fill="D0EBF2"/>
          </w:tcPr>
          <w:p>
            <w:pPr>
              <w:spacing w:after="0"/>
              <w:rPr>
                <w:sz w:val="22"/>
                <w:szCs w:val="22"/>
                <w:color w:val="auto"/>
              </w:rPr>
            </w:pPr>
          </w:p>
        </w:tc>
        <w:tc>
          <w:tcPr>
            <w:tcW w:w="20" w:type="dxa"/>
            <w:vAlign w:val="bottom"/>
            <w:shd w:val="clear" w:color="auto" w:fill="D0EBF2"/>
          </w:tcPr>
          <w:p>
            <w:pPr>
              <w:spacing w:after="0"/>
              <w:rPr>
                <w:sz w:val="22"/>
                <w:szCs w:val="22"/>
                <w:color w:val="auto"/>
              </w:rPr>
            </w:pPr>
          </w:p>
        </w:tc>
        <w:tc>
          <w:tcPr>
            <w:tcW w:w="100" w:type="dxa"/>
            <w:vAlign w:val="bottom"/>
            <w:shd w:val="clear" w:color="auto" w:fill="D0EBF2"/>
          </w:tcPr>
          <w:p>
            <w:pPr>
              <w:jc w:val="right"/>
              <w:spacing w:after="0"/>
              <w:rPr>
                <w:sz w:val="20"/>
                <w:szCs w:val="20"/>
                <w:color w:val="auto"/>
              </w:rPr>
            </w:pPr>
            <w:r>
              <w:rPr>
                <w:rFonts w:ascii="Arial" w:cs="Arial" w:eastAsia="Arial" w:hAnsi="Arial"/>
                <w:sz w:val="15"/>
                <w:szCs w:val="15"/>
                <w:color w:val="231F20"/>
                <w:w w:val="71"/>
                <w:shd w:val="clear" w:color="auto" w:fill="D0EBF2"/>
              </w:rPr>
              <w:t>$</w:t>
            </w: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114,738</w:t>
            </w:r>
          </w:p>
        </w:tc>
        <w:tc>
          <w:tcPr>
            <w:tcW w:w="220" w:type="dxa"/>
            <w:vAlign w:val="bottom"/>
            <w:shd w:val="clear" w:color="auto" w:fill="D0EBF2"/>
          </w:tcPr>
          <w:p>
            <w:pPr>
              <w:spacing w:after="0"/>
              <w:rPr>
                <w:sz w:val="22"/>
                <w:szCs w:val="22"/>
                <w:color w:val="auto"/>
              </w:rPr>
            </w:pPr>
          </w:p>
        </w:tc>
        <w:tc>
          <w:tcPr>
            <w:tcW w:w="20" w:type="dxa"/>
            <w:vAlign w:val="bottom"/>
            <w:shd w:val="clear" w:color="auto" w:fill="D0EBF2"/>
          </w:tcPr>
          <w:p>
            <w:pPr>
              <w:spacing w:after="0"/>
              <w:rPr>
                <w:sz w:val="22"/>
                <w:szCs w:val="22"/>
                <w:color w:val="auto"/>
              </w:rPr>
            </w:pPr>
          </w:p>
        </w:tc>
        <w:tc>
          <w:tcPr>
            <w:tcW w:w="80" w:type="dxa"/>
            <w:vAlign w:val="bottom"/>
            <w:shd w:val="clear" w:color="auto" w:fill="D0EBF2"/>
          </w:tcPr>
          <w:p>
            <w:pPr>
              <w:jc w:val="right"/>
              <w:spacing w:after="0"/>
              <w:rPr>
                <w:sz w:val="20"/>
                <w:szCs w:val="20"/>
                <w:color w:val="auto"/>
              </w:rPr>
            </w:pPr>
            <w:r>
              <w:rPr>
                <w:rFonts w:ascii="Arial" w:cs="Arial" w:eastAsia="Arial" w:hAnsi="Arial"/>
                <w:sz w:val="15"/>
                <w:szCs w:val="15"/>
                <w:color w:val="231F20"/>
                <w:w w:val="71"/>
              </w:rPr>
              <w:t>$</w:t>
            </w:r>
          </w:p>
        </w:tc>
        <w:tc>
          <w:tcPr>
            <w:tcW w:w="880" w:type="dxa"/>
            <w:vAlign w:val="bottom"/>
            <w:gridSpan w:val="2"/>
            <w:shd w:val="clear" w:color="auto" w:fill="D0EBF2"/>
          </w:tcPr>
          <w:p>
            <w:pPr>
              <w:jc w:val="right"/>
              <w:spacing w:after="0"/>
              <w:rPr>
                <w:sz w:val="20"/>
                <w:szCs w:val="20"/>
                <w:color w:val="auto"/>
              </w:rPr>
            </w:pPr>
            <w:r>
              <w:rPr>
                <w:rFonts w:ascii="Arial" w:cs="Arial" w:eastAsia="Arial" w:hAnsi="Arial"/>
                <w:sz w:val="19"/>
                <w:szCs w:val="19"/>
                <w:color w:val="231F20"/>
              </w:rPr>
              <w:t>227</w:t>
            </w:r>
          </w:p>
        </w:tc>
        <w:tc>
          <w:tcPr>
            <w:tcW w:w="220" w:type="dxa"/>
            <w:vAlign w:val="bottom"/>
            <w:shd w:val="clear" w:color="auto" w:fill="D0EBF2"/>
          </w:tcPr>
          <w:p>
            <w:pPr>
              <w:spacing w:after="0"/>
              <w:rPr>
                <w:sz w:val="22"/>
                <w:szCs w:val="22"/>
                <w:color w:val="auto"/>
              </w:rPr>
            </w:pPr>
          </w:p>
        </w:tc>
        <w:tc>
          <w:tcPr>
            <w:tcW w:w="40" w:type="dxa"/>
            <w:vAlign w:val="bottom"/>
            <w:tcBorders>
              <w:right w:val="single" w:sz="8" w:color="D0EBF2"/>
            </w:tcBorders>
            <w:shd w:val="clear" w:color="auto" w:fill="D0EBF2"/>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231F20"/>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9"/>
                <w:szCs w:val="19"/>
                <w:color w:val="231F20"/>
              </w:rPr>
              <w:t>(7)</w:t>
            </w:r>
          </w:p>
        </w:tc>
        <w:tc>
          <w:tcPr>
            <w:tcW w:w="120" w:type="dxa"/>
            <w:vAlign w:val="bottom"/>
            <w:shd w:val="clear" w:color="auto" w:fill="D0EBF2"/>
          </w:tcPr>
          <w:p>
            <w:pPr>
              <w:spacing w:after="0"/>
              <w:rPr>
                <w:sz w:val="22"/>
                <w:szCs w:val="22"/>
                <w:color w:val="auto"/>
              </w:rPr>
            </w:pPr>
          </w:p>
        </w:tc>
        <w:tc>
          <w:tcPr>
            <w:tcW w:w="20" w:type="dxa"/>
            <w:vAlign w:val="bottom"/>
            <w:shd w:val="clear" w:color="auto" w:fill="D0EBF2"/>
          </w:tcPr>
          <w:p>
            <w:pPr>
              <w:spacing w:after="0"/>
              <w:rPr>
                <w:sz w:val="22"/>
                <w:szCs w:val="22"/>
                <w:color w:val="auto"/>
              </w:rPr>
            </w:pPr>
          </w:p>
        </w:tc>
        <w:tc>
          <w:tcPr>
            <w:tcW w:w="20" w:type="dxa"/>
            <w:vAlign w:val="bottom"/>
            <w:shd w:val="clear" w:color="auto" w:fill="D0EBF2"/>
          </w:tcPr>
          <w:p>
            <w:pPr>
              <w:spacing w:after="0"/>
              <w:rPr>
                <w:sz w:val="22"/>
                <w:szCs w:val="22"/>
                <w:color w:val="auto"/>
              </w:rPr>
            </w:pPr>
          </w:p>
        </w:tc>
        <w:tc>
          <w:tcPr>
            <w:tcW w:w="60" w:type="dxa"/>
            <w:vAlign w:val="bottom"/>
            <w:shd w:val="clear" w:color="auto" w:fill="D0EBF2"/>
          </w:tcPr>
          <w:p>
            <w:pPr>
              <w:jc w:val="right"/>
              <w:spacing w:after="0"/>
              <w:rPr>
                <w:sz w:val="20"/>
                <w:szCs w:val="20"/>
                <w:color w:val="auto"/>
              </w:rPr>
            </w:pPr>
            <w:r>
              <w:rPr>
                <w:rFonts w:ascii="Arial" w:cs="Arial" w:eastAsia="Arial" w:hAnsi="Arial"/>
                <w:sz w:val="10"/>
                <w:szCs w:val="10"/>
                <w:color w:val="231F20"/>
                <w:w w:val="71"/>
              </w:rPr>
              <w:t>$</w:t>
            </w:r>
          </w:p>
        </w:tc>
        <w:tc>
          <w:tcPr>
            <w:tcW w:w="880" w:type="dxa"/>
            <w:vAlign w:val="bottom"/>
            <w:shd w:val="clear" w:color="auto" w:fill="D0EBF2"/>
          </w:tcPr>
          <w:p>
            <w:pPr>
              <w:ind w:left="680"/>
              <w:spacing w:after="0"/>
              <w:rPr>
                <w:sz w:val="20"/>
                <w:szCs w:val="20"/>
                <w:color w:val="auto"/>
              </w:rPr>
            </w:pPr>
            <w:r>
              <w:rPr>
                <w:rFonts w:ascii="Arial" w:cs="Arial" w:eastAsia="Arial" w:hAnsi="Arial"/>
                <w:sz w:val="19"/>
                <w:szCs w:val="19"/>
                <w:color w:val="231F20"/>
                <w:w w:val="94"/>
              </w:rPr>
              <w:t>—</w:t>
            </w:r>
          </w:p>
        </w:tc>
        <w:tc>
          <w:tcPr>
            <w:tcW w:w="20" w:type="dxa"/>
            <w:vAlign w:val="bottom"/>
            <w:shd w:val="clear" w:color="auto" w:fill="D0EBF2"/>
          </w:tcPr>
          <w:p>
            <w:pPr>
              <w:spacing w:after="0"/>
              <w:rPr>
                <w:sz w:val="22"/>
                <w:szCs w:val="22"/>
                <w:color w:val="auto"/>
              </w:rPr>
            </w:pPr>
          </w:p>
        </w:tc>
        <w:tc>
          <w:tcPr>
            <w:tcW w:w="200" w:type="dxa"/>
            <w:vAlign w:val="bottom"/>
            <w:shd w:val="clear" w:color="auto" w:fill="D0EBF2"/>
          </w:tcPr>
          <w:p>
            <w:pPr>
              <w:spacing w:after="0"/>
              <w:rPr>
                <w:sz w:val="22"/>
                <w:szCs w:val="22"/>
                <w:color w:val="auto"/>
              </w:rPr>
            </w:pPr>
          </w:p>
        </w:tc>
        <w:tc>
          <w:tcPr>
            <w:tcW w:w="20" w:type="dxa"/>
            <w:vAlign w:val="bottom"/>
            <w:shd w:val="clear" w:color="auto" w:fill="D0EBF2"/>
          </w:tcPr>
          <w:p>
            <w:pPr>
              <w:spacing w:after="0"/>
              <w:rPr>
                <w:sz w:val="22"/>
                <w:szCs w:val="22"/>
                <w:color w:val="auto"/>
              </w:rPr>
            </w:pPr>
          </w:p>
        </w:tc>
        <w:tc>
          <w:tcPr>
            <w:tcW w:w="20" w:type="dxa"/>
            <w:vAlign w:val="bottom"/>
            <w:shd w:val="clear" w:color="auto" w:fill="D0EBF2"/>
          </w:tcPr>
          <w:p>
            <w:pPr>
              <w:spacing w:after="0"/>
              <w:rPr>
                <w:sz w:val="22"/>
                <w:szCs w:val="22"/>
                <w:color w:val="auto"/>
              </w:rPr>
            </w:pPr>
          </w:p>
        </w:tc>
        <w:tc>
          <w:tcPr>
            <w:tcW w:w="100" w:type="dxa"/>
            <w:vAlign w:val="bottom"/>
            <w:shd w:val="clear" w:color="auto" w:fill="D0EBF2"/>
          </w:tcPr>
          <w:p>
            <w:pPr>
              <w:jc w:val="right"/>
              <w:spacing w:after="0"/>
              <w:rPr>
                <w:sz w:val="20"/>
                <w:szCs w:val="20"/>
                <w:color w:val="auto"/>
              </w:rPr>
            </w:pPr>
            <w:r>
              <w:rPr>
                <w:rFonts w:ascii="Arial" w:cs="Arial" w:eastAsia="Arial" w:hAnsi="Arial"/>
                <w:sz w:val="10"/>
                <w:szCs w:val="10"/>
                <w:color w:val="231F20"/>
                <w:w w:val="71"/>
              </w:rPr>
              <w:t>$</w:t>
            </w:r>
          </w:p>
        </w:tc>
        <w:tc>
          <w:tcPr>
            <w:tcW w:w="8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890</w:t>
            </w:r>
          </w:p>
        </w:tc>
        <w:tc>
          <w:tcPr>
            <w:tcW w:w="200" w:type="dxa"/>
            <w:vAlign w:val="bottom"/>
            <w:shd w:val="clear" w:color="auto" w:fill="D0EBF2"/>
          </w:tcPr>
          <w:p>
            <w:pPr>
              <w:spacing w:after="0"/>
              <w:rPr>
                <w:sz w:val="22"/>
                <w:szCs w:val="22"/>
                <w:color w:val="auto"/>
              </w:rPr>
            </w:pPr>
          </w:p>
        </w:tc>
        <w:tc>
          <w:tcPr>
            <w:tcW w:w="20" w:type="dxa"/>
            <w:vAlign w:val="bottom"/>
            <w:shd w:val="clear" w:color="auto" w:fill="D0EBF2"/>
          </w:tcPr>
          <w:p>
            <w:pPr>
              <w:spacing w:after="0"/>
              <w:rPr>
                <w:sz w:val="22"/>
                <w:szCs w:val="22"/>
                <w:color w:val="auto"/>
              </w:rPr>
            </w:pPr>
          </w:p>
        </w:tc>
        <w:tc>
          <w:tcPr>
            <w:tcW w:w="20" w:type="dxa"/>
            <w:vAlign w:val="bottom"/>
            <w:shd w:val="clear" w:color="auto" w:fill="D0EBF2"/>
          </w:tcPr>
          <w:p>
            <w:pPr>
              <w:spacing w:after="0"/>
              <w:rPr>
                <w:sz w:val="22"/>
                <w:szCs w:val="22"/>
                <w:color w:val="auto"/>
              </w:rPr>
            </w:pPr>
          </w:p>
        </w:tc>
        <w:tc>
          <w:tcPr>
            <w:tcW w:w="80" w:type="dxa"/>
            <w:vAlign w:val="bottom"/>
            <w:shd w:val="clear" w:color="auto" w:fill="D0EBF2"/>
          </w:tcPr>
          <w:p>
            <w:pPr>
              <w:jc w:val="right"/>
              <w:spacing w:after="0"/>
              <w:rPr>
                <w:sz w:val="20"/>
                <w:szCs w:val="20"/>
                <w:color w:val="auto"/>
              </w:rPr>
            </w:pPr>
            <w:r>
              <w:rPr>
                <w:rFonts w:ascii="Arial" w:cs="Arial" w:eastAsia="Arial" w:hAnsi="Arial"/>
                <w:sz w:val="15"/>
                <w:szCs w:val="15"/>
                <w:color w:val="231F20"/>
                <w:w w:val="71"/>
                <w:shd w:val="clear" w:color="auto" w:fill="D0EBF2"/>
              </w:rPr>
              <w:t>$</w:t>
            </w: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115,848</w:t>
            </w:r>
          </w:p>
        </w:tc>
        <w:tc>
          <w:tcPr>
            <w:tcW w:w="100" w:type="dxa"/>
            <w:vAlign w:val="bottom"/>
            <w:shd w:val="clear" w:color="auto" w:fill="D0EBF2"/>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960" w:type="dxa"/>
            <w:vAlign w:val="bottom"/>
            <w:tcBorders>
              <w:top w:val="single" w:sz="8" w:color="FDFDFC"/>
            </w:tcBorders>
            <w:shd w:val="clear" w:color="auto" w:fill="FDFDFC"/>
          </w:tcPr>
          <w:p>
            <w:pPr>
              <w:spacing w:after="0" w:line="213" w:lineRule="exact"/>
              <w:rPr>
                <w:sz w:val="20"/>
                <w:szCs w:val="20"/>
                <w:color w:val="auto"/>
              </w:rPr>
            </w:pPr>
            <w:r>
              <w:rPr>
                <w:rFonts w:ascii="Arial" w:cs="Arial" w:eastAsia="Arial" w:hAnsi="Arial"/>
                <w:sz w:val="19"/>
                <w:szCs w:val="19"/>
                <w:color w:val="231F20"/>
              </w:rPr>
              <w:t>Long-term investments</w:t>
            </w:r>
          </w:p>
        </w:tc>
        <w:tc>
          <w:tcPr>
            <w:tcW w:w="100" w:type="dxa"/>
            <w:vAlign w:val="bottom"/>
            <w:tcBorders>
              <w:top w:val="single" w:sz="8" w:color="FDFDFC"/>
            </w:tcBorders>
            <w:shd w:val="clear" w:color="auto" w:fill="FDFDFC"/>
          </w:tcPr>
          <w:p>
            <w:pPr>
              <w:spacing w:after="0"/>
              <w:rPr>
                <w:sz w:val="18"/>
                <w:szCs w:val="18"/>
                <w:color w:val="auto"/>
              </w:rPr>
            </w:pPr>
          </w:p>
        </w:tc>
        <w:tc>
          <w:tcPr>
            <w:tcW w:w="20" w:type="dxa"/>
            <w:vAlign w:val="bottom"/>
            <w:tcBorders>
              <w:top w:val="single" w:sz="8" w:color="FDFDFC"/>
            </w:tcBorders>
            <w:shd w:val="clear" w:color="auto" w:fill="FDFDFC"/>
          </w:tcPr>
          <w:p>
            <w:pPr>
              <w:spacing w:after="0"/>
              <w:rPr>
                <w:sz w:val="18"/>
                <w:szCs w:val="18"/>
                <w:color w:val="auto"/>
              </w:rPr>
            </w:pPr>
          </w:p>
        </w:tc>
        <w:tc>
          <w:tcPr>
            <w:tcW w:w="100" w:type="dxa"/>
            <w:vAlign w:val="bottom"/>
            <w:tcBorders>
              <w:top w:val="single" w:sz="8" w:color="231F20"/>
            </w:tcBorders>
            <w:shd w:val="clear" w:color="auto" w:fill="FDFDFC"/>
          </w:tcPr>
          <w:p>
            <w:pPr>
              <w:spacing w:after="0"/>
              <w:rPr>
                <w:sz w:val="18"/>
                <w:szCs w:val="18"/>
                <w:color w:val="auto"/>
              </w:rPr>
            </w:pPr>
          </w:p>
        </w:tc>
        <w:tc>
          <w:tcPr>
            <w:tcW w:w="880" w:type="dxa"/>
            <w:vAlign w:val="bottom"/>
            <w:tcBorders>
              <w:top w:val="single" w:sz="8" w:color="231F20"/>
            </w:tcBorders>
            <w:shd w:val="clear" w:color="auto" w:fill="FDFDFC"/>
          </w:tcPr>
          <w:p>
            <w:pPr>
              <w:spacing w:after="0"/>
              <w:rPr>
                <w:sz w:val="18"/>
                <w:szCs w:val="18"/>
                <w:color w:val="auto"/>
              </w:rPr>
            </w:pPr>
          </w:p>
        </w:tc>
        <w:tc>
          <w:tcPr>
            <w:tcW w:w="220" w:type="dxa"/>
            <w:vAlign w:val="bottom"/>
            <w:tcBorders>
              <w:top w:val="single" w:sz="8" w:color="FDFDFC"/>
            </w:tcBorders>
            <w:shd w:val="clear" w:color="auto" w:fill="FDFDFC"/>
          </w:tcPr>
          <w:p>
            <w:pPr>
              <w:spacing w:after="0"/>
              <w:rPr>
                <w:sz w:val="18"/>
                <w:szCs w:val="18"/>
                <w:color w:val="auto"/>
              </w:rPr>
            </w:pPr>
          </w:p>
        </w:tc>
        <w:tc>
          <w:tcPr>
            <w:tcW w:w="20" w:type="dxa"/>
            <w:vAlign w:val="bottom"/>
            <w:tcBorders>
              <w:top w:val="single" w:sz="8" w:color="FDFDFC"/>
            </w:tcBorders>
            <w:shd w:val="clear" w:color="auto" w:fill="FDFDFC"/>
          </w:tcPr>
          <w:p>
            <w:pPr>
              <w:spacing w:after="0"/>
              <w:rPr>
                <w:sz w:val="18"/>
                <w:szCs w:val="18"/>
                <w:color w:val="auto"/>
              </w:rPr>
            </w:pPr>
          </w:p>
        </w:tc>
        <w:tc>
          <w:tcPr>
            <w:tcW w:w="80" w:type="dxa"/>
            <w:vAlign w:val="bottom"/>
            <w:tcBorders>
              <w:top w:val="single" w:sz="8" w:color="231F20"/>
            </w:tcBorders>
            <w:shd w:val="clear" w:color="auto" w:fill="FDFDFC"/>
          </w:tcPr>
          <w:p>
            <w:pPr>
              <w:spacing w:after="0"/>
              <w:rPr>
                <w:sz w:val="18"/>
                <w:szCs w:val="18"/>
                <w:color w:val="auto"/>
              </w:rPr>
            </w:pPr>
          </w:p>
        </w:tc>
        <w:tc>
          <w:tcPr>
            <w:tcW w:w="20" w:type="dxa"/>
            <w:vAlign w:val="bottom"/>
            <w:tcBorders>
              <w:top w:val="single" w:sz="8" w:color="231F20"/>
            </w:tcBorders>
            <w:shd w:val="clear" w:color="auto" w:fill="FDFDFC"/>
          </w:tcPr>
          <w:p>
            <w:pPr>
              <w:spacing w:after="0"/>
              <w:rPr>
                <w:sz w:val="18"/>
                <w:szCs w:val="18"/>
                <w:color w:val="auto"/>
              </w:rPr>
            </w:pPr>
          </w:p>
        </w:tc>
        <w:tc>
          <w:tcPr>
            <w:tcW w:w="860" w:type="dxa"/>
            <w:vAlign w:val="bottom"/>
            <w:tcBorders>
              <w:top w:val="single" w:sz="8" w:color="231F20"/>
            </w:tcBorders>
            <w:shd w:val="clear" w:color="auto" w:fill="FDFDFC"/>
          </w:tcPr>
          <w:p>
            <w:pPr>
              <w:spacing w:after="0"/>
              <w:rPr>
                <w:sz w:val="18"/>
                <w:szCs w:val="18"/>
                <w:color w:val="auto"/>
              </w:rPr>
            </w:pPr>
          </w:p>
        </w:tc>
        <w:tc>
          <w:tcPr>
            <w:tcW w:w="220" w:type="dxa"/>
            <w:vAlign w:val="bottom"/>
            <w:tcBorders>
              <w:top w:val="single" w:sz="8" w:color="FDFDFC"/>
            </w:tcBorders>
            <w:shd w:val="clear" w:color="auto" w:fill="FDFDFC"/>
          </w:tcPr>
          <w:p>
            <w:pPr>
              <w:spacing w:after="0"/>
              <w:rPr>
                <w:sz w:val="18"/>
                <w:szCs w:val="18"/>
                <w:color w:val="auto"/>
              </w:rPr>
            </w:pPr>
          </w:p>
        </w:tc>
        <w:tc>
          <w:tcPr>
            <w:tcW w:w="40" w:type="dxa"/>
            <w:vAlign w:val="bottom"/>
            <w:tcBorders>
              <w:top w:val="single" w:sz="8" w:color="FDFDFC"/>
              <w:right w:val="single" w:sz="8" w:color="FDFDFC"/>
            </w:tcBorders>
            <w:shd w:val="clear" w:color="auto" w:fill="FDFDFC"/>
          </w:tcPr>
          <w:p>
            <w:pPr>
              <w:spacing w:after="0"/>
              <w:rPr>
                <w:sz w:val="18"/>
                <w:szCs w:val="18"/>
                <w:color w:val="auto"/>
              </w:rPr>
            </w:pPr>
          </w:p>
        </w:tc>
        <w:tc>
          <w:tcPr>
            <w:tcW w:w="60" w:type="dxa"/>
            <w:vAlign w:val="bottom"/>
            <w:tcBorders>
              <w:top w:val="single" w:sz="8" w:color="231F20"/>
            </w:tcBorders>
            <w:shd w:val="clear" w:color="auto" w:fill="FDFDFC"/>
          </w:tcPr>
          <w:p>
            <w:pPr>
              <w:spacing w:after="0"/>
              <w:rPr>
                <w:sz w:val="18"/>
                <w:szCs w:val="18"/>
                <w:color w:val="auto"/>
              </w:rPr>
            </w:pPr>
          </w:p>
        </w:tc>
        <w:tc>
          <w:tcPr>
            <w:tcW w:w="900" w:type="dxa"/>
            <w:vAlign w:val="bottom"/>
            <w:tcBorders>
              <w:top w:val="single" w:sz="8" w:color="231F20"/>
            </w:tcBorders>
            <w:shd w:val="clear" w:color="auto" w:fill="FDFDFC"/>
          </w:tcPr>
          <w:p>
            <w:pPr>
              <w:spacing w:after="0"/>
              <w:rPr>
                <w:sz w:val="18"/>
                <w:szCs w:val="18"/>
                <w:color w:val="auto"/>
              </w:rPr>
            </w:pPr>
          </w:p>
        </w:tc>
        <w:tc>
          <w:tcPr>
            <w:tcW w:w="100" w:type="dxa"/>
            <w:vAlign w:val="bottom"/>
            <w:tcBorders>
              <w:top w:val="single" w:sz="8" w:color="FDFDFC"/>
            </w:tcBorders>
            <w:shd w:val="clear" w:color="auto" w:fill="FDFDFC"/>
          </w:tcPr>
          <w:p>
            <w:pPr>
              <w:spacing w:after="0"/>
              <w:rPr>
                <w:sz w:val="18"/>
                <w:szCs w:val="18"/>
                <w:color w:val="auto"/>
              </w:rPr>
            </w:pPr>
          </w:p>
        </w:tc>
        <w:tc>
          <w:tcPr>
            <w:tcW w:w="120" w:type="dxa"/>
            <w:vAlign w:val="bottom"/>
            <w:tcBorders>
              <w:top w:val="single" w:sz="8" w:color="FDFDFC"/>
            </w:tcBorders>
            <w:shd w:val="clear" w:color="auto" w:fill="FDFDFC"/>
          </w:tcPr>
          <w:p>
            <w:pPr>
              <w:spacing w:after="0"/>
              <w:rPr>
                <w:sz w:val="18"/>
                <w:szCs w:val="18"/>
                <w:color w:val="auto"/>
              </w:rPr>
            </w:pPr>
          </w:p>
        </w:tc>
        <w:tc>
          <w:tcPr>
            <w:tcW w:w="20" w:type="dxa"/>
            <w:vAlign w:val="bottom"/>
            <w:tcBorders>
              <w:top w:val="single" w:sz="8" w:color="FDFDFC"/>
            </w:tcBorders>
            <w:shd w:val="clear" w:color="auto" w:fill="FDFDFC"/>
          </w:tcPr>
          <w:p>
            <w:pPr>
              <w:spacing w:after="0"/>
              <w:rPr>
                <w:sz w:val="18"/>
                <w:szCs w:val="18"/>
                <w:color w:val="auto"/>
              </w:rPr>
            </w:pPr>
          </w:p>
        </w:tc>
        <w:tc>
          <w:tcPr>
            <w:tcW w:w="20" w:type="dxa"/>
            <w:vAlign w:val="bottom"/>
            <w:tcBorders>
              <w:top w:val="single" w:sz="8" w:color="231F20"/>
            </w:tcBorders>
            <w:shd w:val="clear" w:color="auto" w:fill="FDFDFC"/>
          </w:tcPr>
          <w:p>
            <w:pPr>
              <w:spacing w:after="0"/>
              <w:rPr>
                <w:sz w:val="18"/>
                <w:szCs w:val="18"/>
                <w:color w:val="auto"/>
              </w:rPr>
            </w:pPr>
          </w:p>
        </w:tc>
        <w:tc>
          <w:tcPr>
            <w:tcW w:w="60" w:type="dxa"/>
            <w:vAlign w:val="bottom"/>
            <w:tcBorders>
              <w:top w:val="single" w:sz="8" w:color="231F20"/>
            </w:tcBorders>
            <w:shd w:val="clear" w:color="auto" w:fill="FDFDFC"/>
          </w:tcPr>
          <w:p>
            <w:pPr>
              <w:spacing w:after="0"/>
              <w:rPr>
                <w:sz w:val="18"/>
                <w:szCs w:val="18"/>
                <w:color w:val="auto"/>
              </w:rPr>
            </w:pPr>
          </w:p>
        </w:tc>
        <w:tc>
          <w:tcPr>
            <w:tcW w:w="880" w:type="dxa"/>
            <w:vAlign w:val="bottom"/>
            <w:tcBorders>
              <w:top w:val="single" w:sz="8" w:color="231F20"/>
            </w:tcBorders>
            <w:shd w:val="clear" w:color="auto" w:fill="FDFDFC"/>
          </w:tcPr>
          <w:p>
            <w:pPr>
              <w:spacing w:after="0"/>
              <w:rPr>
                <w:sz w:val="18"/>
                <w:szCs w:val="18"/>
                <w:color w:val="auto"/>
              </w:rPr>
            </w:pPr>
          </w:p>
        </w:tc>
        <w:tc>
          <w:tcPr>
            <w:tcW w:w="20" w:type="dxa"/>
            <w:vAlign w:val="bottom"/>
            <w:tcBorders>
              <w:top w:val="single" w:sz="8" w:color="231F20"/>
            </w:tcBorders>
            <w:shd w:val="clear" w:color="auto" w:fill="FDFDFC"/>
          </w:tcPr>
          <w:p>
            <w:pPr>
              <w:spacing w:after="0"/>
              <w:rPr>
                <w:sz w:val="18"/>
                <w:szCs w:val="18"/>
                <w:color w:val="auto"/>
              </w:rPr>
            </w:pPr>
          </w:p>
        </w:tc>
        <w:tc>
          <w:tcPr>
            <w:tcW w:w="200" w:type="dxa"/>
            <w:vAlign w:val="bottom"/>
            <w:tcBorders>
              <w:top w:val="single" w:sz="8" w:color="FDFDFC"/>
            </w:tcBorders>
            <w:shd w:val="clear" w:color="auto" w:fill="FDFDFC"/>
          </w:tcPr>
          <w:p>
            <w:pPr>
              <w:spacing w:after="0"/>
              <w:rPr>
                <w:sz w:val="18"/>
                <w:szCs w:val="18"/>
                <w:color w:val="auto"/>
              </w:rPr>
            </w:pPr>
          </w:p>
        </w:tc>
        <w:tc>
          <w:tcPr>
            <w:tcW w:w="20" w:type="dxa"/>
            <w:vAlign w:val="bottom"/>
            <w:tcBorders>
              <w:top w:val="single" w:sz="8" w:color="FDFDFC"/>
            </w:tcBorders>
            <w:shd w:val="clear" w:color="auto" w:fill="FDFDFC"/>
          </w:tcPr>
          <w:p>
            <w:pPr>
              <w:spacing w:after="0"/>
              <w:rPr>
                <w:sz w:val="18"/>
                <w:szCs w:val="18"/>
                <w:color w:val="auto"/>
              </w:rPr>
            </w:pPr>
          </w:p>
        </w:tc>
        <w:tc>
          <w:tcPr>
            <w:tcW w:w="20" w:type="dxa"/>
            <w:vAlign w:val="bottom"/>
            <w:tcBorders>
              <w:top w:val="single" w:sz="8" w:color="231F20"/>
            </w:tcBorders>
            <w:shd w:val="clear" w:color="auto" w:fill="FDFDFC"/>
          </w:tcPr>
          <w:p>
            <w:pPr>
              <w:spacing w:after="0"/>
              <w:rPr>
                <w:sz w:val="18"/>
                <w:szCs w:val="18"/>
                <w:color w:val="auto"/>
              </w:rPr>
            </w:pPr>
          </w:p>
        </w:tc>
        <w:tc>
          <w:tcPr>
            <w:tcW w:w="100" w:type="dxa"/>
            <w:vAlign w:val="bottom"/>
            <w:tcBorders>
              <w:top w:val="single" w:sz="8" w:color="231F20"/>
            </w:tcBorders>
            <w:shd w:val="clear" w:color="auto" w:fill="FDFDFC"/>
          </w:tcPr>
          <w:p>
            <w:pPr>
              <w:spacing w:after="0"/>
              <w:rPr>
                <w:sz w:val="18"/>
                <w:szCs w:val="18"/>
                <w:color w:val="auto"/>
              </w:rPr>
            </w:pPr>
          </w:p>
        </w:tc>
        <w:tc>
          <w:tcPr>
            <w:tcW w:w="860" w:type="dxa"/>
            <w:vAlign w:val="bottom"/>
            <w:tcBorders>
              <w:top w:val="single" w:sz="8" w:color="231F20"/>
            </w:tcBorders>
            <w:shd w:val="clear" w:color="auto" w:fill="FDFDFC"/>
          </w:tcPr>
          <w:p>
            <w:pPr>
              <w:spacing w:after="0"/>
              <w:rPr>
                <w:sz w:val="18"/>
                <w:szCs w:val="18"/>
                <w:color w:val="auto"/>
              </w:rPr>
            </w:pPr>
          </w:p>
        </w:tc>
        <w:tc>
          <w:tcPr>
            <w:tcW w:w="200" w:type="dxa"/>
            <w:vAlign w:val="bottom"/>
            <w:tcBorders>
              <w:top w:val="single" w:sz="8" w:color="FDFDFC"/>
            </w:tcBorders>
            <w:shd w:val="clear" w:color="auto" w:fill="FDFDFC"/>
          </w:tcPr>
          <w:p>
            <w:pPr>
              <w:spacing w:after="0"/>
              <w:rPr>
                <w:sz w:val="18"/>
                <w:szCs w:val="18"/>
                <w:color w:val="auto"/>
              </w:rPr>
            </w:pPr>
          </w:p>
        </w:tc>
        <w:tc>
          <w:tcPr>
            <w:tcW w:w="20" w:type="dxa"/>
            <w:vAlign w:val="bottom"/>
            <w:tcBorders>
              <w:top w:val="single" w:sz="8" w:color="FDFDFC"/>
            </w:tcBorders>
            <w:shd w:val="clear" w:color="auto" w:fill="FDFDFC"/>
          </w:tcPr>
          <w:p>
            <w:pPr>
              <w:spacing w:after="0"/>
              <w:rPr>
                <w:sz w:val="18"/>
                <w:szCs w:val="18"/>
                <w:color w:val="auto"/>
              </w:rPr>
            </w:pPr>
          </w:p>
        </w:tc>
        <w:tc>
          <w:tcPr>
            <w:tcW w:w="20" w:type="dxa"/>
            <w:vAlign w:val="bottom"/>
            <w:tcBorders>
              <w:top w:val="single" w:sz="8" w:color="231F20"/>
            </w:tcBorders>
            <w:shd w:val="clear" w:color="auto" w:fill="FDFDFC"/>
          </w:tcPr>
          <w:p>
            <w:pPr>
              <w:spacing w:after="0"/>
              <w:rPr>
                <w:sz w:val="18"/>
                <w:szCs w:val="18"/>
                <w:color w:val="auto"/>
              </w:rPr>
            </w:pPr>
          </w:p>
        </w:tc>
        <w:tc>
          <w:tcPr>
            <w:tcW w:w="80" w:type="dxa"/>
            <w:vAlign w:val="bottom"/>
            <w:tcBorders>
              <w:top w:val="single" w:sz="8" w:color="231F20"/>
            </w:tcBorders>
            <w:shd w:val="clear" w:color="auto" w:fill="FDFDFC"/>
          </w:tcPr>
          <w:p>
            <w:pPr>
              <w:spacing w:after="0"/>
              <w:rPr>
                <w:sz w:val="18"/>
                <w:szCs w:val="18"/>
                <w:color w:val="auto"/>
              </w:rPr>
            </w:pPr>
          </w:p>
        </w:tc>
        <w:tc>
          <w:tcPr>
            <w:tcW w:w="880" w:type="dxa"/>
            <w:vAlign w:val="bottom"/>
            <w:tcBorders>
              <w:top w:val="single" w:sz="8" w:color="231F20"/>
            </w:tcBorders>
            <w:shd w:val="clear" w:color="auto" w:fill="FDFDFC"/>
          </w:tcPr>
          <w:p>
            <w:pPr>
              <w:spacing w:after="0"/>
              <w:rPr>
                <w:sz w:val="18"/>
                <w:szCs w:val="18"/>
                <w:color w:val="auto"/>
              </w:rPr>
            </w:pPr>
          </w:p>
        </w:tc>
        <w:tc>
          <w:tcPr>
            <w:tcW w:w="100" w:type="dxa"/>
            <w:vAlign w:val="bottom"/>
            <w:tcBorders>
              <w:top w:val="single" w:sz="8" w:color="FDFDFC"/>
            </w:tcBorders>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Corporate bonds</w:t>
            </w:r>
          </w:p>
        </w:tc>
        <w:tc>
          <w:tcPr>
            <w:tcW w:w="1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jc w:val="right"/>
              <w:spacing w:after="0"/>
              <w:rPr>
                <w:sz w:val="20"/>
                <w:szCs w:val="20"/>
                <w:color w:val="auto"/>
              </w:rPr>
            </w:pPr>
            <w:r>
              <w:rPr>
                <w:rFonts w:ascii="Arial" w:cs="Arial" w:eastAsia="Arial" w:hAnsi="Arial"/>
                <w:sz w:val="15"/>
                <w:szCs w:val="15"/>
                <w:color w:val="231F20"/>
                <w:w w:val="71"/>
              </w:rPr>
              <w:t>$</w:t>
            </w: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22,797</w:t>
            </w:r>
          </w:p>
        </w:tc>
        <w:tc>
          <w:tcPr>
            <w:tcW w:w="2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80" w:type="dxa"/>
            <w:vAlign w:val="bottom"/>
            <w:shd w:val="clear" w:color="auto" w:fill="D0EBF2"/>
          </w:tcPr>
          <w:p>
            <w:pPr>
              <w:jc w:val="right"/>
              <w:spacing w:after="0"/>
              <w:rPr>
                <w:sz w:val="20"/>
                <w:szCs w:val="20"/>
                <w:color w:val="auto"/>
              </w:rPr>
            </w:pPr>
            <w:r>
              <w:rPr>
                <w:rFonts w:ascii="Arial" w:cs="Arial" w:eastAsia="Arial" w:hAnsi="Arial"/>
                <w:sz w:val="15"/>
                <w:szCs w:val="15"/>
                <w:color w:val="231F20"/>
                <w:w w:val="71"/>
              </w:rPr>
              <w:t>$</w:t>
            </w:r>
          </w:p>
        </w:tc>
        <w:tc>
          <w:tcPr>
            <w:tcW w:w="20" w:type="dxa"/>
            <w:vAlign w:val="bottom"/>
            <w:shd w:val="clear" w:color="auto" w:fill="D0EBF2"/>
          </w:tcPr>
          <w:p>
            <w:pPr>
              <w:spacing w:after="0"/>
              <w:rPr>
                <w:sz w:val="20"/>
                <w:szCs w:val="20"/>
                <w:color w:val="auto"/>
              </w:rPr>
            </w:pPr>
          </w:p>
        </w:tc>
        <w:tc>
          <w:tcPr>
            <w:tcW w:w="8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52</w:t>
            </w:r>
          </w:p>
        </w:tc>
        <w:tc>
          <w:tcPr>
            <w:tcW w:w="220" w:type="dxa"/>
            <w:vAlign w:val="bottom"/>
            <w:shd w:val="clear" w:color="auto" w:fill="D0EBF2"/>
          </w:tcPr>
          <w:p>
            <w:pPr>
              <w:spacing w:after="0"/>
              <w:rPr>
                <w:sz w:val="20"/>
                <w:szCs w:val="20"/>
                <w:color w:val="auto"/>
              </w:rPr>
            </w:pPr>
          </w:p>
        </w:tc>
        <w:tc>
          <w:tcPr>
            <w:tcW w:w="40" w:type="dxa"/>
            <w:vAlign w:val="bottom"/>
            <w:tcBorders>
              <w:right w:val="single" w:sz="8" w:color="D0EBF2"/>
            </w:tcBorders>
            <w:shd w:val="clear" w:color="auto" w:fill="D0EBF2"/>
          </w:tcPr>
          <w:p>
            <w:pPr>
              <w:spacing w:after="0"/>
              <w:rPr>
                <w:sz w:val="20"/>
                <w:szCs w:val="20"/>
                <w:color w:val="auto"/>
              </w:rPr>
            </w:pPr>
          </w:p>
        </w:tc>
        <w:tc>
          <w:tcPr>
            <w:tcW w:w="60" w:type="dxa"/>
            <w:vAlign w:val="bottom"/>
            <w:shd w:val="clear" w:color="auto" w:fill="D0EBF2"/>
          </w:tcPr>
          <w:p>
            <w:pPr>
              <w:jc w:val="right"/>
              <w:spacing w:after="0"/>
              <w:rPr>
                <w:sz w:val="20"/>
                <w:szCs w:val="20"/>
                <w:color w:val="auto"/>
              </w:rPr>
            </w:pPr>
            <w:r>
              <w:rPr>
                <w:rFonts w:ascii="Arial" w:cs="Arial" w:eastAsia="Arial" w:hAnsi="Arial"/>
                <w:sz w:val="10"/>
                <w:szCs w:val="10"/>
                <w:color w:val="231F20"/>
                <w:w w:val="71"/>
              </w:rPr>
              <w:t>$</w:t>
            </w: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(23)</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60" w:type="dxa"/>
            <w:vAlign w:val="bottom"/>
            <w:shd w:val="clear" w:color="auto" w:fill="D0EBF2"/>
          </w:tcPr>
          <w:p>
            <w:pPr>
              <w:jc w:val="right"/>
              <w:spacing w:after="0"/>
              <w:rPr>
                <w:sz w:val="20"/>
                <w:szCs w:val="20"/>
                <w:color w:val="auto"/>
              </w:rPr>
            </w:pPr>
            <w:r>
              <w:rPr>
                <w:rFonts w:ascii="Arial" w:cs="Arial" w:eastAsia="Arial" w:hAnsi="Arial"/>
                <w:sz w:val="10"/>
                <w:szCs w:val="10"/>
                <w:color w:val="231F20"/>
                <w:w w:val="71"/>
              </w:rPr>
              <w:t>$</w:t>
            </w:r>
          </w:p>
        </w:tc>
        <w:tc>
          <w:tcPr>
            <w:tcW w:w="900" w:type="dxa"/>
            <w:vAlign w:val="bottom"/>
            <w:gridSpan w:val="2"/>
            <w:shd w:val="clear" w:color="auto" w:fill="D0EBF2"/>
          </w:tcPr>
          <w:p>
            <w:pPr>
              <w:ind w:left="680"/>
              <w:spacing w:after="0"/>
              <w:rPr>
                <w:sz w:val="20"/>
                <w:szCs w:val="20"/>
                <w:color w:val="auto"/>
              </w:rPr>
            </w:pPr>
            <w:r>
              <w:rPr>
                <w:rFonts w:ascii="Arial" w:cs="Arial" w:eastAsia="Arial" w:hAnsi="Arial"/>
                <w:sz w:val="19"/>
                <w:szCs w:val="19"/>
                <w:color w:val="231F20"/>
              </w:rPr>
              <w:t>—</w:t>
            </w:r>
          </w:p>
        </w:tc>
        <w:tc>
          <w:tcPr>
            <w:tcW w:w="2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jc w:val="right"/>
              <w:spacing w:after="0"/>
              <w:rPr>
                <w:sz w:val="20"/>
                <w:szCs w:val="20"/>
                <w:color w:val="auto"/>
              </w:rPr>
            </w:pPr>
            <w:r>
              <w:rPr>
                <w:rFonts w:ascii="Arial" w:cs="Arial" w:eastAsia="Arial" w:hAnsi="Arial"/>
                <w:sz w:val="10"/>
                <w:szCs w:val="10"/>
                <w:color w:val="231F20"/>
                <w:w w:val="71"/>
              </w:rPr>
              <w:t>$</w:t>
            </w:r>
          </w:p>
        </w:tc>
        <w:tc>
          <w:tcPr>
            <w:tcW w:w="8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274</w:t>
            </w:r>
          </w:p>
        </w:tc>
        <w:tc>
          <w:tcPr>
            <w:tcW w:w="2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80" w:type="dxa"/>
            <w:vAlign w:val="bottom"/>
            <w:shd w:val="clear" w:color="auto" w:fill="D0EBF2"/>
          </w:tcPr>
          <w:p>
            <w:pPr>
              <w:jc w:val="right"/>
              <w:spacing w:after="0"/>
              <w:rPr>
                <w:sz w:val="20"/>
                <w:szCs w:val="20"/>
                <w:color w:val="auto"/>
              </w:rPr>
            </w:pPr>
            <w:r>
              <w:rPr>
                <w:rFonts w:ascii="Arial" w:cs="Arial" w:eastAsia="Arial" w:hAnsi="Arial"/>
                <w:sz w:val="15"/>
                <w:szCs w:val="15"/>
                <w:color w:val="231F20"/>
                <w:w w:val="71"/>
              </w:rPr>
              <w:t>$</w:t>
            </w: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23,100</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U.S. Government obligations</w:t>
            </w:r>
          </w:p>
        </w:tc>
        <w:tc>
          <w:tcPr>
            <w:tcW w:w="1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21,174</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18</w:t>
            </w:r>
          </w:p>
        </w:tc>
        <w:tc>
          <w:tcPr>
            <w:tcW w:w="220" w:type="dxa"/>
            <w:vAlign w:val="bottom"/>
            <w:shd w:val="clear" w:color="auto" w:fill="FDFDFC"/>
          </w:tcPr>
          <w:p>
            <w:pPr>
              <w:spacing w:after="0"/>
              <w:rPr>
                <w:sz w:val="20"/>
                <w:szCs w:val="20"/>
                <w:color w:val="auto"/>
              </w:rPr>
            </w:pPr>
          </w:p>
        </w:tc>
        <w:tc>
          <w:tcPr>
            <w:tcW w:w="40" w:type="dxa"/>
            <w:vAlign w:val="bottom"/>
            <w:tcBorders>
              <w:right w:val="single" w:sz="8" w:color="FDFDFC"/>
            </w:tcBorders>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100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(67)</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900" w:type="dxa"/>
            <w:vAlign w:val="bottom"/>
            <w:gridSpan w:val="2"/>
            <w:shd w:val="clear" w:color="auto" w:fill="FDFDFC"/>
          </w:tcPr>
          <w:p>
            <w:pPr>
              <w:ind w:left="680"/>
              <w:spacing w:after="0"/>
              <w:rPr>
                <w:sz w:val="20"/>
                <w:szCs w:val="20"/>
                <w:color w:val="auto"/>
              </w:rPr>
            </w:pPr>
            <w:r>
              <w:rPr>
                <w:rFonts w:ascii="Arial" w:cs="Arial" w:eastAsia="Arial" w:hAnsi="Arial"/>
                <w:sz w:val="19"/>
                <w:szCs w:val="19"/>
                <w:color w:val="231F20"/>
              </w:rPr>
              <w:t>—</w:t>
            </w:r>
          </w:p>
        </w:tc>
        <w:tc>
          <w:tcPr>
            <w:tcW w:w="2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259</w:t>
            </w:r>
          </w:p>
        </w:tc>
        <w:tc>
          <w:tcPr>
            <w:tcW w:w="2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21,384</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Agency bond</w:t>
            </w:r>
          </w:p>
        </w:tc>
        <w:tc>
          <w:tcPr>
            <w:tcW w:w="1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2,458</w:t>
            </w:r>
          </w:p>
        </w:tc>
        <w:tc>
          <w:tcPr>
            <w:tcW w:w="2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880" w:type="dxa"/>
            <w:vAlign w:val="bottom"/>
            <w:gridSpan w:val="2"/>
            <w:shd w:val="clear" w:color="auto" w:fill="D0EBF2"/>
          </w:tcPr>
          <w:p>
            <w:pPr>
              <w:jc w:val="right"/>
              <w:spacing w:after="0"/>
              <w:rPr>
                <w:sz w:val="20"/>
                <w:szCs w:val="20"/>
                <w:color w:val="auto"/>
              </w:rPr>
            </w:pPr>
            <w:r>
              <w:rPr>
                <w:rFonts w:ascii="Arial" w:cs="Arial" w:eastAsia="Arial" w:hAnsi="Arial"/>
                <w:sz w:val="19"/>
                <w:szCs w:val="19"/>
                <w:color w:val="231F20"/>
              </w:rPr>
              <w:t>3</w:t>
            </w:r>
          </w:p>
        </w:tc>
        <w:tc>
          <w:tcPr>
            <w:tcW w:w="220" w:type="dxa"/>
            <w:vAlign w:val="bottom"/>
            <w:shd w:val="clear" w:color="auto" w:fill="D0EBF2"/>
          </w:tcPr>
          <w:p>
            <w:pPr>
              <w:spacing w:after="0"/>
              <w:rPr>
                <w:sz w:val="20"/>
                <w:szCs w:val="20"/>
                <w:color w:val="auto"/>
              </w:rPr>
            </w:pPr>
          </w:p>
        </w:tc>
        <w:tc>
          <w:tcPr>
            <w:tcW w:w="40" w:type="dxa"/>
            <w:vAlign w:val="bottom"/>
            <w:tcBorders>
              <w:right w:val="single" w:sz="8" w:color="D0EBF2"/>
            </w:tcBorders>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1000" w:type="dxa"/>
            <w:vAlign w:val="bottom"/>
            <w:gridSpan w:val="2"/>
            <w:shd w:val="clear" w:color="auto" w:fill="D0EBF2"/>
          </w:tcPr>
          <w:p>
            <w:pPr>
              <w:jc w:val="right"/>
              <w:ind w:right="12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900" w:type="dxa"/>
            <w:vAlign w:val="bottom"/>
            <w:gridSpan w:val="2"/>
            <w:shd w:val="clear" w:color="auto" w:fill="D0EBF2"/>
          </w:tcPr>
          <w:p>
            <w:pPr>
              <w:ind w:left="680"/>
              <w:spacing w:after="0"/>
              <w:rPr>
                <w:sz w:val="20"/>
                <w:szCs w:val="20"/>
                <w:color w:val="auto"/>
              </w:rPr>
            </w:pPr>
            <w:r>
              <w:rPr>
                <w:rFonts w:ascii="Arial" w:cs="Arial" w:eastAsia="Arial" w:hAnsi="Arial"/>
                <w:sz w:val="19"/>
                <w:szCs w:val="19"/>
                <w:color w:val="231F20"/>
              </w:rPr>
              <w:t>—</w:t>
            </w:r>
          </w:p>
        </w:tc>
        <w:tc>
          <w:tcPr>
            <w:tcW w:w="2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8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8</w:t>
            </w:r>
          </w:p>
        </w:tc>
        <w:tc>
          <w:tcPr>
            <w:tcW w:w="2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2,469</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Asset-backed securities</w:t>
            </w:r>
          </w:p>
        </w:tc>
        <w:tc>
          <w:tcPr>
            <w:tcW w:w="1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3,163</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880" w:type="dxa"/>
            <w:vAlign w:val="bottom"/>
            <w:gridSpan w:val="2"/>
            <w:shd w:val="clear" w:color="auto" w:fill="FDFDFC"/>
          </w:tcPr>
          <w:p>
            <w:pPr>
              <w:jc w:val="right"/>
              <w:spacing w:after="0"/>
              <w:rPr>
                <w:sz w:val="20"/>
                <w:szCs w:val="20"/>
                <w:color w:val="auto"/>
              </w:rPr>
            </w:pPr>
            <w:r>
              <w:rPr>
                <w:rFonts w:ascii="Arial" w:cs="Arial" w:eastAsia="Arial" w:hAnsi="Arial"/>
                <w:sz w:val="19"/>
                <w:szCs w:val="19"/>
                <w:color w:val="231F20"/>
              </w:rPr>
              <w:t>7</w:t>
            </w:r>
          </w:p>
        </w:tc>
        <w:tc>
          <w:tcPr>
            <w:tcW w:w="220" w:type="dxa"/>
            <w:vAlign w:val="bottom"/>
            <w:shd w:val="clear" w:color="auto" w:fill="FDFDFC"/>
          </w:tcPr>
          <w:p>
            <w:pPr>
              <w:spacing w:after="0"/>
              <w:rPr>
                <w:sz w:val="20"/>
                <w:szCs w:val="20"/>
                <w:color w:val="auto"/>
              </w:rPr>
            </w:pPr>
          </w:p>
        </w:tc>
        <w:tc>
          <w:tcPr>
            <w:tcW w:w="40" w:type="dxa"/>
            <w:vAlign w:val="bottom"/>
            <w:tcBorders>
              <w:right w:val="single" w:sz="8" w:color="FDFDFC"/>
            </w:tcBorders>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100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(2)</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900" w:type="dxa"/>
            <w:vAlign w:val="bottom"/>
            <w:gridSpan w:val="2"/>
            <w:shd w:val="clear" w:color="auto" w:fill="FDFDFC"/>
          </w:tcPr>
          <w:p>
            <w:pPr>
              <w:ind w:left="680"/>
              <w:spacing w:after="0"/>
              <w:rPr>
                <w:sz w:val="20"/>
                <w:szCs w:val="20"/>
                <w:color w:val="auto"/>
              </w:rPr>
            </w:pPr>
            <w:r>
              <w:rPr>
                <w:rFonts w:ascii="Arial" w:cs="Arial" w:eastAsia="Arial" w:hAnsi="Arial"/>
                <w:sz w:val="19"/>
                <w:szCs w:val="19"/>
                <w:color w:val="231F20"/>
              </w:rPr>
              <w:t>—</w:t>
            </w:r>
          </w:p>
        </w:tc>
        <w:tc>
          <w:tcPr>
            <w:tcW w:w="2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w:t>
            </w:r>
          </w:p>
        </w:tc>
        <w:tc>
          <w:tcPr>
            <w:tcW w:w="2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3,172</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60" w:type="dxa"/>
            <w:vAlign w:val="bottom"/>
            <w:tcBorders>
              <w:top w:val="single" w:sz="8" w:color="D0EBF2"/>
            </w:tcBorders>
            <w:shd w:val="clear" w:color="auto" w:fill="D0EBF2"/>
          </w:tcPr>
          <w:p>
            <w:pPr>
              <w:ind w:left="260"/>
              <w:spacing w:after="0"/>
              <w:rPr>
                <w:sz w:val="20"/>
                <w:szCs w:val="20"/>
                <w:color w:val="auto"/>
              </w:rPr>
            </w:pPr>
            <w:r>
              <w:rPr>
                <w:rFonts w:ascii="Arial" w:cs="Arial" w:eastAsia="Arial" w:hAnsi="Arial"/>
                <w:sz w:val="19"/>
                <w:szCs w:val="19"/>
                <w:color w:val="231F20"/>
              </w:rPr>
              <w:t>Total long-term investments</w:t>
            </w:r>
          </w:p>
        </w:tc>
        <w:tc>
          <w:tcPr>
            <w:tcW w:w="100" w:type="dxa"/>
            <w:vAlign w:val="bottom"/>
            <w:tcBorders>
              <w:top w:val="single" w:sz="8" w:color="D0EBF2"/>
            </w:tcBorders>
            <w:shd w:val="clear" w:color="auto" w:fill="D0EBF2"/>
          </w:tcPr>
          <w:p>
            <w:pPr>
              <w:spacing w:after="0"/>
              <w:rPr>
                <w:sz w:val="19"/>
                <w:szCs w:val="19"/>
                <w:color w:val="auto"/>
              </w:rPr>
            </w:pPr>
          </w:p>
        </w:tc>
        <w:tc>
          <w:tcPr>
            <w:tcW w:w="20" w:type="dxa"/>
            <w:vAlign w:val="bottom"/>
            <w:tcBorders>
              <w:top w:val="single" w:sz="8" w:color="D0EBF2"/>
            </w:tcBorders>
            <w:shd w:val="clear" w:color="auto" w:fill="D0EBF2"/>
          </w:tcPr>
          <w:p>
            <w:pPr>
              <w:spacing w:after="0"/>
              <w:rPr>
                <w:sz w:val="19"/>
                <w:szCs w:val="19"/>
                <w:color w:val="auto"/>
              </w:rPr>
            </w:pPr>
          </w:p>
        </w:tc>
        <w:tc>
          <w:tcPr>
            <w:tcW w:w="1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5"/>
                <w:szCs w:val="15"/>
                <w:color w:val="231F20"/>
                <w:w w:val="71"/>
                <w:shd w:val="clear" w:color="auto" w:fill="D0EBF2"/>
              </w:rPr>
              <w:t>$</w:t>
            </w:r>
          </w:p>
        </w:tc>
        <w:tc>
          <w:tcPr>
            <w:tcW w:w="8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49,592</w:t>
            </w:r>
          </w:p>
        </w:tc>
        <w:tc>
          <w:tcPr>
            <w:tcW w:w="220" w:type="dxa"/>
            <w:vAlign w:val="bottom"/>
            <w:tcBorders>
              <w:top w:val="single" w:sz="8" w:color="D0EBF2"/>
            </w:tcBorders>
            <w:shd w:val="clear" w:color="auto" w:fill="D0EBF2"/>
          </w:tcPr>
          <w:p>
            <w:pPr>
              <w:spacing w:after="0"/>
              <w:rPr>
                <w:sz w:val="19"/>
                <w:szCs w:val="19"/>
                <w:color w:val="auto"/>
              </w:rPr>
            </w:pPr>
          </w:p>
        </w:tc>
        <w:tc>
          <w:tcPr>
            <w:tcW w:w="20" w:type="dxa"/>
            <w:vAlign w:val="bottom"/>
            <w:tcBorders>
              <w:top w:val="single" w:sz="8" w:color="D0EBF2"/>
            </w:tcBorders>
            <w:shd w:val="clear" w:color="auto" w:fill="D0EBF2"/>
          </w:tcPr>
          <w:p>
            <w:pPr>
              <w:spacing w:after="0"/>
              <w:rPr>
                <w:sz w:val="19"/>
                <w:szCs w:val="19"/>
                <w:color w:val="auto"/>
              </w:rPr>
            </w:pPr>
          </w:p>
        </w:tc>
        <w:tc>
          <w:tcPr>
            <w:tcW w:w="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5"/>
                <w:szCs w:val="15"/>
                <w:color w:val="231F20"/>
                <w:w w:val="71"/>
              </w:rPr>
              <w:t>$</w:t>
            </w:r>
          </w:p>
        </w:tc>
        <w:tc>
          <w:tcPr>
            <w:tcW w:w="880" w:type="dxa"/>
            <w:vAlign w:val="bottom"/>
            <w:tcBorders>
              <w:top w:val="single" w:sz="8" w:color="231F20"/>
              <w:bottom w:val="single" w:sz="8" w:color="231F20"/>
            </w:tcBorders>
            <w:gridSpan w:val="2"/>
            <w:shd w:val="clear" w:color="auto" w:fill="D0EBF2"/>
          </w:tcPr>
          <w:p>
            <w:pPr>
              <w:jc w:val="right"/>
              <w:spacing w:after="0"/>
              <w:rPr>
                <w:sz w:val="20"/>
                <w:szCs w:val="20"/>
                <w:color w:val="auto"/>
              </w:rPr>
            </w:pPr>
            <w:r>
              <w:rPr>
                <w:rFonts w:ascii="Arial" w:cs="Arial" w:eastAsia="Arial" w:hAnsi="Arial"/>
                <w:sz w:val="19"/>
                <w:szCs w:val="19"/>
                <w:color w:val="231F20"/>
              </w:rPr>
              <w:t>80</w:t>
            </w:r>
          </w:p>
        </w:tc>
        <w:tc>
          <w:tcPr>
            <w:tcW w:w="220" w:type="dxa"/>
            <w:vAlign w:val="bottom"/>
            <w:tcBorders>
              <w:top w:val="single" w:sz="8" w:color="D0EBF2"/>
            </w:tcBorders>
            <w:shd w:val="clear" w:color="auto" w:fill="D0EBF2"/>
          </w:tcPr>
          <w:p>
            <w:pPr>
              <w:spacing w:after="0"/>
              <w:rPr>
                <w:sz w:val="19"/>
                <w:szCs w:val="19"/>
                <w:color w:val="auto"/>
              </w:rPr>
            </w:pPr>
          </w:p>
        </w:tc>
        <w:tc>
          <w:tcPr>
            <w:tcW w:w="40" w:type="dxa"/>
            <w:vAlign w:val="bottom"/>
            <w:tcBorders>
              <w:top w:val="single" w:sz="8" w:color="D0EBF2"/>
              <w:right w:val="single" w:sz="8" w:color="D0EBF2"/>
            </w:tcBorders>
            <w:shd w:val="clear" w:color="auto" w:fill="D0EBF2"/>
          </w:tcPr>
          <w:p>
            <w:pPr>
              <w:spacing w:after="0"/>
              <w:rPr>
                <w:sz w:val="19"/>
                <w:szCs w:val="19"/>
                <w:color w:val="auto"/>
              </w:rPr>
            </w:pPr>
          </w:p>
        </w:tc>
        <w:tc>
          <w:tcPr>
            <w:tcW w:w="6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0"/>
                <w:szCs w:val="10"/>
                <w:color w:val="231F20"/>
                <w:w w:val="71"/>
              </w:rPr>
              <w:t>$</w:t>
            </w:r>
          </w:p>
        </w:tc>
        <w:tc>
          <w:tcPr>
            <w:tcW w:w="9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(92)</w:t>
            </w:r>
          </w:p>
        </w:tc>
        <w:tc>
          <w:tcPr>
            <w:tcW w:w="10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D0EBF2"/>
            </w:tcBorders>
            <w:shd w:val="clear" w:color="auto" w:fill="D0EBF2"/>
          </w:tcPr>
          <w:p>
            <w:pPr>
              <w:spacing w:after="0"/>
              <w:rPr>
                <w:sz w:val="19"/>
                <w:szCs w:val="19"/>
                <w:color w:val="auto"/>
              </w:rPr>
            </w:pPr>
          </w:p>
        </w:tc>
        <w:tc>
          <w:tcPr>
            <w:tcW w:w="20" w:type="dxa"/>
            <w:vAlign w:val="bottom"/>
            <w:tcBorders>
              <w:top w:val="single" w:sz="8" w:color="D0EBF2"/>
            </w:tcBorders>
            <w:shd w:val="clear" w:color="auto" w:fill="D0EBF2"/>
          </w:tcPr>
          <w:p>
            <w:pPr>
              <w:spacing w:after="0"/>
              <w:rPr>
                <w:sz w:val="19"/>
                <w:szCs w:val="19"/>
                <w:color w:val="auto"/>
              </w:rPr>
            </w:pPr>
          </w:p>
        </w:tc>
        <w:tc>
          <w:tcPr>
            <w:tcW w:w="20" w:type="dxa"/>
            <w:vAlign w:val="bottom"/>
            <w:tcBorders>
              <w:top w:val="single" w:sz="8" w:color="231F20"/>
              <w:bottom w:val="single" w:sz="8" w:color="231F20"/>
            </w:tcBorders>
            <w:shd w:val="clear" w:color="auto" w:fill="D0EBF2"/>
          </w:tcPr>
          <w:p>
            <w:pPr>
              <w:spacing w:after="0"/>
              <w:rPr>
                <w:sz w:val="19"/>
                <w:szCs w:val="19"/>
                <w:color w:val="auto"/>
              </w:rPr>
            </w:pPr>
          </w:p>
        </w:tc>
        <w:tc>
          <w:tcPr>
            <w:tcW w:w="6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0"/>
                <w:szCs w:val="10"/>
                <w:color w:val="231F20"/>
                <w:w w:val="71"/>
              </w:rPr>
              <w:t>$</w:t>
            </w:r>
          </w:p>
        </w:tc>
        <w:tc>
          <w:tcPr>
            <w:tcW w:w="900" w:type="dxa"/>
            <w:vAlign w:val="bottom"/>
            <w:tcBorders>
              <w:top w:val="single" w:sz="8" w:color="231F20"/>
              <w:bottom w:val="single" w:sz="8" w:color="231F20"/>
            </w:tcBorders>
            <w:gridSpan w:val="2"/>
            <w:shd w:val="clear" w:color="auto" w:fill="D0EBF2"/>
          </w:tcPr>
          <w:p>
            <w:pPr>
              <w:ind w:left="680"/>
              <w:spacing w:after="0"/>
              <w:rPr>
                <w:sz w:val="20"/>
                <w:szCs w:val="20"/>
                <w:color w:val="auto"/>
              </w:rPr>
            </w:pPr>
            <w:r>
              <w:rPr>
                <w:rFonts w:ascii="Arial" w:cs="Arial" w:eastAsia="Arial" w:hAnsi="Arial"/>
                <w:sz w:val="19"/>
                <w:szCs w:val="19"/>
                <w:color w:val="231F20"/>
              </w:rPr>
              <w:t>—</w:t>
            </w:r>
          </w:p>
        </w:tc>
        <w:tc>
          <w:tcPr>
            <w:tcW w:w="200" w:type="dxa"/>
            <w:vAlign w:val="bottom"/>
            <w:tcBorders>
              <w:top w:val="single" w:sz="8" w:color="D0EBF2"/>
            </w:tcBorders>
            <w:shd w:val="clear" w:color="auto" w:fill="D0EBF2"/>
          </w:tcPr>
          <w:p>
            <w:pPr>
              <w:spacing w:after="0"/>
              <w:rPr>
                <w:sz w:val="19"/>
                <w:szCs w:val="19"/>
                <w:color w:val="auto"/>
              </w:rPr>
            </w:pPr>
          </w:p>
        </w:tc>
        <w:tc>
          <w:tcPr>
            <w:tcW w:w="20" w:type="dxa"/>
            <w:vAlign w:val="bottom"/>
            <w:tcBorders>
              <w:top w:val="single" w:sz="8" w:color="D0EBF2"/>
            </w:tcBorders>
            <w:shd w:val="clear" w:color="auto" w:fill="D0EBF2"/>
          </w:tcPr>
          <w:p>
            <w:pPr>
              <w:spacing w:after="0"/>
              <w:rPr>
                <w:sz w:val="19"/>
                <w:szCs w:val="19"/>
                <w:color w:val="auto"/>
              </w:rPr>
            </w:pPr>
          </w:p>
        </w:tc>
        <w:tc>
          <w:tcPr>
            <w:tcW w:w="20" w:type="dxa"/>
            <w:vAlign w:val="bottom"/>
            <w:tcBorders>
              <w:top w:val="single" w:sz="8" w:color="231F20"/>
              <w:bottom w:val="single" w:sz="8" w:color="231F20"/>
            </w:tcBorders>
            <w:shd w:val="clear" w:color="auto" w:fill="D0EBF2"/>
          </w:tcPr>
          <w:p>
            <w:pPr>
              <w:spacing w:after="0"/>
              <w:rPr>
                <w:sz w:val="19"/>
                <w:szCs w:val="19"/>
                <w:color w:val="auto"/>
              </w:rPr>
            </w:pPr>
          </w:p>
        </w:tc>
        <w:tc>
          <w:tcPr>
            <w:tcW w:w="1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0"/>
                <w:szCs w:val="10"/>
                <w:color w:val="231F20"/>
                <w:w w:val="71"/>
              </w:rPr>
              <w:t>$</w:t>
            </w:r>
          </w:p>
        </w:tc>
        <w:tc>
          <w:tcPr>
            <w:tcW w:w="86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545</w:t>
            </w:r>
          </w:p>
        </w:tc>
        <w:tc>
          <w:tcPr>
            <w:tcW w:w="200" w:type="dxa"/>
            <w:vAlign w:val="bottom"/>
            <w:tcBorders>
              <w:top w:val="single" w:sz="8" w:color="D0EBF2"/>
            </w:tcBorders>
            <w:shd w:val="clear" w:color="auto" w:fill="D0EBF2"/>
          </w:tcPr>
          <w:p>
            <w:pPr>
              <w:spacing w:after="0"/>
              <w:rPr>
                <w:sz w:val="19"/>
                <w:szCs w:val="19"/>
                <w:color w:val="auto"/>
              </w:rPr>
            </w:pPr>
          </w:p>
        </w:tc>
        <w:tc>
          <w:tcPr>
            <w:tcW w:w="20" w:type="dxa"/>
            <w:vAlign w:val="bottom"/>
            <w:tcBorders>
              <w:top w:val="single" w:sz="8" w:color="D0EBF2"/>
            </w:tcBorders>
            <w:shd w:val="clear" w:color="auto" w:fill="D0EBF2"/>
          </w:tcPr>
          <w:p>
            <w:pPr>
              <w:spacing w:after="0"/>
              <w:rPr>
                <w:sz w:val="19"/>
                <w:szCs w:val="19"/>
                <w:color w:val="auto"/>
              </w:rPr>
            </w:pPr>
          </w:p>
        </w:tc>
        <w:tc>
          <w:tcPr>
            <w:tcW w:w="20" w:type="dxa"/>
            <w:vAlign w:val="bottom"/>
            <w:tcBorders>
              <w:top w:val="single" w:sz="8" w:color="231F20"/>
              <w:bottom w:val="single" w:sz="8" w:color="231F20"/>
            </w:tcBorders>
            <w:shd w:val="clear" w:color="auto" w:fill="D0EBF2"/>
          </w:tcPr>
          <w:p>
            <w:pPr>
              <w:spacing w:after="0"/>
              <w:rPr>
                <w:sz w:val="19"/>
                <w:szCs w:val="19"/>
                <w:color w:val="auto"/>
              </w:rPr>
            </w:pPr>
          </w:p>
        </w:tc>
        <w:tc>
          <w:tcPr>
            <w:tcW w:w="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5"/>
                <w:szCs w:val="15"/>
                <w:color w:val="231F20"/>
                <w:w w:val="71"/>
                <w:shd w:val="clear" w:color="auto" w:fill="D0EBF2"/>
              </w:rPr>
              <w:t>$</w:t>
            </w:r>
          </w:p>
        </w:tc>
        <w:tc>
          <w:tcPr>
            <w:tcW w:w="8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50,125</w:t>
            </w:r>
          </w:p>
        </w:tc>
        <w:tc>
          <w:tcPr>
            <w:tcW w:w="10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3481070</wp:posOffset>
                </wp:positionH>
                <wp:positionV relativeFrom="paragraph">
                  <wp:posOffset>-1083945</wp:posOffset>
                </wp:positionV>
                <wp:extent cx="630555" cy="14605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555" cy="146050"/>
                        </a:xfrm>
                        <a:prstGeom prst="rect">
                          <a:avLst/>
                        </a:prstGeom>
                        <a:solidFill>
                          <a:srgbClr val="D0EBF2"/>
                        </a:solidFill>
                      </wps:spPr>
                      <wps:bodyPr/>
                    </wps:wsp>
                  </a:graphicData>
                </a:graphic>
              </wp:anchor>
            </w:drawing>
          </mc:Choice>
          <mc:Fallback>
            <w:pict>
              <v:rect id="Shape 57" o:spid="_x0000_s1082" style="position:absolute;margin-left:274.1pt;margin-top:-85.3499pt;width:49.6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w:r>
    </w:p>
    <w:p>
      <w:pPr>
        <w:spacing w:after="0" w:line="151" w:lineRule="exact"/>
        <w:rPr>
          <w:sz w:val="20"/>
          <w:szCs w:val="20"/>
          <w:color w:val="auto"/>
        </w:rPr>
      </w:pPr>
    </w:p>
    <w:p>
      <w:pPr>
        <w:ind w:right="540" w:firstLine="463"/>
        <w:spacing w:after="0" w:line="278" w:lineRule="auto"/>
        <w:rPr>
          <w:sz w:val="20"/>
          <w:szCs w:val="20"/>
          <w:color w:val="auto"/>
        </w:rPr>
      </w:pPr>
      <w:r>
        <w:rPr>
          <w:rFonts w:ascii="Arial" w:cs="Arial" w:eastAsia="Arial" w:hAnsi="Arial"/>
          <w:sz w:val="19"/>
          <w:szCs w:val="19"/>
          <w:color w:val="231F20"/>
        </w:rPr>
        <w:t>The following table summarizes the fair value of the Company's available-for-sale debt securities by remaining contractual maturity as of December 31, 2024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0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Due within one year</w:t>
            </w:r>
          </w:p>
        </w:tc>
        <w:tc>
          <w:tcPr>
            <w:tcW w:w="3140" w:type="dxa"/>
            <w:vAlign w:val="bottom"/>
            <w:gridSpan w:val="2"/>
            <w:shd w:val="clear" w:color="auto" w:fill="D0EBF2"/>
          </w:tcPr>
          <w:p>
            <w:pPr>
              <w:jc w:val="right"/>
              <w:ind w:right="386"/>
              <w:spacing w:after="0"/>
              <w:rPr>
                <w:sz w:val="20"/>
                <w:szCs w:val="20"/>
                <w:color w:val="auto"/>
              </w:rPr>
            </w:pPr>
            <w:r>
              <w:rPr>
                <w:rFonts w:ascii="Arial" w:cs="Arial" w:eastAsia="Arial" w:hAnsi="Arial"/>
                <w:sz w:val="19"/>
                <w:szCs w:val="19"/>
                <w:color w:val="231F20"/>
              </w:rPr>
              <w:t>$</w:t>
            </w:r>
          </w:p>
        </w:tc>
        <w:tc>
          <w:tcPr>
            <w:tcW w:w="1260" w:type="dxa"/>
            <w:vAlign w:val="bottom"/>
            <w:gridSpan w:val="2"/>
            <w:shd w:val="clear" w:color="auto" w:fill="D0EBF2"/>
          </w:tcPr>
          <w:p>
            <w:pPr>
              <w:jc w:val="right"/>
              <w:ind w:right="100"/>
              <w:spacing w:after="0"/>
              <w:rPr>
                <w:sz w:val="20"/>
                <w:szCs w:val="20"/>
                <w:color w:val="auto"/>
              </w:rPr>
            </w:pPr>
            <w:r>
              <w:rPr>
                <w:rFonts w:ascii="Arial" w:cs="Arial" w:eastAsia="Arial" w:hAnsi="Arial"/>
                <w:sz w:val="19"/>
                <w:szCs w:val="19"/>
                <w:color w:val="231F20"/>
              </w:rPr>
              <w:t>115,848</w:t>
            </w:r>
          </w:p>
        </w:tc>
      </w:tr>
      <w:tr>
        <w:trPr>
          <w:trHeight w:val="217"/>
        </w:trPr>
        <w:tc>
          <w:tcPr>
            <w:tcW w:w="5800" w:type="dxa"/>
            <w:vAlign w:val="bottom"/>
            <w:tcBorders>
              <w:bottom w:val="single" w:sz="8" w:color="D0EBF2"/>
            </w:tcBorders>
            <w:shd w:val="clear" w:color="auto" w:fill="FDFDFC"/>
          </w:tcPr>
          <w:p>
            <w:pPr>
              <w:ind w:left="140"/>
              <w:spacing w:after="0" w:line="217" w:lineRule="exact"/>
              <w:rPr>
                <w:sz w:val="20"/>
                <w:szCs w:val="20"/>
                <w:color w:val="auto"/>
              </w:rPr>
            </w:pPr>
            <w:r>
              <w:rPr>
                <w:rFonts w:ascii="Arial" w:cs="Arial" w:eastAsia="Arial" w:hAnsi="Arial"/>
                <w:sz w:val="19"/>
                <w:szCs w:val="19"/>
                <w:color w:val="231F20"/>
              </w:rPr>
              <w:t>Due after one year through five years</w:t>
            </w:r>
          </w:p>
        </w:tc>
        <w:tc>
          <w:tcPr>
            <w:tcW w:w="2540" w:type="dxa"/>
            <w:vAlign w:val="bottom"/>
            <w:tcBorders>
              <w:bottom w:val="single" w:sz="8" w:color="D0EBF2"/>
            </w:tcBorders>
            <w:shd w:val="clear" w:color="auto" w:fill="FDFDFC"/>
          </w:tcPr>
          <w:p>
            <w:pPr>
              <w:spacing w:after="0"/>
              <w:rPr>
                <w:sz w:val="18"/>
                <w:szCs w:val="18"/>
                <w:color w:val="auto"/>
              </w:rPr>
            </w:pPr>
          </w:p>
        </w:tc>
        <w:tc>
          <w:tcPr>
            <w:tcW w:w="600" w:type="dxa"/>
            <w:vAlign w:val="bottom"/>
            <w:tcBorders>
              <w:bottom w:val="single" w:sz="8" w:color="231F20"/>
            </w:tcBorders>
            <w:shd w:val="clear" w:color="auto" w:fill="FDFDFC"/>
          </w:tcPr>
          <w:p>
            <w:pPr>
              <w:spacing w:after="0"/>
              <w:rPr>
                <w:sz w:val="18"/>
                <w:szCs w:val="18"/>
                <w:color w:val="auto"/>
              </w:rPr>
            </w:pPr>
          </w:p>
        </w:tc>
        <w:tc>
          <w:tcPr>
            <w:tcW w:w="1160" w:type="dxa"/>
            <w:vAlign w:val="bottom"/>
            <w:tcBorders>
              <w:bottom w:val="single" w:sz="8" w:color="231F20"/>
            </w:tcBorders>
            <w:shd w:val="clear" w:color="auto" w:fill="FDFDFC"/>
          </w:tcPr>
          <w:p>
            <w:pPr>
              <w:jc w:val="right"/>
              <w:spacing w:after="0" w:line="217" w:lineRule="exact"/>
              <w:rPr>
                <w:sz w:val="20"/>
                <w:szCs w:val="20"/>
                <w:color w:val="auto"/>
              </w:rPr>
            </w:pPr>
            <w:r>
              <w:rPr>
                <w:rFonts w:ascii="Arial" w:cs="Arial" w:eastAsia="Arial" w:hAnsi="Arial"/>
                <w:sz w:val="19"/>
                <w:szCs w:val="19"/>
                <w:color w:val="231F20"/>
              </w:rPr>
              <w:t>50,125</w:t>
            </w:r>
          </w:p>
        </w:tc>
        <w:tc>
          <w:tcPr>
            <w:tcW w:w="100" w:type="dxa"/>
            <w:vAlign w:val="bottom"/>
            <w:tcBorders>
              <w:bottom w:val="single" w:sz="8" w:color="D0EBF2"/>
            </w:tcBorders>
            <w:shd w:val="clear" w:color="auto" w:fill="FDFDFC"/>
          </w:tcPr>
          <w:p>
            <w:pPr>
              <w:spacing w:after="0"/>
              <w:rPr>
                <w:sz w:val="18"/>
                <w:szCs w:val="18"/>
                <w:color w:val="auto"/>
              </w:rPr>
            </w:pPr>
          </w:p>
        </w:tc>
      </w:tr>
      <w:tr>
        <w:trPr>
          <w:trHeight w:val="207"/>
        </w:trPr>
        <w:tc>
          <w:tcPr>
            <w:tcW w:w="5800" w:type="dxa"/>
            <w:vAlign w:val="bottom"/>
            <w:shd w:val="clear" w:color="auto" w:fill="D0EBF2"/>
          </w:tcPr>
          <w:p>
            <w:pPr>
              <w:ind w:left="260"/>
              <w:spacing w:after="0" w:line="206" w:lineRule="exact"/>
              <w:rPr>
                <w:sz w:val="20"/>
                <w:szCs w:val="20"/>
                <w:color w:val="auto"/>
              </w:rPr>
            </w:pPr>
            <w:r>
              <w:rPr>
                <w:rFonts w:ascii="Arial" w:cs="Arial" w:eastAsia="Arial" w:hAnsi="Arial"/>
                <w:sz w:val="19"/>
                <w:szCs w:val="19"/>
                <w:color w:val="231F20"/>
              </w:rPr>
              <w:t>Total investments</w:t>
            </w:r>
          </w:p>
        </w:tc>
        <w:tc>
          <w:tcPr>
            <w:tcW w:w="2540" w:type="dxa"/>
            <w:vAlign w:val="bottom"/>
            <w:shd w:val="clear" w:color="auto" w:fill="D0EBF2"/>
          </w:tcPr>
          <w:p>
            <w:pPr>
              <w:spacing w:after="0"/>
              <w:rPr>
                <w:sz w:val="17"/>
                <w:szCs w:val="17"/>
                <w:color w:val="auto"/>
              </w:rPr>
            </w:pPr>
          </w:p>
        </w:tc>
        <w:tc>
          <w:tcPr>
            <w:tcW w:w="600" w:type="dxa"/>
            <w:vAlign w:val="bottom"/>
            <w:tcBorders>
              <w:bottom w:val="single" w:sz="8" w:color="231F20"/>
            </w:tcBorders>
            <w:shd w:val="clear" w:color="auto" w:fill="D0EBF2"/>
          </w:tcPr>
          <w:p>
            <w:pPr>
              <w:jc w:val="right"/>
              <w:ind w:right="386"/>
              <w:spacing w:after="0" w:line="206" w:lineRule="exact"/>
              <w:rPr>
                <w:sz w:val="20"/>
                <w:szCs w:val="20"/>
                <w:color w:val="auto"/>
              </w:rPr>
            </w:pPr>
            <w:r>
              <w:rPr>
                <w:rFonts w:ascii="Arial" w:cs="Arial" w:eastAsia="Arial" w:hAnsi="Arial"/>
                <w:sz w:val="19"/>
                <w:szCs w:val="19"/>
                <w:color w:val="231F20"/>
                <w:w w:val="94"/>
              </w:rPr>
              <w:t>$</w:t>
            </w:r>
          </w:p>
        </w:tc>
        <w:tc>
          <w:tcPr>
            <w:tcW w:w="1160" w:type="dxa"/>
            <w:vAlign w:val="bottom"/>
            <w:tcBorders>
              <w:bottom w:val="single" w:sz="8" w:color="231F20"/>
            </w:tcBorders>
            <w:shd w:val="clear" w:color="auto" w:fill="D0EBF2"/>
          </w:tcPr>
          <w:p>
            <w:pPr>
              <w:jc w:val="right"/>
              <w:spacing w:after="0" w:line="206" w:lineRule="exact"/>
              <w:rPr>
                <w:sz w:val="20"/>
                <w:szCs w:val="20"/>
                <w:color w:val="auto"/>
              </w:rPr>
            </w:pPr>
            <w:r>
              <w:rPr>
                <w:rFonts w:ascii="Arial" w:cs="Arial" w:eastAsia="Arial" w:hAnsi="Arial"/>
                <w:sz w:val="19"/>
                <w:szCs w:val="19"/>
                <w:color w:val="231F20"/>
              </w:rPr>
              <w:t>165,973</w:t>
            </w:r>
          </w:p>
        </w:tc>
        <w:tc>
          <w:tcPr>
            <w:tcW w:w="100" w:type="dxa"/>
            <w:vAlign w:val="bottom"/>
            <w:shd w:val="clear" w:color="auto" w:fill="D0EBF2"/>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20" w:firstLine="463"/>
        <w:spacing w:after="0" w:line="251" w:lineRule="auto"/>
        <w:rPr>
          <w:sz w:val="20"/>
          <w:szCs w:val="20"/>
          <w:color w:val="auto"/>
        </w:rPr>
      </w:pPr>
      <w:r>
        <w:rPr>
          <w:rFonts w:ascii="Arial" w:cs="Arial" w:eastAsia="Arial" w:hAnsi="Arial"/>
          <w:sz w:val="19"/>
          <w:szCs w:val="19"/>
          <w:color w:val="231F20"/>
        </w:rPr>
        <w:t>As of December 31, 2024, approximately 28 out of approximately 152 investments in available-for-sale debt securities were in an unrealized loss position. The following table shows fair values and gross unrealized losses for available-for-sale debt securities that were in an unrealized loss position, for which an allowance for credit losses has not been recorded, as of December 31, 2024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20" w:type="dxa"/>
            <w:vAlign w:val="bottom"/>
            <w:tcBorders>
              <w:bottom w:val="single" w:sz="8" w:color="FDFDFC"/>
            </w:tcBorders>
            <w:shd w:val="clear" w:color="auto" w:fill="FDFDFC"/>
          </w:tcPr>
          <w:p>
            <w:pPr>
              <w:spacing w:after="0"/>
              <w:rPr>
                <w:sz w:val="16"/>
                <w:szCs w:val="16"/>
                <w:color w:val="auto"/>
              </w:rPr>
            </w:pPr>
          </w:p>
        </w:tc>
        <w:tc>
          <w:tcPr>
            <w:tcW w:w="120" w:type="dxa"/>
            <w:vAlign w:val="bottom"/>
            <w:tcBorders>
              <w:bottom w:val="single" w:sz="8" w:color="FDFDFC"/>
              <w:right w:val="single" w:sz="8" w:color="FDFDFC"/>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680" w:type="dxa"/>
            <w:vAlign w:val="bottom"/>
            <w:tcBorders>
              <w:bottom w:val="single" w:sz="8" w:color="231F20"/>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left w:val="single" w:sz="8" w:color="FDFDFC"/>
              <w:bottom w:val="single" w:sz="8" w:color="231F20"/>
            </w:tcBorders>
            <w:shd w:val="clear" w:color="auto" w:fill="FDFDFC"/>
          </w:tcPr>
          <w:p>
            <w:pPr>
              <w:spacing w:after="0"/>
              <w:rPr>
                <w:sz w:val="16"/>
                <w:szCs w:val="16"/>
                <w:color w:val="auto"/>
              </w:rPr>
            </w:pPr>
          </w:p>
        </w:tc>
        <w:tc>
          <w:tcPr>
            <w:tcW w:w="68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1680" w:type="dxa"/>
            <w:vAlign w:val="bottom"/>
            <w:tcBorders>
              <w:bottom w:val="single" w:sz="8" w:color="231F20"/>
            </w:tcBorders>
            <w:gridSpan w:val="4"/>
            <w:shd w:val="clear" w:color="auto" w:fill="FDFDFC"/>
          </w:tcPr>
          <w:p>
            <w:pPr>
              <w:ind w:left="100"/>
              <w:spacing w:after="0"/>
              <w:rPr>
                <w:sz w:val="20"/>
                <w:szCs w:val="20"/>
                <w:color w:val="auto"/>
              </w:rPr>
            </w:pPr>
            <w:r>
              <w:rPr>
                <w:rFonts w:ascii="Arial" w:cs="Arial" w:eastAsia="Arial" w:hAnsi="Arial"/>
                <w:sz w:val="15"/>
                <w:szCs w:val="15"/>
                <w:b w:val="1"/>
                <w:bCs w:val="1"/>
                <w:color w:val="231F20"/>
              </w:rPr>
              <w:t>December 31, 2024</w:t>
            </w:r>
          </w:p>
        </w:tc>
        <w:tc>
          <w:tcPr>
            <w:tcW w:w="220" w:type="dxa"/>
            <w:vAlign w:val="bottom"/>
            <w:tcBorders>
              <w:bottom w:val="single" w:sz="8" w:color="231F20"/>
            </w:tcBorders>
            <w:shd w:val="clear" w:color="auto" w:fill="FDFDFC"/>
          </w:tcPr>
          <w:p>
            <w:pPr>
              <w:spacing w:after="0"/>
              <w:rPr>
                <w:sz w:val="16"/>
                <w:szCs w:val="16"/>
                <w:color w:val="auto"/>
              </w:rPr>
            </w:pPr>
          </w:p>
        </w:tc>
        <w:tc>
          <w:tcPr>
            <w:tcW w:w="160" w:type="dxa"/>
            <w:vAlign w:val="bottom"/>
            <w:tcBorders>
              <w:left w:val="single" w:sz="8" w:color="FDFDFC"/>
              <w:bottom w:val="single" w:sz="8" w:color="231F20"/>
            </w:tcBorders>
            <w:shd w:val="clear" w:color="auto" w:fill="FDFDFC"/>
          </w:tcPr>
          <w:p>
            <w:pPr>
              <w:spacing w:after="0"/>
              <w:rPr>
                <w:sz w:val="16"/>
                <w:szCs w:val="16"/>
                <w:color w:val="auto"/>
              </w:rPr>
            </w:pPr>
          </w:p>
        </w:tc>
        <w:tc>
          <w:tcPr>
            <w:tcW w:w="640" w:type="dxa"/>
            <w:vAlign w:val="bottom"/>
            <w:tcBorders>
              <w:bottom w:val="single" w:sz="8" w:color="231F20"/>
            </w:tcBorders>
            <w:shd w:val="clear" w:color="auto" w:fill="FDFDFC"/>
          </w:tcPr>
          <w:p>
            <w:pPr>
              <w:spacing w:after="0"/>
              <w:rPr>
                <w:sz w:val="16"/>
                <w:szCs w:val="16"/>
                <w:color w:val="auto"/>
              </w:rPr>
            </w:pPr>
          </w:p>
        </w:tc>
        <w:tc>
          <w:tcPr>
            <w:tcW w:w="20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left w:val="single" w:sz="8" w:color="FDFDFC"/>
              <w:bottom w:val="single" w:sz="8" w:color="231F20"/>
            </w:tcBorders>
            <w:shd w:val="clear" w:color="auto" w:fill="FDFDFC"/>
          </w:tcPr>
          <w:p>
            <w:pPr>
              <w:spacing w:after="0"/>
              <w:rPr>
                <w:sz w:val="16"/>
                <w:szCs w:val="16"/>
                <w:color w:val="auto"/>
              </w:rPr>
            </w:pPr>
          </w:p>
        </w:tc>
        <w:tc>
          <w:tcPr>
            <w:tcW w:w="70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20" w:type="dxa"/>
            <w:vAlign w:val="bottom"/>
            <w:tcBorders>
              <w:bottom w:val="single" w:sz="8" w:color="FDFDFC"/>
            </w:tcBorders>
            <w:shd w:val="clear" w:color="auto" w:fill="FDFDFC"/>
          </w:tcPr>
          <w:p>
            <w:pPr>
              <w:spacing w:after="0"/>
              <w:rPr>
                <w:sz w:val="15"/>
                <w:szCs w:val="15"/>
                <w:color w:val="auto"/>
              </w:rPr>
            </w:pPr>
          </w:p>
        </w:tc>
        <w:tc>
          <w:tcPr>
            <w:tcW w:w="120" w:type="dxa"/>
            <w:vAlign w:val="bottom"/>
            <w:tcBorders>
              <w:bottom w:val="single" w:sz="8" w:color="FDFDFC"/>
              <w:right w:val="single" w:sz="8" w:color="FDFDFC"/>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700" w:type="dxa"/>
            <w:vAlign w:val="bottom"/>
            <w:tcBorders>
              <w:bottom w:val="single" w:sz="8" w:color="231F20"/>
            </w:tcBorders>
            <w:gridSpan w:val="4"/>
            <w:shd w:val="clear" w:color="auto" w:fill="FDFDFC"/>
          </w:tcPr>
          <w:p>
            <w:pPr>
              <w:jc w:val="right"/>
              <w:ind w:right="70"/>
              <w:spacing w:after="0"/>
              <w:rPr>
                <w:sz w:val="20"/>
                <w:szCs w:val="20"/>
                <w:color w:val="auto"/>
              </w:rPr>
            </w:pPr>
            <w:r>
              <w:rPr>
                <w:rFonts w:ascii="Arial" w:cs="Arial" w:eastAsia="Arial" w:hAnsi="Arial"/>
                <w:sz w:val="15"/>
                <w:szCs w:val="15"/>
                <w:b w:val="1"/>
                <w:bCs w:val="1"/>
                <w:color w:val="231F20"/>
              </w:rPr>
              <w:t>Less than 12 Months</w:t>
            </w:r>
          </w:p>
        </w:tc>
        <w:tc>
          <w:tcPr>
            <w:tcW w:w="100" w:type="dxa"/>
            <w:vAlign w:val="bottom"/>
            <w:tcBorders>
              <w:bottom w:val="single" w:sz="8" w:color="FDFDFC"/>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2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1680" w:type="dxa"/>
            <w:vAlign w:val="bottom"/>
            <w:tcBorders>
              <w:bottom w:val="single" w:sz="8" w:color="231F20"/>
            </w:tcBorders>
            <w:gridSpan w:val="4"/>
            <w:shd w:val="clear" w:color="auto" w:fill="FDFDFC"/>
          </w:tcPr>
          <w:p>
            <w:pPr>
              <w:ind w:left="20"/>
              <w:spacing w:after="0"/>
              <w:rPr>
                <w:sz w:val="20"/>
                <w:szCs w:val="20"/>
                <w:color w:val="auto"/>
              </w:rPr>
            </w:pPr>
            <w:r>
              <w:rPr>
                <w:rFonts w:ascii="Arial" w:cs="Arial" w:eastAsia="Arial" w:hAnsi="Arial"/>
                <w:sz w:val="15"/>
                <w:szCs w:val="15"/>
                <w:b w:val="1"/>
                <w:bCs w:val="1"/>
                <w:color w:val="231F20"/>
              </w:rPr>
              <w:t>12 Months or Longer</w:t>
            </w:r>
          </w:p>
        </w:tc>
        <w:tc>
          <w:tcPr>
            <w:tcW w:w="220" w:type="dxa"/>
            <w:vAlign w:val="bottom"/>
            <w:tcBorders>
              <w:bottom w:val="single" w:sz="8" w:color="FDFDFC"/>
            </w:tcBorders>
            <w:shd w:val="clear" w:color="auto" w:fill="FDFDFC"/>
          </w:tcPr>
          <w:p>
            <w:pPr>
              <w:spacing w:after="0"/>
              <w:rPr>
                <w:sz w:val="15"/>
                <w:szCs w:val="15"/>
                <w:color w:val="auto"/>
              </w:rPr>
            </w:pPr>
          </w:p>
        </w:tc>
        <w:tc>
          <w:tcPr>
            <w:tcW w:w="160" w:type="dxa"/>
            <w:vAlign w:val="bottom"/>
            <w:tcBorders>
              <w:left w:val="single" w:sz="8" w:color="FDFDFC"/>
              <w:bottom w:val="single" w:sz="8" w:color="231F20"/>
            </w:tcBorders>
            <w:shd w:val="clear" w:color="auto" w:fill="FDFDFC"/>
          </w:tcPr>
          <w:p>
            <w:pPr>
              <w:spacing w:after="0"/>
              <w:rPr>
                <w:sz w:val="15"/>
                <w:szCs w:val="15"/>
                <w:color w:val="auto"/>
              </w:rPr>
            </w:pPr>
          </w:p>
        </w:tc>
        <w:tc>
          <w:tcPr>
            <w:tcW w:w="960" w:type="dxa"/>
            <w:vAlign w:val="bottom"/>
            <w:tcBorders>
              <w:bottom w:val="single" w:sz="8" w:color="231F20"/>
            </w:tcBorders>
            <w:gridSpan w:val="3"/>
            <w:shd w:val="clear" w:color="auto" w:fill="FDFDFC"/>
          </w:tcPr>
          <w:p>
            <w:pPr>
              <w:ind w:left="560"/>
              <w:spacing w:after="0"/>
              <w:rPr>
                <w:sz w:val="20"/>
                <w:szCs w:val="20"/>
                <w:color w:val="auto"/>
              </w:rPr>
            </w:pPr>
            <w:r>
              <w:rPr>
                <w:rFonts w:ascii="Arial" w:cs="Arial" w:eastAsia="Arial" w:hAnsi="Arial"/>
                <w:sz w:val="15"/>
                <w:szCs w:val="15"/>
                <w:b w:val="1"/>
                <w:bCs w:val="1"/>
                <w:color w:val="231F20"/>
              </w:rPr>
              <w:t>Total</w:t>
            </w:r>
          </w:p>
        </w:tc>
        <w:tc>
          <w:tcPr>
            <w:tcW w:w="70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120" w:type="dxa"/>
            <w:vAlign w:val="bottom"/>
            <w:shd w:val="clear" w:color="auto" w:fill="FDFDFC"/>
          </w:tcPr>
          <w:p>
            <w:pPr>
              <w:spacing w:after="0"/>
              <w:rPr>
                <w:sz w:val="13"/>
                <w:szCs w:val="13"/>
                <w:color w:val="auto"/>
              </w:rPr>
            </w:pPr>
          </w:p>
        </w:tc>
        <w:tc>
          <w:tcPr>
            <w:tcW w:w="120" w:type="dxa"/>
            <w:vAlign w:val="bottom"/>
            <w:tcBorders>
              <w:right w:val="single" w:sz="8" w:color="FDFDFC"/>
            </w:tcBorders>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680" w:type="dxa"/>
            <w:vAlign w:val="bottom"/>
            <w:shd w:val="clear" w:color="auto" w:fill="FDFDFC"/>
          </w:tcPr>
          <w:p>
            <w:pPr>
              <w:spacing w:after="0"/>
              <w:rPr>
                <w:sz w:val="13"/>
                <w:szCs w:val="13"/>
                <w:color w:val="auto"/>
              </w:rPr>
            </w:pPr>
          </w:p>
        </w:tc>
        <w:tc>
          <w:tcPr>
            <w:tcW w:w="220" w:type="dxa"/>
            <w:vAlign w:val="bottom"/>
            <w:shd w:val="clear" w:color="auto" w:fill="FDFDFC"/>
          </w:tcPr>
          <w:p>
            <w:pPr>
              <w:spacing w:after="0"/>
              <w:rPr>
                <w:sz w:val="13"/>
                <w:szCs w:val="13"/>
                <w:color w:val="auto"/>
              </w:rPr>
            </w:pPr>
          </w:p>
        </w:tc>
        <w:tc>
          <w:tcPr>
            <w:tcW w:w="120" w:type="dxa"/>
            <w:vAlign w:val="bottom"/>
            <w:tcBorders>
              <w:left w:val="single" w:sz="8" w:color="FDFDFC"/>
            </w:tcBorders>
            <w:shd w:val="clear" w:color="auto" w:fill="FDFDFC"/>
          </w:tcPr>
          <w:p>
            <w:pPr>
              <w:spacing w:after="0"/>
              <w:rPr>
                <w:sz w:val="13"/>
                <w:szCs w:val="13"/>
                <w:color w:val="auto"/>
              </w:rPr>
            </w:pPr>
          </w:p>
        </w:tc>
        <w:tc>
          <w:tcPr>
            <w:tcW w:w="680" w:type="dxa"/>
            <w:vAlign w:val="bottom"/>
            <w:shd w:val="clear" w:color="auto" w:fill="FDFDFC"/>
          </w:tcPr>
          <w:p>
            <w:pPr>
              <w:jc w:val="right"/>
              <w:ind w:right="110"/>
              <w:spacing w:after="0" w:line="159" w:lineRule="exact"/>
              <w:rPr>
                <w:sz w:val="20"/>
                <w:szCs w:val="20"/>
                <w:color w:val="auto"/>
              </w:rPr>
            </w:pPr>
            <w:r>
              <w:rPr>
                <w:rFonts w:ascii="Arial" w:cs="Arial" w:eastAsia="Arial" w:hAnsi="Arial"/>
                <w:sz w:val="15"/>
                <w:szCs w:val="15"/>
                <w:b w:val="1"/>
                <w:bCs w:val="1"/>
                <w:color w:val="231F20"/>
              </w:rPr>
              <w:t>Gross</w:t>
            </w:r>
          </w:p>
        </w:tc>
        <w:tc>
          <w:tcPr>
            <w:tcW w:w="10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680" w:type="dxa"/>
            <w:vAlign w:val="bottom"/>
            <w:shd w:val="clear" w:color="auto" w:fill="FDFDFC"/>
          </w:tcPr>
          <w:p>
            <w:pPr>
              <w:spacing w:after="0"/>
              <w:rPr>
                <w:sz w:val="13"/>
                <w:szCs w:val="13"/>
                <w:color w:val="auto"/>
              </w:rPr>
            </w:pPr>
          </w:p>
        </w:tc>
        <w:tc>
          <w:tcPr>
            <w:tcW w:w="200" w:type="dxa"/>
            <w:vAlign w:val="bottom"/>
            <w:shd w:val="clear" w:color="auto" w:fill="FDFDFC"/>
          </w:tcPr>
          <w:p>
            <w:pPr>
              <w:spacing w:after="0"/>
              <w:rPr>
                <w:sz w:val="13"/>
                <w:szCs w:val="13"/>
                <w:color w:val="auto"/>
              </w:rPr>
            </w:pPr>
          </w:p>
        </w:tc>
        <w:tc>
          <w:tcPr>
            <w:tcW w:w="120" w:type="dxa"/>
            <w:vAlign w:val="bottom"/>
            <w:tcBorders>
              <w:left w:val="single" w:sz="8" w:color="FDFDFC"/>
            </w:tcBorders>
            <w:shd w:val="clear" w:color="auto" w:fill="FDFDFC"/>
          </w:tcPr>
          <w:p>
            <w:pPr>
              <w:spacing w:after="0"/>
              <w:rPr>
                <w:sz w:val="13"/>
                <w:szCs w:val="13"/>
                <w:color w:val="auto"/>
              </w:rPr>
            </w:pPr>
          </w:p>
        </w:tc>
        <w:tc>
          <w:tcPr>
            <w:tcW w:w="680" w:type="dxa"/>
            <w:vAlign w:val="bottom"/>
            <w:shd w:val="clear" w:color="auto" w:fill="FDFDFC"/>
          </w:tcPr>
          <w:p>
            <w:pPr>
              <w:ind w:left="60"/>
              <w:spacing w:after="0" w:line="159" w:lineRule="exact"/>
              <w:rPr>
                <w:sz w:val="20"/>
                <w:szCs w:val="20"/>
                <w:color w:val="auto"/>
              </w:rPr>
            </w:pPr>
            <w:r>
              <w:rPr>
                <w:rFonts w:ascii="Arial" w:cs="Arial" w:eastAsia="Arial" w:hAnsi="Arial"/>
                <w:sz w:val="15"/>
                <w:szCs w:val="15"/>
                <w:b w:val="1"/>
                <w:bCs w:val="1"/>
                <w:color w:val="231F20"/>
              </w:rPr>
              <w:t>Gross</w:t>
            </w:r>
          </w:p>
        </w:tc>
        <w:tc>
          <w:tcPr>
            <w:tcW w:w="220" w:type="dxa"/>
            <w:vAlign w:val="bottom"/>
            <w:shd w:val="clear" w:color="auto" w:fill="FDFDFC"/>
          </w:tcPr>
          <w:p>
            <w:pPr>
              <w:spacing w:after="0"/>
              <w:rPr>
                <w:sz w:val="13"/>
                <w:szCs w:val="13"/>
                <w:color w:val="auto"/>
              </w:rPr>
            </w:pPr>
          </w:p>
        </w:tc>
        <w:tc>
          <w:tcPr>
            <w:tcW w:w="160" w:type="dxa"/>
            <w:vAlign w:val="bottom"/>
            <w:tcBorders>
              <w:left w:val="single" w:sz="8" w:color="FDFDFC"/>
            </w:tcBorders>
            <w:shd w:val="clear" w:color="auto" w:fill="FDFDFC"/>
          </w:tcPr>
          <w:p>
            <w:pPr>
              <w:spacing w:after="0"/>
              <w:rPr>
                <w:sz w:val="13"/>
                <w:szCs w:val="13"/>
                <w:color w:val="auto"/>
              </w:rPr>
            </w:pPr>
          </w:p>
        </w:tc>
        <w:tc>
          <w:tcPr>
            <w:tcW w:w="640" w:type="dxa"/>
            <w:vAlign w:val="bottom"/>
            <w:shd w:val="clear" w:color="auto" w:fill="FDFDFC"/>
          </w:tcPr>
          <w:p>
            <w:pPr>
              <w:spacing w:after="0"/>
              <w:rPr>
                <w:sz w:val="13"/>
                <w:szCs w:val="13"/>
                <w:color w:val="auto"/>
              </w:rPr>
            </w:pPr>
          </w:p>
        </w:tc>
        <w:tc>
          <w:tcPr>
            <w:tcW w:w="200" w:type="dxa"/>
            <w:vAlign w:val="bottom"/>
            <w:shd w:val="clear" w:color="auto" w:fill="FDFDFC"/>
          </w:tcPr>
          <w:p>
            <w:pPr>
              <w:spacing w:after="0"/>
              <w:rPr>
                <w:sz w:val="13"/>
                <w:szCs w:val="13"/>
                <w:color w:val="auto"/>
              </w:rPr>
            </w:pPr>
          </w:p>
        </w:tc>
        <w:tc>
          <w:tcPr>
            <w:tcW w:w="120" w:type="dxa"/>
            <w:vAlign w:val="bottom"/>
            <w:tcBorders>
              <w:left w:val="single" w:sz="8" w:color="FDFDFC"/>
            </w:tcBorders>
            <w:shd w:val="clear" w:color="auto" w:fill="FDFDFC"/>
          </w:tcPr>
          <w:p>
            <w:pPr>
              <w:spacing w:after="0"/>
              <w:rPr>
                <w:sz w:val="13"/>
                <w:szCs w:val="13"/>
                <w:color w:val="auto"/>
              </w:rPr>
            </w:pPr>
          </w:p>
        </w:tc>
        <w:tc>
          <w:tcPr>
            <w:tcW w:w="700" w:type="dxa"/>
            <w:vAlign w:val="bottom"/>
            <w:shd w:val="clear" w:color="auto" w:fill="FDFDFC"/>
          </w:tcPr>
          <w:p>
            <w:pPr>
              <w:jc w:val="right"/>
              <w:ind w:right="110"/>
              <w:spacing w:after="0" w:line="159" w:lineRule="exact"/>
              <w:rPr>
                <w:sz w:val="20"/>
                <w:szCs w:val="20"/>
                <w:color w:val="auto"/>
              </w:rPr>
            </w:pPr>
            <w:r>
              <w:rPr>
                <w:rFonts w:ascii="Arial" w:cs="Arial" w:eastAsia="Arial" w:hAnsi="Arial"/>
                <w:sz w:val="15"/>
                <w:szCs w:val="15"/>
                <w:b w:val="1"/>
                <w:bCs w:val="1"/>
                <w:color w:val="231F20"/>
              </w:rPr>
              <w:t>Gross</w:t>
            </w:r>
          </w:p>
        </w:tc>
        <w:tc>
          <w:tcPr>
            <w:tcW w:w="10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120" w:type="dxa"/>
            <w:vAlign w:val="bottom"/>
            <w:shd w:val="clear" w:color="auto" w:fill="FDFDFC"/>
          </w:tcPr>
          <w:p>
            <w:pPr>
              <w:spacing w:after="0"/>
              <w:rPr>
                <w:sz w:val="15"/>
                <w:szCs w:val="15"/>
                <w:color w:val="auto"/>
              </w:rPr>
            </w:pPr>
          </w:p>
        </w:tc>
        <w:tc>
          <w:tcPr>
            <w:tcW w:w="120" w:type="dxa"/>
            <w:vAlign w:val="bottom"/>
            <w:tcBorders>
              <w:right w:val="single" w:sz="8" w:color="FDFDFC"/>
            </w:tcBorders>
            <w:shd w:val="clear" w:color="auto" w:fill="FDFDFC"/>
          </w:tcPr>
          <w:p>
            <w:pPr>
              <w:spacing w:after="0"/>
              <w:rPr>
                <w:sz w:val="15"/>
                <w:szCs w:val="15"/>
                <w:color w:val="auto"/>
              </w:rPr>
            </w:pPr>
          </w:p>
        </w:tc>
        <w:tc>
          <w:tcPr>
            <w:tcW w:w="780" w:type="dxa"/>
            <w:vAlign w:val="bottom"/>
            <w:gridSpan w:val="2"/>
            <w:vMerge w:val="restart"/>
            <w:shd w:val="clear" w:color="auto" w:fill="FDFDFC"/>
          </w:tcPr>
          <w:p>
            <w:pPr>
              <w:jc w:val="right"/>
              <w:spacing w:after="0"/>
              <w:rPr>
                <w:sz w:val="20"/>
                <w:szCs w:val="20"/>
                <w:color w:val="auto"/>
              </w:rPr>
            </w:pPr>
            <w:r>
              <w:rPr>
                <w:rFonts w:ascii="Arial" w:cs="Arial" w:eastAsia="Arial" w:hAnsi="Arial"/>
                <w:sz w:val="15"/>
                <w:szCs w:val="15"/>
                <w:b w:val="1"/>
                <w:bCs w:val="1"/>
                <w:color w:val="231F20"/>
              </w:rPr>
              <w:t>Fair Value</w:t>
            </w:r>
          </w:p>
        </w:tc>
        <w:tc>
          <w:tcPr>
            <w:tcW w:w="220" w:type="dxa"/>
            <w:vAlign w:val="bottom"/>
            <w:shd w:val="clear" w:color="auto" w:fill="FDFDFC"/>
          </w:tcPr>
          <w:p>
            <w:pPr>
              <w:spacing w:after="0"/>
              <w:rPr>
                <w:sz w:val="15"/>
                <w:szCs w:val="15"/>
                <w:color w:val="auto"/>
              </w:rPr>
            </w:pPr>
          </w:p>
        </w:tc>
        <w:tc>
          <w:tcPr>
            <w:tcW w:w="800" w:type="dxa"/>
            <w:vAlign w:val="bottom"/>
            <w:tcBorders>
              <w:left w:val="single" w:sz="8" w:color="FDFDFC"/>
            </w:tcBorders>
            <w:gridSpan w:val="2"/>
            <w:shd w:val="clear" w:color="auto" w:fill="FDFDFC"/>
          </w:tcPr>
          <w:p>
            <w:pPr>
              <w:spacing w:after="0"/>
              <w:rPr>
                <w:sz w:val="20"/>
                <w:szCs w:val="20"/>
                <w:color w:val="auto"/>
              </w:rPr>
            </w:pPr>
            <w:r>
              <w:rPr>
                <w:rFonts w:ascii="Arial" w:cs="Arial" w:eastAsia="Arial" w:hAnsi="Arial"/>
                <w:sz w:val="15"/>
                <w:szCs w:val="15"/>
                <w:b w:val="1"/>
                <w:bCs w:val="1"/>
                <w:color w:val="231F20"/>
              </w:rPr>
              <w:t>Unrealized</w:t>
            </w: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0" w:type="dxa"/>
            <w:vAlign w:val="bottom"/>
            <w:gridSpan w:val="2"/>
            <w:vMerge w:val="restart"/>
            <w:shd w:val="clear" w:color="auto" w:fill="FDFDFC"/>
          </w:tcPr>
          <w:p>
            <w:pPr>
              <w:ind w:left="20"/>
              <w:spacing w:after="0"/>
              <w:rPr>
                <w:sz w:val="20"/>
                <w:szCs w:val="20"/>
                <w:color w:val="auto"/>
              </w:rPr>
            </w:pPr>
            <w:r>
              <w:rPr>
                <w:rFonts w:ascii="Arial" w:cs="Arial" w:eastAsia="Arial" w:hAnsi="Arial"/>
                <w:sz w:val="15"/>
                <w:szCs w:val="15"/>
                <w:b w:val="1"/>
                <w:bCs w:val="1"/>
                <w:color w:val="231F20"/>
              </w:rPr>
              <w:t>Fair Value</w:t>
            </w:r>
          </w:p>
        </w:tc>
        <w:tc>
          <w:tcPr>
            <w:tcW w:w="200" w:type="dxa"/>
            <w:vAlign w:val="bottom"/>
            <w:shd w:val="clear" w:color="auto" w:fill="FDFDFC"/>
          </w:tcPr>
          <w:p>
            <w:pPr>
              <w:spacing w:after="0"/>
              <w:rPr>
                <w:sz w:val="15"/>
                <w:szCs w:val="15"/>
                <w:color w:val="auto"/>
              </w:rPr>
            </w:pPr>
          </w:p>
        </w:tc>
        <w:tc>
          <w:tcPr>
            <w:tcW w:w="800" w:type="dxa"/>
            <w:vAlign w:val="bottom"/>
            <w:tcBorders>
              <w:left w:val="single" w:sz="8" w:color="FDFDFC"/>
            </w:tcBorders>
            <w:gridSpan w:val="2"/>
            <w:shd w:val="clear" w:color="auto" w:fill="FDFDFC"/>
          </w:tcPr>
          <w:p>
            <w:pPr>
              <w:ind w:left="20"/>
              <w:spacing w:after="0"/>
              <w:rPr>
                <w:sz w:val="20"/>
                <w:szCs w:val="20"/>
                <w:color w:val="auto"/>
              </w:rPr>
            </w:pPr>
            <w:r>
              <w:rPr>
                <w:rFonts w:ascii="Arial" w:cs="Arial" w:eastAsia="Arial" w:hAnsi="Arial"/>
                <w:sz w:val="15"/>
                <w:szCs w:val="15"/>
                <w:b w:val="1"/>
                <w:bCs w:val="1"/>
                <w:color w:val="231F20"/>
              </w:rPr>
              <w:t>Unrealized</w:t>
            </w:r>
          </w:p>
        </w:tc>
        <w:tc>
          <w:tcPr>
            <w:tcW w:w="220" w:type="dxa"/>
            <w:vAlign w:val="bottom"/>
            <w:shd w:val="clear" w:color="auto" w:fill="FDFDFC"/>
          </w:tcPr>
          <w:p>
            <w:pPr>
              <w:spacing w:after="0"/>
              <w:rPr>
                <w:sz w:val="15"/>
                <w:szCs w:val="15"/>
                <w:color w:val="auto"/>
              </w:rPr>
            </w:pPr>
          </w:p>
        </w:tc>
        <w:tc>
          <w:tcPr>
            <w:tcW w:w="800" w:type="dxa"/>
            <w:vAlign w:val="bottom"/>
            <w:tcBorders>
              <w:left w:val="single" w:sz="8" w:color="FDFDFC"/>
            </w:tcBorders>
            <w:gridSpan w:val="2"/>
            <w:vMerge w:val="restart"/>
            <w:shd w:val="clear" w:color="auto" w:fill="FDFDFC"/>
          </w:tcPr>
          <w:p>
            <w:pPr>
              <w:jc w:val="right"/>
              <w:spacing w:after="0"/>
              <w:rPr>
                <w:sz w:val="20"/>
                <w:szCs w:val="20"/>
                <w:color w:val="auto"/>
              </w:rPr>
            </w:pPr>
            <w:r>
              <w:rPr>
                <w:rFonts w:ascii="Arial" w:cs="Arial" w:eastAsia="Arial" w:hAnsi="Arial"/>
                <w:sz w:val="15"/>
                <w:szCs w:val="15"/>
                <w:b w:val="1"/>
                <w:bCs w:val="1"/>
                <w:color w:val="231F20"/>
              </w:rPr>
              <w:t>Fair Value</w:t>
            </w:r>
          </w:p>
        </w:tc>
        <w:tc>
          <w:tcPr>
            <w:tcW w:w="200" w:type="dxa"/>
            <w:vAlign w:val="bottom"/>
            <w:shd w:val="clear" w:color="auto" w:fill="FDFDFC"/>
          </w:tcPr>
          <w:p>
            <w:pPr>
              <w:spacing w:after="0"/>
              <w:rPr>
                <w:sz w:val="15"/>
                <w:szCs w:val="15"/>
                <w:color w:val="auto"/>
              </w:rPr>
            </w:pPr>
          </w:p>
        </w:tc>
        <w:tc>
          <w:tcPr>
            <w:tcW w:w="820" w:type="dxa"/>
            <w:vAlign w:val="bottom"/>
            <w:tcBorders>
              <w:left w:val="single" w:sz="8" w:color="FDFDFC"/>
            </w:tcBorders>
            <w:gridSpan w:val="2"/>
            <w:shd w:val="clear" w:color="auto" w:fill="FDFDFC"/>
          </w:tcPr>
          <w:p>
            <w:pPr>
              <w:ind w:left="20"/>
              <w:spacing w:after="0"/>
              <w:rPr>
                <w:sz w:val="20"/>
                <w:szCs w:val="20"/>
                <w:color w:val="auto"/>
              </w:rPr>
            </w:pPr>
            <w:r>
              <w:rPr>
                <w:rFonts w:ascii="Arial" w:cs="Arial" w:eastAsia="Arial" w:hAnsi="Arial"/>
                <w:sz w:val="15"/>
                <w:szCs w:val="15"/>
                <w:b w:val="1"/>
                <w:bCs w:val="1"/>
                <w:color w:val="231F20"/>
              </w:rPr>
              <w:t>Unrealized</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2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D0EBF2"/>
              <w:right w:val="single" w:sz="8" w:color="FDFDFC"/>
            </w:tcBorders>
            <w:shd w:val="clear" w:color="auto" w:fill="FDFDFC"/>
          </w:tcPr>
          <w:p>
            <w:pPr>
              <w:spacing w:after="0"/>
              <w:rPr>
                <w:sz w:val="16"/>
                <w:szCs w:val="16"/>
                <w:color w:val="auto"/>
              </w:rPr>
            </w:pPr>
          </w:p>
        </w:tc>
        <w:tc>
          <w:tcPr>
            <w:tcW w:w="780" w:type="dxa"/>
            <w:vAlign w:val="bottom"/>
            <w:tcBorders>
              <w:bottom w:val="single" w:sz="8" w:color="231F20"/>
            </w:tcBorders>
            <w:gridSpan w:val="2"/>
            <w:vMerge w:val="continue"/>
            <w:shd w:val="clear" w:color="auto" w:fill="FDFDFC"/>
          </w:tcPr>
          <w:p>
            <w:pPr>
              <w:spacing w:after="0"/>
              <w:rPr>
                <w:sz w:val="16"/>
                <w:szCs w:val="16"/>
                <w:color w:val="auto"/>
              </w:rPr>
            </w:pPr>
          </w:p>
        </w:tc>
        <w:tc>
          <w:tcPr>
            <w:tcW w:w="22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left w:val="single" w:sz="8" w:color="FDFDFC"/>
              <w:bottom w:val="single" w:sz="8" w:color="231F20"/>
            </w:tcBorders>
            <w:shd w:val="clear" w:color="auto" w:fill="FDFDFC"/>
          </w:tcPr>
          <w:p>
            <w:pPr>
              <w:spacing w:after="0"/>
              <w:rPr>
                <w:sz w:val="16"/>
                <w:szCs w:val="16"/>
                <w:color w:val="auto"/>
              </w:rPr>
            </w:pPr>
          </w:p>
        </w:tc>
        <w:tc>
          <w:tcPr>
            <w:tcW w:w="680" w:type="dxa"/>
            <w:vAlign w:val="bottom"/>
            <w:tcBorders>
              <w:bottom w:val="single" w:sz="8" w:color="231F20"/>
            </w:tcBorders>
            <w:shd w:val="clear" w:color="auto" w:fill="FDFDFC"/>
          </w:tcPr>
          <w:p>
            <w:pPr>
              <w:jc w:val="right"/>
              <w:ind w:right="50"/>
              <w:spacing w:after="0"/>
              <w:rPr>
                <w:sz w:val="20"/>
                <w:szCs w:val="20"/>
                <w:color w:val="auto"/>
              </w:rPr>
            </w:pPr>
            <w:r>
              <w:rPr>
                <w:rFonts w:ascii="Arial" w:cs="Arial" w:eastAsia="Arial" w:hAnsi="Arial"/>
                <w:sz w:val="15"/>
                <w:szCs w:val="15"/>
                <w:b w:val="1"/>
                <w:bCs w:val="1"/>
                <w:color w:val="231F20"/>
              </w:rPr>
              <w:t>Losses</w:t>
            </w:r>
          </w:p>
        </w:tc>
        <w:tc>
          <w:tcPr>
            <w:tcW w:w="10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800" w:type="dxa"/>
            <w:vAlign w:val="bottom"/>
            <w:tcBorders>
              <w:bottom w:val="single" w:sz="8" w:color="231F20"/>
            </w:tcBorders>
            <w:gridSpan w:val="2"/>
            <w:vMerge w:val="continue"/>
            <w:shd w:val="clear" w:color="auto" w:fill="FDFDFC"/>
          </w:tcPr>
          <w:p>
            <w:pPr>
              <w:spacing w:after="0"/>
              <w:rPr>
                <w:sz w:val="16"/>
                <w:szCs w:val="16"/>
                <w:color w:val="auto"/>
              </w:rPr>
            </w:pPr>
          </w:p>
        </w:tc>
        <w:tc>
          <w:tcPr>
            <w:tcW w:w="20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left w:val="single" w:sz="8" w:color="FDFDFC"/>
              <w:bottom w:val="single" w:sz="8" w:color="231F20"/>
            </w:tcBorders>
            <w:shd w:val="clear" w:color="auto" w:fill="FDFDFC"/>
          </w:tcPr>
          <w:p>
            <w:pPr>
              <w:spacing w:after="0"/>
              <w:rPr>
                <w:sz w:val="16"/>
                <w:szCs w:val="16"/>
                <w:color w:val="auto"/>
              </w:rPr>
            </w:pPr>
          </w:p>
        </w:tc>
        <w:tc>
          <w:tcPr>
            <w:tcW w:w="680" w:type="dxa"/>
            <w:vAlign w:val="bottom"/>
            <w:tcBorders>
              <w:bottom w:val="single" w:sz="8" w:color="231F20"/>
            </w:tcBorders>
            <w:shd w:val="clear" w:color="auto" w:fill="FDFDFC"/>
          </w:tcPr>
          <w:p>
            <w:pPr>
              <w:ind w:left="20"/>
              <w:spacing w:after="0"/>
              <w:rPr>
                <w:sz w:val="20"/>
                <w:szCs w:val="20"/>
                <w:color w:val="auto"/>
              </w:rPr>
            </w:pPr>
            <w:r>
              <w:rPr>
                <w:rFonts w:ascii="Arial" w:cs="Arial" w:eastAsia="Arial" w:hAnsi="Arial"/>
                <w:sz w:val="15"/>
                <w:szCs w:val="15"/>
                <w:b w:val="1"/>
                <w:bCs w:val="1"/>
                <w:color w:val="231F20"/>
              </w:rPr>
              <w:t>Losses</w:t>
            </w:r>
          </w:p>
        </w:tc>
        <w:tc>
          <w:tcPr>
            <w:tcW w:w="220" w:type="dxa"/>
            <w:vAlign w:val="bottom"/>
            <w:tcBorders>
              <w:bottom w:val="single" w:sz="8" w:color="D0EBF2"/>
            </w:tcBorders>
            <w:shd w:val="clear" w:color="auto" w:fill="FDFDFC"/>
          </w:tcPr>
          <w:p>
            <w:pPr>
              <w:spacing w:after="0"/>
              <w:rPr>
                <w:sz w:val="16"/>
                <w:szCs w:val="16"/>
                <w:color w:val="auto"/>
              </w:rPr>
            </w:pPr>
          </w:p>
        </w:tc>
        <w:tc>
          <w:tcPr>
            <w:tcW w:w="800" w:type="dxa"/>
            <w:vAlign w:val="bottom"/>
            <w:tcBorders>
              <w:left w:val="single" w:sz="8" w:color="FDFDFC"/>
              <w:bottom w:val="single" w:sz="8" w:color="231F20"/>
            </w:tcBorders>
            <w:gridSpan w:val="2"/>
            <w:vMerge w:val="continue"/>
            <w:shd w:val="clear" w:color="auto" w:fill="FDFDFC"/>
          </w:tcPr>
          <w:p>
            <w:pPr>
              <w:spacing w:after="0"/>
              <w:rPr>
                <w:sz w:val="16"/>
                <w:szCs w:val="16"/>
                <w:color w:val="auto"/>
              </w:rPr>
            </w:pPr>
          </w:p>
        </w:tc>
        <w:tc>
          <w:tcPr>
            <w:tcW w:w="20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left w:val="single" w:sz="8" w:color="FDFDFC"/>
              <w:bottom w:val="single" w:sz="8" w:color="231F20"/>
            </w:tcBorders>
            <w:shd w:val="clear" w:color="auto" w:fill="FDFDFC"/>
          </w:tcPr>
          <w:p>
            <w:pPr>
              <w:spacing w:after="0"/>
              <w:rPr>
                <w:sz w:val="16"/>
                <w:szCs w:val="16"/>
                <w:color w:val="auto"/>
              </w:rPr>
            </w:pPr>
          </w:p>
        </w:tc>
        <w:tc>
          <w:tcPr>
            <w:tcW w:w="700" w:type="dxa"/>
            <w:vAlign w:val="bottom"/>
            <w:tcBorders>
              <w:bottom w:val="single" w:sz="8" w:color="231F20"/>
            </w:tcBorders>
            <w:shd w:val="clear" w:color="auto" w:fill="FDFDFC"/>
          </w:tcPr>
          <w:p>
            <w:pPr>
              <w:jc w:val="right"/>
              <w:ind w:right="70"/>
              <w:spacing w:after="0"/>
              <w:rPr>
                <w:sz w:val="20"/>
                <w:szCs w:val="20"/>
                <w:color w:val="auto"/>
              </w:rPr>
            </w:pPr>
            <w:r>
              <w:rPr>
                <w:rFonts w:ascii="Arial" w:cs="Arial" w:eastAsia="Arial" w:hAnsi="Arial"/>
                <w:sz w:val="15"/>
                <w:szCs w:val="15"/>
                <w:b w:val="1"/>
                <w:bCs w:val="1"/>
                <w:color w:val="231F20"/>
              </w:rPr>
              <w:t>Losses</w:t>
            </w:r>
          </w:p>
        </w:tc>
        <w:tc>
          <w:tcPr>
            <w:tcW w:w="100" w:type="dxa"/>
            <w:vAlign w:val="bottom"/>
            <w:tcBorders>
              <w:bottom w:val="single" w:sz="8" w:color="D0EBF2"/>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D0EBF2"/>
          </w:tcPr>
          <w:p>
            <w:pPr>
              <w:spacing w:after="0"/>
              <w:rPr>
                <w:sz w:val="20"/>
                <w:szCs w:val="20"/>
                <w:color w:val="auto"/>
              </w:rPr>
            </w:pPr>
            <w:r>
              <w:rPr>
                <w:rFonts w:ascii="Arial" w:cs="Arial" w:eastAsia="Arial" w:hAnsi="Arial"/>
                <w:sz w:val="19"/>
                <w:szCs w:val="19"/>
                <w:color w:val="231F20"/>
              </w:rPr>
              <w:t>Short-term investments</w:t>
            </w:r>
          </w:p>
        </w:tc>
        <w:tc>
          <w:tcPr>
            <w:tcW w:w="120" w:type="dxa"/>
            <w:vAlign w:val="bottom"/>
            <w:tcBorders>
              <w:right w:val="single" w:sz="8" w:color="D0EBF2"/>
            </w:tcBorders>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680" w:type="dxa"/>
            <w:vAlign w:val="bottom"/>
            <w:shd w:val="clear" w:color="auto" w:fill="D0EBF2"/>
          </w:tcPr>
          <w:p>
            <w:pPr>
              <w:spacing w:after="0"/>
              <w:rPr>
                <w:sz w:val="19"/>
                <w:szCs w:val="19"/>
                <w:color w:val="auto"/>
              </w:rPr>
            </w:pPr>
          </w:p>
        </w:tc>
        <w:tc>
          <w:tcPr>
            <w:tcW w:w="220" w:type="dxa"/>
            <w:vAlign w:val="bottom"/>
            <w:shd w:val="clear" w:color="auto" w:fill="D0EBF2"/>
          </w:tcPr>
          <w:p>
            <w:pPr>
              <w:spacing w:after="0"/>
              <w:rPr>
                <w:sz w:val="19"/>
                <w:szCs w:val="19"/>
                <w:color w:val="auto"/>
              </w:rPr>
            </w:pPr>
          </w:p>
        </w:tc>
        <w:tc>
          <w:tcPr>
            <w:tcW w:w="120" w:type="dxa"/>
            <w:vAlign w:val="bottom"/>
            <w:tcBorders>
              <w:left w:val="single" w:sz="8" w:color="D0EBF2"/>
            </w:tcBorders>
            <w:shd w:val="clear" w:color="auto" w:fill="D0EBF2"/>
          </w:tcPr>
          <w:p>
            <w:pPr>
              <w:spacing w:after="0"/>
              <w:rPr>
                <w:sz w:val="19"/>
                <w:szCs w:val="19"/>
                <w:color w:val="auto"/>
              </w:rPr>
            </w:pPr>
          </w:p>
        </w:tc>
        <w:tc>
          <w:tcPr>
            <w:tcW w:w="68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680" w:type="dxa"/>
            <w:vAlign w:val="bottom"/>
            <w:shd w:val="clear" w:color="auto" w:fill="D0EBF2"/>
          </w:tcPr>
          <w:p>
            <w:pPr>
              <w:spacing w:after="0"/>
              <w:rPr>
                <w:sz w:val="19"/>
                <w:szCs w:val="19"/>
                <w:color w:val="auto"/>
              </w:rPr>
            </w:pPr>
          </w:p>
        </w:tc>
        <w:tc>
          <w:tcPr>
            <w:tcW w:w="200" w:type="dxa"/>
            <w:vAlign w:val="bottom"/>
            <w:shd w:val="clear" w:color="auto" w:fill="D0EBF2"/>
          </w:tcPr>
          <w:p>
            <w:pPr>
              <w:spacing w:after="0"/>
              <w:rPr>
                <w:sz w:val="19"/>
                <w:szCs w:val="19"/>
                <w:color w:val="auto"/>
              </w:rPr>
            </w:pPr>
          </w:p>
        </w:tc>
        <w:tc>
          <w:tcPr>
            <w:tcW w:w="120" w:type="dxa"/>
            <w:vAlign w:val="bottom"/>
            <w:tcBorders>
              <w:left w:val="single" w:sz="8" w:color="D0EBF2"/>
            </w:tcBorders>
            <w:shd w:val="clear" w:color="auto" w:fill="D0EBF2"/>
          </w:tcPr>
          <w:p>
            <w:pPr>
              <w:spacing w:after="0"/>
              <w:rPr>
                <w:sz w:val="19"/>
                <w:szCs w:val="19"/>
                <w:color w:val="auto"/>
              </w:rPr>
            </w:pPr>
          </w:p>
        </w:tc>
        <w:tc>
          <w:tcPr>
            <w:tcW w:w="680" w:type="dxa"/>
            <w:vAlign w:val="bottom"/>
            <w:shd w:val="clear" w:color="auto" w:fill="D0EBF2"/>
          </w:tcPr>
          <w:p>
            <w:pPr>
              <w:spacing w:after="0"/>
              <w:rPr>
                <w:sz w:val="19"/>
                <w:szCs w:val="19"/>
                <w:color w:val="auto"/>
              </w:rPr>
            </w:pPr>
          </w:p>
        </w:tc>
        <w:tc>
          <w:tcPr>
            <w:tcW w:w="220" w:type="dxa"/>
            <w:vAlign w:val="bottom"/>
            <w:shd w:val="clear" w:color="auto" w:fill="D0EBF2"/>
          </w:tcPr>
          <w:p>
            <w:pPr>
              <w:spacing w:after="0"/>
              <w:rPr>
                <w:sz w:val="19"/>
                <w:szCs w:val="19"/>
                <w:color w:val="auto"/>
              </w:rPr>
            </w:pPr>
          </w:p>
        </w:tc>
        <w:tc>
          <w:tcPr>
            <w:tcW w:w="160" w:type="dxa"/>
            <w:vAlign w:val="bottom"/>
            <w:tcBorders>
              <w:left w:val="single" w:sz="8" w:color="D0EBF2"/>
            </w:tcBorders>
            <w:shd w:val="clear" w:color="auto" w:fill="D0EBF2"/>
          </w:tcPr>
          <w:p>
            <w:pPr>
              <w:spacing w:after="0"/>
              <w:rPr>
                <w:sz w:val="19"/>
                <w:szCs w:val="19"/>
                <w:color w:val="auto"/>
              </w:rPr>
            </w:pPr>
          </w:p>
        </w:tc>
        <w:tc>
          <w:tcPr>
            <w:tcW w:w="640" w:type="dxa"/>
            <w:vAlign w:val="bottom"/>
            <w:shd w:val="clear" w:color="auto" w:fill="D0EBF2"/>
          </w:tcPr>
          <w:p>
            <w:pPr>
              <w:spacing w:after="0"/>
              <w:rPr>
                <w:sz w:val="19"/>
                <w:szCs w:val="19"/>
                <w:color w:val="auto"/>
              </w:rPr>
            </w:pPr>
          </w:p>
        </w:tc>
        <w:tc>
          <w:tcPr>
            <w:tcW w:w="200" w:type="dxa"/>
            <w:vAlign w:val="bottom"/>
            <w:shd w:val="clear" w:color="auto" w:fill="D0EBF2"/>
          </w:tcPr>
          <w:p>
            <w:pPr>
              <w:spacing w:after="0"/>
              <w:rPr>
                <w:sz w:val="19"/>
                <w:szCs w:val="19"/>
                <w:color w:val="auto"/>
              </w:rPr>
            </w:pPr>
          </w:p>
        </w:tc>
        <w:tc>
          <w:tcPr>
            <w:tcW w:w="120" w:type="dxa"/>
            <w:vAlign w:val="bottom"/>
            <w:tcBorders>
              <w:left w:val="single" w:sz="8" w:color="D0EBF2"/>
            </w:tcBorders>
            <w:shd w:val="clear" w:color="auto" w:fill="D0EBF2"/>
          </w:tcPr>
          <w:p>
            <w:pPr>
              <w:spacing w:after="0"/>
              <w:rPr>
                <w:sz w:val="19"/>
                <w:szCs w:val="19"/>
                <w:color w:val="auto"/>
              </w:rPr>
            </w:pPr>
          </w:p>
        </w:tc>
        <w:tc>
          <w:tcPr>
            <w:tcW w:w="70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Corporate bonds</w:t>
            </w:r>
          </w:p>
        </w:tc>
        <w:tc>
          <w:tcPr>
            <w:tcW w:w="120" w:type="dxa"/>
            <w:vAlign w:val="bottom"/>
            <w:tcBorders>
              <w:right w:val="single" w:sz="8" w:color="FDFDFC"/>
            </w:tcBorders>
            <w:shd w:val="clear" w:color="auto" w:fill="FDFDFC"/>
          </w:tcPr>
          <w:p>
            <w:pPr>
              <w:spacing w:after="0"/>
              <w:rPr>
                <w:sz w:val="20"/>
                <w:szCs w:val="20"/>
                <w:color w:val="auto"/>
              </w:rPr>
            </w:pPr>
          </w:p>
        </w:tc>
        <w:tc>
          <w:tcPr>
            <w:tcW w:w="100" w:type="dxa"/>
            <w:vAlign w:val="bottom"/>
            <w:shd w:val="clear" w:color="auto" w:fill="FDFDFC"/>
          </w:tcPr>
          <w:p>
            <w:pPr>
              <w:jc w:val="right"/>
              <w:spacing w:after="0"/>
              <w:rPr>
                <w:sz w:val="20"/>
                <w:szCs w:val="20"/>
                <w:color w:val="auto"/>
              </w:rPr>
            </w:pPr>
            <w:r>
              <w:rPr>
                <w:rFonts w:ascii="Arial" w:cs="Arial" w:eastAsia="Arial" w:hAnsi="Arial"/>
                <w:sz w:val="15"/>
                <w:szCs w:val="15"/>
                <w:color w:val="231F20"/>
                <w:w w:val="71"/>
              </w:rPr>
              <w:t>$</w:t>
            </w:r>
          </w:p>
        </w:tc>
        <w:tc>
          <w:tcPr>
            <w:tcW w:w="6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6,002</w:t>
            </w:r>
          </w:p>
        </w:tc>
        <w:tc>
          <w:tcPr>
            <w:tcW w:w="220" w:type="dxa"/>
            <w:vAlign w:val="bottom"/>
            <w:shd w:val="clear" w:color="auto" w:fill="FDFDFC"/>
          </w:tcPr>
          <w:p>
            <w:pPr>
              <w:spacing w:after="0"/>
              <w:rPr>
                <w:sz w:val="20"/>
                <w:szCs w:val="20"/>
                <w:color w:val="auto"/>
              </w:rPr>
            </w:pPr>
          </w:p>
        </w:tc>
        <w:tc>
          <w:tcPr>
            <w:tcW w:w="120" w:type="dxa"/>
            <w:vAlign w:val="bottom"/>
            <w:tcBorders>
              <w:left w:val="single" w:sz="8" w:color="FDFDFC"/>
            </w:tcBorders>
            <w:shd w:val="clear" w:color="auto" w:fill="FDFDFC"/>
          </w:tcPr>
          <w:p>
            <w:pPr>
              <w:spacing w:after="0"/>
              <w:rPr>
                <w:sz w:val="20"/>
                <w:szCs w:val="20"/>
                <w:color w:val="auto"/>
              </w:rPr>
            </w:pPr>
            <w:r>
              <w:rPr>
                <w:rFonts w:ascii="Arial" w:cs="Arial" w:eastAsia="Arial" w:hAnsi="Arial"/>
                <w:sz w:val="19"/>
                <w:szCs w:val="19"/>
                <w:color w:val="231F20"/>
                <w:w w:val="94"/>
              </w:rPr>
              <w:t>$</w:t>
            </w:r>
          </w:p>
        </w:tc>
        <w:tc>
          <w:tcPr>
            <w:tcW w:w="78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(3)</w:t>
            </w:r>
          </w:p>
        </w:tc>
        <w:tc>
          <w:tcPr>
            <w:tcW w:w="1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680" w:type="dxa"/>
            <w:vAlign w:val="bottom"/>
            <w:shd w:val="clear" w:color="auto" w:fill="FDFDFC"/>
          </w:tcPr>
          <w:p>
            <w:pPr>
              <w:ind w:left="480"/>
              <w:spacing w:after="0"/>
              <w:rPr>
                <w:sz w:val="20"/>
                <w:szCs w:val="20"/>
                <w:color w:val="auto"/>
              </w:rPr>
            </w:pPr>
            <w:r>
              <w:rPr>
                <w:rFonts w:ascii="Arial" w:cs="Arial" w:eastAsia="Arial" w:hAnsi="Arial"/>
                <w:sz w:val="19"/>
                <w:szCs w:val="19"/>
                <w:color w:val="231F20"/>
                <w:w w:val="94"/>
              </w:rPr>
              <w:t>—</w:t>
            </w:r>
          </w:p>
        </w:tc>
        <w:tc>
          <w:tcPr>
            <w:tcW w:w="200" w:type="dxa"/>
            <w:vAlign w:val="bottom"/>
            <w:shd w:val="clear" w:color="auto" w:fill="FDFDFC"/>
          </w:tcPr>
          <w:p>
            <w:pPr>
              <w:spacing w:after="0"/>
              <w:rPr>
                <w:sz w:val="20"/>
                <w:szCs w:val="20"/>
                <w:color w:val="auto"/>
              </w:rPr>
            </w:pPr>
          </w:p>
        </w:tc>
        <w:tc>
          <w:tcPr>
            <w:tcW w:w="120" w:type="dxa"/>
            <w:vAlign w:val="bottom"/>
            <w:tcBorders>
              <w:left w:val="single" w:sz="8" w:color="FDFDFC"/>
            </w:tcBorders>
            <w:shd w:val="clear" w:color="auto" w:fill="FDFDFC"/>
          </w:tcPr>
          <w:p>
            <w:pPr>
              <w:spacing w:after="0"/>
              <w:rPr>
                <w:sz w:val="20"/>
                <w:szCs w:val="20"/>
                <w:color w:val="auto"/>
              </w:rPr>
            </w:pPr>
            <w:r>
              <w:rPr>
                <w:rFonts w:ascii="Arial" w:cs="Arial" w:eastAsia="Arial" w:hAnsi="Arial"/>
                <w:sz w:val="19"/>
                <w:szCs w:val="19"/>
                <w:color w:val="231F20"/>
                <w:w w:val="94"/>
              </w:rPr>
              <w:t>$</w:t>
            </w:r>
          </w:p>
        </w:tc>
        <w:tc>
          <w:tcPr>
            <w:tcW w:w="680" w:type="dxa"/>
            <w:vAlign w:val="bottom"/>
            <w:shd w:val="clear" w:color="auto" w:fill="FDFDFC"/>
          </w:tcPr>
          <w:p>
            <w:pPr>
              <w:ind w:left="480"/>
              <w:spacing w:after="0"/>
              <w:rPr>
                <w:sz w:val="20"/>
                <w:szCs w:val="20"/>
                <w:color w:val="auto"/>
              </w:rPr>
            </w:pPr>
            <w:r>
              <w:rPr>
                <w:rFonts w:ascii="Arial" w:cs="Arial" w:eastAsia="Arial" w:hAnsi="Arial"/>
                <w:sz w:val="19"/>
                <w:szCs w:val="19"/>
                <w:color w:val="231F20"/>
                <w:w w:val="94"/>
              </w:rPr>
              <w:t>—</w:t>
            </w:r>
          </w:p>
        </w:tc>
        <w:tc>
          <w:tcPr>
            <w:tcW w:w="220" w:type="dxa"/>
            <w:vAlign w:val="bottom"/>
            <w:shd w:val="clear" w:color="auto" w:fill="FDFDFC"/>
          </w:tcPr>
          <w:p>
            <w:pPr>
              <w:spacing w:after="0"/>
              <w:rPr>
                <w:sz w:val="20"/>
                <w:szCs w:val="20"/>
                <w:color w:val="auto"/>
              </w:rPr>
            </w:pPr>
          </w:p>
        </w:tc>
        <w:tc>
          <w:tcPr>
            <w:tcW w:w="160" w:type="dxa"/>
            <w:vAlign w:val="bottom"/>
            <w:tcBorders>
              <w:left w:val="single" w:sz="8" w:color="FDFDFC"/>
            </w:tcBorders>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6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6,002</w:t>
            </w:r>
          </w:p>
        </w:tc>
        <w:tc>
          <w:tcPr>
            <w:tcW w:w="200" w:type="dxa"/>
            <w:vAlign w:val="bottom"/>
            <w:shd w:val="clear" w:color="auto" w:fill="FDFDFC"/>
          </w:tcPr>
          <w:p>
            <w:pPr>
              <w:spacing w:after="0"/>
              <w:rPr>
                <w:sz w:val="20"/>
                <w:szCs w:val="20"/>
                <w:color w:val="auto"/>
              </w:rPr>
            </w:pPr>
          </w:p>
        </w:tc>
        <w:tc>
          <w:tcPr>
            <w:tcW w:w="120" w:type="dxa"/>
            <w:vAlign w:val="bottom"/>
            <w:tcBorders>
              <w:left w:val="single" w:sz="8" w:color="FDFDFC"/>
            </w:tcBorders>
            <w:shd w:val="clear" w:color="auto" w:fill="FDFDFC"/>
          </w:tcPr>
          <w:p>
            <w:pPr>
              <w:spacing w:after="0"/>
              <w:rPr>
                <w:sz w:val="20"/>
                <w:szCs w:val="20"/>
                <w:color w:val="auto"/>
              </w:rPr>
            </w:pPr>
            <w:r>
              <w:rPr>
                <w:rFonts w:ascii="Arial" w:cs="Arial" w:eastAsia="Arial" w:hAnsi="Arial"/>
                <w:sz w:val="19"/>
                <w:szCs w:val="19"/>
                <w:color w:val="231F20"/>
                <w:w w:val="94"/>
              </w:rPr>
              <w:t>$</w:t>
            </w:r>
          </w:p>
        </w:tc>
        <w:tc>
          <w:tcPr>
            <w:tcW w:w="80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(3)</w:t>
            </w:r>
          </w:p>
        </w:tc>
        <w:tc>
          <w:tcPr>
            <w:tcW w:w="0" w:type="dxa"/>
            <w:vAlign w:val="bottom"/>
          </w:tcPr>
          <w:p>
            <w:pPr>
              <w:spacing w:after="0"/>
              <w:rPr>
                <w:sz w:val="1"/>
                <w:szCs w:val="1"/>
                <w:color w:val="auto"/>
              </w:rPr>
            </w:pPr>
          </w:p>
        </w:tc>
      </w:tr>
      <w:tr>
        <w:trPr>
          <w:trHeight w:val="230"/>
        </w:trPr>
        <w:tc>
          <w:tcPr>
            <w:tcW w:w="412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U.S. Government obligations</w:t>
            </w:r>
          </w:p>
        </w:tc>
        <w:tc>
          <w:tcPr>
            <w:tcW w:w="120" w:type="dxa"/>
            <w:vAlign w:val="bottom"/>
            <w:tcBorders>
              <w:right w:val="single" w:sz="8" w:color="D0EBF2"/>
            </w:tcBorders>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6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2,010</w:t>
            </w:r>
          </w:p>
        </w:tc>
        <w:tc>
          <w:tcPr>
            <w:tcW w:w="220" w:type="dxa"/>
            <w:vAlign w:val="bottom"/>
            <w:shd w:val="clear" w:color="auto" w:fill="D0EBF2"/>
          </w:tcPr>
          <w:p>
            <w:pPr>
              <w:spacing w:after="0"/>
              <w:rPr>
                <w:sz w:val="20"/>
                <w:szCs w:val="20"/>
                <w:color w:val="auto"/>
              </w:rPr>
            </w:pPr>
          </w:p>
        </w:tc>
        <w:tc>
          <w:tcPr>
            <w:tcW w:w="120" w:type="dxa"/>
            <w:vAlign w:val="bottom"/>
            <w:tcBorders>
              <w:left w:val="single" w:sz="8" w:color="D0EBF2"/>
            </w:tcBorders>
            <w:shd w:val="clear" w:color="auto" w:fill="D0EBF2"/>
          </w:tcPr>
          <w:p>
            <w:pPr>
              <w:spacing w:after="0"/>
              <w:rPr>
                <w:sz w:val="20"/>
                <w:szCs w:val="20"/>
                <w:color w:val="auto"/>
              </w:rPr>
            </w:pPr>
          </w:p>
        </w:tc>
        <w:tc>
          <w:tcPr>
            <w:tcW w:w="78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(4)</w:t>
            </w:r>
          </w:p>
        </w:tc>
        <w:tc>
          <w:tcPr>
            <w:tcW w:w="1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680" w:type="dxa"/>
            <w:vAlign w:val="bottom"/>
            <w:shd w:val="clear" w:color="auto" w:fill="D0EBF2"/>
          </w:tcPr>
          <w:p>
            <w:pPr>
              <w:ind w:left="480"/>
              <w:spacing w:after="0"/>
              <w:rPr>
                <w:sz w:val="20"/>
                <w:szCs w:val="20"/>
                <w:color w:val="auto"/>
              </w:rPr>
            </w:pPr>
            <w:r>
              <w:rPr>
                <w:rFonts w:ascii="Arial" w:cs="Arial" w:eastAsia="Arial" w:hAnsi="Arial"/>
                <w:sz w:val="19"/>
                <w:szCs w:val="19"/>
                <w:color w:val="231F20"/>
                <w:w w:val="94"/>
              </w:rPr>
              <w:t>—</w:t>
            </w:r>
          </w:p>
        </w:tc>
        <w:tc>
          <w:tcPr>
            <w:tcW w:w="200" w:type="dxa"/>
            <w:vAlign w:val="bottom"/>
            <w:shd w:val="clear" w:color="auto" w:fill="D0EBF2"/>
          </w:tcPr>
          <w:p>
            <w:pPr>
              <w:spacing w:after="0"/>
              <w:rPr>
                <w:sz w:val="20"/>
                <w:szCs w:val="20"/>
                <w:color w:val="auto"/>
              </w:rPr>
            </w:pPr>
          </w:p>
        </w:tc>
        <w:tc>
          <w:tcPr>
            <w:tcW w:w="120" w:type="dxa"/>
            <w:vAlign w:val="bottom"/>
            <w:tcBorders>
              <w:left w:val="single" w:sz="8" w:color="D0EBF2"/>
            </w:tcBorders>
            <w:shd w:val="clear" w:color="auto" w:fill="D0EBF2"/>
          </w:tcPr>
          <w:p>
            <w:pPr>
              <w:spacing w:after="0"/>
              <w:rPr>
                <w:sz w:val="20"/>
                <w:szCs w:val="20"/>
                <w:color w:val="auto"/>
              </w:rPr>
            </w:pPr>
          </w:p>
        </w:tc>
        <w:tc>
          <w:tcPr>
            <w:tcW w:w="680" w:type="dxa"/>
            <w:vAlign w:val="bottom"/>
            <w:shd w:val="clear" w:color="auto" w:fill="D0EBF2"/>
          </w:tcPr>
          <w:p>
            <w:pPr>
              <w:ind w:left="480"/>
              <w:spacing w:after="0"/>
              <w:rPr>
                <w:sz w:val="20"/>
                <w:szCs w:val="20"/>
                <w:color w:val="auto"/>
              </w:rPr>
            </w:pPr>
            <w:r>
              <w:rPr>
                <w:rFonts w:ascii="Arial" w:cs="Arial" w:eastAsia="Arial" w:hAnsi="Arial"/>
                <w:sz w:val="19"/>
                <w:szCs w:val="19"/>
                <w:color w:val="231F20"/>
                <w:w w:val="94"/>
              </w:rPr>
              <w:t>—</w:t>
            </w:r>
          </w:p>
        </w:tc>
        <w:tc>
          <w:tcPr>
            <w:tcW w:w="220" w:type="dxa"/>
            <w:vAlign w:val="bottom"/>
            <w:shd w:val="clear" w:color="auto" w:fill="D0EBF2"/>
          </w:tcPr>
          <w:p>
            <w:pPr>
              <w:spacing w:after="0"/>
              <w:rPr>
                <w:sz w:val="20"/>
                <w:szCs w:val="20"/>
                <w:color w:val="auto"/>
              </w:rPr>
            </w:pPr>
          </w:p>
        </w:tc>
        <w:tc>
          <w:tcPr>
            <w:tcW w:w="160" w:type="dxa"/>
            <w:vAlign w:val="bottom"/>
            <w:tcBorders>
              <w:left w:val="single" w:sz="8" w:color="D0EBF2"/>
            </w:tcBorders>
            <w:shd w:val="clear" w:color="auto" w:fill="D0EBF2"/>
          </w:tcPr>
          <w:p>
            <w:pPr>
              <w:spacing w:after="0"/>
              <w:rPr>
                <w:sz w:val="20"/>
                <w:szCs w:val="20"/>
                <w:color w:val="auto"/>
              </w:rPr>
            </w:pPr>
          </w:p>
        </w:tc>
        <w:tc>
          <w:tcPr>
            <w:tcW w:w="6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2,010</w:t>
            </w:r>
          </w:p>
        </w:tc>
        <w:tc>
          <w:tcPr>
            <w:tcW w:w="200" w:type="dxa"/>
            <w:vAlign w:val="bottom"/>
            <w:shd w:val="clear" w:color="auto" w:fill="D0EBF2"/>
          </w:tcPr>
          <w:p>
            <w:pPr>
              <w:spacing w:after="0"/>
              <w:rPr>
                <w:sz w:val="20"/>
                <w:szCs w:val="20"/>
                <w:color w:val="auto"/>
              </w:rPr>
            </w:pPr>
          </w:p>
        </w:tc>
        <w:tc>
          <w:tcPr>
            <w:tcW w:w="120" w:type="dxa"/>
            <w:vAlign w:val="bottom"/>
            <w:tcBorders>
              <w:left w:val="single" w:sz="8" w:color="D0EBF2"/>
            </w:tcBorders>
            <w:shd w:val="clear" w:color="auto" w:fill="D0EBF2"/>
          </w:tcPr>
          <w:p>
            <w:pPr>
              <w:spacing w:after="0"/>
              <w:rPr>
                <w:sz w:val="20"/>
                <w:szCs w:val="20"/>
                <w:color w:val="auto"/>
              </w:rPr>
            </w:pPr>
          </w:p>
        </w:tc>
        <w:tc>
          <w:tcPr>
            <w:tcW w:w="80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(4)</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FDFDFC"/>
          </w:tcPr>
          <w:p>
            <w:pPr>
              <w:ind w:left="260"/>
              <w:spacing w:after="0"/>
              <w:rPr>
                <w:sz w:val="20"/>
                <w:szCs w:val="20"/>
                <w:color w:val="auto"/>
              </w:rPr>
            </w:pPr>
            <w:r>
              <w:rPr>
                <w:rFonts w:ascii="Arial" w:cs="Arial" w:eastAsia="Arial" w:hAnsi="Arial"/>
                <w:sz w:val="19"/>
                <w:szCs w:val="19"/>
                <w:color w:val="231F20"/>
              </w:rPr>
              <w:t>Total short-term investments</w:t>
            </w:r>
          </w:p>
        </w:tc>
        <w:tc>
          <w:tcPr>
            <w:tcW w:w="120" w:type="dxa"/>
            <w:vAlign w:val="bottom"/>
            <w:tcBorders>
              <w:right w:val="single" w:sz="8" w:color="231F20"/>
            </w:tcBorders>
            <w:shd w:val="clear" w:color="auto" w:fill="FDFDFC"/>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220" w:type="dxa"/>
            <w:vAlign w:val="bottom"/>
            <w:vMerge w:val="restart"/>
            <w:shd w:val="clear" w:color="auto" w:fill="FDFDFC"/>
          </w:tcPr>
          <w:p>
            <w:pPr>
              <w:spacing w:after="0" w:line="20" w:lineRule="exact"/>
              <w:rPr>
                <w:sz w:val="1"/>
                <w:szCs w:val="1"/>
                <w:color w:val="auto"/>
              </w:rPr>
            </w:pPr>
          </w:p>
        </w:tc>
        <w:tc>
          <w:tcPr>
            <w:tcW w:w="120" w:type="dxa"/>
            <w:vAlign w:val="bottom"/>
            <w:tcBorders>
              <w:left w:val="single" w:sz="8" w:color="231F20"/>
            </w:tcBorders>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200" w:type="dxa"/>
            <w:vAlign w:val="bottom"/>
            <w:vMerge w:val="restart"/>
            <w:shd w:val="clear" w:color="auto" w:fill="FDFDFC"/>
          </w:tcPr>
          <w:p>
            <w:pPr>
              <w:spacing w:after="0" w:line="20" w:lineRule="exact"/>
              <w:rPr>
                <w:sz w:val="1"/>
                <w:szCs w:val="1"/>
                <w:color w:val="auto"/>
              </w:rPr>
            </w:pPr>
          </w:p>
        </w:tc>
        <w:tc>
          <w:tcPr>
            <w:tcW w:w="120" w:type="dxa"/>
            <w:vAlign w:val="bottom"/>
            <w:tcBorders>
              <w:left w:val="single" w:sz="8" w:color="231F20"/>
            </w:tcBorders>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220" w:type="dxa"/>
            <w:vAlign w:val="bottom"/>
            <w:vMerge w:val="restart"/>
            <w:shd w:val="clear" w:color="auto" w:fill="FDFDFC"/>
          </w:tcPr>
          <w:p>
            <w:pPr>
              <w:spacing w:after="0" w:line="20" w:lineRule="exact"/>
              <w:rPr>
                <w:sz w:val="1"/>
                <w:szCs w:val="1"/>
                <w:color w:val="auto"/>
              </w:rPr>
            </w:pPr>
          </w:p>
        </w:tc>
        <w:tc>
          <w:tcPr>
            <w:tcW w:w="160" w:type="dxa"/>
            <w:vAlign w:val="bottom"/>
            <w:tcBorders>
              <w:left w:val="single" w:sz="8" w:color="231F20"/>
            </w:tcBorders>
            <w:shd w:val="clear" w:color="auto" w:fill="231F20"/>
          </w:tcPr>
          <w:p>
            <w:pPr>
              <w:spacing w:after="0" w:line="20" w:lineRule="exact"/>
              <w:rPr>
                <w:sz w:val="1"/>
                <w:szCs w:val="1"/>
                <w:color w:val="auto"/>
              </w:rPr>
            </w:pPr>
          </w:p>
        </w:tc>
        <w:tc>
          <w:tcPr>
            <w:tcW w:w="640" w:type="dxa"/>
            <w:vAlign w:val="bottom"/>
            <w:shd w:val="clear" w:color="auto" w:fill="231F20"/>
          </w:tcPr>
          <w:p>
            <w:pPr>
              <w:spacing w:after="0" w:line="20" w:lineRule="exact"/>
              <w:rPr>
                <w:sz w:val="1"/>
                <w:szCs w:val="1"/>
                <w:color w:val="auto"/>
              </w:rPr>
            </w:pPr>
          </w:p>
        </w:tc>
        <w:tc>
          <w:tcPr>
            <w:tcW w:w="200" w:type="dxa"/>
            <w:vAlign w:val="bottom"/>
            <w:vMerge w:val="restart"/>
            <w:shd w:val="clear" w:color="auto" w:fill="FDFDFC"/>
          </w:tcPr>
          <w:p>
            <w:pPr>
              <w:spacing w:after="0" w:line="20" w:lineRule="exact"/>
              <w:rPr>
                <w:sz w:val="1"/>
                <w:szCs w:val="1"/>
                <w:color w:val="auto"/>
              </w:rPr>
            </w:pPr>
          </w:p>
        </w:tc>
        <w:tc>
          <w:tcPr>
            <w:tcW w:w="120" w:type="dxa"/>
            <w:vAlign w:val="bottom"/>
            <w:tcBorders>
              <w:left w:val="single" w:sz="8" w:color="231F20"/>
            </w:tcBorders>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120" w:type="dxa"/>
            <w:vAlign w:val="bottom"/>
            <w:vMerge w:val="continue"/>
            <w:shd w:val="clear" w:color="auto" w:fill="FDFDFC"/>
          </w:tcPr>
          <w:p>
            <w:pPr>
              <w:spacing w:after="0"/>
              <w:rPr>
                <w:sz w:val="22"/>
                <w:szCs w:val="22"/>
                <w:color w:val="auto"/>
              </w:rPr>
            </w:pPr>
          </w:p>
        </w:tc>
        <w:tc>
          <w:tcPr>
            <w:tcW w:w="120" w:type="dxa"/>
            <w:vAlign w:val="bottom"/>
            <w:tcBorders>
              <w:right w:val="single" w:sz="8" w:color="FDFDFC"/>
            </w:tcBorders>
            <w:shd w:val="clear" w:color="auto" w:fill="FDFDFC"/>
          </w:tcPr>
          <w:p>
            <w:pPr>
              <w:spacing w:after="0"/>
              <w:rPr>
                <w:sz w:val="22"/>
                <w:szCs w:val="22"/>
                <w:color w:val="auto"/>
              </w:rPr>
            </w:pPr>
          </w:p>
        </w:tc>
        <w:tc>
          <w:tcPr>
            <w:tcW w:w="100" w:type="dxa"/>
            <w:vAlign w:val="bottom"/>
            <w:shd w:val="clear" w:color="auto" w:fill="FDFDFC"/>
          </w:tcPr>
          <w:p>
            <w:pPr>
              <w:jc w:val="right"/>
              <w:spacing w:after="0"/>
              <w:rPr>
                <w:sz w:val="20"/>
                <w:szCs w:val="20"/>
                <w:color w:val="auto"/>
              </w:rPr>
            </w:pPr>
            <w:r>
              <w:rPr>
                <w:rFonts w:ascii="Arial" w:cs="Arial" w:eastAsia="Arial" w:hAnsi="Arial"/>
                <w:sz w:val="15"/>
                <w:szCs w:val="15"/>
                <w:color w:val="231F20"/>
                <w:highlight w:val="white"/>
                <w:w w:val="71"/>
              </w:rPr>
              <w:t>$</w:t>
            </w:r>
          </w:p>
        </w:tc>
        <w:tc>
          <w:tcPr>
            <w:tcW w:w="680" w:type="dxa"/>
            <w:vAlign w:val="bottom"/>
            <w:shd w:val="clear" w:color="auto" w:fill="FDFDFC"/>
          </w:tcPr>
          <w:p>
            <w:pPr>
              <w:jc w:val="right"/>
              <w:spacing w:after="0"/>
              <w:rPr>
                <w:sz w:val="20"/>
                <w:szCs w:val="20"/>
                <w:color w:val="auto"/>
              </w:rPr>
            </w:pPr>
            <w:r>
              <w:rPr>
                <w:rFonts w:ascii="Arial" w:cs="Arial" w:eastAsia="Arial" w:hAnsi="Arial"/>
                <w:sz w:val="19"/>
                <w:szCs w:val="19"/>
                <w:color w:val="231F20"/>
                <w:highlight w:val="white"/>
              </w:rPr>
              <w:t>8,012</w:t>
            </w:r>
          </w:p>
        </w:tc>
        <w:tc>
          <w:tcPr>
            <w:tcW w:w="220" w:type="dxa"/>
            <w:vAlign w:val="bottom"/>
            <w:vMerge w:val="continue"/>
            <w:shd w:val="clear" w:color="auto" w:fill="FDFDFC"/>
          </w:tcPr>
          <w:p>
            <w:pPr>
              <w:spacing w:after="0"/>
              <w:rPr>
                <w:sz w:val="22"/>
                <w:szCs w:val="22"/>
                <w:color w:val="auto"/>
              </w:rPr>
            </w:pPr>
          </w:p>
        </w:tc>
        <w:tc>
          <w:tcPr>
            <w:tcW w:w="120" w:type="dxa"/>
            <w:vAlign w:val="bottom"/>
            <w:tcBorders>
              <w:left w:val="single" w:sz="8" w:color="FDFDFC"/>
            </w:tcBorders>
          </w:tcPr>
          <w:p>
            <w:pPr>
              <w:spacing w:after="0"/>
              <w:rPr>
                <w:sz w:val="20"/>
                <w:szCs w:val="20"/>
                <w:color w:val="auto"/>
              </w:rPr>
            </w:pPr>
            <w:r>
              <w:rPr>
                <w:rFonts w:ascii="Arial" w:cs="Arial" w:eastAsia="Arial" w:hAnsi="Arial"/>
                <w:sz w:val="19"/>
                <w:szCs w:val="19"/>
                <w:color w:val="231F20"/>
                <w:w w:val="94"/>
              </w:rPr>
              <w:t>$</w:t>
            </w:r>
          </w:p>
        </w:tc>
        <w:tc>
          <w:tcPr>
            <w:tcW w:w="780" w:type="dxa"/>
            <w:vAlign w:val="bottom"/>
            <w:gridSpan w:val="2"/>
          </w:tcPr>
          <w:p>
            <w:pPr>
              <w:jc w:val="right"/>
              <w:ind w:right="40"/>
              <w:spacing w:after="0"/>
              <w:rPr>
                <w:sz w:val="20"/>
                <w:szCs w:val="20"/>
                <w:color w:val="auto"/>
              </w:rPr>
            </w:pPr>
            <w:r>
              <w:rPr>
                <w:rFonts w:ascii="Arial" w:cs="Arial" w:eastAsia="Arial" w:hAnsi="Arial"/>
                <w:sz w:val="19"/>
                <w:szCs w:val="19"/>
                <w:color w:val="231F20"/>
              </w:rPr>
              <w:t>(7)</w:t>
            </w:r>
          </w:p>
        </w:tc>
        <w:tc>
          <w:tcPr>
            <w:tcW w:w="1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680" w:type="dxa"/>
            <w:vAlign w:val="bottom"/>
            <w:shd w:val="clear" w:color="auto" w:fill="FDFDFC"/>
          </w:tcPr>
          <w:p>
            <w:pPr>
              <w:ind w:left="480"/>
              <w:spacing w:after="0"/>
              <w:rPr>
                <w:sz w:val="20"/>
                <w:szCs w:val="20"/>
                <w:color w:val="auto"/>
              </w:rPr>
            </w:pPr>
            <w:r>
              <w:rPr>
                <w:rFonts w:ascii="Arial" w:cs="Arial" w:eastAsia="Arial" w:hAnsi="Arial"/>
                <w:sz w:val="19"/>
                <w:szCs w:val="19"/>
                <w:color w:val="231F20"/>
                <w:w w:val="94"/>
              </w:rPr>
              <w:t>—</w:t>
            </w:r>
          </w:p>
        </w:tc>
        <w:tc>
          <w:tcPr>
            <w:tcW w:w="200" w:type="dxa"/>
            <w:vAlign w:val="bottom"/>
            <w:vMerge w:val="continue"/>
            <w:shd w:val="clear" w:color="auto" w:fill="FDFDFC"/>
          </w:tcPr>
          <w:p>
            <w:pPr>
              <w:spacing w:after="0"/>
              <w:rPr>
                <w:sz w:val="22"/>
                <w:szCs w:val="22"/>
                <w:color w:val="auto"/>
              </w:rPr>
            </w:pPr>
          </w:p>
        </w:tc>
        <w:tc>
          <w:tcPr>
            <w:tcW w:w="120" w:type="dxa"/>
            <w:vAlign w:val="bottom"/>
            <w:tcBorders>
              <w:left w:val="single" w:sz="8" w:color="FDFDFC"/>
            </w:tcBorders>
            <w:shd w:val="clear" w:color="auto" w:fill="FDFDFC"/>
          </w:tcPr>
          <w:p>
            <w:pPr>
              <w:spacing w:after="0"/>
              <w:rPr>
                <w:sz w:val="20"/>
                <w:szCs w:val="20"/>
                <w:color w:val="auto"/>
              </w:rPr>
            </w:pPr>
            <w:r>
              <w:rPr>
                <w:rFonts w:ascii="Arial" w:cs="Arial" w:eastAsia="Arial" w:hAnsi="Arial"/>
                <w:sz w:val="19"/>
                <w:szCs w:val="19"/>
                <w:color w:val="231F20"/>
                <w:w w:val="94"/>
              </w:rPr>
              <w:t>$</w:t>
            </w:r>
          </w:p>
        </w:tc>
        <w:tc>
          <w:tcPr>
            <w:tcW w:w="680" w:type="dxa"/>
            <w:vAlign w:val="bottom"/>
            <w:shd w:val="clear" w:color="auto" w:fill="FDFDFC"/>
          </w:tcPr>
          <w:p>
            <w:pPr>
              <w:ind w:left="480"/>
              <w:spacing w:after="0"/>
              <w:rPr>
                <w:sz w:val="20"/>
                <w:szCs w:val="20"/>
                <w:color w:val="auto"/>
              </w:rPr>
            </w:pPr>
            <w:r>
              <w:rPr>
                <w:rFonts w:ascii="Arial" w:cs="Arial" w:eastAsia="Arial" w:hAnsi="Arial"/>
                <w:sz w:val="19"/>
                <w:szCs w:val="19"/>
                <w:color w:val="231F20"/>
                <w:w w:val="94"/>
              </w:rPr>
              <w:t>—</w:t>
            </w:r>
          </w:p>
        </w:tc>
        <w:tc>
          <w:tcPr>
            <w:tcW w:w="220" w:type="dxa"/>
            <w:vAlign w:val="bottom"/>
            <w:vMerge w:val="continue"/>
            <w:shd w:val="clear" w:color="auto" w:fill="FDFDFC"/>
          </w:tcPr>
          <w:p>
            <w:pPr>
              <w:spacing w:after="0"/>
              <w:rPr>
                <w:sz w:val="22"/>
                <w:szCs w:val="22"/>
                <w:color w:val="auto"/>
              </w:rPr>
            </w:pPr>
          </w:p>
        </w:tc>
        <w:tc>
          <w:tcPr>
            <w:tcW w:w="160" w:type="dxa"/>
            <w:vAlign w:val="bottom"/>
            <w:tcBorders>
              <w:left w:val="single" w:sz="8" w:color="FDFDFC"/>
            </w:tcBorders>
            <w:shd w:val="clear" w:color="auto" w:fill="FDFDFC"/>
          </w:tcPr>
          <w:p>
            <w:pPr>
              <w:jc w:val="right"/>
              <w:spacing w:after="0"/>
              <w:rPr>
                <w:sz w:val="20"/>
                <w:szCs w:val="20"/>
                <w:color w:val="auto"/>
              </w:rPr>
            </w:pPr>
            <w:r>
              <w:rPr>
                <w:rFonts w:ascii="Arial" w:cs="Arial" w:eastAsia="Arial" w:hAnsi="Arial"/>
                <w:sz w:val="19"/>
                <w:szCs w:val="19"/>
                <w:color w:val="231F20"/>
                <w:highlight w:val="white"/>
                <w:w w:val="75"/>
              </w:rPr>
              <w:t>$</w:t>
            </w:r>
          </w:p>
        </w:tc>
        <w:tc>
          <w:tcPr>
            <w:tcW w:w="640" w:type="dxa"/>
            <w:vAlign w:val="bottom"/>
            <w:shd w:val="clear" w:color="auto" w:fill="FDFDFC"/>
          </w:tcPr>
          <w:p>
            <w:pPr>
              <w:jc w:val="right"/>
              <w:spacing w:after="0"/>
              <w:rPr>
                <w:sz w:val="20"/>
                <w:szCs w:val="20"/>
                <w:color w:val="auto"/>
              </w:rPr>
            </w:pPr>
            <w:r>
              <w:rPr>
                <w:rFonts w:ascii="Arial" w:cs="Arial" w:eastAsia="Arial" w:hAnsi="Arial"/>
                <w:sz w:val="19"/>
                <w:szCs w:val="19"/>
                <w:color w:val="231F20"/>
                <w:highlight w:val="white"/>
              </w:rPr>
              <w:t>8,012</w:t>
            </w:r>
          </w:p>
        </w:tc>
        <w:tc>
          <w:tcPr>
            <w:tcW w:w="200" w:type="dxa"/>
            <w:vAlign w:val="bottom"/>
            <w:vMerge w:val="continue"/>
            <w:shd w:val="clear" w:color="auto" w:fill="FDFDFC"/>
          </w:tcPr>
          <w:p>
            <w:pPr>
              <w:spacing w:after="0"/>
              <w:rPr>
                <w:sz w:val="22"/>
                <w:szCs w:val="22"/>
                <w:color w:val="auto"/>
              </w:rPr>
            </w:pPr>
          </w:p>
        </w:tc>
        <w:tc>
          <w:tcPr>
            <w:tcW w:w="120" w:type="dxa"/>
            <w:vAlign w:val="bottom"/>
            <w:tcBorders>
              <w:left w:val="single" w:sz="8" w:color="FDFDFC"/>
            </w:tcBorders>
          </w:tcPr>
          <w:p>
            <w:pPr>
              <w:spacing w:after="0"/>
              <w:rPr>
                <w:sz w:val="20"/>
                <w:szCs w:val="20"/>
                <w:color w:val="auto"/>
              </w:rPr>
            </w:pPr>
            <w:r>
              <w:rPr>
                <w:rFonts w:ascii="Arial" w:cs="Arial" w:eastAsia="Arial" w:hAnsi="Arial"/>
                <w:sz w:val="19"/>
                <w:szCs w:val="19"/>
                <w:color w:val="231F20"/>
                <w:w w:val="94"/>
              </w:rPr>
              <w:t>$</w:t>
            </w:r>
          </w:p>
        </w:tc>
        <w:tc>
          <w:tcPr>
            <w:tcW w:w="800" w:type="dxa"/>
            <w:vAlign w:val="bottom"/>
            <w:gridSpan w:val="2"/>
          </w:tcPr>
          <w:p>
            <w:pPr>
              <w:jc w:val="right"/>
              <w:ind w:right="40"/>
              <w:spacing w:after="0"/>
              <w:rPr>
                <w:sz w:val="20"/>
                <w:szCs w:val="20"/>
                <w:color w:val="auto"/>
              </w:rPr>
            </w:pPr>
            <w:r>
              <w:rPr>
                <w:rFonts w:ascii="Arial" w:cs="Arial" w:eastAsia="Arial" w:hAnsi="Arial"/>
                <w:sz w:val="19"/>
                <w:szCs w:val="19"/>
                <w:color w:val="231F20"/>
              </w:rPr>
              <w:t>(7)</w:t>
            </w:r>
          </w:p>
        </w:tc>
        <w:tc>
          <w:tcPr>
            <w:tcW w:w="0" w:type="dxa"/>
            <w:vAlign w:val="bottom"/>
          </w:tcPr>
          <w:p>
            <w:pPr>
              <w:spacing w:after="0"/>
              <w:rPr>
                <w:sz w:val="1"/>
                <w:szCs w:val="1"/>
                <w:color w:val="auto"/>
              </w:rPr>
            </w:pPr>
          </w:p>
        </w:tc>
      </w:tr>
      <w:tr>
        <w:trPr>
          <w:trHeight w:val="213"/>
        </w:trPr>
        <w:tc>
          <w:tcPr>
            <w:tcW w:w="4120" w:type="dxa"/>
            <w:vAlign w:val="bottom"/>
            <w:tcBorders>
              <w:top w:val="single" w:sz="8" w:color="D0EBF2"/>
            </w:tcBorders>
            <w:shd w:val="clear" w:color="auto" w:fill="D0EBF2"/>
          </w:tcPr>
          <w:p>
            <w:pPr>
              <w:spacing w:after="0" w:line="213" w:lineRule="exact"/>
              <w:rPr>
                <w:sz w:val="20"/>
                <w:szCs w:val="20"/>
                <w:color w:val="auto"/>
              </w:rPr>
            </w:pPr>
            <w:r>
              <w:rPr>
                <w:rFonts w:ascii="Arial" w:cs="Arial" w:eastAsia="Arial" w:hAnsi="Arial"/>
                <w:sz w:val="19"/>
                <w:szCs w:val="19"/>
                <w:color w:val="231F20"/>
              </w:rPr>
              <w:t>Long-term investments</w:t>
            </w:r>
          </w:p>
        </w:tc>
        <w:tc>
          <w:tcPr>
            <w:tcW w:w="120" w:type="dxa"/>
            <w:vAlign w:val="bottom"/>
            <w:tcBorders>
              <w:top w:val="single" w:sz="8" w:color="D0EBF2"/>
              <w:right w:val="single" w:sz="8" w:color="D0EBF2"/>
            </w:tcBorders>
            <w:shd w:val="clear" w:color="auto" w:fill="D0EBF2"/>
          </w:tcPr>
          <w:p>
            <w:pPr>
              <w:spacing w:after="0"/>
              <w:rPr>
                <w:sz w:val="18"/>
                <w:szCs w:val="18"/>
                <w:color w:val="auto"/>
              </w:rPr>
            </w:pPr>
          </w:p>
        </w:tc>
        <w:tc>
          <w:tcPr>
            <w:tcW w:w="100" w:type="dxa"/>
            <w:vAlign w:val="bottom"/>
            <w:tcBorders>
              <w:top w:val="single" w:sz="8" w:color="231F20"/>
            </w:tcBorders>
            <w:shd w:val="clear" w:color="auto" w:fill="D0EBF2"/>
          </w:tcPr>
          <w:p>
            <w:pPr>
              <w:spacing w:after="0"/>
              <w:rPr>
                <w:sz w:val="18"/>
                <w:szCs w:val="18"/>
                <w:color w:val="auto"/>
              </w:rPr>
            </w:pPr>
          </w:p>
        </w:tc>
        <w:tc>
          <w:tcPr>
            <w:tcW w:w="680" w:type="dxa"/>
            <w:vAlign w:val="bottom"/>
            <w:tcBorders>
              <w:top w:val="single" w:sz="8" w:color="231F20"/>
            </w:tcBorders>
            <w:shd w:val="clear" w:color="auto" w:fill="D0EBF2"/>
          </w:tcPr>
          <w:p>
            <w:pPr>
              <w:spacing w:after="0"/>
              <w:rPr>
                <w:sz w:val="18"/>
                <w:szCs w:val="18"/>
                <w:color w:val="auto"/>
              </w:rPr>
            </w:pPr>
          </w:p>
        </w:tc>
        <w:tc>
          <w:tcPr>
            <w:tcW w:w="220" w:type="dxa"/>
            <w:vAlign w:val="bottom"/>
            <w:tcBorders>
              <w:top w:val="single" w:sz="8" w:color="D0EBF2"/>
            </w:tcBorders>
            <w:shd w:val="clear" w:color="auto" w:fill="D0EBF2"/>
          </w:tcPr>
          <w:p>
            <w:pPr>
              <w:spacing w:after="0"/>
              <w:rPr>
                <w:sz w:val="18"/>
                <w:szCs w:val="18"/>
                <w:color w:val="auto"/>
              </w:rPr>
            </w:pPr>
          </w:p>
        </w:tc>
        <w:tc>
          <w:tcPr>
            <w:tcW w:w="120" w:type="dxa"/>
            <w:vAlign w:val="bottom"/>
            <w:tcBorders>
              <w:top w:val="single" w:sz="8" w:color="231F20"/>
              <w:left w:val="single" w:sz="8" w:color="D0EBF2"/>
            </w:tcBorders>
            <w:shd w:val="clear" w:color="auto" w:fill="D0EBF2"/>
          </w:tcPr>
          <w:p>
            <w:pPr>
              <w:spacing w:after="0"/>
              <w:rPr>
                <w:sz w:val="18"/>
                <w:szCs w:val="18"/>
                <w:color w:val="auto"/>
              </w:rPr>
            </w:pPr>
          </w:p>
        </w:tc>
        <w:tc>
          <w:tcPr>
            <w:tcW w:w="680" w:type="dxa"/>
            <w:vAlign w:val="bottom"/>
            <w:tcBorders>
              <w:top w:val="single" w:sz="8" w:color="231F20"/>
            </w:tcBorders>
            <w:shd w:val="clear" w:color="auto" w:fill="D0EBF2"/>
          </w:tcPr>
          <w:p>
            <w:pPr>
              <w:spacing w:after="0"/>
              <w:rPr>
                <w:sz w:val="18"/>
                <w:szCs w:val="18"/>
                <w:color w:val="auto"/>
              </w:rPr>
            </w:pPr>
          </w:p>
        </w:tc>
        <w:tc>
          <w:tcPr>
            <w:tcW w:w="100" w:type="dxa"/>
            <w:vAlign w:val="bottom"/>
            <w:tcBorders>
              <w:top w:val="single" w:sz="8" w:color="D0EBF2"/>
            </w:tcBorders>
            <w:shd w:val="clear" w:color="auto" w:fill="D0EBF2"/>
          </w:tcPr>
          <w:p>
            <w:pPr>
              <w:spacing w:after="0"/>
              <w:rPr>
                <w:sz w:val="18"/>
                <w:szCs w:val="18"/>
                <w:color w:val="auto"/>
              </w:rPr>
            </w:pPr>
          </w:p>
        </w:tc>
        <w:tc>
          <w:tcPr>
            <w:tcW w:w="100" w:type="dxa"/>
            <w:vAlign w:val="bottom"/>
            <w:tcBorders>
              <w:top w:val="single" w:sz="8" w:color="D0EBF2"/>
            </w:tcBorders>
            <w:shd w:val="clear" w:color="auto" w:fill="D0EBF2"/>
          </w:tcPr>
          <w:p>
            <w:pPr>
              <w:spacing w:after="0"/>
              <w:rPr>
                <w:sz w:val="18"/>
                <w:szCs w:val="18"/>
                <w:color w:val="auto"/>
              </w:rPr>
            </w:pPr>
          </w:p>
        </w:tc>
        <w:tc>
          <w:tcPr>
            <w:tcW w:w="20" w:type="dxa"/>
            <w:vAlign w:val="bottom"/>
            <w:tcBorders>
              <w:top w:val="single" w:sz="8" w:color="231F20"/>
            </w:tcBorders>
            <w:shd w:val="clear" w:color="auto" w:fill="D0EBF2"/>
          </w:tcPr>
          <w:p>
            <w:pPr>
              <w:spacing w:after="0"/>
              <w:rPr>
                <w:sz w:val="18"/>
                <w:szCs w:val="18"/>
                <w:color w:val="auto"/>
              </w:rPr>
            </w:pPr>
          </w:p>
        </w:tc>
        <w:tc>
          <w:tcPr>
            <w:tcW w:w="120" w:type="dxa"/>
            <w:vAlign w:val="bottom"/>
            <w:tcBorders>
              <w:top w:val="single" w:sz="8" w:color="231F20"/>
            </w:tcBorders>
            <w:shd w:val="clear" w:color="auto" w:fill="D0EBF2"/>
          </w:tcPr>
          <w:p>
            <w:pPr>
              <w:spacing w:after="0"/>
              <w:rPr>
                <w:sz w:val="18"/>
                <w:szCs w:val="18"/>
                <w:color w:val="auto"/>
              </w:rPr>
            </w:pPr>
          </w:p>
        </w:tc>
        <w:tc>
          <w:tcPr>
            <w:tcW w:w="680" w:type="dxa"/>
            <w:vAlign w:val="bottom"/>
            <w:tcBorders>
              <w:top w:val="single" w:sz="8" w:color="231F20"/>
            </w:tcBorders>
            <w:shd w:val="clear" w:color="auto" w:fill="D0EBF2"/>
          </w:tcPr>
          <w:p>
            <w:pPr>
              <w:spacing w:after="0"/>
              <w:rPr>
                <w:sz w:val="18"/>
                <w:szCs w:val="18"/>
                <w:color w:val="auto"/>
              </w:rPr>
            </w:pPr>
          </w:p>
        </w:tc>
        <w:tc>
          <w:tcPr>
            <w:tcW w:w="200" w:type="dxa"/>
            <w:vAlign w:val="bottom"/>
            <w:tcBorders>
              <w:top w:val="single" w:sz="8" w:color="D0EBF2"/>
            </w:tcBorders>
            <w:shd w:val="clear" w:color="auto" w:fill="D0EBF2"/>
          </w:tcPr>
          <w:p>
            <w:pPr>
              <w:spacing w:after="0"/>
              <w:rPr>
                <w:sz w:val="18"/>
                <w:szCs w:val="18"/>
                <w:color w:val="auto"/>
              </w:rPr>
            </w:pPr>
          </w:p>
        </w:tc>
        <w:tc>
          <w:tcPr>
            <w:tcW w:w="120" w:type="dxa"/>
            <w:vAlign w:val="bottom"/>
            <w:tcBorders>
              <w:top w:val="single" w:sz="8" w:color="231F20"/>
              <w:left w:val="single" w:sz="8" w:color="D0EBF2"/>
            </w:tcBorders>
            <w:shd w:val="clear" w:color="auto" w:fill="D0EBF2"/>
          </w:tcPr>
          <w:p>
            <w:pPr>
              <w:spacing w:after="0"/>
              <w:rPr>
                <w:sz w:val="18"/>
                <w:szCs w:val="18"/>
                <w:color w:val="auto"/>
              </w:rPr>
            </w:pPr>
          </w:p>
        </w:tc>
        <w:tc>
          <w:tcPr>
            <w:tcW w:w="680" w:type="dxa"/>
            <w:vAlign w:val="bottom"/>
            <w:tcBorders>
              <w:top w:val="single" w:sz="8" w:color="231F20"/>
            </w:tcBorders>
            <w:shd w:val="clear" w:color="auto" w:fill="D0EBF2"/>
          </w:tcPr>
          <w:p>
            <w:pPr>
              <w:spacing w:after="0"/>
              <w:rPr>
                <w:sz w:val="18"/>
                <w:szCs w:val="18"/>
                <w:color w:val="auto"/>
              </w:rPr>
            </w:pPr>
          </w:p>
        </w:tc>
        <w:tc>
          <w:tcPr>
            <w:tcW w:w="220" w:type="dxa"/>
            <w:vAlign w:val="bottom"/>
            <w:tcBorders>
              <w:top w:val="single" w:sz="8" w:color="D0EBF2"/>
            </w:tcBorders>
            <w:shd w:val="clear" w:color="auto" w:fill="D0EBF2"/>
          </w:tcPr>
          <w:p>
            <w:pPr>
              <w:spacing w:after="0"/>
              <w:rPr>
                <w:sz w:val="18"/>
                <w:szCs w:val="18"/>
                <w:color w:val="auto"/>
              </w:rPr>
            </w:pPr>
          </w:p>
        </w:tc>
        <w:tc>
          <w:tcPr>
            <w:tcW w:w="160" w:type="dxa"/>
            <w:vAlign w:val="bottom"/>
            <w:tcBorders>
              <w:top w:val="single" w:sz="8" w:color="231F20"/>
              <w:left w:val="single" w:sz="8" w:color="D0EBF2"/>
            </w:tcBorders>
            <w:shd w:val="clear" w:color="auto" w:fill="D0EBF2"/>
          </w:tcPr>
          <w:p>
            <w:pPr>
              <w:spacing w:after="0"/>
              <w:rPr>
                <w:sz w:val="18"/>
                <w:szCs w:val="18"/>
                <w:color w:val="auto"/>
              </w:rPr>
            </w:pPr>
          </w:p>
        </w:tc>
        <w:tc>
          <w:tcPr>
            <w:tcW w:w="640" w:type="dxa"/>
            <w:vAlign w:val="bottom"/>
            <w:tcBorders>
              <w:top w:val="single" w:sz="8" w:color="231F20"/>
            </w:tcBorders>
            <w:shd w:val="clear" w:color="auto" w:fill="D0EBF2"/>
          </w:tcPr>
          <w:p>
            <w:pPr>
              <w:spacing w:after="0"/>
              <w:rPr>
                <w:sz w:val="18"/>
                <w:szCs w:val="18"/>
                <w:color w:val="auto"/>
              </w:rPr>
            </w:pPr>
          </w:p>
        </w:tc>
        <w:tc>
          <w:tcPr>
            <w:tcW w:w="200" w:type="dxa"/>
            <w:vAlign w:val="bottom"/>
            <w:tcBorders>
              <w:top w:val="single" w:sz="8" w:color="D0EBF2"/>
            </w:tcBorders>
            <w:shd w:val="clear" w:color="auto" w:fill="D0EBF2"/>
          </w:tcPr>
          <w:p>
            <w:pPr>
              <w:spacing w:after="0"/>
              <w:rPr>
                <w:sz w:val="18"/>
                <w:szCs w:val="18"/>
                <w:color w:val="auto"/>
              </w:rPr>
            </w:pPr>
          </w:p>
        </w:tc>
        <w:tc>
          <w:tcPr>
            <w:tcW w:w="120" w:type="dxa"/>
            <w:vAlign w:val="bottom"/>
            <w:tcBorders>
              <w:top w:val="single" w:sz="8" w:color="231F20"/>
              <w:left w:val="single" w:sz="8" w:color="D0EBF2"/>
            </w:tcBorders>
            <w:shd w:val="clear" w:color="auto" w:fill="D0EBF2"/>
          </w:tcPr>
          <w:p>
            <w:pPr>
              <w:spacing w:after="0"/>
              <w:rPr>
                <w:sz w:val="18"/>
                <w:szCs w:val="18"/>
                <w:color w:val="auto"/>
              </w:rPr>
            </w:pPr>
          </w:p>
        </w:tc>
        <w:tc>
          <w:tcPr>
            <w:tcW w:w="700" w:type="dxa"/>
            <w:vAlign w:val="bottom"/>
            <w:tcBorders>
              <w:top w:val="single" w:sz="8" w:color="231F20"/>
            </w:tcBorders>
            <w:shd w:val="clear" w:color="auto" w:fill="D0EBF2"/>
          </w:tcPr>
          <w:p>
            <w:pPr>
              <w:spacing w:after="0"/>
              <w:rPr>
                <w:sz w:val="18"/>
                <w:szCs w:val="18"/>
                <w:color w:val="auto"/>
              </w:rPr>
            </w:pPr>
          </w:p>
        </w:tc>
        <w:tc>
          <w:tcPr>
            <w:tcW w:w="100" w:type="dxa"/>
            <w:vAlign w:val="bottom"/>
            <w:tcBorders>
              <w:top w:val="single" w:sz="8" w:color="D0EBF2"/>
            </w:tcBorders>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Corporate bonds</w:t>
            </w:r>
          </w:p>
        </w:tc>
        <w:tc>
          <w:tcPr>
            <w:tcW w:w="120" w:type="dxa"/>
            <w:vAlign w:val="bottom"/>
            <w:tcBorders>
              <w:right w:val="single" w:sz="8" w:color="FDFDFC"/>
            </w:tcBorders>
            <w:shd w:val="clear" w:color="auto" w:fill="FDFDFC"/>
          </w:tcPr>
          <w:p>
            <w:pPr>
              <w:spacing w:after="0"/>
              <w:rPr>
                <w:sz w:val="20"/>
                <w:szCs w:val="20"/>
                <w:color w:val="auto"/>
              </w:rPr>
            </w:pPr>
          </w:p>
        </w:tc>
        <w:tc>
          <w:tcPr>
            <w:tcW w:w="100" w:type="dxa"/>
            <w:vAlign w:val="bottom"/>
            <w:shd w:val="clear" w:color="auto" w:fill="FDFDFC"/>
          </w:tcPr>
          <w:p>
            <w:pPr>
              <w:jc w:val="right"/>
              <w:spacing w:after="0"/>
              <w:rPr>
                <w:sz w:val="20"/>
                <w:szCs w:val="20"/>
                <w:color w:val="auto"/>
              </w:rPr>
            </w:pPr>
            <w:r>
              <w:rPr>
                <w:rFonts w:ascii="Arial" w:cs="Arial" w:eastAsia="Arial" w:hAnsi="Arial"/>
                <w:sz w:val="15"/>
                <w:szCs w:val="15"/>
                <w:color w:val="231F20"/>
                <w:w w:val="71"/>
              </w:rPr>
              <w:t>$</w:t>
            </w:r>
          </w:p>
        </w:tc>
        <w:tc>
          <w:tcPr>
            <w:tcW w:w="6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12,648</w:t>
            </w:r>
          </w:p>
        </w:tc>
        <w:tc>
          <w:tcPr>
            <w:tcW w:w="220" w:type="dxa"/>
            <w:vAlign w:val="bottom"/>
            <w:shd w:val="clear" w:color="auto" w:fill="FDFDFC"/>
          </w:tcPr>
          <w:p>
            <w:pPr>
              <w:spacing w:after="0"/>
              <w:rPr>
                <w:sz w:val="20"/>
                <w:szCs w:val="20"/>
                <w:color w:val="auto"/>
              </w:rPr>
            </w:pPr>
          </w:p>
        </w:tc>
        <w:tc>
          <w:tcPr>
            <w:tcW w:w="120" w:type="dxa"/>
            <w:vAlign w:val="bottom"/>
            <w:tcBorders>
              <w:left w:val="single" w:sz="8" w:color="FDFDFC"/>
            </w:tcBorders>
            <w:shd w:val="clear" w:color="auto" w:fill="FDFDFC"/>
          </w:tcPr>
          <w:p>
            <w:pPr>
              <w:spacing w:after="0"/>
              <w:rPr>
                <w:sz w:val="20"/>
                <w:szCs w:val="20"/>
                <w:color w:val="auto"/>
              </w:rPr>
            </w:pPr>
            <w:r>
              <w:rPr>
                <w:rFonts w:ascii="Arial" w:cs="Arial" w:eastAsia="Arial" w:hAnsi="Arial"/>
                <w:sz w:val="19"/>
                <w:szCs w:val="19"/>
                <w:color w:val="231F20"/>
                <w:w w:val="94"/>
              </w:rPr>
              <w:t>$</w:t>
            </w:r>
          </w:p>
        </w:tc>
        <w:tc>
          <w:tcPr>
            <w:tcW w:w="6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(23)</w:t>
            </w: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680" w:type="dxa"/>
            <w:vAlign w:val="bottom"/>
            <w:shd w:val="clear" w:color="auto" w:fill="FDFDFC"/>
          </w:tcPr>
          <w:p>
            <w:pPr>
              <w:ind w:left="480"/>
              <w:spacing w:after="0"/>
              <w:rPr>
                <w:sz w:val="20"/>
                <w:szCs w:val="20"/>
                <w:color w:val="auto"/>
              </w:rPr>
            </w:pPr>
            <w:r>
              <w:rPr>
                <w:rFonts w:ascii="Arial" w:cs="Arial" w:eastAsia="Arial" w:hAnsi="Arial"/>
                <w:sz w:val="19"/>
                <w:szCs w:val="19"/>
                <w:color w:val="231F20"/>
                <w:w w:val="94"/>
              </w:rPr>
              <w:t>—</w:t>
            </w:r>
          </w:p>
        </w:tc>
        <w:tc>
          <w:tcPr>
            <w:tcW w:w="200" w:type="dxa"/>
            <w:vAlign w:val="bottom"/>
            <w:shd w:val="clear" w:color="auto" w:fill="FDFDFC"/>
          </w:tcPr>
          <w:p>
            <w:pPr>
              <w:spacing w:after="0"/>
              <w:rPr>
                <w:sz w:val="20"/>
                <w:szCs w:val="20"/>
                <w:color w:val="auto"/>
              </w:rPr>
            </w:pPr>
          </w:p>
        </w:tc>
        <w:tc>
          <w:tcPr>
            <w:tcW w:w="120" w:type="dxa"/>
            <w:vAlign w:val="bottom"/>
            <w:tcBorders>
              <w:left w:val="single" w:sz="8" w:color="FDFDFC"/>
            </w:tcBorders>
            <w:shd w:val="clear" w:color="auto" w:fill="FDFDFC"/>
          </w:tcPr>
          <w:p>
            <w:pPr>
              <w:spacing w:after="0"/>
              <w:rPr>
                <w:sz w:val="20"/>
                <w:szCs w:val="20"/>
                <w:color w:val="auto"/>
              </w:rPr>
            </w:pPr>
            <w:r>
              <w:rPr>
                <w:rFonts w:ascii="Arial" w:cs="Arial" w:eastAsia="Arial" w:hAnsi="Arial"/>
                <w:sz w:val="19"/>
                <w:szCs w:val="19"/>
                <w:color w:val="231F20"/>
                <w:w w:val="94"/>
              </w:rPr>
              <w:t>$</w:t>
            </w:r>
          </w:p>
        </w:tc>
        <w:tc>
          <w:tcPr>
            <w:tcW w:w="680" w:type="dxa"/>
            <w:vAlign w:val="bottom"/>
            <w:shd w:val="clear" w:color="auto" w:fill="FDFDFC"/>
          </w:tcPr>
          <w:p>
            <w:pPr>
              <w:ind w:left="480"/>
              <w:spacing w:after="0"/>
              <w:rPr>
                <w:sz w:val="20"/>
                <w:szCs w:val="20"/>
                <w:color w:val="auto"/>
              </w:rPr>
            </w:pPr>
            <w:r>
              <w:rPr>
                <w:rFonts w:ascii="Arial" w:cs="Arial" w:eastAsia="Arial" w:hAnsi="Arial"/>
                <w:sz w:val="19"/>
                <w:szCs w:val="19"/>
                <w:color w:val="231F20"/>
                <w:w w:val="94"/>
              </w:rPr>
              <w:t>—</w:t>
            </w:r>
          </w:p>
        </w:tc>
        <w:tc>
          <w:tcPr>
            <w:tcW w:w="220" w:type="dxa"/>
            <w:vAlign w:val="bottom"/>
            <w:shd w:val="clear" w:color="auto" w:fill="FDFDFC"/>
          </w:tcPr>
          <w:p>
            <w:pPr>
              <w:spacing w:after="0"/>
              <w:rPr>
                <w:sz w:val="20"/>
                <w:szCs w:val="20"/>
                <w:color w:val="auto"/>
              </w:rPr>
            </w:pPr>
          </w:p>
        </w:tc>
        <w:tc>
          <w:tcPr>
            <w:tcW w:w="160" w:type="dxa"/>
            <w:vAlign w:val="bottom"/>
            <w:tcBorders>
              <w:left w:val="single" w:sz="8" w:color="FDFDFC"/>
            </w:tcBorders>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6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12,648</w:t>
            </w:r>
          </w:p>
        </w:tc>
        <w:tc>
          <w:tcPr>
            <w:tcW w:w="200" w:type="dxa"/>
            <w:vAlign w:val="bottom"/>
            <w:shd w:val="clear" w:color="auto" w:fill="FDFDFC"/>
          </w:tcPr>
          <w:p>
            <w:pPr>
              <w:spacing w:after="0"/>
              <w:rPr>
                <w:sz w:val="20"/>
                <w:szCs w:val="20"/>
                <w:color w:val="auto"/>
              </w:rPr>
            </w:pPr>
          </w:p>
        </w:tc>
        <w:tc>
          <w:tcPr>
            <w:tcW w:w="120" w:type="dxa"/>
            <w:vAlign w:val="bottom"/>
            <w:tcBorders>
              <w:left w:val="single" w:sz="8" w:color="FDFDFC"/>
            </w:tcBorders>
            <w:shd w:val="clear" w:color="auto" w:fill="FDFDFC"/>
          </w:tcPr>
          <w:p>
            <w:pPr>
              <w:spacing w:after="0"/>
              <w:rPr>
                <w:sz w:val="20"/>
                <w:szCs w:val="20"/>
                <w:color w:val="auto"/>
              </w:rPr>
            </w:pPr>
            <w:r>
              <w:rPr>
                <w:rFonts w:ascii="Arial" w:cs="Arial" w:eastAsia="Arial" w:hAnsi="Arial"/>
                <w:sz w:val="19"/>
                <w:szCs w:val="19"/>
                <w:color w:val="231F20"/>
                <w:w w:val="94"/>
              </w:rPr>
              <w:t>$</w:t>
            </w:r>
          </w:p>
        </w:tc>
        <w:tc>
          <w:tcPr>
            <w:tcW w:w="7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(23)</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U.S. Government obligations</w:t>
            </w:r>
          </w:p>
        </w:tc>
        <w:tc>
          <w:tcPr>
            <w:tcW w:w="120" w:type="dxa"/>
            <w:vAlign w:val="bottom"/>
            <w:tcBorders>
              <w:right w:val="single" w:sz="8" w:color="D0EBF2"/>
            </w:tcBorders>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6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13,845</w:t>
            </w:r>
          </w:p>
        </w:tc>
        <w:tc>
          <w:tcPr>
            <w:tcW w:w="220" w:type="dxa"/>
            <w:vAlign w:val="bottom"/>
            <w:shd w:val="clear" w:color="auto" w:fill="D0EBF2"/>
          </w:tcPr>
          <w:p>
            <w:pPr>
              <w:spacing w:after="0"/>
              <w:rPr>
                <w:sz w:val="20"/>
                <w:szCs w:val="20"/>
                <w:color w:val="auto"/>
              </w:rPr>
            </w:pPr>
          </w:p>
        </w:tc>
        <w:tc>
          <w:tcPr>
            <w:tcW w:w="120" w:type="dxa"/>
            <w:vAlign w:val="bottom"/>
            <w:tcBorders>
              <w:left w:val="single" w:sz="8" w:color="D0EBF2"/>
            </w:tcBorders>
            <w:shd w:val="clear" w:color="auto" w:fill="D0EBF2"/>
          </w:tcPr>
          <w:p>
            <w:pPr>
              <w:spacing w:after="0"/>
              <w:rPr>
                <w:sz w:val="20"/>
                <w:szCs w:val="20"/>
                <w:color w:val="auto"/>
              </w:rPr>
            </w:pPr>
          </w:p>
        </w:tc>
        <w:tc>
          <w:tcPr>
            <w:tcW w:w="78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(67)</w:t>
            </w:r>
          </w:p>
        </w:tc>
        <w:tc>
          <w:tcPr>
            <w:tcW w:w="1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680" w:type="dxa"/>
            <w:vAlign w:val="bottom"/>
            <w:shd w:val="clear" w:color="auto" w:fill="D0EBF2"/>
          </w:tcPr>
          <w:p>
            <w:pPr>
              <w:ind w:left="480"/>
              <w:spacing w:after="0"/>
              <w:rPr>
                <w:sz w:val="20"/>
                <w:szCs w:val="20"/>
                <w:color w:val="auto"/>
              </w:rPr>
            </w:pPr>
            <w:r>
              <w:rPr>
                <w:rFonts w:ascii="Arial" w:cs="Arial" w:eastAsia="Arial" w:hAnsi="Arial"/>
                <w:sz w:val="19"/>
                <w:szCs w:val="19"/>
                <w:color w:val="231F20"/>
                <w:w w:val="94"/>
              </w:rPr>
              <w:t>—</w:t>
            </w:r>
          </w:p>
        </w:tc>
        <w:tc>
          <w:tcPr>
            <w:tcW w:w="200" w:type="dxa"/>
            <w:vAlign w:val="bottom"/>
            <w:shd w:val="clear" w:color="auto" w:fill="D0EBF2"/>
          </w:tcPr>
          <w:p>
            <w:pPr>
              <w:spacing w:after="0"/>
              <w:rPr>
                <w:sz w:val="20"/>
                <w:szCs w:val="20"/>
                <w:color w:val="auto"/>
              </w:rPr>
            </w:pPr>
          </w:p>
        </w:tc>
        <w:tc>
          <w:tcPr>
            <w:tcW w:w="120" w:type="dxa"/>
            <w:vAlign w:val="bottom"/>
            <w:tcBorders>
              <w:left w:val="single" w:sz="8" w:color="D0EBF2"/>
            </w:tcBorders>
            <w:shd w:val="clear" w:color="auto" w:fill="D0EBF2"/>
          </w:tcPr>
          <w:p>
            <w:pPr>
              <w:spacing w:after="0"/>
              <w:rPr>
                <w:sz w:val="20"/>
                <w:szCs w:val="20"/>
                <w:color w:val="auto"/>
              </w:rPr>
            </w:pPr>
          </w:p>
        </w:tc>
        <w:tc>
          <w:tcPr>
            <w:tcW w:w="680" w:type="dxa"/>
            <w:vAlign w:val="bottom"/>
            <w:shd w:val="clear" w:color="auto" w:fill="D0EBF2"/>
          </w:tcPr>
          <w:p>
            <w:pPr>
              <w:ind w:left="480"/>
              <w:spacing w:after="0"/>
              <w:rPr>
                <w:sz w:val="20"/>
                <w:szCs w:val="20"/>
                <w:color w:val="auto"/>
              </w:rPr>
            </w:pPr>
            <w:r>
              <w:rPr>
                <w:rFonts w:ascii="Arial" w:cs="Arial" w:eastAsia="Arial" w:hAnsi="Arial"/>
                <w:sz w:val="19"/>
                <w:szCs w:val="19"/>
                <w:color w:val="231F20"/>
                <w:w w:val="94"/>
              </w:rPr>
              <w:t>—</w:t>
            </w:r>
          </w:p>
        </w:tc>
        <w:tc>
          <w:tcPr>
            <w:tcW w:w="220" w:type="dxa"/>
            <w:vAlign w:val="bottom"/>
            <w:shd w:val="clear" w:color="auto" w:fill="D0EBF2"/>
          </w:tcPr>
          <w:p>
            <w:pPr>
              <w:spacing w:after="0"/>
              <w:rPr>
                <w:sz w:val="20"/>
                <w:szCs w:val="20"/>
                <w:color w:val="auto"/>
              </w:rPr>
            </w:pPr>
          </w:p>
        </w:tc>
        <w:tc>
          <w:tcPr>
            <w:tcW w:w="160" w:type="dxa"/>
            <w:vAlign w:val="bottom"/>
            <w:tcBorders>
              <w:left w:val="single" w:sz="8" w:color="D0EBF2"/>
            </w:tcBorders>
            <w:shd w:val="clear" w:color="auto" w:fill="D0EBF2"/>
          </w:tcPr>
          <w:p>
            <w:pPr>
              <w:spacing w:after="0"/>
              <w:rPr>
                <w:sz w:val="20"/>
                <w:szCs w:val="20"/>
                <w:color w:val="auto"/>
              </w:rPr>
            </w:pPr>
          </w:p>
        </w:tc>
        <w:tc>
          <w:tcPr>
            <w:tcW w:w="6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13,845</w:t>
            </w:r>
          </w:p>
        </w:tc>
        <w:tc>
          <w:tcPr>
            <w:tcW w:w="200" w:type="dxa"/>
            <w:vAlign w:val="bottom"/>
            <w:shd w:val="clear" w:color="auto" w:fill="D0EBF2"/>
          </w:tcPr>
          <w:p>
            <w:pPr>
              <w:spacing w:after="0"/>
              <w:rPr>
                <w:sz w:val="20"/>
                <w:szCs w:val="20"/>
                <w:color w:val="auto"/>
              </w:rPr>
            </w:pPr>
          </w:p>
        </w:tc>
        <w:tc>
          <w:tcPr>
            <w:tcW w:w="120" w:type="dxa"/>
            <w:vAlign w:val="bottom"/>
            <w:tcBorders>
              <w:left w:val="single" w:sz="8" w:color="D0EBF2"/>
            </w:tcBorders>
            <w:shd w:val="clear" w:color="auto" w:fill="D0EBF2"/>
          </w:tcPr>
          <w:p>
            <w:pPr>
              <w:spacing w:after="0"/>
              <w:rPr>
                <w:sz w:val="20"/>
                <w:szCs w:val="20"/>
                <w:color w:val="auto"/>
              </w:rPr>
            </w:pPr>
          </w:p>
        </w:tc>
        <w:tc>
          <w:tcPr>
            <w:tcW w:w="80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(67)</w:t>
            </w:r>
          </w:p>
        </w:tc>
        <w:tc>
          <w:tcPr>
            <w:tcW w:w="0" w:type="dxa"/>
            <w:vAlign w:val="bottom"/>
          </w:tcPr>
          <w:p>
            <w:pPr>
              <w:spacing w:after="0"/>
              <w:rPr>
                <w:sz w:val="1"/>
                <w:szCs w:val="1"/>
                <w:color w:val="auto"/>
              </w:rPr>
            </w:pPr>
          </w:p>
        </w:tc>
      </w:tr>
      <w:tr>
        <w:trPr>
          <w:trHeight w:val="230"/>
        </w:trPr>
        <w:tc>
          <w:tcPr>
            <w:tcW w:w="412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Asset-backed securities</w:t>
            </w:r>
          </w:p>
        </w:tc>
        <w:tc>
          <w:tcPr>
            <w:tcW w:w="120" w:type="dxa"/>
            <w:vAlign w:val="bottom"/>
            <w:tcBorders>
              <w:right w:val="single" w:sz="8" w:color="FDFDFC"/>
            </w:tcBorders>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6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999</w:t>
            </w:r>
          </w:p>
        </w:tc>
        <w:tc>
          <w:tcPr>
            <w:tcW w:w="220" w:type="dxa"/>
            <w:vAlign w:val="bottom"/>
            <w:shd w:val="clear" w:color="auto" w:fill="FDFDFC"/>
          </w:tcPr>
          <w:p>
            <w:pPr>
              <w:spacing w:after="0"/>
              <w:rPr>
                <w:sz w:val="20"/>
                <w:szCs w:val="20"/>
                <w:color w:val="auto"/>
              </w:rPr>
            </w:pPr>
          </w:p>
        </w:tc>
        <w:tc>
          <w:tcPr>
            <w:tcW w:w="120" w:type="dxa"/>
            <w:vAlign w:val="bottom"/>
            <w:tcBorders>
              <w:left w:val="single" w:sz="8" w:color="FDFDFC"/>
            </w:tcBorders>
            <w:shd w:val="clear" w:color="auto" w:fill="FDFDFC"/>
          </w:tcPr>
          <w:p>
            <w:pPr>
              <w:spacing w:after="0"/>
              <w:rPr>
                <w:sz w:val="20"/>
                <w:szCs w:val="20"/>
                <w:color w:val="auto"/>
              </w:rPr>
            </w:pPr>
          </w:p>
        </w:tc>
        <w:tc>
          <w:tcPr>
            <w:tcW w:w="78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(2)</w:t>
            </w:r>
          </w:p>
        </w:tc>
        <w:tc>
          <w:tcPr>
            <w:tcW w:w="1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680" w:type="dxa"/>
            <w:vAlign w:val="bottom"/>
            <w:shd w:val="clear" w:color="auto" w:fill="FDFDFC"/>
          </w:tcPr>
          <w:p>
            <w:pPr>
              <w:ind w:left="480"/>
              <w:spacing w:after="0"/>
              <w:rPr>
                <w:sz w:val="20"/>
                <w:szCs w:val="20"/>
                <w:color w:val="auto"/>
              </w:rPr>
            </w:pPr>
            <w:r>
              <w:rPr>
                <w:rFonts w:ascii="Arial" w:cs="Arial" w:eastAsia="Arial" w:hAnsi="Arial"/>
                <w:sz w:val="19"/>
                <w:szCs w:val="19"/>
                <w:color w:val="231F20"/>
                <w:w w:val="94"/>
              </w:rPr>
              <w:t>—</w:t>
            </w:r>
          </w:p>
        </w:tc>
        <w:tc>
          <w:tcPr>
            <w:tcW w:w="200" w:type="dxa"/>
            <w:vAlign w:val="bottom"/>
            <w:shd w:val="clear" w:color="auto" w:fill="FDFDFC"/>
          </w:tcPr>
          <w:p>
            <w:pPr>
              <w:spacing w:after="0"/>
              <w:rPr>
                <w:sz w:val="20"/>
                <w:szCs w:val="20"/>
                <w:color w:val="auto"/>
              </w:rPr>
            </w:pPr>
          </w:p>
        </w:tc>
        <w:tc>
          <w:tcPr>
            <w:tcW w:w="120" w:type="dxa"/>
            <w:vAlign w:val="bottom"/>
            <w:tcBorders>
              <w:left w:val="single" w:sz="8" w:color="FDFDFC"/>
            </w:tcBorders>
            <w:shd w:val="clear" w:color="auto" w:fill="FDFDFC"/>
          </w:tcPr>
          <w:p>
            <w:pPr>
              <w:spacing w:after="0"/>
              <w:rPr>
                <w:sz w:val="20"/>
                <w:szCs w:val="20"/>
                <w:color w:val="auto"/>
              </w:rPr>
            </w:pPr>
          </w:p>
        </w:tc>
        <w:tc>
          <w:tcPr>
            <w:tcW w:w="680" w:type="dxa"/>
            <w:vAlign w:val="bottom"/>
            <w:shd w:val="clear" w:color="auto" w:fill="FDFDFC"/>
          </w:tcPr>
          <w:p>
            <w:pPr>
              <w:ind w:left="480"/>
              <w:spacing w:after="0"/>
              <w:rPr>
                <w:sz w:val="20"/>
                <w:szCs w:val="20"/>
                <w:color w:val="auto"/>
              </w:rPr>
            </w:pPr>
            <w:r>
              <w:rPr>
                <w:rFonts w:ascii="Arial" w:cs="Arial" w:eastAsia="Arial" w:hAnsi="Arial"/>
                <w:sz w:val="19"/>
                <w:szCs w:val="19"/>
                <w:color w:val="231F20"/>
                <w:w w:val="94"/>
              </w:rPr>
              <w:t>—</w:t>
            </w:r>
          </w:p>
        </w:tc>
        <w:tc>
          <w:tcPr>
            <w:tcW w:w="220" w:type="dxa"/>
            <w:vAlign w:val="bottom"/>
            <w:shd w:val="clear" w:color="auto" w:fill="FDFDFC"/>
          </w:tcPr>
          <w:p>
            <w:pPr>
              <w:spacing w:after="0"/>
              <w:rPr>
                <w:sz w:val="20"/>
                <w:szCs w:val="20"/>
                <w:color w:val="auto"/>
              </w:rPr>
            </w:pPr>
          </w:p>
        </w:tc>
        <w:tc>
          <w:tcPr>
            <w:tcW w:w="160" w:type="dxa"/>
            <w:vAlign w:val="bottom"/>
            <w:tcBorders>
              <w:left w:val="single" w:sz="8" w:color="FDFDFC"/>
            </w:tcBorders>
            <w:shd w:val="clear" w:color="auto" w:fill="FDFDFC"/>
          </w:tcPr>
          <w:p>
            <w:pPr>
              <w:spacing w:after="0"/>
              <w:rPr>
                <w:sz w:val="20"/>
                <w:szCs w:val="20"/>
                <w:color w:val="auto"/>
              </w:rPr>
            </w:pPr>
          </w:p>
        </w:tc>
        <w:tc>
          <w:tcPr>
            <w:tcW w:w="6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999</w:t>
            </w:r>
          </w:p>
        </w:tc>
        <w:tc>
          <w:tcPr>
            <w:tcW w:w="200" w:type="dxa"/>
            <w:vAlign w:val="bottom"/>
            <w:shd w:val="clear" w:color="auto" w:fill="FDFDFC"/>
          </w:tcPr>
          <w:p>
            <w:pPr>
              <w:spacing w:after="0"/>
              <w:rPr>
                <w:sz w:val="20"/>
                <w:szCs w:val="20"/>
                <w:color w:val="auto"/>
              </w:rPr>
            </w:pPr>
          </w:p>
        </w:tc>
        <w:tc>
          <w:tcPr>
            <w:tcW w:w="120" w:type="dxa"/>
            <w:vAlign w:val="bottom"/>
            <w:tcBorders>
              <w:left w:val="single" w:sz="8" w:color="FDFDFC"/>
            </w:tcBorders>
            <w:shd w:val="clear" w:color="auto" w:fill="FDFDFC"/>
          </w:tcPr>
          <w:p>
            <w:pPr>
              <w:spacing w:after="0"/>
              <w:rPr>
                <w:sz w:val="20"/>
                <w:szCs w:val="20"/>
                <w:color w:val="auto"/>
              </w:rPr>
            </w:pPr>
          </w:p>
        </w:tc>
        <w:tc>
          <w:tcPr>
            <w:tcW w:w="80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(2)</w:t>
            </w:r>
          </w:p>
        </w:tc>
        <w:tc>
          <w:tcPr>
            <w:tcW w:w="0" w:type="dxa"/>
            <w:vAlign w:val="bottom"/>
          </w:tcPr>
          <w:p>
            <w:pPr>
              <w:spacing w:after="0"/>
              <w:rPr>
                <w:sz w:val="1"/>
                <w:szCs w:val="1"/>
                <w:color w:val="auto"/>
              </w:rPr>
            </w:pPr>
          </w:p>
        </w:tc>
      </w:tr>
      <w:tr>
        <w:trPr>
          <w:trHeight w:val="220"/>
        </w:trPr>
        <w:tc>
          <w:tcPr>
            <w:tcW w:w="4120" w:type="dxa"/>
            <w:vAlign w:val="bottom"/>
            <w:tcBorders>
              <w:top w:val="single" w:sz="8" w:color="D0EBF2"/>
            </w:tcBorders>
            <w:shd w:val="clear" w:color="auto" w:fill="D0EBF2"/>
          </w:tcPr>
          <w:p>
            <w:pPr>
              <w:ind w:left="260"/>
              <w:spacing w:after="0"/>
              <w:rPr>
                <w:sz w:val="20"/>
                <w:szCs w:val="20"/>
                <w:color w:val="auto"/>
              </w:rPr>
            </w:pPr>
            <w:r>
              <w:rPr>
                <w:rFonts w:ascii="Arial" w:cs="Arial" w:eastAsia="Arial" w:hAnsi="Arial"/>
                <w:sz w:val="19"/>
                <w:szCs w:val="19"/>
                <w:color w:val="231F20"/>
              </w:rPr>
              <w:t>Total long-term investments</w:t>
            </w:r>
          </w:p>
        </w:tc>
        <w:tc>
          <w:tcPr>
            <w:tcW w:w="120" w:type="dxa"/>
            <w:vAlign w:val="bottom"/>
            <w:tcBorders>
              <w:top w:val="single" w:sz="8" w:color="D0EBF2"/>
              <w:right w:val="single" w:sz="8" w:color="D0EBF2"/>
            </w:tcBorders>
            <w:shd w:val="clear" w:color="auto" w:fill="D0EBF2"/>
          </w:tcPr>
          <w:p>
            <w:pPr>
              <w:spacing w:after="0"/>
              <w:rPr>
                <w:sz w:val="19"/>
                <w:szCs w:val="19"/>
                <w:color w:val="auto"/>
              </w:rPr>
            </w:pPr>
          </w:p>
        </w:tc>
        <w:tc>
          <w:tcPr>
            <w:tcW w:w="1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5"/>
                <w:szCs w:val="15"/>
                <w:color w:val="231F20"/>
                <w:w w:val="71"/>
                <w:shd w:val="clear" w:color="auto" w:fill="D0EBF2"/>
              </w:rPr>
              <w:t>$</w:t>
            </w:r>
          </w:p>
        </w:tc>
        <w:tc>
          <w:tcPr>
            <w:tcW w:w="6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27,492</w:t>
            </w:r>
          </w:p>
        </w:tc>
        <w:tc>
          <w:tcPr>
            <w:tcW w:w="22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231F20"/>
              <w:left w:val="single" w:sz="8" w:color="D0EBF2"/>
              <w:bottom w:val="single" w:sz="8" w:color="231F20"/>
            </w:tcBorders>
            <w:shd w:val="clear" w:color="auto" w:fill="D0EBF2"/>
          </w:tcPr>
          <w:p>
            <w:pPr>
              <w:spacing w:after="0"/>
              <w:rPr>
                <w:sz w:val="20"/>
                <w:szCs w:val="20"/>
                <w:color w:val="auto"/>
              </w:rPr>
            </w:pPr>
            <w:r>
              <w:rPr>
                <w:rFonts w:ascii="Arial" w:cs="Arial" w:eastAsia="Arial" w:hAnsi="Arial"/>
                <w:sz w:val="19"/>
                <w:szCs w:val="19"/>
                <w:color w:val="231F20"/>
                <w:w w:val="94"/>
              </w:rPr>
              <w:t>$</w:t>
            </w:r>
          </w:p>
        </w:tc>
        <w:tc>
          <w:tcPr>
            <w:tcW w:w="6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(92)</w:t>
            </w:r>
          </w:p>
        </w:tc>
        <w:tc>
          <w:tcPr>
            <w:tcW w:w="100" w:type="dxa"/>
            <w:vAlign w:val="bottom"/>
            <w:tcBorders>
              <w:top w:val="single" w:sz="8" w:color="D0EBF2"/>
            </w:tcBorders>
            <w:shd w:val="clear" w:color="auto" w:fill="D0EBF2"/>
          </w:tcPr>
          <w:p>
            <w:pPr>
              <w:spacing w:after="0"/>
              <w:rPr>
                <w:sz w:val="19"/>
                <w:szCs w:val="19"/>
                <w:color w:val="auto"/>
              </w:rPr>
            </w:pPr>
          </w:p>
        </w:tc>
        <w:tc>
          <w:tcPr>
            <w:tcW w:w="100" w:type="dxa"/>
            <w:vAlign w:val="bottom"/>
            <w:tcBorders>
              <w:top w:val="single" w:sz="8" w:color="D0EBF2"/>
            </w:tcBorders>
            <w:shd w:val="clear" w:color="auto" w:fill="D0EBF2"/>
          </w:tcPr>
          <w:p>
            <w:pPr>
              <w:spacing w:after="0"/>
              <w:rPr>
                <w:sz w:val="19"/>
                <w:szCs w:val="19"/>
                <w:color w:val="auto"/>
              </w:rPr>
            </w:pPr>
          </w:p>
        </w:tc>
        <w:tc>
          <w:tcPr>
            <w:tcW w:w="20" w:type="dxa"/>
            <w:vAlign w:val="bottom"/>
            <w:tcBorders>
              <w:top w:val="single" w:sz="8" w:color="231F20"/>
              <w:bottom w:val="single" w:sz="8" w:color="231F20"/>
            </w:tcBorders>
            <w:shd w:val="clear" w:color="auto" w:fill="D0EBF2"/>
          </w:tcPr>
          <w:p>
            <w:pPr>
              <w:spacing w:after="0"/>
              <w:rPr>
                <w:sz w:val="19"/>
                <w:szCs w:val="19"/>
                <w:color w:val="auto"/>
              </w:rPr>
            </w:pPr>
          </w:p>
        </w:tc>
        <w:tc>
          <w:tcPr>
            <w:tcW w:w="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680" w:type="dxa"/>
            <w:vAlign w:val="bottom"/>
            <w:tcBorders>
              <w:top w:val="single" w:sz="8" w:color="231F20"/>
              <w:bottom w:val="single" w:sz="8" w:color="231F20"/>
            </w:tcBorders>
            <w:shd w:val="clear" w:color="auto" w:fill="D0EBF2"/>
          </w:tcPr>
          <w:p>
            <w:pPr>
              <w:ind w:left="480"/>
              <w:spacing w:after="0"/>
              <w:rPr>
                <w:sz w:val="20"/>
                <w:szCs w:val="20"/>
                <w:color w:val="auto"/>
              </w:rPr>
            </w:pPr>
            <w:r>
              <w:rPr>
                <w:rFonts w:ascii="Arial" w:cs="Arial" w:eastAsia="Arial" w:hAnsi="Arial"/>
                <w:sz w:val="19"/>
                <w:szCs w:val="19"/>
                <w:color w:val="231F20"/>
                <w:w w:val="94"/>
              </w:rPr>
              <w:t>—</w:t>
            </w:r>
          </w:p>
        </w:tc>
        <w:tc>
          <w:tcPr>
            <w:tcW w:w="20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231F20"/>
              <w:left w:val="single" w:sz="8" w:color="D0EBF2"/>
              <w:bottom w:val="single" w:sz="8" w:color="231F20"/>
            </w:tcBorders>
            <w:shd w:val="clear" w:color="auto" w:fill="D0EBF2"/>
          </w:tcPr>
          <w:p>
            <w:pPr>
              <w:spacing w:after="0"/>
              <w:rPr>
                <w:sz w:val="20"/>
                <w:szCs w:val="20"/>
                <w:color w:val="auto"/>
              </w:rPr>
            </w:pPr>
            <w:r>
              <w:rPr>
                <w:rFonts w:ascii="Arial" w:cs="Arial" w:eastAsia="Arial" w:hAnsi="Arial"/>
                <w:sz w:val="19"/>
                <w:szCs w:val="19"/>
                <w:color w:val="231F20"/>
                <w:w w:val="94"/>
              </w:rPr>
              <w:t>$</w:t>
            </w:r>
          </w:p>
        </w:tc>
        <w:tc>
          <w:tcPr>
            <w:tcW w:w="680" w:type="dxa"/>
            <w:vAlign w:val="bottom"/>
            <w:tcBorders>
              <w:top w:val="single" w:sz="8" w:color="231F20"/>
              <w:bottom w:val="single" w:sz="8" w:color="231F20"/>
            </w:tcBorders>
            <w:shd w:val="clear" w:color="auto" w:fill="D0EBF2"/>
          </w:tcPr>
          <w:p>
            <w:pPr>
              <w:ind w:left="480"/>
              <w:spacing w:after="0"/>
              <w:rPr>
                <w:sz w:val="20"/>
                <w:szCs w:val="20"/>
                <w:color w:val="auto"/>
              </w:rPr>
            </w:pPr>
            <w:r>
              <w:rPr>
                <w:rFonts w:ascii="Arial" w:cs="Arial" w:eastAsia="Arial" w:hAnsi="Arial"/>
                <w:sz w:val="19"/>
                <w:szCs w:val="19"/>
                <w:color w:val="231F20"/>
                <w:w w:val="94"/>
              </w:rPr>
              <w:t>—</w:t>
            </w:r>
          </w:p>
        </w:tc>
        <w:tc>
          <w:tcPr>
            <w:tcW w:w="220" w:type="dxa"/>
            <w:vAlign w:val="bottom"/>
            <w:tcBorders>
              <w:top w:val="single" w:sz="8" w:color="D0EBF2"/>
            </w:tcBorders>
            <w:shd w:val="clear" w:color="auto" w:fill="D0EBF2"/>
          </w:tcPr>
          <w:p>
            <w:pPr>
              <w:spacing w:after="0"/>
              <w:rPr>
                <w:sz w:val="19"/>
                <w:szCs w:val="19"/>
                <w:color w:val="auto"/>
              </w:rPr>
            </w:pPr>
          </w:p>
        </w:tc>
        <w:tc>
          <w:tcPr>
            <w:tcW w:w="160" w:type="dxa"/>
            <w:vAlign w:val="bottom"/>
            <w:tcBorders>
              <w:top w:val="single" w:sz="8" w:color="231F20"/>
              <w:left w:val="single" w:sz="8" w:color="D0EBF2"/>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75"/>
                <w:shd w:val="clear" w:color="auto" w:fill="D0EBF2"/>
              </w:rPr>
              <w:t>$</w:t>
            </w:r>
          </w:p>
        </w:tc>
        <w:tc>
          <w:tcPr>
            <w:tcW w:w="6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27,492</w:t>
            </w:r>
          </w:p>
        </w:tc>
        <w:tc>
          <w:tcPr>
            <w:tcW w:w="20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231F20"/>
              <w:left w:val="single" w:sz="8" w:color="D0EBF2"/>
              <w:bottom w:val="single" w:sz="8" w:color="231F20"/>
            </w:tcBorders>
            <w:shd w:val="clear" w:color="auto" w:fill="D0EBF2"/>
          </w:tcPr>
          <w:p>
            <w:pPr>
              <w:spacing w:after="0"/>
              <w:rPr>
                <w:sz w:val="20"/>
                <w:szCs w:val="20"/>
                <w:color w:val="auto"/>
              </w:rPr>
            </w:pPr>
            <w:r>
              <w:rPr>
                <w:rFonts w:ascii="Arial" w:cs="Arial" w:eastAsia="Arial" w:hAnsi="Arial"/>
                <w:sz w:val="19"/>
                <w:szCs w:val="19"/>
                <w:color w:val="231F20"/>
                <w:w w:val="94"/>
              </w:rPr>
              <w:t>$</w:t>
            </w:r>
          </w:p>
        </w:tc>
        <w:tc>
          <w:tcPr>
            <w:tcW w:w="7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(92)</w:t>
            </w:r>
          </w:p>
        </w:tc>
        <w:tc>
          <w:tcPr>
            <w:tcW w:w="10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3322955</wp:posOffset>
                </wp:positionH>
                <wp:positionV relativeFrom="paragraph">
                  <wp:posOffset>-937895</wp:posOffset>
                </wp:positionV>
                <wp:extent cx="513715" cy="14668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715" cy="146685"/>
                        </a:xfrm>
                        <a:prstGeom prst="rect">
                          <a:avLst/>
                        </a:prstGeom>
                        <a:solidFill>
                          <a:srgbClr val="FDFDFC"/>
                        </a:solidFill>
                      </wps:spPr>
                      <wps:bodyPr/>
                    </wps:wsp>
                  </a:graphicData>
                </a:graphic>
              </wp:anchor>
            </w:drawing>
          </mc:Choice>
          <mc:Fallback>
            <w:pict>
              <v:rect id="Shape 58" o:spid="_x0000_s1083" style="position:absolute;margin-left:261.65pt;margin-top:-73.8499pt;width:40.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3836670</wp:posOffset>
                </wp:positionH>
                <wp:positionV relativeFrom="paragraph">
                  <wp:posOffset>-943610</wp:posOffset>
                </wp:positionV>
                <wp:extent cx="129540" cy="15240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152400"/>
                        </a:xfrm>
                        <a:prstGeom prst="rect">
                          <a:avLst/>
                        </a:prstGeom>
                        <a:solidFill>
                          <a:srgbClr val="FDFDFC"/>
                        </a:solidFill>
                      </wps:spPr>
                      <wps:bodyPr/>
                    </wps:wsp>
                  </a:graphicData>
                </a:graphic>
              </wp:anchor>
            </w:drawing>
          </mc:Choice>
          <mc:Fallback>
            <w:pict>
              <v:rect id="Shape 59" o:spid="_x0000_s1084" style="position:absolute;margin-left:302.1pt;margin-top:-74.2999pt;width:10.2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5896610</wp:posOffset>
                </wp:positionH>
                <wp:positionV relativeFrom="paragraph">
                  <wp:posOffset>-937895</wp:posOffset>
                </wp:positionV>
                <wp:extent cx="515620" cy="14668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5620" cy="146685"/>
                        </a:xfrm>
                        <a:prstGeom prst="rect">
                          <a:avLst/>
                        </a:prstGeom>
                        <a:solidFill>
                          <a:srgbClr val="FDFDFC"/>
                        </a:solidFill>
                      </wps:spPr>
                      <wps:bodyPr/>
                    </wps:wsp>
                  </a:graphicData>
                </a:graphic>
              </wp:anchor>
            </w:drawing>
          </mc:Choice>
          <mc:Fallback>
            <w:pict>
              <v:rect id="Shape 60" o:spid="_x0000_s1085" style="position:absolute;margin-left:464.3pt;margin-top:-73.8499pt;width:40.6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p>
      <w:pPr>
        <w:spacing w:after="0" w:line="151" w:lineRule="exact"/>
        <w:rPr>
          <w:sz w:val="20"/>
          <w:szCs w:val="20"/>
          <w:color w:val="auto"/>
        </w:rPr>
      </w:pPr>
    </w:p>
    <w:p>
      <w:pPr>
        <w:ind w:right="280" w:firstLine="463"/>
        <w:spacing w:after="0" w:line="248" w:lineRule="auto"/>
        <w:rPr>
          <w:sz w:val="20"/>
          <w:szCs w:val="20"/>
          <w:color w:val="auto"/>
        </w:rPr>
      </w:pPr>
      <w:r>
        <w:rPr>
          <w:rFonts w:ascii="Arial" w:cs="Arial" w:eastAsia="Arial" w:hAnsi="Arial"/>
          <w:sz w:val="19"/>
          <w:szCs w:val="19"/>
          <w:color w:val="231F20"/>
        </w:rPr>
        <w:t>Unrealized losses have not been recognized into income (loss) as the Company neither intends to sell, nor anticipates that it is more likely than not that the Company will be required to sell, the securities before recovery of their amortized cost basis. The decline in fair value is due primarily to changes in market interest rates, rather than credit losses. Based on the evaluation of available evidence, the Company does not believe any unrealized losses represent other than temporary impairments.</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129</w:t>
      </w:r>
    </w:p>
    <w:p>
      <w:pPr>
        <w:sectPr>
          <w:pgSz w:w="12240" w:h="15840" w:orient="portrait"/>
          <w:cols w:equalWidth="0" w:num="1">
            <w:col w:w="10200"/>
          </w:cols>
          <w:pgMar w:left="1020" w:top="1440" w:right="1020" w:bottom="572" w:gutter="0" w:footer="0" w:header="0"/>
          <w:type w:val="continuous"/>
        </w:sectPr>
      </w:pPr>
    </w:p>
    <w:bookmarkStart w:id="130" w:name="page131"/>
    <w:bookmarkEnd w:id="130"/>
    <w:p>
      <w:pPr>
        <w:spacing w:after="0" w:line="97" w:lineRule="exact"/>
        <w:rPr>
          <w:sz w:val="20"/>
          <w:szCs w:val="20"/>
          <w:color w:val="auto"/>
        </w:rPr>
      </w:pPr>
    </w:p>
    <w:p>
      <w:pPr>
        <w:ind w:right="220" w:firstLine="463"/>
        <w:spacing w:after="0" w:line="258" w:lineRule="auto"/>
        <w:rPr>
          <w:sz w:val="20"/>
          <w:szCs w:val="20"/>
          <w:color w:val="auto"/>
        </w:rPr>
      </w:pPr>
      <w:r>
        <w:rPr>
          <w:rFonts w:ascii="Arial" w:cs="Arial" w:eastAsia="Arial" w:hAnsi="Arial"/>
          <w:sz w:val="19"/>
          <w:szCs w:val="19"/>
          <w:color w:val="231F20"/>
        </w:rPr>
        <w:t>During the year ended December 31, 2024, the Company received proceeds of $29.6 million from the sale and maturity of short-term and long-term investments. There have been no significant realized gains or losses on the sale of short-term and long-term investments during the year ended December 31, 2024.</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Note 5. Fair Value Measurements</w:t>
      </w:r>
    </w:p>
    <w:p>
      <w:pPr>
        <w:spacing w:after="0" w:line="192" w:lineRule="exact"/>
        <w:rPr>
          <w:sz w:val="20"/>
          <w:szCs w:val="20"/>
          <w:color w:val="auto"/>
        </w:rPr>
      </w:pPr>
    </w:p>
    <w:p>
      <w:pPr>
        <w:ind w:right="740" w:firstLine="463"/>
        <w:spacing w:after="0" w:line="278" w:lineRule="auto"/>
        <w:rPr>
          <w:sz w:val="20"/>
          <w:szCs w:val="20"/>
          <w:color w:val="auto"/>
        </w:rPr>
      </w:pPr>
      <w:r>
        <w:rPr>
          <w:rFonts w:ascii="Arial" w:cs="Arial" w:eastAsia="Arial" w:hAnsi="Arial"/>
          <w:sz w:val="19"/>
          <w:szCs w:val="19"/>
          <w:color w:val="231F20"/>
        </w:rPr>
        <w:t>The following tables present the Company’s fair value hierarchy for its financial assets and liabilities that are measured at fair value on a recurring basis as of December 31, 2024 and 2023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120" w:type="dxa"/>
            <w:vAlign w:val="bottom"/>
            <w:shd w:val="clear" w:color="auto" w:fill="FDFDFC"/>
          </w:tcPr>
          <w:p>
            <w:pPr>
              <w:jc w:val="center"/>
              <w:ind w:right="29"/>
              <w:spacing w:after="0"/>
              <w:rPr>
                <w:sz w:val="20"/>
                <w:szCs w:val="20"/>
                <w:color w:val="auto"/>
              </w:rPr>
            </w:pPr>
            <w:r>
              <w:rPr>
                <w:rFonts w:ascii="Arial" w:cs="Arial" w:eastAsia="Arial" w:hAnsi="Arial"/>
                <w:sz w:val="15"/>
                <w:szCs w:val="15"/>
                <w:b w:val="1"/>
                <w:bCs w:val="1"/>
                <w:color w:val="231F20"/>
              </w:rPr>
              <w:t>Measured at</w:t>
            </w:r>
          </w:p>
        </w:tc>
        <w:tc>
          <w:tcPr>
            <w:tcW w:w="20" w:type="dxa"/>
            <w:vAlign w:val="bottom"/>
          </w:tcPr>
          <w:p>
            <w:pPr>
              <w:spacing w:after="0"/>
              <w:rPr>
                <w:sz w:val="14"/>
                <w:szCs w:val="14"/>
                <w:color w:val="auto"/>
              </w:rPr>
            </w:pPr>
          </w:p>
        </w:tc>
        <w:tc>
          <w:tcPr>
            <w:tcW w:w="220" w:type="dxa"/>
            <w:vAlign w:val="bottom"/>
            <w:tcBorders>
              <w:right w:val="single" w:sz="8" w:color="FDFDFC"/>
            </w:tcBorders>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740" w:type="dxa"/>
            <w:vAlign w:val="bottom"/>
            <w:shd w:val="clear" w:color="auto" w:fill="FDFDFC"/>
          </w:tcPr>
          <w:p>
            <w:pPr>
              <w:spacing w:after="0"/>
              <w:rPr>
                <w:sz w:val="14"/>
                <w:szCs w:val="14"/>
                <w:color w:val="auto"/>
              </w:rPr>
            </w:pPr>
          </w:p>
        </w:tc>
        <w:tc>
          <w:tcPr>
            <w:tcW w:w="24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840" w:type="dxa"/>
            <w:vAlign w:val="bottom"/>
            <w:shd w:val="clear" w:color="auto" w:fill="FDFDFC"/>
          </w:tcPr>
          <w:p>
            <w:pPr>
              <w:spacing w:after="0"/>
              <w:rPr>
                <w:sz w:val="14"/>
                <w:szCs w:val="14"/>
                <w:color w:val="auto"/>
              </w:rPr>
            </w:pPr>
          </w:p>
        </w:tc>
        <w:tc>
          <w:tcPr>
            <w:tcW w:w="2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840" w:type="dxa"/>
            <w:vAlign w:val="bottom"/>
            <w:shd w:val="clear" w:color="auto" w:fill="FDFDFC"/>
          </w:tcPr>
          <w:p>
            <w:pPr>
              <w:spacing w:after="0"/>
              <w:rPr>
                <w:sz w:val="14"/>
                <w:szCs w:val="14"/>
                <w:color w:val="auto"/>
              </w:rPr>
            </w:pPr>
          </w:p>
        </w:tc>
        <w:tc>
          <w:tcPr>
            <w:tcW w:w="2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60" w:type="dxa"/>
            <w:vAlign w:val="bottom"/>
            <w:shd w:val="clear" w:color="auto" w:fill="FDFDFC"/>
          </w:tcPr>
          <w:p>
            <w:pPr>
              <w:spacing w:after="0"/>
              <w:rPr>
                <w:sz w:val="14"/>
                <w:szCs w:val="14"/>
                <w:color w:val="auto"/>
              </w:rPr>
            </w:pPr>
          </w:p>
        </w:tc>
        <w:tc>
          <w:tcPr>
            <w:tcW w:w="8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4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120" w:type="dxa"/>
            <w:vAlign w:val="bottom"/>
            <w:shd w:val="clear" w:color="auto" w:fill="FDFDFC"/>
          </w:tcPr>
          <w:p>
            <w:pPr>
              <w:jc w:val="center"/>
              <w:ind w:right="29"/>
              <w:spacing w:after="0"/>
              <w:rPr>
                <w:sz w:val="20"/>
                <w:szCs w:val="20"/>
                <w:color w:val="auto"/>
              </w:rPr>
            </w:pPr>
            <w:r>
              <w:rPr>
                <w:rFonts w:ascii="Arial" w:cs="Arial" w:eastAsia="Arial" w:hAnsi="Arial"/>
                <w:sz w:val="15"/>
                <w:szCs w:val="15"/>
                <w:b w:val="1"/>
                <w:bCs w:val="1"/>
                <w:color w:val="231F20"/>
              </w:rPr>
              <w:t>NAV as of</w:t>
            </w:r>
          </w:p>
        </w:tc>
        <w:tc>
          <w:tcPr>
            <w:tcW w:w="20" w:type="dxa"/>
            <w:vAlign w:val="bottom"/>
          </w:tcPr>
          <w:p>
            <w:pPr>
              <w:spacing w:after="0"/>
              <w:rPr>
                <w:sz w:val="15"/>
                <w:szCs w:val="15"/>
                <w:color w:val="auto"/>
              </w:rPr>
            </w:pPr>
          </w:p>
        </w:tc>
        <w:tc>
          <w:tcPr>
            <w:tcW w:w="220" w:type="dxa"/>
            <w:vAlign w:val="bottom"/>
            <w:tcBorders>
              <w:right w:val="single" w:sz="8" w:color="FDFDFC"/>
            </w:tcBorders>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740" w:type="dxa"/>
            <w:vAlign w:val="bottom"/>
            <w:gridSpan w:val="20"/>
            <w:vMerge w:val="restart"/>
            <w:shd w:val="clear" w:color="auto" w:fill="FDFDFC"/>
          </w:tcPr>
          <w:p>
            <w:pPr>
              <w:ind w:left="560"/>
              <w:spacing w:after="0"/>
              <w:rPr>
                <w:sz w:val="20"/>
                <w:szCs w:val="20"/>
                <w:color w:val="auto"/>
              </w:rPr>
            </w:pPr>
            <w:r>
              <w:rPr>
                <w:rFonts w:ascii="Arial" w:cs="Arial" w:eastAsia="Arial" w:hAnsi="Arial"/>
                <w:sz w:val="15"/>
                <w:szCs w:val="15"/>
                <w:b w:val="1"/>
                <w:bCs w:val="1"/>
                <w:color w:val="231F20"/>
              </w:rPr>
              <w:t>Measured at Fair Value as of December 31, 2024:</w:t>
            </w:r>
          </w:p>
        </w:tc>
        <w:tc>
          <w:tcPr>
            <w:tcW w:w="0" w:type="dxa"/>
            <w:vAlign w:val="bottom"/>
          </w:tcPr>
          <w:p>
            <w:pPr>
              <w:spacing w:after="0"/>
              <w:rPr>
                <w:sz w:val="1"/>
                <w:szCs w:val="1"/>
                <w:color w:val="auto"/>
              </w:rPr>
            </w:pPr>
          </w:p>
        </w:tc>
      </w:tr>
      <w:tr>
        <w:trPr>
          <w:trHeight w:val="128"/>
        </w:trPr>
        <w:tc>
          <w:tcPr>
            <w:tcW w:w="384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2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1120" w:type="dxa"/>
            <w:vAlign w:val="bottom"/>
            <w:vMerge w:val="restart"/>
            <w:shd w:val="clear" w:color="auto" w:fill="FDFDFC"/>
          </w:tcPr>
          <w:p>
            <w:pPr>
              <w:jc w:val="center"/>
              <w:ind w:right="49"/>
              <w:spacing w:after="0"/>
              <w:rPr>
                <w:sz w:val="20"/>
                <w:szCs w:val="20"/>
                <w:color w:val="auto"/>
              </w:rPr>
            </w:pPr>
            <w:r>
              <w:rPr>
                <w:rFonts w:ascii="Arial" w:cs="Arial" w:eastAsia="Arial" w:hAnsi="Arial"/>
                <w:sz w:val="15"/>
                <w:szCs w:val="15"/>
                <w:b w:val="1"/>
                <w:bCs w:val="1"/>
                <w:color w:val="231F20"/>
              </w:rPr>
              <w:t>December 31,</w:t>
            </w:r>
          </w:p>
        </w:tc>
        <w:tc>
          <w:tcPr>
            <w:tcW w:w="20" w:type="dxa"/>
            <w:vAlign w:val="bottom"/>
          </w:tcPr>
          <w:p>
            <w:pPr>
              <w:spacing w:after="0"/>
              <w:rPr>
                <w:sz w:val="11"/>
                <w:szCs w:val="11"/>
                <w:color w:val="auto"/>
              </w:rPr>
            </w:pPr>
          </w:p>
        </w:tc>
        <w:tc>
          <w:tcPr>
            <w:tcW w:w="220" w:type="dxa"/>
            <w:vAlign w:val="bottom"/>
            <w:tcBorders>
              <w:right w:val="single" w:sz="8" w:color="FDFDFC"/>
            </w:tcBorders>
            <w:shd w:val="clear" w:color="auto" w:fill="FDFDFC"/>
          </w:tcPr>
          <w:p>
            <w:pPr>
              <w:spacing w:after="0"/>
              <w:rPr>
                <w:sz w:val="11"/>
                <w:szCs w:val="11"/>
                <w:color w:val="auto"/>
              </w:rPr>
            </w:pPr>
          </w:p>
        </w:tc>
        <w:tc>
          <w:tcPr>
            <w:tcW w:w="20" w:type="dxa"/>
            <w:vAlign w:val="bottom"/>
            <w:shd w:val="clear" w:color="auto" w:fill="FDFDFC"/>
          </w:tcPr>
          <w:p>
            <w:pPr>
              <w:spacing w:after="0"/>
              <w:rPr>
                <w:sz w:val="11"/>
                <w:szCs w:val="11"/>
                <w:color w:val="auto"/>
              </w:rPr>
            </w:pPr>
          </w:p>
        </w:tc>
        <w:tc>
          <w:tcPr>
            <w:tcW w:w="4740" w:type="dxa"/>
            <w:vAlign w:val="bottom"/>
            <w:gridSpan w:val="20"/>
            <w:vMerge w:val="continue"/>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3840" w:type="dxa"/>
            <w:vAlign w:val="bottom"/>
            <w:shd w:val="clear" w:color="auto" w:fill="FDFDFC"/>
          </w:tcPr>
          <w:p>
            <w:pPr>
              <w:spacing w:after="0"/>
              <w:rPr>
                <w:sz w:val="3"/>
                <w:szCs w:val="3"/>
                <w:color w:val="auto"/>
              </w:rPr>
            </w:pPr>
          </w:p>
        </w:tc>
        <w:tc>
          <w:tcPr>
            <w:tcW w:w="120" w:type="dxa"/>
            <w:vAlign w:val="bottom"/>
            <w:shd w:val="clear" w:color="auto" w:fill="FDFDFC"/>
          </w:tcPr>
          <w:p>
            <w:pPr>
              <w:spacing w:after="0"/>
              <w:rPr>
                <w:sz w:val="3"/>
                <w:szCs w:val="3"/>
                <w:color w:val="auto"/>
              </w:rPr>
            </w:pPr>
          </w:p>
        </w:tc>
        <w:tc>
          <w:tcPr>
            <w:tcW w:w="20" w:type="dxa"/>
            <w:vAlign w:val="bottom"/>
            <w:shd w:val="clear" w:color="auto" w:fill="FDFDFC"/>
          </w:tcPr>
          <w:p>
            <w:pPr>
              <w:spacing w:after="0"/>
              <w:rPr>
                <w:sz w:val="3"/>
                <w:szCs w:val="3"/>
                <w:color w:val="auto"/>
              </w:rPr>
            </w:pPr>
          </w:p>
        </w:tc>
        <w:tc>
          <w:tcPr>
            <w:tcW w:w="100" w:type="dxa"/>
            <w:vAlign w:val="bottom"/>
            <w:shd w:val="clear" w:color="auto" w:fill="FDFDFC"/>
          </w:tcPr>
          <w:p>
            <w:pPr>
              <w:spacing w:after="0"/>
              <w:rPr>
                <w:sz w:val="3"/>
                <w:szCs w:val="3"/>
                <w:color w:val="auto"/>
              </w:rPr>
            </w:pPr>
          </w:p>
        </w:tc>
        <w:tc>
          <w:tcPr>
            <w:tcW w:w="1120" w:type="dxa"/>
            <w:vAlign w:val="bottom"/>
            <w:vMerge w:val="continue"/>
            <w:shd w:val="clear" w:color="auto" w:fill="FDFDFC"/>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right w:val="single" w:sz="8" w:color="FDFDFC"/>
            </w:tcBorders>
            <w:shd w:val="clear" w:color="auto" w:fill="FDFDFC"/>
          </w:tcPr>
          <w:p>
            <w:pPr>
              <w:spacing w:after="0"/>
              <w:rPr>
                <w:sz w:val="3"/>
                <w:szCs w:val="3"/>
                <w:color w:val="auto"/>
              </w:rPr>
            </w:pPr>
          </w:p>
        </w:tc>
        <w:tc>
          <w:tcPr>
            <w:tcW w:w="20" w:type="dxa"/>
            <w:vAlign w:val="bottom"/>
            <w:shd w:val="clear" w:color="auto" w:fill="FDFDFC"/>
          </w:tcPr>
          <w:p>
            <w:pPr>
              <w:spacing w:after="0"/>
              <w:rPr>
                <w:sz w:val="3"/>
                <w:szCs w:val="3"/>
                <w:color w:val="auto"/>
              </w:rPr>
            </w:pPr>
          </w:p>
        </w:tc>
        <w:tc>
          <w:tcPr>
            <w:tcW w:w="740" w:type="dxa"/>
            <w:vAlign w:val="bottom"/>
            <w:shd w:val="clear" w:color="auto" w:fill="FDFDFC"/>
          </w:tcPr>
          <w:p>
            <w:pPr>
              <w:spacing w:after="0"/>
              <w:rPr>
                <w:sz w:val="3"/>
                <w:szCs w:val="3"/>
                <w:color w:val="auto"/>
              </w:rPr>
            </w:pPr>
          </w:p>
        </w:tc>
        <w:tc>
          <w:tcPr>
            <w:tcW w:w="240" w:type="dxa"/>
            <w:vAlign w:val="bottom"/>
            <w:shd w:val="clear" w:color="auto" w:fill="FDFDFC"/>
          </w:tcPr>
          <w:p>
            <w:pPr>
              <w:spacing w:after="0"/>
              <w:rPr>
                <w:sz w:val="3"/>
                <w:szCs w:val="3"/>
                <w:color w:val="auto"/>
              </w:rPr>
            </w:pPr>
          </w:p>
        </w:tc>
        <w:tc>
          <w:tcPr>
            <w:tcW w:w="100" w:type="dxa"/>
            <w:vAlign w:val="bottom"/>
            <w:shd w:val="clear" w:color="auto" w:fill="FDFDFC"/>
          </w:tcPr>
          <w:p>
            <w:pPr>
              <w:spacing w:after="0"/>
              <w:rPr>
                <w:sz w:val="3"/>
                <w:szCs w:val="3"/>
                <w:color w:val="auto"/>
              </w:rPr>
            </w:pPr>
          </w:p>
        </w:tc>
        <w:tc>
          <w:tcPr>
            <w:tcW w:w="120" w:type="dxa"/>
            <w:vAlign w:val="bottom"/>
            <w:shd w:val="clear" w:color="auto" w:fill="FDFDFC"/>
          </w:tcPr>
          <w:p>
            <w:pPr>
              <w:spacing w:after="0"/>
              <w:rPr>
                <w:sz w:val="3"/>
                <w:szCs w:val="3"/>
                <w:color w:val="auto"/>
              </w:rPr>
            </w:pPr>
          </w:p>
        </w:tc>
        <w:tc>
          <w:tcPr>
            <w:tcW w:w="20" w:type="dxa"/>
            <w:vAlign w:val="bottom"/>
            <w:shd w:val="clear" w:color="auto" w:fill="FDFDFC"/>
          </w:tcPr>
          <w:p>
            <w:pPr>
              <w:spacing w:after="0"/>
              <w:rPr>
                <w:sz w:val="3"/>
                <w:szCs w:val="3"/>
                <w:color w:val="auto"/>
              </w:rPr>
            </w:pPr>
          </w:p>
        </w:tc>
        <w:tc>
          <w:tcPr>
            <w:tcW w:w="20" w:type="dxa"/>
            <w:vAlign w:val="bottom"/>
            <w:shd w:val="clear" w:color="auto" w:fill="FDFDFC"/>
          </w:tcPr>
          <w:p>
            <w:pPr>
              <w:spacing w:after="0"/>
              <w:rPr>
                <w:sz w:val="3"/>
                <w:szCs w:val="3"/>
                <w:color w:val="auto"/>
              </w:rPr>
            </w:pPr>
          </w:p>
        </w:tc>
        <w:tc>
          <w:tcPr>
            <w:tcW w:w="120" w:type="dxa"/>
            <w:vAlign w:val="bottom"/>
            <w:shd w:val="clear" w:color="auto" w:fill="FDFDFC"/>
          </w:tcPr>
          <w:p>
            <w:pPr>
              <w:spacing w:after="0"/>
              <w:rPr>
                <w:sz w:val="3"/>
                <w:szCs w:val="3"/>
                <w:color w:val="auto"/>
              </w:rPr>
            </w:pPr>
          </w:p>
        </w:tc>
        <w:tc>
          <w:tcPr>
            <w:tcW w:w="840" w:type="dxa"/>
            <w:vAlign w:val="bottom"/>
            <w:shd w:val="clear" w:color="auto" w:fill="FDFDFC"/>
          </w:tcPr>
          <w:p>
            <w:pPr>
              <w:spacing w:after="0"/>
              <w:rPr>
                <w:sz w:val="3"/>
                <w:szCs w:val="3"/>
                <w:color w:val="auto"/>
              </w:rPr>
            </w:pPr>
          </w:p>
        </w:tc>
        <w:tc>
          <w:tcPr>
            <w:tcW w:w="220" w:type="dxa"/>
            <w:vAlign w:val="bottom"/>
            <w:shd w:val="clear" w:color="auto" w:fill="FDFDFC"/>
          </w:tcPr>
          <w:p>
            <w:pPr>
              <w:spacing w:after="0"/>
              <w:rPr>
                <w:sz w:val="3"/>
                <w:szCs w:val="3"/>
                <w:color w:val="auto"/>
              </w:rPr>
            </w:pPr>
          </w:p>
        </w:tc>
        <w:tc>
          <w:tcPr>
            <w:tcW w:w="20" w:type="dxa"/>
            <w:vAlign w:val="bottom"/>
            <w:shd w:val="clear" w:color="auto" w:fill="FDFDFC"/>
          </w:tcPr>
          <w:p>
            <w:pPr>
              <w:spacing w:after="0"/>
              <w:rPr>
                <w:sz w:val="3"/>
                <w:szCs w:val="3"/>
                <w:color w:val="auto"/>
              </w:rPr>
            </w:pPr>
          </w:p>
        </w:tc>
        <w:tc>
          <w:tcPr>
            <w:tcW w:w="20" w:type="dxa"/>
            <w:vAlign w:val="bottom"/>
            <w:shd w:val="clear" w:color="auto" w:fill="FDFDFC"/>
          </w:tcPr>
          <w:p>
            <w:pPr>
              <w:spacing w:after="0"/>
              <w:rPr>
                <w:sz w:val="3"/>
                <w:szCs w:val="3"/>
                <w:color w:val="auto"/>
              </w:rPr>
            </w:pPr>
          </w:p>
        </w:tc>
        <w:tc>
          <w:tcPr>
            <w:tcW w:w="120" w:type="dxa"/>
            <w:vAlign w:val="bottom"/>
            <w:shd w:val="clear" w:color="auto" w:fill="FDFDFC"/>
          </w:tcPr>
          <w:p>
            <w:pPr>
              <w:spacing w:after="0"/>
              <w:rPr>
                <w:sz w:val="3"/>
                <w:szCs w:val="3"/>
                <w:color w:val="auto"/>
              </w:rPr>
            </w:pPr>
          </w:p>
        </w:tc>
        <w:tc>
          <w:tcPr>
            <w:tcW w:w="840" w:type="dxa"/>
            <w:vAlign w:val="bottom"/>
            <w:shd w:val="clear" w:color="auto" w:fill="FDFDFC"/>
          </w:tcPr>
          <w:p>
            <w:pPr>
              <w:spacing w:after="0"/>
              <w:rPr>
                <w:sz w:val="3"/>
                <w:szCs w:val="3"/>
                <w:color w:val="auto"/>
              </w:rPr>
            </w:pPr>
          </w:p>
        </w:tc>
        <w:tc>
          <w:tcPr>
            <w:tcW w:w="220" w:type="dxa"/>
            <w:vAlign w:val="bottom"/>
            <w:shd w:val="clear" w:color="auto" w:fill="FDFDFC"/>
          </w:tcPr>
          <w:p>
            <w:pPr>
              <w:spacing w:after="0"/>
              <w:rPr>
                <w:sz w:val="3"/>
                <w:szCs w:val="3"/>
                <w:color w:val="auto"/>
              </w:rPr>
            </w:pPr>
          </w:p>
        </w:tc>
        <w:tc>
          <w:tcPr>
            <w:tcW w:w="20" w:type="dxa"/>
            <w:vAlign w:val="bottom"/>
            <w:shd w:val="clear" w:color="auto" w:fill="FDFDFC"/>
          </w:tcPr>
          <w:p>
            <w:pPr>
              <w:spacing w:after="0"/>
              <w:rPr>
                <w:sz w:val="3"/>
                <w:szCs w:val="3"/>
                <w:color w:val="auto"/>
              </w:rPr>
            </w:pPr>
          </w:p>
        </w:tc>
        <w:tc>
          <w:tcPr>
            <w:tcW w:w="20" w:type="dxa"/>
            <w:vAlign w:val="bottom"/>
            <w:shd w:val="clear" w:color="auto" w:fill="FDFDFC"/>
          </w:tcPr>
          <w:p>
            <w:pPr>
              <w:spacing w:after="0"/>
              <w:rPr>
                <w:sz w:val="3"/>
                <w:szCs w:val="3"/>
                <w:color w:val="auto"/>
              </w:rPr>
            </w:pPr>
          </w:p>
        </w:tc>
        <w:tc>
          <w:tcPr>
            <w:tcW w:w="160" w:type="dxa"/>
            <w:vAlign w:val="bottom"/>
            <w:shd w:val="clear" w:color="auto" w:fill="FDFDFC"/>
          </w:tcPr>
          <w:p>
            <w:pPr>
              <w:spacing w:after="0"/>
              <w:rPr>
                <w:sz w:val="3"/>
                <w:szCs w:val="3"/>
                <w:color w:val="auto"/>
              </w:rPr>
            </w:pPr>
          </w:p>
        </w:tc>
        <w:tc>
          <w:tcPr>
            <w:tcW w:w="800" w:type="dxa"/>
            <w:vAlign w:val="bottom"/>
            <w:shd w:val="clear" w:color="auto" w:fill="FDFDFC"/>
          </w:tcPr>
          <w:p>
            <w:pPr>
              <w:spacing w:after="0"/>
              <w:rPr>
                <w:sz w:val="3"/>
                <w:szCs w:val="3"/>
                <w:color w:val="auto"/>
              </w:rPr>
            </w:pPr>
          </w:p>
        </w:tc>
        <w:tc>
          <w:tcPr>
            <w:tcW w:w="20" w:type="dxa"/>
            <w:vAlign w:val="bottom"/>
            <w:shd w:val="clear" w:color="auto" w:fill="FDFDFC"/>
          </w:tcPr>
          <w:p>
            <w:pPr>
              <w:spacing w:after="0"/>
              <w:rPr>
                <w:sz w:val="3"/>
                <w:szCs w:val="3"/>
                <w:color w:val="auto"/>
              </w:rPr>
            </w:pPr>
          </w:p>
        </w:tc>
        <w:tc>
          <w:tcPr>
            <w:tcW w:w="80" w:type="dxa"/>
            <w:vAlign w:val="bottom"/>
            <w:shd w:val="clear" w:color="auto" w:fill="FDFDFC"/>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840" w:type="dxa"/>
            <w:vAlign w:val="bottom"/>
            <w:tcBorders>
              <w:bottom w:val="single" w:sz="8" w:color="FDFDFC"/>
            </w:tcBorders>
            <w:shd w:val="clear" w:color="auto" w:fill="FDFDFC"/>
          </w:tcPr>
          <w:p>
            <w:pPr>
              <w:spacing w:after="0"/>
              <w:rPr>
                <w:sz w:val="16"/>
                <w:szCs w:val="16"/>
                <w:color w:val="auto"/>
              </w:rPr>
            </w:pPr>
          </w:p>
        </w:tc>
        <w:tc>
          <w:tcPr>
            <w:tcW w:w="120" w:type="dxa"/>
            <w:vAlign w:val="bottom"/>
            <w:tcBorders>
              <w:bottom w:val="single" w:sz="8" w:color="FDFDFC"/>
            </w:tcBorders>
            <w:shd w:val="clear" w:color="auto" w:fill="FDFDFC"/>
          </w:tcPr>
          <w:p>
            <w:pPr>
              <w:spacing w:after="0"/>
              <w:rPr>
                <w:sz w:val="16"/>
                <w:szCs w:val="16"/>
                <w:color w:val="auto"/>
              </w:rPr>
            </w:pPr>
          </w:p>
        </w:tc>
        <w:tc>
          <w:tcPr>
            <w:tcW w:w="20" w:type="dxa"/>
            <w:vAlign w:val="bottom"/>
            <w:tcBorders>
              <w:bottom w:val="single" w:sz="8" w:color="FDFDFC"/>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1120" w:type="dxa"/>
            <w:vAlign w:val="bottom"/>
            <w:tcBorders>
              <w:bottom w:val="single" w:sz="8" w:color="FDFDFC"/>
            </w:tcBorders>
            <w:shd w:val="clear" w:color="auto" w:fill="FDFDFC"/>
          </w:tcPr>
          <w:p>
            <w:pPr>
              <w:jc w:val="center"/>
              <w:ind w:right="29"/>
              <w:spacing w:after="0"/>
              <w:rPr>
                <w:sz w:val="20"/>
                <w:szCs w:val="20"/>
                <w:color w:val="auto"/>
              </w:rPr>
            </w:pPr>
            <w:r>
              <w:rPr>
                <w:rFonts w:ascii="Arial" w:cs="Arial" w:eastAsia="Arial" w:hAnsi="Arial"/>
                <w:sz w:val="15"/>
                <w:szCs w:val="15"/>
                <w:b w:val="1"/>
                <w:bCs w:val="1"/>
                <w:color w:val="231F20"/>
              </w:rPr>
              <w:t>2024:</w:t>
            </w:r>
          </w:p>
        </w:tc>
        <w:tc>
          <w:tcPr>
            <w:tcW w:w="20" w:type="dxa"/>
            <w:vAlign w:val="bottom"/>
            <w:tcBorders>
              <w:bottom w:val="single" w:sz="8" w:color="FDFDFC"/>
            </w:tcBorders>
          </w:tcPr>
          <w:p>
            <w:pPr>
              <w:spacing w:after="0"/>
              <w:rPr>
                <w:sz w:val="16"/>
                <w:szCs w:val="16"/>
                <w:color w:val="auto"/>
              </w:rPr>
            </w:pPr>
          </w:p>
        </w:tc>
        <w:tc>
          <w:tcPr>
            <w:tcW w:w="220" w:type="dxa"/>
            <w:vAlign w:val="bottom"/>
            <w:tcBorders>
              <w:bottom w:val="single" w:sz="8" w:color="FDFDFC"/>
              <w:right w:val="single" w:sz="8" w:color="FDFDFC"/>
            </w:tcBorders>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740" w:type="dxa"/>
            <w:vAlign w:val="bottom"/>
            <w:tcBorders>
              <w:bottom w:val="single" w:sz="8" w:color="231F20"/>
            </w:tcBorders>
            <w:shd w:val="clear" w:color="auto" w:fill="FDFDFC"/>
          </w:tcPr>
          <w:p>
            <w:pPr>
              <w:spacing w:after="0"/>
              <w:rPr>
                <w:sz w:val="16"/>
                <w:szCs w:val="16"/>
                <w:color w:val="auto"/>
              </w:rPr>
            </w:pPr>
          </w:p>
        </w:tc>
        <w:tc>
          <w:tcPr>
            <w:tcW w:w="2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840" w:type="dxa"/>
            <w:vAlign w:val="bottom"/>
            <w:tcBorders>
              <w:bottom w:val="single" w:sz="8" w:color="231F20"/>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840" w:type="dxa"/>
            <w:vAlign w:val="bottom"/>
            <w:tcBorders>
              <w:bottom w:val="single" w:sz="8" w:color="231F20"/>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160" w:type="dxa"/>
            <w:vAlign w:val="bottom"/>
            <w:tcBorders>
              <w:bottom w:val="single" w:sz="8" w:color="231F20"/>
            </w:tcBorders>
            <w:shd w:val="clear" w:color="auto" w:fill="FDFDFC"/>
          </w:tcPr>
          <w:p>
            <w:pPr>
              <w:spacing w:after="0"/>
              <w:rPr>
                <w:sz w:val="16"/>
                <w:szCs w:val="16"/>
                <w:color w:val="auto"/>
              </w:rPr>
            </w:pPr>
          </w:p>
        </w:tc>
        <w:tc>
          <w:tcPr>
            <w:tcW w:w="80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4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120" w:type="dxa"/>
            <w:vAlign w:val="bottom"/>
            <w:tcBorders>
              <w:bottom w:val="single" w:sz="8" w:color="231F20"/>
            </w:tcBorders>
            <w:shd w:val="clear" w:color="auto" w:fill="FDFDFC"/>
          </w:tcPr>
          <w:p>
            <w:pPr>
              <w:spacing w:after="0"/>
              <w:rPr>
                <w:sz w:val="15"/>
                <w:szCs w:val="15"/>
                <w:color w:val="auto"/>
              </w:rPr>
            </w:pPr>
          </w:p>
        </w:tc>
        <w:tc>
          <w:tcPr>
            <w:tcW w:w="20" w:type="dxa"/>
            <w:vAlign w:val="bottom"/>
            <w:tcBorders>
              <w:bottom w:val="single" w:sz="8" w:color="231F20"/>
            </w:tcBorders>
            <w:shd w:val="clear" w:color="auto" w:fill="FDFDFC"/>
          </w:tcPr>
          <w:p>
            <w:pPr>
              <w:spacing w:after="0"/>
              <w:rPr>
                <w:sz w:val="15"/>
                <w:szCs w:val="15"/>
                <w:color w:val="auto"/>
              </w:rPr>
            </w:pPr>
          </w:p>
        </w:tc>
        <w:tc>
          <w:tcPr>
            <w:tcW w:w="220" w:type="dxa"/>
            <w:vAlign w:val="bottom"/>
            <w:tcBorders>
              <w:bottom w:val="single" w:sz="8" w:color="D0EBF2"/>
              <w:right w:val="single" w:sz="8" w:color="FDFDFC"/>
            </w:tcBorders>
            <w:shd w:val="clear" w:color="auto" w:fill="FDFDFC"/>
          </w:tcPr>
          <w:p>
            <w:pPr>
              <w:spacing w:after="0"/>
              <w:rPr>
                <w:sz w:val="15"/>
                <w:szCs w:val="15"/>
                <w:color w:val="auto"/>
              </w:rPr>
            </w:pPr>
          </w:p>
        </w:tc>
        <w:tc>
          <w:tcPr>
            <w:tcW w:w="20" w:type="dxa"/>
            <w:vAlign w:val="bottom"/>
            <w:tcBorders>
              <w:bottom w:val="single" w:sz="8" w:color="D0EBF2"/>
            </w:tcBorders>
          </w:tcPr>
          <w:p>
            <w:pPr>
              <w:spacing w:after="0"/>
              <w:rPr>
                <w:sz w:val="15"/>
                <w:szCs w:val="15"/>
                <w:color w:val="auto"/>
              </w:rPr>
            </w:pPr>
          </w:p>
        </w:tc>
        <w:tc>
          <w:tcPr>
            <w:tcW w:w="7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5"/>
                <w:szCs w:val="15"/>
                <w:b w:val="1"/>
                <w:bCs w:val="1"/>
                <w:color w:val="231F20"/>
              </w:rPr>
              <w:t>Level 1</w:t>
            </w:r>
          </w:p>
        </w:tc>
        <w:tc>
          <w:tcPr>
            <w:tcW w:w="24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840" w:type="dxa"/>
            <w:vAlign w:val="bottom"/>
            <w:tcBorders>
              <w:bottom w:val="single" w:sz="8" w:color="231F20"/>
            </w:tcBorders>
            <w:shd w:val="clear" w:color="auto" w:fill="FDFDFC"/>
          </w:tcPr>
          <w:p>
            <w:pPr>
              <w:jc w:val="right"/>
              <w:ind w:right="167"/>
              <w:spacing w:after="0"/>
              <w:rPr>
                <w:sz w:val="20"/>
                <w:szCs w:val="20"/>
                <w:color w:val="auto"/>
              </w:rPr>
            </w:pPr>
            <w:r>
              <w:rPr>
                <w:rFonts w:ascii="Arial" w:cs="Arial" w:eastAsia="Arial" w:hAnsi="Arial"/>
                <w:sz w:val="15"/>
                <w:szCs w:val="15"/>
                <w:b w:val="1"/>
                <w:bCs w:val="1"/>
                <w:color w:val="231F20"/>
              </w:rPr>
              <w:t>Level 2</w:t>
            </w:r>
          </w:p>
        </w:tc>
        <w:tc>
          <w:tcPr>
            <w:tcW w:w="22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840" w:type="dxa"/>
            <w:vAlign w:val="bottom"/>
            <w:tcBorders>
              <w:bottom w:val="single" w:sz="8" w:color="231F20"/>
            </w:tcBorders>
            <w:shd w:val="clear" w:color="auto" w:fill="FDFDFC"/>
          </w:tcPr>
          <w:p>
            <w:pPr>
              <w:jc w:val="right"/>
              <w:ind w:right="167"/>
              <w:spacing w:after="0"/>
              <w:rPr>
                <w:sz w:val="20"/>
                <w:szCs w:val="20"/>
                <w:color w:val="auto"/>
              </w:rPr>
            </w:pPr>
            <w:r>
              <w:rPr>
                <w:rFonts w:ascii="Arial" w:cs="Arial" w:eastAsia="Arial" w:hAnsi="Arial"/>
                <w:sz w:val="15"/>
                <w:szCs w:val="15"/>
                <w:b w:val="1"/>
                <w:bCs w:val="1"/>
                <w:color w:val="231F20"/>
              </w:rPr>
              <w:t>Level 3</w:t>
            </w:r>
          </w:p>
        </w:tc>
        <w:tc>
          <w:tcPr>
            <w:tcW w:w="22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160" w:type="dxa"/>
            <w:vAlign w:val="bottom"/>
            <w:tcBorders>
              <w:bottom w:val="single" w:sz="8" w:color="231F20"/>
            </w:tcBorders>
            <w:shd w:val="clear" w:color="auto" w:fill="FDFDFC"/>
          </w:tcPr>
          <w:p>
            <w:pPr>
              <w:spacing w:after="0"/>
              <w:rPr>
                <w:sz w:val="15"/>
                <w:szCs w:val="15"/>
                <w:color w:val="auto"/>
              </w:rPr>
            </w:pPr>
          </w:p>
        </w:tc>
        <w:tc>
          <w:tcPr>
            <w:tcW w:w="800" w:type="dxa"/>
            <w:vAlign w:val="bottom"/>
            <w:tcBorders>
              <w:bottom w:val="single" w:sz="8" w:color="231F20"/>
            </w:tcBorders>
            <w:shd w:val="clear" w:color="auto" w:fill="FDFDFC"/>
          </w:tcPr>
          <w:p>
            <w:pPr>
              <w:jc w:val="right"/>
              <w:ind w:right="227"/>
              <w:spacing w:after="0"/>
              <w:rPr>
                <w:sz w:val="20"/>
                <w:szCs w:val="20"/>
                <w:color w:val="auto"/>
              </w:rPr>
            </w:pPr>
            <w:r>
              <w:rPr>
                <w:rFonts w:ascii="Arial" w:cs="Arial" w:eastAsia="Arial" w:hAnsi="Arial"/>
                <w:sz w:val="15"/>
                <w:szCs w:val="15"/>
                <w:b w:val="1"/>
                <w:bCs w:val="1"/>
                <w:color w:val="231F20"/>
              </w:rPr>
              <w:t>Total</w:t>
            </w:r>
          </w:p>
        </w:tc>
        <w:tc>
          <w:tcPr>
            <w:tcW w:w="20" w:type="dxa"/>
            <w:vAlign w:val="bottom"/>
            <w:tcBorders>
              <w:bottom w:val="single" w:sz="8" w:color="D0EBF2"/>
            </w:tcBorders>
            <w:shd w:val="clear" w:color="auto" w:fill="FDFDFC"/>
          </w:tcPr>
          <w:p>
            <w:pPr>
              <w:spacing w:after="0"/>
              <w:rPr>
                <w:sz w:val="15"/>
                <w:szCs w:val="15"/>
                <w:color w:val="auto"/>
              </w:rPr>
            </w:pPr>
          </w:p>
        </w:tc>
        <w:tc>
          <w:tcPr>
            <w:tcW w:w="8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840" w:type="dxa"/>
            <w:vAlign w:val="bottom"/>
            <w:shd w:val="clear" w:color="auto" w:fill="D0EBF2"/>
          </w:tcPr>
          <w:p>
            <w:pPr>
              <w:spacing w:after="0"/>
              <w:rPr>
                <w:sz w:val="20"/>
                <w:szCs w:val="20"/>
                <w:color w:val="auto"/>
              </w:rPr>
            </w:pPr>
            <w:r>
              <w:rPr>
                <w:rFonts w:ascii="Arial" w:cs="Arial" w:eastAsia="Arial" w:hAnsi="Arial"/>
                <w:sz w:val="19"/>
                <w:szCs w:val="19"/>
                <w:b w:val="1"/>
                <w:bCs w:val="1"/>
                <w:color w:val="231F20"/>
              </w:rPr>
              <w:t>Financial Assets:</w:t>
            </w:r>
          </w:p>
        </w:tc>
        <w:tc>
          <w:tcPr>
            <w:tcW w:w="1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120" w:type="dxa"/>
            <w:vAlign w:val="bottom"/>
            <w:shd w:val="clear" w:color="auto" w:fill="D0EBF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right w:val="single" w:sz="8" w:color="D0EBF2"/>
            </w:tcBorders>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740" w:type="dxa"/>
            <w:vAlign w:val="bottom"/>
            <w:shd w:val="clear" w:color="auto" w:fill="D0EBF2"/>
          </w:tcPr>
          <w:p>
            <w:pPr>
              <w:spacing w:after="0"/>
              <w:rPr>
                <w:sz w:val="19"/>
                <w:szCs w:val="19"/>
                <w:color w:val="auto"/>
              </w:rPr>
            </w:pPr>
          </w:p>
        </w:tc>
        <w:tc>
          <w:tcPr>
            <w:tcW w:w="24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840" w:type="dxa"/>
            <w:vAlign w:val="bottom"/>
            <w:shd w:val="clear" w:color="auto" w:fill="D0EBF2"/>
          </w:tcPr>
          <w:p>
            <w:pPr>
              <w:spacing w:after="0"/>
              <w:rPr>
                <w:sz w:val="19"/>
                <w:szCs w:val="19"/>
                <w:color w:val="auto"/>
              </w:rPr>
            </w:pPr>
          </w:p>
        </w:tc>
        <w:tc>
          <w:tcPr>
            <w:tcW w:w="2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840" w:type="dxa"/>
            <w:vAlign w:val="bottom"/>
            <w:shd w:val="clear" w:color="auto" w:fill="D0EBF2"/>
          </w:tcPr>
          <w:p>
            <w:pPr>
              <w:spacing w:after="0"/>
              <w:rPr>
                <w:sz w:val="19"/>
                <w:szCs w:val="19"/>
                <w:color w:val="auto"/>
              </w:rPr>
            </w:pPr>
          </w:p>
        </w:tc>
        <w:tc>
          <w:tcPr>
            <w:tcW w:w="2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60" w:type="dxa"/>
            <w:vAlign w:val="bottom"/>
            <w:shd w:val="clear" w:color="auto" w:fill="D0EBF2"/>
          </w:tcPr>
          <w:p>
            <w:pPr>
              <w:spacing w:after="0"/>
              <w:rPr>
                <w:sz w:val="19"/>
                <w:szCs w:val="19"/>
                <w:color w:val="auto"/>
              </w:rPr>
            </w:pPr>
          </w:p>
        </w:tc>
        <w:tc>
          <w:tcPr>
            <w:tcW w:w="80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8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FDFDFC"/>
          </w:tcPr>
          <w:p>
            <w:pPr>
              <w:spacing w:after="0"/>
              <w:rPr>
                <w:sz w:val="20"/>
                <w:szCs w:val="20"/>
                <w:color w:val="auto"/>
              </w:rPr>
            </w:pPr>
            <w:r>
              <w:rPr>
                <w:rFonts w:ascii="Arial" w:cs="Arial" w:eastAsia="Arial" w:hAnsi="Arial"/>
                <w:sz w:val="19"/>
                <w:szCs w:val="19"/>
                <w:color w:val="231F20"/>
              </w:rPr>
              <w:t>Cash equivalents:</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20" w:type="dxa"/>
            <w:vAlign w:val="bottom"/>
            <w:tcBorders>
              <w:right w:val="single" w:sz="8" w:color="FDFDFC"/>
            </w:tcBorders>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2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40" w:type="dxa"/>
            <w:vAlign w:val="bottom"/>
            <w:shd w:val="clear" w:color="auto" w:fill="FDFDFC"/>
          </w:tcPr>
          <w:p>
            <w:pPr>
              <w:spacing w:after="0"/>
              <w:rPr>
                <w:sz w:val="20"/>
                <w:szCs w:val="20"/>
                <w:color w:val="auto"/>
              </w:rPr>
            </w:pP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40" w:type="dxa"/>
            <w:vAlign w:val="bottom"/>
            <w:shd w:val="clear" w:color="auto" w:fill="FDFDFC"/>
          </w:tcPr>
          <w:p>
            <w:pPr>
              <w:spacing w:after="0"/>
              <w:rPr>
                <w:sz w:val="20"/>
                <w:szCs w:val="20"/>
                <w:color w:val="auto"/>
              </w:rPr>
            </w:pP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8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Money market funds</w:t>
            </w:r>
          </w:p>
        </w:tc>
        <w:tc>
          <w:tcPr>
            <w:tcW w:w="240" w:type="dxa"/>
            <w:vAlign w:val="bottom"/>
            <w:gridSpan w:val="3"/>
            <w:shd w:val="clear" w:color="auto" w:fill="D0EBF2"/>
          </w:tcPr>
          <w:p>
            <w:pPr>
              <w:ind w:left="120"/>
              <w:spacing w:after="0"/>
              <w:rPr>
                <w:sz w:val="20"/>
                <w:szCs w:val="20"/>
                <w:color w:val="auto"/>
              </w:rPr>
            </w:pPr>
            <w:r>
              <w:rPr>
                <w:rFonts w:ascii="Arial" w:cs="Arial" w:eastAsia="Arial" w:hAnsi="Arial"/>
                <w:sz w:val="19"/>
                <w:szCs w:val="19"/>
                <w:color w:val="231F20"/>
                <w:w w:val="94"/>
              </w:rPr>
              <w:t>$</w:t>
            </w:r>
          </w:p>
        </w:tc>
        <w:tc>
          <w:tcPr>
            <w:tcW w:w="11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139,545</w:t>
            </w:r>
          </w:p>
        </w:tc>
        <w:tc>
          <w:tcPr>
            <w:tcW w:w="20" w:type="dxa"/>
            <w:vAlign w:val="bottom"/>
          </w:tcPr>
          <w:p>
            <w:pPr>
              <w:spacing w:after="0"/>
              <w:rPr>
                <w:sz w:val="20"/>
                <w:szCs w:val="20"/>
                <w:color w:val="auto"/>
              </w:rPr>
            </w:pPr>
          </w:p>
        </w:tc>
        <w:tc>
          <w:tcPr>
            <w:tcW w:w="220" w:type="dxa"/>
            <w:vAlign w:val="bottom"/>
            <w:tcBorders>
              <w:right w:val="single" w:sz="8" w:color="D0EBF2"/>
            </w:tcBorders>
            <w:shd w:val="clear" w:color="auto" w:fill="D0EBF2"/>
          </w:tcPr>
          <w:p>
            <w:pPr>
              <w:spacing w:after="0"/>
              <w:rPr>
                <w:sz w:val="20"/>
                <w:szCs w:val="20"/>
                <w:color w:val="auto"/>
              </w:rPr>
            </w:pPr>
          </w:p>
        </w:tc>
        <w:tc>
          <w:tcPr>
            <w:tcW w:w="760" w:type="dxa"/>
            <w:vAlign w:val="bottom"/>
            <w:gridSpan w:val="2"/>
            <w:shd w:val="clear" w:color="auto" w:fill="D0EBF2"/>
          </w:tcPr>
          <w:p>
            <w:pPr>
              <w:jc w:val="right"/>
              <w:ind w:right="586"/>
              <w:spacing w:after="0"/>
              <w:rPr>
                <w:sz w:val="20"/>
                <w:szCs w:val="20"/>
                <w:color w:val="auto"/>
              </w:rPr>
            </w:pPr>
            <w:r>
              <w:rPr>
                <w:rFonts w:ascii="Arial" w:cs="Arial" w:eastAsia="Arial" w:hAnsi="Arial"/>
                <w:sz w:val="19"/>
                <w:szCs w:val="19"/>
                <w:color w:val="231F20"/>
                <w:w w:val="75"/>
              </w:rPr>
              <w:t>$</w:t>
            </w:r>
          </w:p>
        </w:tc>
        <w:tc>
          <w:tcPr>
            <w:tcW w:w="340" w:type="dxa"/>
            <w:vAlign w:val="bottom"/>
            <w:gridSpan w:val="2"/>
            <w:shd w:val="clear" w:color="auto" w:fill="D0EBF2"/>
          </w:tcPr>
          <w:p>
            <w:pPr>
              <w:ind w:left="20"/>
              <w:spacing w:after="0"/>
              <w:rPr>
                <w:sz w:val="20"/>
                <w:szCs w:val="20"/>
                <w:color w:val="auto"/>
              </w:rPr>
            </w:pPr>
            <w:r>
              <w:rPr>
                <w:rFonts w:ascii="Arial" w:cs="Arial" w:eastAsia="Arial" w:hAnsi="Arial"/>
                <w:sz w:val="19"/>
                <w:szCs w:val="19"/>
                <w:color w:val="231F20"/>
              </w:rPr>
              <w:t>—</w:t>
            </w:r>
          </w:p>
        </w:tc>
        <w:tc>
          <w:tcPr>
            <w:tcW w:w="280" w:type="dxa"/>
            <w:vAlign w:val="bottom"/>
            <w:gridSpan w:val="4"/>
            <w:shd w:val="clear" w:color="auto" w:fill="D0EBF2"/>
          </w:tcPr>
          <w:p>
            <w:pPr>
              <w:jc w:val="right"/>
              <w:ind w:right="8"/>
              <w:spacing w:after="0"/>
              <w:rPr>
                <w:sz w:val="20"/>
                <w:szCs w:val="20"/>
                <w:color w:val="auto"/>
              </w:rPr>
            </w:pPr>
            <w:r>
              <w:rPr>
                <w:rFonts w:ascii="Arial" w:cs="Arial" w:eastAsia="Arial" w:hAnsi="Arial"/>
                <w:sz w:val="19"/>
                <w:szCs w:val="19"/>
                <w:color w:val="231F20"/>
              </w:rPr>
              <w:t>$</w:t>
            </w:r>
          </w:p>
        </w:tc>
        <w:tc>
          <w:tcPr>
            <w:tcW w:w="8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380" w:type="dxa"/>
            <w:vAlign w:val="bottom"/>
            <w:gridSpan w:val="4"/>
            <w:shd w:val="clear" w:color="auto" w:fill="D0EBF2"/>
          </w:tcPr>
          <w:p>
            <w:pPr>
              <w:jc w:val="right"/>
              <w:ind w:right="8"/>
              <w:spacing w:after="0"/>
              <w:rPr>
                <w:sz w:val="20"/>
                <w:szCs w:val="20"/>
                <w:color w:val="auto"/>
              </w:rPr>
            </w:pPr>
            <w:r>
              <w:rPr>
                <w:rFonts w:ascii="Arial" w:cs="Arial" w:eastAsia="Arial" w:hAnsi="Arial"/>
                <w:sz w:val="19"/>
                <w:szCs w:val="19"/>
                <w:color w:val="231F20"/>
              </w:rPr>
              <w:t>$</w:t>
            </w:r>
          </w:p>
        </w:tc>
        <w:tc>
          <w:tcPr>
            <w:tcW w:w="8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420" w:type="dxa"/>
            <w:vAlign w:val="bottom"/>
            <w:gridSpan w:val="4"/>
            <w:shd w:val="clear" w:color="auto" w:fill="D0EBF2"/>
          </w:tcPr>
          <w:p>
            <w:pPr>
              <w:jc w:val="right"/>
              <w:ind w:right="48"/>
              <w:spacing w:after="0"/>
              <w:rPr>
                <w:sz w:val="20"/>
                <w:szCs w:val="20"/>
                <w:color w:val="auto"/>
              </w:rPr>
            </w:pPr>
            <w:r>
              <w:rPr>
                <w:rFonts w:ascii="Arial" w:cs="Arial" w:eastAsia="Arial" w:hAnsi="Arial"/>
                <w:sz w:val="19"/>
                <w:szCs w:val="19"/>
                <w:color w:val="231F20"/>
              </w:rPr>
              <w:t>$</w:t>
            </w:r>
          </w:p>
        </w:tc>
        <w:tc>
          <w:tcPr>
            <w:tcW w:w="8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139,545</w:t>
            </w:r>
          </w:p>
        </w:tc>
        <w:tc>
          <w:tcPr>
            <w:tcW w:w="2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FDFDFC"/>
          </w:tcPr>
          <w:p>
            <w:pPr>
              <w:spacing w:after="0"/>
              <w:rPr>
                <w:sz w:val="20"/>
                <w:szCs w:val="20"/>
                <w:color w:val="auto"/>
              </w:rPr>
            </w:pPr>
            <w:r>
              <w:rPr>
                <w:rFonts w:ascii="Arial" w:cs="Arial" w:eastAsia="Arial" w:hAnsi="Arial"/>
                <w:sz w:val="19"/>
                <w:szCs w:val="19"/>
                <w:color w:val="231F20"/>
              </w:rPr>
              <w:t>Foreign exchange contracts</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0" w:type="dxa"/>
            <w:vAlign w:val="bottom"/>
          </w:tcPr>
          <w:p>
            <w:pPr>
              <w:spacing w:after="0"/>
              <w:rPr>
                <w:sz w:val="20"/>
                <w:szCs w:val="20"/>
                <w:color w:val="auto"/>
              </w:rPr>
            </w:pPr>
          </w:p>
        </w:tc>
        <w:tc>
          <w:tcPr>
            <w:tcW w:w="220" w:type="dxa"/>
            <w:vAlign w:val="bottom"/>
            <w:tcBorders>
              <w:right w:val="single" w:sz="8" w:color="FDFDFC"/>
            </w:tcBorders>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340" w:type="dxa"/>
            <w:vAlign w:val="bottom"/>
            <w:gridSpan w:val="2"/>
            <w:shd w:val="clear" w:color="auto" w:fill="FDFDFC"/>
          </w:tcPr>
          <w:p>
            <w:pPr>
              <w:ind w:left="2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49</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8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49</w:t>
            </w: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D0EBF2"/>
          </w:tcPr>
          <w:p>
            <w:pPr>
              <w:spacing w:after="0"/>
              <w:rPr>
                <w:sz w:val="20"/>
                <w:szCs w:val="20"/>
                <w:color w:val="auto"/>
              </w:rPr>
            </w:pPr>
            <w:r>
              <w:rPr>
                <w:rFonts w:ascii="Arial" w:cs="Arial" w:eastAsia="Arial" w:hAnsi="Arial"/>
                <w:sz w:val="19"/>
                <w:szCs w:val="19"/>
                <w:color w:val="231F20"/>
              </w:rPr>
              <w:t>Short-term investments</w:t>
            </w:r>
          </w:p>
        </w:tc>
        <w:tc>
          <w:tcPr>
            <w:tcW w:w="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20" w:type="dxa"/>
            <w:vAlign w:val="bottom"/>
            <w:tcBorders>
              <w:right w:val="single" w:sz="8" w:color="D0EBF2"/>
            </w:tcBorders>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840" w:type="dxa"/>
            <w:vAlign w:val="bottom"/>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840" w:type="dxa"/>
            <w:vAlign w:val="bottom"/>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8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Corporate bonds</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0" w:type="dxa"/>
            <w:vAlign w:val="bottom"/>
          </w:tcPr>
          <w:p>
            <w:pPr>
              <w:spacing w:after="0"/>
              <w:rPr>
                <w:sz w:val="20"/>
                <w:szCs w:val="20"/>
                <w:color w:val="auto"/>
              </w:rPr>
            </w:pPr>
          </w:p>
        </w:tc>
        <w:tc>
          <w:tcPr>
            <w:tcW w:w="220" w:type="dxa"/>
            <w:vAlign w:val="bottom"/>
            <w:tcBorders>
              <w:right w:val="single" w:sz="8" w:color="FDFDFC"/>
            </w:tcBorders>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340" w:type="dxa"/>
            <w:vAlign w:val="bottom"/>
            <w:gridSpan w:val="2"/>
            <w:shd w:val="clear" w:color="auto" w:fill="FDFDFC"/>
          </w:tcPr>
          <w:p>
            <w:pPr>
              <w:ind w:left="2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62,625</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8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62,625</w:t>
            </w: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U.S. Government obligations</w:t>
            </w:r>
          </w:p>
        </w:tc>
        <w:tc>
          <w:tcPr>
            <w:tcW w:w="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1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0" w:type="dxa"/>
            <w:vAlign w:val="bottom"/>
          </w:tcPr>
          <w:p>
            <w:pPr>
              <w:spacing w:after="0"/>
              <w:rPr>
                <w:sz w:val="20"/>
                <w:szCs w:val="20"/>
                <w:color w:val="auto"/>
              </w:rPr>
            </w:pPr>
          </w:p>
        </w:tc>
        <w:tc>
          <w:tcPr>
            <w:tcW w:w="220" w:type="dxa"/>
            <w:vAlign w:val="bottom"/>
            <w:tcBorders>
              <w:right w:val="single" w:sz="8" w:color="D0EBF2"/>
            </w:tcBorders>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340" w:type="dxa"/>
            <w:vAlign w:val="bottom"/>
            <w:gridSpan w:val="2"/>
            <w:shd w:val="clear" w:color="auto" w:fill="D0EBF2"/>
          </w:tcPr>
          <w:p>
            <w:pPr>
              <w:ind w:left="2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8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36,755</w:t>
            </w:r>
          </w:p>
        </w:tc>
        <w:tc>
          <w:tcPr>
            <w:tcW w:w="2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8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8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36,755</w:t>
            </w:r>
          </w:p>
        </w:tc>
        <w:tc>
          <w:tcPr>
            <w:tcW w:w="2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Treasury bill</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0" w:type="dxa"/>
            <w:vAlign w:val="bottom"/>
          </w:tcPr>
          <w:p>
            <w:pPr>
              <w:spacing w:after="0"/>
              <w:rPr>
                <w:sz w:val="20"/>
                <w:szCs w:val="20"/>
                <w:color w:val="auto"/>
              </w:rPr>
            </w:pPr>
          </w:p>
        </w:tc>
        <w:tc>
          <w:tcPr>
            <w:tcW w:w="220" w:type="dxa"/>
            <w:vAlign w:val="bottom"/>
            <w:tcBorders>
              <w:right w:val="single" w:sz="8" w:color="FDFDFC"/>
            </w:tcBorders>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340" w:type="dxa"/>
            <w:vAlign w:val="bottom"/>
            <w:gridSpan w:val="2"/>
            <w:shd w:val="clear" w:color="auto" w:fill="FDFDFC"/>
          </w:tcPr>
          <w:p>
            <w:pPr>
              <w:ind w:left="2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6,983</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8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6,983</w:t>
            </w: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Foreign agency securities</w:t>
            </w:r>
          </w:p>
        </w:tc>
        <w:tc>
          <w:tcPr>
            <w:tcW w:w="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1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0" w:type="dxa"/>
            <w:vAlign w:val="bottom"/>
          </w:tcPr>
          <w:p>
            <w:pPr>
              <w:spacing w:after="0"/>
              <w:rPr>
                <w:sz w:val="20"/>
                <w:szCs w:val="20"/>
                <w:color w:val="auto"/>
              </w:rPr>
            </w:pPr>
          </w:p>
        </w:tc>
        <w:tc>
          <w:tcPr>
            <w:tcW w:w="220" w:type="dxa"/>
            <w:vAlign w:val="bottom"/>
            <w:tcBorders>
              <w:right w:val="single" w:sz="8" w:color="D0EBF2"/>
            </w:tcBorders>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340" w:type="dxa"/>
            <w:vAlign w:val="bottom"/>
            <w:gridSpan w:val="2"/>
            <w:shd w:val="clear" w:color="auto" w:fill="D0EBF2"/>
          </w:tcPr>
          <w:p>
            <w:pPr>
              <w:ind w:left="2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8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2,607</w:t>
            </w:r>
          </w:p>
        </w:tc>
        <w:tc>
          <w:tcPr>
            <w:tcW w:w="2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8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8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2,607</w:t>
            </w:r>
          </w:p>
        </w:tc>
        <w:tc>
          <w:tcPr>
            <w:tcW w:w="2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Commercial paper</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0" w:type="dxa"/>
            <w:vAlign w:val="bottom"/>
          </w:tcPr>
          <w:p>
            <w:pPr>
              <w:spacing w:after="0"/>
              <w:rPr>
                <w:sz w:val="20"/>
                <w:szCs w:val="20"/>
                <w:color w:val="auto"/>
              </w:rPr>
            </w:pPr>
          </w:p>
        </w:tc>
        <w:tc>
          <w:tcPr>
            <w:tcW w:w="220" w:type="dxa"/>
            <w:vAlign w:val="bottom"/>
            <w:tcBorders>
              <w:right w:val="single" w:sz="8" w:color="FDFDFC"/>
            </w:tcBorders>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340" w:type="dxa"/>
            <w:vAlign w:val="bottom"/>
            <w:gridSpan w:val="2"/>
            <w:shd w:val="clear" w:color="auto" w:fill="FDFDFC"/>
          </w:tcPr>
          <w:p>
            <w:pPr>
              <w:ind w:left="2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6,878</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8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6,878</w:t>
            </w: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840" w:type="dxa"/>
            <w:vAlign w:val="bottom"/>
            <w:tcBorders>
              <w:top w:val="single" w:sz="8" w:color="D0EBF2"/>
              <w:bottom w:val="single" w:sz="8" w:color="D0EBF2"/>
            </w:tcBorders>
            <w:shd w:val="clear" w:color="auto" w:fill="D0EBF2"/>
          </w:tcPr>
          <w:p>
            <w:pPr>
              <w:spacing w:after="0"/>
              <w:rPr>
                <w:sz w:val="20"/>
                <w:szCs w:val="20"/>
                <w:color w:val="auto"/>
              </w:rPr>
            </w:pPr>
            <w:r>
              <w:rPr>
                <w:rFonts w:ascii="Arial" w:cs="Arial" w:eastAsia="Arial" w:hAnsi="Arial"/>
                <w:sz w:val="19"/>
                <w:szCs w:val="19"/>
                <w:color w:val="231F20"/>
              </w:rPr>
              <w:t>Total short-term investments</w:t>
            </w:r>
          </w:p>
        </w:tc>
        <w:tc>
          <w:tcPr>
            <w:tcW w:w="120" w:type="dxa"/>
            <w:vAlign w:val="bottom"/>
            <w:tcBorders>
              <w:top w:val="single" w:sz="8" w:color="D0EBF2"/>
              <w:bottom w:val="single" w:sz="8" w:color="D0EBF2"/>
            </w:tcBorders>
            <w:shd w:val="clear" w:color="auto" w:fill="D0EBF2"/>
          </w:tcPr>
          <w:p>
            <w:pPr>
              <w:spacing w:after="0"/>
              <w:rPr>
                <w:sz w:val="20"/>
                <w:szCs w:val="20"/>
                <w:color w:val="auto"/>
              </w:rPr>
            </w:pPr>
          </w:p>
        </w:tc>
        <w:tc>
          <w:tcPr>
            <w:tcW w:w="20" w:type="dxa"/>
            <w:vAlign w:val="bottom"/>
            <w:tcBorders>
              <w:top w:val="single" w:sz="8" w:color="231F20"/>
              <w:bottom w:val="single" w:sz="8" w:color="231F20"/>
            </w:tcBorders>
            <w:shd w:val="clear" w:color="auto" w:fill="D0EBF2"/>
          </w:tcPr>
          <w:p>
            <w:pPr>
              <w:spacing w:after="0"/>
              <w:rPr>
                <w:sz w:val="20"/>
                <w:szCs w:val="20"/>
                <w:color w:val="auto"/>
              </w:rPr>
            </w:pPr>
          </w:p>
        </w:tc>
        <w:tc>
          <w:tcPr>
            <w:tcW w:w="100" w:type="dxa"/>
            <w:vAlign w:val="bottom"/>
            <w:tcBorders>
              <w:top w:val="single" w:sz="8" w:color="231F20"/>
              <w:bottom w:val="single" w:sz="8" w:color="231F20"/>
            </w:tcBorders>
            <w:shd w:val="clear" w:color="auto" w:fill="D0EBF2"/>
          </w:tcPr>
          <w:p>
            <w:pPr>
              <w:spacing w:after="0"/>
              <w:rPr>
                <w:sz w:val="20"/>
                <w:szCs w:val="20"/>
                <w:color w:val="auto"/>
              </w:rPr>
            </w:pPr>
          </w:p>
        </w:tc>
        <w:tc>
          <w:tcPr>
            <w:tcW w:w="1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0" w:type="dxa"/>
            <w:vAlign w:val="bottom"/>
          </w:tcPr>
          <w:p>
            <w:pPr>
              <w:spacing w:after="0"/>
              <w:rPr>
                <w:sz w:val="20"/>
                <w:szCs w:val="20"/>
                <w:color w:val="auto"/>
              </w:rPr>
            </w:pPr>
          </w:p>
        </w:tc>
        <w:tc>
          <w:tcPr>
            <w:tcW w:w="220" w:type="dxa"/>
            <w:vAlign w:val="bottom"/>
            <w:tcBorders>
              <w:top w:val="single" w:sz="8" w:color="D0EBF2"/>
              <w:bottom w:val="single" w:sz="8" w:color="D0EBF2"/>
              <w:right w:val="single" w:sz="8" w:color="D0EBF2"/>
            </w:tcBorders>
            <w:shd w:val="clear" w:color="auto" w:fill="D0EBF2"/>
          </w:tcPr>
          <w:p>
            <w:pPr>
              <w:spacing w:after="0"/>
              <w:rPr>
                <w:sz w:val="20"/>
                <w:szCs w:val="20"/>
                <w:color w:val="auto"/>
              </w:rPr>
            </w:pPr>
          </w:p>
        </w:tc>
        <w:tc>
          <w:tcPr>
            <w:tcW w:w="20" w:type="dxa"/>
            <w:vAlign w:val="bottom"/>
            <w:tcBorders>
              <w:top w:val="single" w:sz="8" w:color="231F20"/>
              <w:bottom w:val="single" w:sz="8" w:color="231F20"/>
            </w:tcBorders>
            <w:shd w:val="clear" w:color="auto" w:fill="D0EBF2"/>
          </w:tcPr>
          <w:p>
            <w:pPr>
              <w:spacing w:after="0"/>
              <w:rPr>
                <w:sz w:val="20"/>
                <w:szCs w:val="20"/>
                <w:color w:val="auto"/>
              </w:rPr>
            </w:pPr>
          </w:p>
        </w:tc>
        <w:tc>
          <w:tcPr>
            <w:tcW w:w="740" w:type="dxa"/>
            <w:vAlign w:val="bottom"/>
            <w:tcBorders>
              <w:top w:val="single" w:sz="8" w:color="231F20"/>
              <w:bottom w:val="single" w:sz="8" w:color="231F20"/>
            </w:tcBorders>
            <w:shd w:val="clear" w:color="auto" w:fill="D0EBF2"/>
          </w:tcPr>
          <w:p>
            <w:pPr>
              <w:spacing w:after="0"/>
              <w:rPr>
                <w:sz w:val="20"/>
                <w:szCs w:val="20"/>
                <w:color w:val="auto"/>
              </w:rPr>
            </w:pPr>
          </w:p>
        </w:tc>
        <w:tc>
          <w:tcPr>
            <w:tcW w:w="240" w:type="dxa"/>
            <w:vAlign w:val="bottom"/>
            <w:tcBorders>
              <w:top w:val="single" w:sz="8" w:color="231F20"/>
              <w:bottom w:val="single" w:sz="8" w:color="231F20"/>
            </w:tcBorders>
            <w:shd w:val="clear" w:color="auto" w:fill="D0EBF2"/>
          </w:tcPr>
          <w:p>
            <w:pPr>
              <w:ind w:left="20"/>
              <w:spacing w:after="0"/>
              <w:rPr>
                <w:sz w:val="20"/>
                <w:szCs w:val="20"/>
                <w:color w:val="auto"/>
              </w:rPr>
            </w:pPr>
            <w:r>
              <w:rPr>
                <w:rFonts w:ascii="Arial" w:cs="Arial" w:eastAsia="Arial" w:hAnsi="Arial"/>
                <w:sz w:val="19"/>
                <w:szCs w:val="19"/>
                <w:color w:val="231F20"/>
              </w:rPr>
              <w:t>—</w:t>
            </w:r>
          </w:p>
        </w:tc>
        <w:tc>
          <w:tcPr>
            <w:tcW w:w="100" w:type="dxa"/>
            <w:vAlign w:val="bottom"/>
            <w:tcBorders>
              <w:top w:val="single" w:sz="8" w:color="D0EBF2"/>
              <w:bottom w:val="single" w:sz="8" w:color="D0EBF2"/>
            </w:tcBorders>
            <w:shd w:val="clear" w:color="auto" w:fill="D0EBF2"/>
          </w:tcPr>
          <w:p>
            <w:pPr>
              <w:spacing w:after="0"/>
              <w:rPr>
                <w:sz w:val="20"/>
                <w:szCs w:val="20"/>
                <w:color w:val="auto"/>
              </w:rPr>
            </w:pPr>
          </w:p>
        </w:tc>
        <w:tc>
          <w:tcPr>
            <w:tcW w:w="120" w:type="dxa"/>
            <w:vAlign w:val="bottom"/>
            <w:tcBorders>
              <w:top w:val="single" w:sz="8" w:color="D0EBF2"/>
              <w:bottom w:val="single" w:sz="8" w:color="D0EBF2"/>
            </w:tcBorders>
            <w:shd w:val="clear" w:color="auto" w:fill="D0EBF2"/>
          </w:tcPr>
          <w:p>
            <w:pPr>
              <w:spacing w:after="0"/>
              <w:rPr>
                <w:sz w:val="20"/>
                <w:szCs w:val="20"/>
                <w:color w:val="auto"/>
              </w:rPr>
            </w:pPr>
          </w:p>
        </w:tc>
        <w:tc>
          <w:tcPr>
            <w:tcW w:w="20" w:type="dxa"/>
            <w:vAlign w:val="bottom"/>
            <w:tcBorders>
              <w:top w:val="single" w:sz="8" w:color="D0EBF2"/>
              <w:bottom w:val="single" w:sz="8" w:color="231F20"/>
            </w:tcBorders>
            <w:shd w:val="clear" w:color="auto" w:fill="D0EBF2"/>
          </w:tcPr>
          <w:p>
            <w:pPr>
              <w:spacing w:after="0"/>
              <w:rPr>
                <w:sz w:val="20"/>
                <w:szCs w:val="20"/>
                <w:color w:val="auto"/>
              </w:rPr>
            </w:pPr>
          </w:p>
        </w:tc>
        <w:tc>
          <w:tcPr>
            <w:tcW w:w="20" w:type="dxa"/>
            <w:vAlign w:val="bottom"/>
            <w:tcBorders>
              <w:top w:val="single" w:sz="8" w:color="231F20"/>
              <w:bottom w:val="single" w:sz="8" w:color="231F20"/>
            </w:tcBorders>
            <w:shd w:val="clear" w:color="auto" w:fill="D0EBF2"/>
          </w:tcPr>
          <w:p>
            <w:pPr>
              <w:spacing w:after="0"/>
              <w:rPr>
                <w:sz w:val="20"/>
                <w:szCs w:val="20"/>
                <w:color w:val="auto"/>
              </w:rPr>
            </w:pPr>
          </w:p>
        </w:tc>
        <w:tc>
          <w:tcPr>
            <w:tcW w:w="120" w:type="dxa"/>
            <w:vAlign w:val="bottom"/>
            <w:tcBorders>
              <w:top w:val="single" w:sz="8" w:color="231F20"/>
              <w:bottom w:val="single" w:sz="8" w:color="231F20"/>
            </w:tcBorders>
            <w:shd w:val="clear" w:color="auto" w:fill="D0EBF2"/>
          </w:tcPr>
          <w:p>
            <w:pPr>
              <w:spacing w:after="0"/>
              <w:rPr>
                <w:sz w:val="20"/>
                <w:szCs w:val="20"/>
                <w:color w:val="auto"/>
              </w:rPr>
            </w:pPr>
          </w:p>
        </w:tc>
        <w:tc>
          <w:tcPr>
            <w:tcW w:w="8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115,848</w:t>
            </w:r>
          </w:p>
        </w:tc>
        <w:tc>
          <w:tcPr>
            <w:tcW w:w="220" w:type="dxa"/>
            <w:vAlign w:val="bottom"/>
            <w:tcBorders>
              <w:top w:val="single" w:sz="8" w:color="D0EBF2"/>
              <w:bottom w:val="single" w:sz="8" w:color="D0EBF2"/>
            </w:tcBorders>
            <w:shd w:val="clear" w:color="auto" w:fill="D0EBF2"/>
          </w:tcPr>
          <w:p>
            <w:pPr>
              <w:spacing w:after="0"/>
              <w:rPr>
                <w:sz w:val="20"/>
                <w:szCs w:val="20"/>
                <w:color w:val="auto"/>
              </w:rPr>
            </w:pPr>
          </w:p>
        </w:tc>
        <w:tc>
          <w:tcPr>
            <w:tcW w:w="20" w:type="dxa"/>
            <w:vAlign w:val="bottom"/>
            <w:tcBorders>
              <w:top w:val="single" w:sz="8" w:color="D0EBF2"/>
              <w:bottom w:val="single" w:sz="8" w:color="231F20"/>
            </w:tcBorders>
            <w:shd w:val="clear" w:color="auto" w:fill="D0EBF2"/>
          </w:tcPr>
          <w:p>
            <w:pPr>
              <w:spacing w:after="0"/>
              <w:rPr>
                <w:sz w:val="20"/>
                <w:szCs w:val="20"/>
                <w:color w:val="auto"/>
              </w:rPr>
            </w:pPr>
          </w:p>
        </w:tc>
        <w:tc>
          <w:tcPr>
            <w:tcW w:w="20" w:type="dxa"/>
            <w:vAlign w:val="bottom"/>
            <w:tcBorders>
              <w:top w:val="single" w:sz="8" w:color="231F20"/>
              <w:bottom w:val="single" w:sz="8" w:color="231F20"/>
            </w:tcBorders>
            <w:shd w:val="clear" w:color="auto" w:fill="D0EBF2"/>
          </w:tcPr>
          <w:p>
            <w:pPr>
              <w:spacing w:after="0"/>
              <w:rPr>
                <w:sz w:val="20"/>
                <w:szCs w:val="20"/>
                <w:color w:val="auto"/>
              </w:rPr>
            </w:pPr>
          </w:p>
        </w:tc>
        <w:tc>
          <w:tcPr>
            <w:tcW w:w="120" w:type="dxa"/>
            <w:vAlign w:val="bottom"/>
            <w:tcBorders>
              <w:top w:val="single" w:sz="8" w:color="231F20"/>
              <w:bottom w:val="single" w:sz="8" w:color="231F20"/>
            </w:tcBorders>
            <w:shd w:val="clear" w:color="auto" w:fill="D0EBF2"/>
          </w:tcPr>
          <w:p>
            <w:pPr>
              <w:spacing w:after="0"/>
              <w:rPr>
                <w:sz w:val="20"/>
                <w:szCs w:val="20"/>
                <w:color w:val="auto"/>
              </w:rPr>
            </w:pPr>
          </w:p>
        </w:tc>
        <w:tc>
          <w:tcPr>
            <w:tcW w:w="8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20" w:type="dxa"/>
            <w:vAlign w:val="bottom"/>
            <w:tcBorders>
              <w:top w:val="single" w:sz="8" w:color="D0EBF2"/>
              <w:bottom w:val="single" w:sz="8" w:color="D0EBF2"/>
            </w:tcBorders>
            <w:shd w:val="clear" w:color="auto" w:fill="D0EBF2"/>
          </w:tcPr>
          <w:p>
            <w:pPr>
              <w:spacing w:after="0"/>
              <w:rPr>
                <w:sz w:val="20"/>
                <w:szCs w:val="20"/>
                <w:color w:val="auto"/>
              </w:rPr>
            </w:pPr>
          </w:p>
        </w:tc>
        <w:tc>
          <w:tcPr>
            <w:tcW w:w="20" w:type="dxa"/>
            <w:vAlign w:val="bottom"/>
            <w:tcBorders>
              <w:top w:val="single" w:sz="8" w:color="D0EBF2"/>
              <w:bottom w:val="single" w:sz="8" w:color="231F20"/>
            </w:tcBorders>
            <w:shd w:val="clear" w:color="auto" w:fill="D0EBF2"/>
          </w:tcPr>
          <w:p>
            <w:pPr>
              <w:spacing w:after="0"/>
              <w:rPr>
                <w:sz w:val="20"/>
                <w:szCs w:val="20"/>
                <w:color w:val="auto"/>
              </w:rPr>
            </w:pPr>
          </w:p>
        </w:tc>
        <w:tc>
          <w:tcPr>
            <w:tcW w:w="20" w:type="dxa"/>
            <w:vAlign w:val="bottom"/>
            <w:tcBorders>
              <w:top w:val="single" w:sz="8" w:color="231F20"/>
              <w:bottom w:val="single" w:sz="8" w:color="231F20"/>
            </w:tcBorders>
            <w:shd w:val="clear" w:color="auto" w:fill="D0EBF2"/>
          </w:tcPr>
          <w:p>
            <w:pPr>
              <w:spacing w:after="0"/>
              <w:rPr>
                <w:sz w:val="20"/>
                <w:szCs w:val="20"/>
                <w:color w:val="auto"/>
              </w:rPr>
            </w:pPr>
          </w:p>
        </w:tc>
        <w:tc>
          <w:tcPr>
            <w:tcW w:w="160" w:type="dxa"/>
            <w:vAlign w:val="bottom"/>
            <w:tcBorders>
              <w:top w:val="single" w:sz="8" w:color="231F20"/>
              <w:bottom w:val="single" w:sz="8" w:color="231F20"/>
            </w:tcBorders>
            <w:shd w:val="clear" w:color="auto" w:fill="D0EBF2"/>
          </w:tcPr>
          <w:p>
            <w:pPr>
              <w:spacing w:after="0"/>
              <w:rPr>
                <w:sz w:val="20"/>
                <w:szCs w:val="20"/>
                <w:color w:val="auto"/>
              </w:rPr>
            </w:pPr>
          </w:p>
        </w:tc>
        <w:tc>
          <w:tcPr>
            <w:tcW w:w="8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115,848</w:t>
            </w:r>
          </w:p>
        </w:tc>
        <w:tc>
          <w:tcPr>
            <w:tcW w:w="20" w:type="dxa"/>
            <w:vAlign w:val="bottom"/>
            <w:tcBorders>
              <w:top w:val="single" w:sz="8" w:color="D0EBF2"/>
              <w:bottom w:val="single" w:sz="8" w:color="D0EBF2"/>
            </w:tcBorders>
            <w:shd w:val="clear" w:color="auto" w:fill="D0EBF2"/>
          </w:tcPr>
          <w:p>
            <w:pPr>
              <w:spacing w:after="0"/>
              <w:rPr>
                <w:sz w:val="20"/>
                <w:szCs w:val="20"/>
                <w:color w:val="auto"/>
              </w:rPr>
            </w:pPr>
          </w:p>
        </w:tc>
        <w:tc>
          <w:tcPr>
            <w:tcW w:w="80" w:type="dxa"/>
            <w:vAlign w:val="bottom"/>
            <w:tcBorders>
              <w:top w:val="single" w:sz="8" w:color="D0EBF2"/>
              <w:bottom w:val="single" w:sz="8" w:color="D0EBF2"/>
            </w:tcBorders>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840" w:type="dxa"/>
            <w:vAlign w:val="bottom"/>
            <w:tcBorders>
              <w:top w:val="single" w:sz="8" w:color="FDFDFC"/>
            </w:tcBorders>
            <w:shd w:val="clear" w:color="auto" w:fill="FDFDFC"/>
          </w:tcPr>
          <w:p>
            <w:pPr>
              <w:spacing w:after="0" w:line="200" w:lineRule="exact"/>
              <w:rPr>
                <w:sz w:val="20"/>
                <w:szCs w:val="20"/>
                <w:color w:val="auto"/>
              </w:rPr>
            </w:pPr>
            <w:r>
              <w:rPr>
                <w:rFonts w:ascii="Arial" w:cs="Arial" w:eastAsia="Arial" w:hAnsi="Arial"/>
                <w:sz w:val="19"/>
                <w:szCs w:val="19"/>
                <w:color w:val="231F20"/>
              </w:rPr>
              <w:t>Long-term investments</w:t>
            </w:r>
          </w:p>
        </w:tc>
        <w:tc>
          <w:tcPr>
            <w:tcW w:w="120" w:type="dxa"/>
            <w:vAlign w:val="bottom"/>
            <w:tcBorders>
              <w:top w:val="single" w:sz="8" w:color="FDFDFC"/>
            </w:tcBorders>
            <w:shd w:val="clear" w:color="auto" w:fill="FDFDFC"/>
          </w:tcPr>
          <w:p>
            <w:pPr>
              <w:spacing w:after="0"/>
              <w:rPr>
                <w:sz w:val="17"/>
                <w:szCs w:val="17"/>
                <w:color w:val="auto"/>
              </w:rPr>
            </w:pPr>
          </w:p>
        </w:tc>
        <w:tc>
          <w:tcPr>
            <w:tcW w:w="20" w:type="dxa"/>
            <w:vAlign w:val="bottom"/>
            <w:tcBorders>
              <w:top w:val="single" w:sz="8" w:color="231F20"/>
            </w:tcBorders>
            <w:shd w:val="clear" w:color="auto" w:fill="FDFDFC"/>
          </w:tcPr>
          <w:p>
            <w:pPr>
              <w:spacing w:after="0"/>
              <w:rPr>
                <w:sz w:val="17"/>
                <w:szCs w:val="17"/>
                <w:color w:val="auto"/>
              </w:rPr>
            </w:pPr>
          </w:p>
        </w:tc>
        <w:tc>
          <w:tcPr>
            <w:tcW w:w="100" w:type="dxa"/>
            <w:vAlign w:val="bottom"/>
            <w:tcBorders>
              <w:top w:val="single" w:sz="8" w:color="231F20"/>
            </w:tcBorders>
            <w:shd w:val="clear" w:color="auto" w:fill="FDFDFC"/>
          </w:tcPr>
          <w:p>
            <w:pPr>
              <w:spacing w:after="0"/>
              <w:rPr>
                <w:sz w:val="17"/>
                <w:szCs w:val="17"/>
                <w:color w:val="auto"/>
              </w:rPr>
            </w:pPr>
          </w:p>
        </w:tc>
        <w:tc>
          <w:tcPr>
            <w:tcW w:w="1120" w:type="dxa"/>
            <w:vAlign w:val="bottom"/>
            <w:tcBorders>
              <w:top w:val="single" w:sz="8" w:color="231F20"/>
            </w:tcBorders>
            <w:shd w:val="clear" w:color="auto" w:fill="FDFDFC"/>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FDFDFC"/>
              <w:right w:val="single" w:sz="8" w:color="FDFDFC"/>
            </w:tcBorders>
            <w:shd w:val="clear" w:color="auto" w:fill="FDFDFC"/>
          </w:tcPr>
          <w:p>
            <w:pPr>
              <w:spacing w:after="0"/>
              <w:rPr>
                <w:sz w:val="17"/>
                <w:szCs w:val="17"/>
                <w:color w:val="auto"/>
              </w:rPr>
            </w:pPr>
          </w:p>
        </w:tc>
        <w:tc>
          <w:tcPr>
            <w:tcW w:w="20" w:type="dxa"/>
            <w:vAlign w:val="bottom"/>
            <w:tcBorders>
              <w:top w:val="single" w:sz="8" w:color="231F20"/>
            </w:tcBorders>
            <w:shd w:val="clear" w:color="auto" w:fill="FDFDFC"/>
          </w:tcPr>
          <w:p>
            <w:pPr>
              <w:spacing w:after="0"/>
              <w:rPr>
                <w:sz w:val="17"/>
                <w:szCs w:val="17"/>
                <w:color w:val="auto"/>
              </w:rPr>
            </w:pPr>
          </w:p>
        </w:tc>
        <w:tc>
          <w:tcPr>
            <w:tcW w:w="740" w:type="dxa"/>
            <w:vAlign w:val="bottom"/>
            <w:tcBorders>
              <w:top w:val="single" w:sz="8" w:color="231F20"/>
            </w:tcBorders>
            <w:shd w:val="clear" w:color="auto" w:fill="FDFDFC"/>
          </w:tcPr>
          <w:p>
            <w:pPr>
              <w:spacing w:after="0"/>
              <w:rPr>
                <w:sz w:val="17"/>
                <w:szCs w:val="17"/>
                <w:color w:val="auto"/>
              </w:rPr>
            </w:pPr>
          </w:p>
        </w:tc>
        <w:tc>
          <w:tcPr>
            <w:tcW w:w="240" w:type="dxa"/>
            <w:vAlign w:val="bottom"/>
            <w:tcBorders>
              <w:top w:val="single" w:sz="8" w:color="231F20"/>
            </w:tcBorders>
            <w:shd w:val="clear" w:color="auto" w:fill="FDFDFC"/>
          </w:tcPr>
          <w:p>
            <w:pPr>
              <w:spacing w:after="0"/>
              <w:rPr>
                <w:sz w:val="17"/>
                <w:szCs w:val="17"/>
                <w:color w:val="auto"/>
              </w:rPr>
            </w:pPr>
          </w:p>
        </w:tc>
        <w:tc>
          <w:tcPr>
            <w:tcW w:w="100" w:type="dxa"/>
            <w:vAlign w:val="bottom"/>
            <w:tcBorders>
              <w:top w:val="single" w:sz="8" w:color="FDFDFC"/>
            </w:tcBorders>
            <w:shd w:val="clear" w:color="auto" w:fill="FDFDFC"/>
          </w:tcPr>
          <w:p>
            <w:pPr>
              <w:spacing w:after="0"/>
              <w:rPr>
                <w:sz w:val="17"/>
                <w:szCs w:val="17"/>
                <w:color w:val="auto"/>
              </w:rPr>
            </w:pPr>
          </w:p>
        </w:tc>
        <w:tc>
          <w:tcPr>
            <w:tcW w:w="120" w:type="dxa"/>
            <w:vAlign w:val="bottom"/>
            <w:tcBorders>
              <w:top w:val="single" w:sz="8" w:color="FDFDFC"/>
            </w:tcBorders>
            <w:shd w:val="clear" w:color="auto" w:fill="FDFDFC"/>
          </w:tcPr>
          <w:p>
            <w:pPr>
              <w:spacing w:after="0"/>
              <w:rPr>
                <w:sz w:val="17"/>
                <w:szCs w:val="17"/>
                <w:color w:val="auto"/>
              </w:rPr>
            </w:pPr>
          </w:p>
        </w:tc>
        <w:tc>
          <w:tcPr>
            <w:tcW w:w="20" w:type="dxa"/>
            <w:vAlign w:val="bottom"/>
            <w:tcBorders>
              <w:top w:val="single" w:sz="8" w:color="231F20"/>
            </w:tcBorders>
            <w:shd w:val="clear" w:color="auto" w:fill="FDFDFC"/>
          </w:tcPr>
          <w:p>
            <w:pPr>
              <w:spacing w:after="0"/>
              <w:rPr>
                <w:sz w:val="17"/>
                <w:szCs w:val="17"/>
                <w:color w:val="auto"/>
              </w:rPr>
            </w:pPr>
          </w:p>
        </w:tc>
        <w:tc>
          <w:tcPr>
            <w:tcW w:w="20" w:type="dxa"/>
            <w:vAlign w:val="bottom"/>
            <w:tcBorders>
              <w:top w:val="single" w:sz="8" w:color="231F20"/>
            </w:tcBorders>
            <w:shd w:val="clear" w:color="auto" w:fill="FDFDFC"/>
          </w:tcPr>
          <w:p>
            <w:pPr>
              <w:spacing w:after="0"/>
              <w:rPr>
                <w:sz w:val="17"/>
                <w:szCs w:val="17"/>
                <w:color w:val="auto"/>
              </w:rPr>
            </w:pPr>
          </w:p>
        </w:tc>
        <w:tc>
          <w:tcPr>
            <w:tcW w:w="120" w:type="dxa"/>
            <w:vAlign w:val="bottom"/>
            <w:tcBorders>
              <w:top w:val="single" w:sz="8" w:color="231F20"/>
            </w:tcBorders>
            <w:shd w:val="clear" w:color="auto" w:fill="FDFDFC"/>
          </w:tcPr>
          <w:p>
            <w:pPr>
              <w:spacing w:after="0"/>
              <w:rPr>
                <w:sz w:val="17"/>
                <w:szCs w:val="17"/>
                <w:color w:val="auto"/>
              </w:rPr>
            </w:pPr>
          </w:p>
        </w:tc>
        <w:tc>
          <w:tcPr>
            <w:tcW w:w="840" w:type="dxa"/>
            <w:vAlign w:val="bottom"/>
            <w:tcBorders>
              <w:top w:val="single" w:sz="8" w:color="231F20"/>
            </w:tcBorders>
            <w:shd w:val="clear" w:color="auto" w:fill="FDFDFC"/>
          </w:tcPr>
          <w:p>
            <w:pPr>
              <w:spacing w:after="0"/>
              <w:rPr>
                <w:sz w:val="17"/>
                <w:szCs w:val="17"/>
                <w:color w:val="auto"/>
              </w:rPr>
            </w:pPr>
          </w:p>
        </w:tc>
        <w:tc>
          <w:tcPr>
            <w:tcW w:w="220" w:type="dxa"/>
            <w:vAlign w:val="bottom"/>
            <w:tcBorders>
              <w:top w:val="single" w:sz="8" w:color="FDFDFC"/>
            </w:tcBorders>
            <w:shd w:val="clear" w:color="auto" w:fill="FDFDFC"/>
          </w:tcPr>
          <w:p>
            <w:pPr>
              <w:spacing w:after="0"/>
              <w:rPr>
                <w:sz w:val="17"/>
                <w:szCs w:val="17"/>
                <w:color w:val="auto"/>
              </w:rPr>
            </w:pPr>
          </w:p>
        </w:tc>
        <w:tc>
          <w:tcPr>
            <w:tcW w:w="20" w:type="dxa"/>
            <w:vAlign w:val="bottom"/>
            <w:tcBorders>
              <w:top w:val="single" w:sz="8" w:color="231F20"/>
            </w:tcBorders>
            <w:shd w:val="clear" w:color="auto" w:fill="FDFDFC"/>
          </w:tcPr>
          <w:p>
            <w:pPr>
              <w:spacing w:after="0"/>
              <w:rPr>
                <w:sz w:val="17"/>
                <w:szCs w:val="17"/>
                <w:color w:val="auto"/>
              </w:rPr>
            </w:pPr>
          </w:p>
        </w:tc>
        <w:tc>
          <w:tcPr>
            <w:tcW w:w="20" w:type="dxa"/>
            <w:vAlign w:val="bottom"/>
            <w:tcBorders>
              <w:top w:val="single" w:sz="8" w:color="231F20"/>
            </w:tcBorders>
            <w:shd w:val="clear" w:color="auto" w:fill="FDFDFC"/>
          </w:tcPr>
          <w:p>
            <w:pPr>
              <w:spacing w:after="0"/>
              <w:rPr>
                <w:sz w:val="17"/>
                <w:szCs w:val="17"/>
                <w:color w:val="auto"/>
              </w:rPr>
            </w:pPr>
          </w:p>
        </w:tc>
        <w:tc>
          <w:tcPr>
            <w:tcW w:w="120" w:type="dxa"/>
            <w:vAlign w:val="bottom"/>
            <w:tcBorders>
              <w:top w:val="single" w:sz="8" w:color="231F20"/>
            </w:tcBorders>
            <w:shd w:val="clear" w:color="auto" w:fill="FDFDFC"/>
          </w:tcPr>
          <w:p>
            <w:pPr>
              <w:spacing w:after="0"/>
              <w:rPr>
                <w:sz w:val="17"/>
                <w:szCs w:val="17"/>
                <w:color w:val="auto"/>
              </w:rPr>
            </w:pPr>
          </w:p>
        </w:tc>
        <w:tc>
          <w:tcPr>
            <w:tcW w:w="840" w:type="dxa"/>
            <w:vAlign w:val="bottom"/>
            <w:tcBorders>
              <w:top w:val="single" w:sz="8" w:color="231F20"/>
            </w:tcBorders>
            <w:shd w:val="clear" w:color="auto" w:fill="FDFDFC"/>
          </w:tcPr>
          <w:p>
            <w:pPr>
              <w:spacing w:after="0"/>
              <w:rPr>
                <w:sz w:val="17"/>
                <w:szCs w:val="17"/>
                <w:color w:val="auto"/>
              </w:rPr>
            </w:pPr>
          </w:p>
        </w:tc>
        <w:tc>
          <w:tcPr>
            <w:tcW w:w="220" w:type="dxa"/>
            <w:vAlign w:val="bottom"/>
            <w:tcBorders>
              <w:top w:val="single" w:sz="8" w:color="FDFDFC"/>
            </w:tcBorders>
            <w:shd w:val="clear" w:color="auto" w:fill="FDFDFC"/>
          </w:tcPr>
          <w:p>
            <w:pPr>
              <w:spacing w:after="0"/>
              <w:rPr>
                <w:sz w:val="17"/>
                <w:szCs w:val="17"/>
                <w:color w:val="auto"/>
              </w:rPr>
            </w:pPr>
          </w:p>
        </w:tc>
        <w:tc>
          <w:tcPr>
            <w:tcW w:w="20" w:type="dxa"/>
            <w:vAlign w:val="bottom"/>
            <w:tcBorders>
              <w:top w:val="single" w:sz="8" w:color="231F20"/>
            </w:tcBorders>
            <w:shd w:val="clear" w:color="auto" w:fill="FDFDFC"/>
          </w:tcPr>
          <w:p>
            <w:pPr>
              <w:spacing w:after="0"/>
              <w:rPr>
                <w:sz w:val="17"/>
                <w:szCs w:val="17"/>
                <w:color w:val="auto"/>
              </w:rPr>
            </w:pPr>
          </w:p>
        </w:tc>
        <w:tc>
          <w:tcPr>
            <w:tcW w:w="20" w:type="dxa"/>
            <w:vAlign w:val="bottom"/>
            <w:tcBorders>
              <w:top w:val="single" w:sz="8" w:color="231F20"/>
            </w:tcBorders>
            <w:shd w:val="clear" w:color="auto" w:fill="FDFDFC"/>
          </w:tcPr>
          <w:p>
            <w:pPr>
              <w:spacing w:after="0"/>
              <w:rPr>
                <w:sz w:val="17"/>
                <w:szCs w:val="17"/>
                <w:color w:val="auto"/>
              </w:rPr>
            </w:pPr>
          </w:p>
        </w:tc>
        <w:tc>
          <w:tcPr>
            <w:tcW w:w="160" w:type="dxa"/>
            <w:vAlign w:val="bottom"/>
            <w:tcBorders>
              <w:top w:val="single" w:sz="8" w:color="231F20"/>
            </w:tcBorders>
            <w:shd w:val="clear" w:color="auto" w:fill="FDFDFC"/>
          </w:tcPr>
          <w:p>
            <w:pPr>
              <w:spacing w:after="0"/>
              <w:rPr>
                <w:sz w:val="17"/>
                <w:szCs w:val="17"/>
                <w:color w:val="auto"/>
              </w:rPr>
            </w:pPr>
          </w:p>
        </w:tc>
        <w:tc>
          <w:tcPr>
            <w:tcW w:w="800" w:type="dxa"/>
            <w:vAlign w:val="bottom"/>
            <w:tcBorders>
              <w:top w:val="single" w:sz="8" w:color="231F20"/>
            </w:tcBorders>
            <w:shd w:val="clear" w:color="auto" w:fill="FDFDFC"/>
          </w:tcPr>
          <w:p>
            <w:pPr>
              <w:spacing w:after="0"/>
              <w:rPr>
                <w:sz w:val="17"/>
                <w:szCs w:val="17"/>
                <w:color w:val="auto"/>
              </w:rPr>
            </w:pPr>
          </w:p>
        </w:tc>
        <w:tc>
          <w:tcPr>
            <w:tcW w:w="20" w:type="dxa"/>
            <w:vAlign w:val="bottom"/>
            <w:tcBorders>
              <w:top w:val="single" w:sz="8" w:color="FDFDFC"/>
            </w:tcBorders>
            <w:shd w:val="clear" w:color="auto" w:fill="FDFDFC"/>
          </w:tcPr>
          <w:p>
            <w:pPr>
              <w:spacing w:after="0"/>
              <w:rPr>
                <w:sz w:val="17"/>
                <w:szCs w:val="17"/>
                <w:color w:val="auto"/>
              </w:rPr>
            </w:pPr>
          </w:p>
        </w:tc>
        <w:tc>
          <w:tcPr>
            <w:tcW w:w="80" w:type="dxa"/>
            <w:vAlign w:val="bottom"/>
            <w:tcBorders>
              <w:top w:val="single" w:sz="8" w:color="FDFDFC"/>
            </w:tcBorders>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Corporate bonds</w:t>
            </w:r>
          </w:p>
        </w:tc>
        <w:tc>
          <w:tcPr>
            <w:tcW w:w="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1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0" w:type="dxa"/>
            <w:vAlign w:val="bottom"/>
          </w:tcPr>
          <w:p>
            <w:pPr>
              <w:spacing w:after="0"/>
              <w:rPr>
                <w:sz w:val="20"/>
                <w:szCs w:val="20"/>
                <w:color w:val="auto"/>
              </w:rPr>
            </w:pPr>
          </w:p>
        </w:tc>
        <w:tc>
          <w:tcPr>
            <w:tcW w:w="220" w:type="dxa"/>
            <w:vAlign w:val="bottom"/>
            <w:tcBorders>
              <w:right w:val="single" w:sz="8" w:color="D0EBF2"/>
            </w:tcBorders>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240" w:type="dxa"/>
            <w:vAlign w:val="bottom"/>
            <w:shd w:val="clear" w:color="auto" w:fill="D0EBF2"/>
          </w:tcPr>
          <w:p>
            <w:pPr>
              <w:ind w:left="20"/>
              <w:spacing w:after="0"/>
              <w:rPr>
                <w:sz w:val="20"/>
                <w:szCs w:val="20"/>
                <w:color w:val="auto"/>
              </w:rPr>
            </w:pPr>
            <w:r>
              <w:rPr>
                <w:rFonts w:ascii="Arial" w:cs="Arial" w:eastAsia="Arial" w:hAnsi="Arial"/>
                <w:sz w:val="19"/>
                <w:szCs w:val="19"/>
                <w:color w:val="231F20"/>
              </w:rPr>
              <w:t>—</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8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23,100</w:t>
            </w:r>
          </w:p>
        </w:tc>
        <w:tc>
          <w:tcPr>
            <w:tcW w:w="2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8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8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23,100</w:t>
            </w:r>
          </w:p>
        </w:tc>
        <w:tc>
          <w:tcPr>
            <w:tcW w:w="2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U.S. Government obligations</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0" w:type="dxa"/>
            <w:vAlign w:val="bottom"/>
          </w:tcPr>
          <w:p>
            <w:pPr>
              <w:spacing w:after="0"/>
              <w:rPr>
                <w:sz w:val="20"/>
                <w:szCs w:val="20"/>
                <w:color w:val="auto"/>
              </w:rPr>
            </w:pPr>
          </w:p>
        </w:tc>
        <w:tc>
          <w:tcPr>
            <w:tcW w:w="220" w:type="dxa"/>
            <w:vAlign w:val="bottom"/>
            <w:tcBorders>
              <w:right w:val="single" w:sz="8" w:color="FDFDFC"/>
            </w:tcBorders>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340" w:type="dxa"/>
            <w:vAlign w:val="bottom"/>
            <w:gridSpan w:val="2"/>
            <w:shd w:val="clear" w:color="auto" w:fill="FDFDFC"/>
          </w:tcPr>
          <w:p>
            <w:pPr>
              <w:ind w:left="2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21,384</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8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21,384</w:t>
            </w: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D0EBF2"/>
          </w:tcPr>
          <w:p>
            <w:pPr>
              <w:ind w:left="140"/>
              <w:spacing w:after="0"/>
              <w:rPr>
                <w:sz w:val="20"/>
                <w:szCs w:val="20"/>
                <w:color w:val="auto"/>
              </w:rPr>
            </w:pPr>
            <w:r>
              <w:rPr>
                <w:rFonts w:ascii="Arial" w:cs="Arial" w:eastAsia="Arial" w:hAnsi="Arial"/>
                <w:sz w:val="19"/>
                <w:szCs w:val="19"/>
                <w:color w:val="231F20"/>
              </w:rPr>
              <w:t>Agency bond</w:t>
            </w:r>
          </w:p>
        </w:tc>
        <w:tc>
          <w:tcPr>
            <w:tcW w:w="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1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0" w:type="dxa"/>
            <w:vAlign w:val="bottom"/>
          </w:tcPr>
          <w:p>
            <w:pPr>
              <w:spacing w:after="0"/>
              <w:rPr>
                <w:sz w:val="20"/>
                <w:szCs w:val="20"/>
                <w:color w:val="auto"/>
              </w:rPr>
            </w:pPr>
          </w:p>
        </w:tc>
        <w:tc>
          <w:tcPr>
            <w:tcW w:w="220" w:type="dxa"/>
            <w:vAlign w:val="bottom"/>
            <w:tcBorders>
              <w:right w:val="single" w:sz="8" w:color="D0EBF2"/>
            </w:tcBorders>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340" w:type="dxa"/>
            <w:vAlign w:val="bottom"/>
            <w:gridSpan w:val="2"/>
            <w:shd w:val="clear" w:color="auto" w:fill="D0EBF2"/>
          </w:tcPr>
          <w:p>
            <w:pPr>
              <w:ind w:left="2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8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2,469</w:t>
            </w:r>
          </w:p>
        </w:tc>
        <w:tc>
          <w:tcPr>
            <w:tcW w:w="2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8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8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2,469</w:t>
            </w:r>
          </w:p>
        </w:tc>
        <w:tc>
          <w:tcPr>
            <w:tcW w:w="2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Asset-backed securities</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0" w:type="dxa"/>
            <w:vAlign w:val="bottom"/>
          </w:tcPr>
          <w:p>
            <w:pPr>
              <w:spacing w:after="0"/>
              <w:rPr>
                <w:sz w:val="20"/>
                <w:szCs w:val="20"/>
                <w:color w:val="auto"/>
              </w:rPr>
            </w:pPr>
          </w:p>
        </w:tc>
        <w:tc>
          <w:tcPr>
            <w:tcW w:w="220" w:type="dxa"/>
            <w:vAlign w:val="bottom"/>
            <w:tcBorders>
              <w:right w:val="single" w:sz="8" w:color="FDFDFC"/>
            </w:tcBorders>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340" w:type="dxa"/>
            <w:vAlign w:val="bottom"/>
            <w:gridSpan w:val="2"/>
            <w:shd w:val="clear" w:color="auto" w:fill="FDFDFC"/>
          </w:tcPr>
          <w:p>
            <w:pPr>
              <w:ind w:left="2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3,172</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8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3,172</w:t>
            </w: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40" w:type="dxa"/>
            <w:vAlign w:val="bottom"/>
            <w:tcBorders>
              <w:top w:val="single" w:sz="8" w:color="D0EBF2"/>
              <w:bottom w:val="single" w:sz="8" w:color="FDFDFC"/>
            </w:tcBorders>
            <w:shd w:val="clear" w:color="auto" w:fill="D0EBF2"/>
          </w:tcPr>
          <w:p>
            <w:pPr>
              <w:spacing w:after="0"/>
              <w:rPr>
                <w:sz w:val="20"/>
                <w:szCs w:val="20"/>
                <w:color w:val="auto"/>
              </w:rPr>
            </w:pPr>
            <w:r>
              <w:rPr>
                <w:rFonts w:ascii="Arial" w:cs="Arial" w:eastAsia="Arial" w:hAnsi="Arial"/>
                <w:sz w:val="19"/>
                <w:szCs w:val="19"/>
                <w:color w:val="231F20"/>
              </w:rPr>
              <w:t>Total long-term investments</w:t>
            </w:r>
          </w:p>
        </w:tc>
        <w:tc>
          <w:tcPr>
            <w:tcW w:w="120" w:type="dxa"/>
            <w:vAlign w:val="bottom"/>
            <w:tcBorders>
              <w:top w:val="single" w:sz="8" w:color="D0EBF2"/>
              <w:bottom w:val="single" w:sz="8" w:color="FDFDFC"/>
            </w:tcBorders>
            <w:shd w:val="clear" w:color="auto" w:fill="D0EBF2"/>
          </w:tcPr>
          <w:p>
            <w:pPr>
              <w:spacing w:after="0"/>
              <w:rPr>
                <w:sz w:val="19"/>
                <w:szCs w:val="19"/>
                <w:color w:val="auto"/>
              </w:rPr>
            </w:pPr>
          </w:p>
        </w:tc>
        <w:tc>
          <w:tcPr>
            <w:tcW w:w="20" w:type="dxa"/>
            <w:vAlign w:val="bottom"/>
            <w:tcBorders>
              <w:top w:val="single" w:sz="8" w:color="231F20"/>
              <w:bottom w:val="single" w:sz="8" w:color="231F20"/>
            </w:tcBorders>
            <w:shd w:val="clear" w:color="auto" w:fill="D0EBF2"/>
          </w:tcPr>
          <w:p>
            <w:pPr>
              <w:spacing w:after="0"/>
              <w:rPr>
                <w:sz w:val="19"/>
                <w:szCs w:val="19"/>
                <w:color w:val="auto"/>
              </w:rPr>
            </w:pPr>
          </w:p>
        </w:tc>
        <w:tc>
          <w:tcPr>
            <w:tcW w:w="100" w:type="dxa"/>
            <w:vAlign w:val="bottom"/>
            <w:tcBorders>
              <w:top w:val="single" w:sz="8" w:color="231F20"/>
              <w:bottom w:val="single" w:sz="8" w:color="231F20"/>
            </w:tcBorders>
            <w:shd w:val="clear" w:color="auto" w:fill="D0EBF2"/>
          </w:tcPr>
          <w:p>
            <w:pPr>
              <w:spacing w:after="0"/>
              <w:rPr>
                <w:sz w:val="19"/>
                <w:szCs w:val="19"/>
                <w:color w:val="auto"/>
              </w:rPr>
            </w:pPr>
          </w:p>
        </w:tc>
        <w:tc>
          <w:tcPr>
            <w:tcW w:w="1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0" w:type="dxa"/>
            <w:vAlign w:val="bottom"/>
          </w:tcPr>
          <w:p>
            <w:pPr>
              <w:spacing w:after="0"/>
              <w:rPr>
                <w:sz w:val="19"/>
                <w:szCs w:val="19"/>
                <w:color w:val="auto"/>
              </w:rPr>
            </w:pPr>
          </w:p>
        </w:tc>
        <w:tc>
          <w:tcPr>
            <w:tcW w:w="220" w:type="dxa"/>
            <w:vAlign w:val="bottom"/>
            <w:tcBorders>
              <w:top w:val="single" w:sz="8" w:color="D0EBF2"/>
              <w:bottom w:val="single" w:sz="8" w:color="FDFDFC"/>
              <w:right w:val="single" w:sz="8" w:color="D0EBF2"/>
            </w:tcBorders>
            <w:shd w:val="clear" w:color="auto" w:fill="D0EBF2"/>
          </w:tcPr>
          <w:p>
            <w:pPr>
              <w:spacing w:after="0"/>
              <w:rPr>
                <w:sz w:val="19"/>
                <w:szCs w:val="19"/>
                <w:color w:val="auto"/>
              </w:rPr>
            </w:pPr>
          </w:p>
        </w:tc>
        <w:tc>
          <w:tcPr>
            <w:tcW w:w="20" w:type="dxa"/>
            <w:vAlign w:val="bottom"/>
            <w:tcBorders>
              <w:top w:val="single" w:sz="8" w:color="231F20"/>
              <w:bottom w:val="single" w:sz="8" w:color="231F20"/>
            </w:tcBorders>
            <w:shd w:val="clear" w:color="auto" w:fill="D0EBF2"/>
          </w:tcPr>
          <w:p>
            <w:pPr>
              <w:spacing w:after="0"/>
              <w:rPr>
                <w:sz w:val="19"/>
                <w:szCs w:val="19"/>
                <w:color w:val="auto"/>
              </w:rPr>
            </w:pPr>
          </w:p>
        </w:tc>
        <w:tc>
          <w:tcPr>
            <w:tcW w:w="740" w:type="dxa"/>
            <w:vAlign w:val="bottom"/>
            <w:tcBorders>
              <w:top w:val="single" w:sz="8" w:color="231F20"/>
              <w:bottom w:val="single" w:sz="8" w:color="231F20"/>
            </w:tcBorders>
            <w:shd w:val="clear" w:color="auto" w:fill="D0EBF2"/>
          </w:tcPr>
          <w:p>
            <w:pPr>
              <w:spacing w:after="0"/>
              <w:rPr>
                <w:sz w:val="19"/>
                <w:szCs w:val="19"/>
                <w:color w:val="auto"/>
              </w:rPr>
            </w:pPr>
          </w:p>
        </w:tc>
        <w:tc>
          <w:tcPr>
            <w:tcW w:w="240" w:type="dxa"/>
            <w:vAlign w:val="bottom"/>
            <w:tcBorders>
              <w:top w:val="single" w:sz="8" w:color="231F20"/>
              <w:bottom w:val="single" w:sz="8" w:color="231F20"/>
            </w:tcBorders>
            <w:shd w:val="clear" w:color="auto" w:fill="D0EBF2"/>
          </w:tcPr>
          <w:p>
            <w:pPr>
              <w:ind w:left="20"/>
              <w:spacing w:after="0"/>
              <w:rPr>
                <w:sz w:val="20"/>
                <w:szCs w:val="20"/>
                <w:color w:val="auto"/>
              </w:rPr>
            </w:pPr>
            <w:r>
              <w:rPr>
                <w:rFonts w:ascii="Arial" w:cs="Arial" w:eastAsia="Arial" w:hAnsi="Arial"/>
                <w:sz w:val="19"/>
                <w:szCs w:val="19"/>
                <w:color w:val="231F20"/>
              </w:rPr>
              <w:t>—</w:t>
            </w:r>
          </w:p>
        </w:tc>
        <w:tc>
          <w:tcPr>
            <w:tcW w:w="100" w:type="dxa"/>
            <w:vAlign w:val="bottom"/>
            <w:tcBorders>
              <w:top w:val="single" w:sz="8" w:color="D0EBF2"/>
              <w:bottom w:val="single" w:sz="8" w:color="FDFDFC"/>
            </w:tcBorders>
            <w:shd w:val="clear" w:color="auto" w:fill="D0EBF2"/>
          </w:tcPr>
          <w:p>
            <w:pPr>
              <w:spacing w:after="0"/>
              <w:rPr>
                <w:sz w:val="19"/>
                <w:szCs w:val="19"/>
                <w:color w:val="auto"/>
              </w:rPr>
            </w:pPr>
          </w:p>
        </w:tc>
        <w:tc>
          <w:tcPr>
            <w:tcW w:w="120" w:type="dxa"/>
            <w:vAlign w:val="bottom"/>
            <w:tcBorders>
              <w:top w:val="single" w:sz="8" w:color="D0EBF2"/>
              <w:bottom w:val="single" w:sz="8" w:color="FDFDFC"/>
            </w:tcBorders>
            <w:shd w:val="clear" w:color="auto" w:fill="D0EBF2"/>
          </w:tcPr>
          <w:p>
            <w:pPr>
              <w:spacing w:after="0"/>
              <w:rPr>
                <w:sz w:val="19"/>
                <w:szCs w:val="19"/>
                <w:color w:val="auto"/>
              </w:rPr>
            </w:pPr>
          </w:p>
        </w:tc>
        <w:tc>
          <w:tcPr>
            <w:tcW w:w="20" w:type="dxa"/>
            <w:vAlign w:val="bottom"/>
            <w:tcBorders>
              <w:top w:val="single" w:sz="8" w:color="231F20"/>
              <w:bottom w:val="single" w:sz="8" w:color="231F20"/>
            </w:tcBorders>
            <w:shd w:val="clear" w:color="auto" w:fill="D0EBF2"/>
          </w:tcPr>
          <w:p>
            <w:pPr>
              <w:spacing w:after="0"/>
              <w:rPr>
                <w:sz w:val="19"/>
                <w:szCs w:val="19"/>
                <w:color w:val="auto"/>
              </w:rPr>
            </w:pPr>
          </w:p>
        </w:tc>
        <w:tc>
          <w:tcPr>
            <w:tcW w:w="20" w:type="dxa"/>
            <w:vAlign w:val="bottom"/>
            <w:tcBorders>
              <w:top w:val="single" w:sz="8" w:color="231F20"/>
              <w:bottom w:val="single" w:sz="8" w:color="231F20"/>
            </w:tcBorders>
            <w:shd w:val="clear" w:color="auto" w:fill="D0EBF2"/>
          </w:tcPr>
          <w:p>
            <w:pPr>
              <w:spacing w:after="0"/>
              <w:rPr>
                <w:sz w:val="19"/>
                <w:szCs w:val="19"/>
                <w:color w:val="auto"/>
              </w:rPr>
            </w:pPr>
          </w:p>
        </w:tc>
        <w:tc>
          <w:tcPr>
            <w:tcW w:w="120" w:type="dxa"/>
            <w:vAlign w:val="bottom"/>
            <w:tcBorders>
              <w:top w:val="single" w:sz="8" w:color="231F20"/>
              <w:bottom w:val="single" w:sz="8" w:color="231F20"/>
            </w:tcBorders>
            <w:shd w:val="clear" w:color="auto" w:fill="D0EBF2"/>
          </w:tcPr>
          <w:p>
            <w:pPr>
              <w:spacing w:after="0"/>
              <w:rPr>
                <w:sz w:val="19"/>
                <w:szCs w:val="19"/>
                <w:color w:val="auto"/>
              </w:rPr>
            </w:pPr>
          </w:p>
        </w:tc>
        <w:tc>
          <w:tcPr>
            <w:tcW w:w="8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50,125</w:t>
            </w:r>
          </w:p>
        </w:tc>
        <w:tc>
          <w:tcPr>
            <w:tcW w:w="220" w:type="dxa"/>
            <w:vAlign w:val="bottom"/>
            <w:tcBorders>
              <w:top w:val="single" w:sz="8" w:color="D0EBF2"/>
              <w:bottom w:val="single" w:sz="8" w:color="FDFDFC"/>
            </w:tcBorders>
            <w:shd w:val="clear" w:color="auto" w:fill="D0EBF2"/>
          </w:tcPr>
          <w:p>
            <w:pPr>
              <w:spacing w:after="0"/>
              <w:rPr>
                <w:sz w:val="19"/>
                <w:szCs w:val="19"/>
                <w:color w:val="auto"/>
              </w:rPr>
            </w:pPr>
          </w:p>
        </w:tc>
        <w:tc>
          <w:tcPr>
            <w:tcW w:w="20" w:type="dxa"/>
            <w:vAlign w:val="bottom"/>
            <w:tcBorders>
              <w:top w:val="single" w:sz="8" w:color="231F20"/>
              <w:bottom w:val="single" w:sz="8" w:color="231F20"/>
            </w:tcBorders>
            <w:shd w:val="clear" w:color="auto" w:fill="D0EBF2"/>
          </w:tcPr>
          <w:p>
            <w:pPr>
              <w:spacing w:after="0"/>
              <w:rPr>
                <w:sz w:val="19"/>
                <w:szCs w:val="19"/>
                <w:color w:val="auto"/>
              </w:rPr>
            </w:pPr>
          </w:p>
        </w:tc>
        <w:tc>
          <w:tcPr>
            <w:tcW w:w="20" w:type="dxa"/>
            <w:vAlign w:val="bottom"/>
            <w:tcBorders>
              <w:top w:val="single" w:sz="8" w:color="231F20"/>
              <w:bottom w:val="single" w:sz="8" w:color="231F20"/>
            </w:tcBorders>
            <w:shd w:val="clear" w:color="auto" w:fill="D0EBF2"/>
          </w:tcPr>
          <w:p>
            <w:pPr>
              <w:spacing w:after="0"/>
              <w:rPr>
                <w:sz w:val="19"/>
                <w:szCs w:val="19"/>
                <w:color w:val="auto"/>
              </w:rPr>
            </w:pPr>
          </w:p>
        </w:tc>
        <w:tc>
          <w:tcPr>
            <w:tcW w:w="120" w:type="dxa"/>
            <w:vAlign w:val="bottom"/>
            <w:tcBorders>
              <w:top w:val="single" w:sz="8" w:color="231F20"/>
              <w:bottom w:val="single" w:sz="8" w:color="231F20"/>
            </w:tcBorders>
            <w:shd w:val="clear" w:color="auto" w:fill="D0EBF2"/>
          </w:tcPr>
          <w:p>
            <w:pPr>
              <w:spacing w:after="0"/>
              <w:rPr>
                <w:sz w:val="19"/>
                <w:szCs w:val="19"/>
                <w:color w:val="auto"/>
              </w:rPr>
            </w:pPr>
          </w:p>
        </w:tc>
        <w:tc>
          <w:tcPr>
            <w:tcW w:w="8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20" w:type="dxa"/>
            <w:vAlign w:val="bottom"/>
            <w:tcBorders>
              <w:top w:val="single" w:sz="8" w:color="D0EBF2"/>
              <w:bottom w:val="single" w:sz="8" w:color="FDFDFC"/>
            </w:tcBorders>
            <w:shd w:val="clear" w:color="auto" w:fill="D0EBF2"/>
          </w:tcPr>
          <w:p>
            <w:pPr>
              <w:spacing w:after="0"/>
              <w:rPr>
                <w:sz w:val="19"/>
                <w:szCs w:val="19"/>
                <w:color w:val="auto"/>
              </w:rPr>
            </w:pPr>
          </w:p>
        </w:tc>
        <w:tc>
          <w:tcPr>
            <w:tcW w:w="20" w:type="dxa"/>
            <w:vAlign w:val="bottom"/>
            <w:tcBorders>
              <w:top w:val="single" w:sz="8" w:color="231F20"/>
              <w:bottom w:val="single" w:sz="8" w:color="231F20"/>
            </w:tcBorders>
            <w:shd w:val="clear" w:color="auto" w:fill="D0EBF2"/>
          </w:tcPr>
          <w:p>
            <w:pPr>
              <w:spacing w:after="0"/>
              <w:rPr>
                <w:sz w:val="19"/>
                <w:szCs w:val="19"/>
                <w:color w:val="auto"/>
              </w:rPr>
            </w:pPr>
          </w:p>
        </w:tc>
        <w:tc>
          <w:tcPr>
            <w:tcW w:w="20" w:type="dxa"/>
            <w:vAlign w:val="bottom"/>
            <w:tcBorders>
              <w:top w:val="single" w:sz="8" w:color="231F20"/>
              <w:bottom w:val="single" w:sz="8" w:color="231F20"/>
            </w:tcBorders>
            <w:shd w:val="clear" w:color="auto" w:fill="D0EBF2"/>
          </w:tcPr>
          <w:p>
            <w:pPr>
              <w:spacing w:after="0"/>
              <w:rPr>
                <w:sz w:val="19"/>
                <w:szCs w:val="19"/>
                <w:color w:val="auto"/>
              </w:rPr>
            </w:pPr>
          </w:p>
        </w:tc>
        <w:tc>
          <w:tcPr>
            <w:tcW w:w="160" w:type="dxa"/>
            <w:vAlign w:val="bottom"/>
            <w:tcBorders>
              <w:top w:val="single" w:sz="8" w:color="231F20"/>
              <w:bottom w:val="single" w:sz="8" w:color="231F20"/>
            </w:tcBorders>
            <w:shd w:val="clear" w:color="auto" w:fill="D0EBF2"/>
          </w:tcPr>
          <w:p>
            <w:pPr>
              <w:spacing w:after="0"/>
              <w:rPr>
                <w:sz w:val="19"/>
                <w:szCs w:val="19"/>
                <w:color w:val="auto"/>
              </w:rPr>
            </w:pPr>
          </w:p>
        </w:tc>
        <w:tc>
          <w:tcPr>
            <w:tcW w:w="8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50,125</w:t>
            </w:r>
          </w:p>
        </w:tc>
        <w:tc>
          <w:tcPr>
            <w:tcW w:w="20" w:type="dxa"/>
            <w:vAlign w:val="bottom"/>
            <w:tcBorders>
              <w:top w:val="single" w:sz="8" w:color="D0EBF2"/>
              <w:bottom w:val="single" w:sz="8" w:color="FDFDFC"/>
            </w:tcBorders>
            <w:shd w:val="clear" w:color="auto" w:fill="D0EBF2"/>
          </w:tcPr>
          <w:p>
            <w:pPr>
              <w:spacing w:after="0"/>
              <w:rPr>
                <w:sz w:val="19"/>
                <w:szCs w:val="19"/>
                <w:color w:val="auto"/>
              </w:rPr>
            </w:pPr>
          </w:p>
        </w:tc>
        <w:tc>
          <w:tcPr>
            <w:tcW w:w="80" w:type="dxa"/>
            <w:vAlign w:val="bottom"/>
            <w:tcBorders>
              <w:top w:val="single" w:sz="8" w:color="D0EBF2"/>
              <w:bottom w:val="single" w:sz="8" w:color="FDFDFC"/>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840" w:type="dxa"/>
            <w:vAlign w:val="bottom"/>
            <w:shd w:val="clear" w:color="auto" w:fill="FDFDFC"/>
          </w:tcPr>
          <w:p>
            <w:pPr>
              <w:spacing w:after="0"/>
              <w:rPr>
                <w:sz w:val="20"/>
                <w:szCs w:val="20"/>
                <w:color w:val="auto"/>
              </w:rPr>
            </w:pPr>
            <w:r>
              <w:rPr>
                <w:rFonts w:ascii="Arial" w:cs="Arial" w:eastAsia="Arial" w:hAnsi="Arial"/>
                <w:sz w:val="19"/>
                <w:szCs w:val="19"/>
                <w:color w:val="231F20"/>
              </w:rPr>
              <w:t>Total financial assets</w:t>
            </w:r>
          </w:p>
        </w:tc>
        <w:tc>
          <w:tcPr>
            <w:tcW w:w="120" w:type="dxa"/>
            <w:vAlign w:val="bottom"/>
            <w:shd w:val="clear" w:color="auto" w:fill="FDFDFC"/>
          </w:tcPr>
          <w:p>
            <w:pPr>
              <w:spacing w:after="0"/>
              <w:rPr>
                <w:sz w:val="22"/>
                <w:szCs w:val="22"/>
                <w:color w:val="auto"/>
              </w:rPr>
            </w:pPr>
          </w:p>
        </w:tc>
        <w:tc>
          <w:tcPr>
            <w:tcW w:w="120" w:type="dxa"/>
            <w:vAlign w:val="bottom"/>
            <w:gridSpan w:val="2"/>
            <w:shd w:val="clear" w:color="auto" w:fill="FDFDFC"/>
          </w:tcPr>
          <w:p>
            <w:pPr>
              <w:spacing w:after="0"/>
              <w:rPr>
                <w:sz w:val="20"/>
                <w:szCs w:val="20"/>
                <w:color w:val="auto"/>
              </w:rPr>
            </w:pPr>
            <w:r>
              <w:rPr>
                <w:rFonts w:ascii="Arial" w:cs="Arial" w:eastAsia="Arial" w:hAnsi="Arial"/>
                <w:sz w:val="19"/>
                <w:szCs w:val="19"/>
                <w:color w:val="231F20"/>
                <w:w w:val="94"/>
              </w:rPr>
              <w:t>$</w:t>
            </w:r>
          </w:p>
        </w:tc>
        <w:tc>
          <w:tcPr>
            <w:tcW w:w="11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139,545</w:t>
            </w:r>
          </w:p>
        </w:tc>
        <w:tc>
          <w:tcPr>
            <w:tcW w:w="20" w:type="dxa"/>
            <w:vAlign w:val="bottom"/>
          </w:tcPr>
          <w:p>
            <w:pPr>
              <w:spacing w:after="0"/>
              <w:rPr>
                <w:sz w:val="22"/>
                <w:szCs w:val="22"/>
                <w:color w:val="auto"/>
              </w:rPr>
            </w:pPr>
          </w:p>
        </w:tc>
        <w:tc>
          <w:tcPr>
            <w:tcW w:w="220" w:type="dxa"/>
            <w:vAlign w:val="bottom"/>
            <w:tcBorders>
              <w:right w:val="single" w:sz="8" w:color="FDFDFC"/>
            </w:tcBorders>
            <w:shd w:val="clear" w:color="auto" w:fill="FDFDFC"/>
          </w:tcPr>
          <w:p>
            <w:pPr>
              <w:spacing w:after="0"/>
              <w:rPr>
                <w:sz w:val="22"/>
                <w:szCs w:val="22"/>
                <w:color w:val="auto"/>
              </w:rPr>
            </w:pPr>
          </w:p>
        </w:tc>
        <w:tc>
          <w:tcPr>
            <w:tcW w:w="20" w:type="dxa"/>
            <w:vAlign w:val="bottom"/>
            <w:shd w:val="clear" w:color="auto" w:fill="FDFDFC"/>
          </w:tcPr>
          <w:p>
            <w:pPr>
              <w:spacing w:after="0"/>
              <w:rPr>
                <w:sz w:val="22"/>
                <w:szCs w:val="22"/>
                <w:color w:val="auto"/>
              </w:rPr>
            </w:pPr>
          </w:p>
        </w:tc>
        <w:tc>
          <w:tcPr>
            <w:tcW w:w="740" w:type="dxa"/>
            <w:vAlign w:val="bottom"/>
            <w:shd w:val="clear" w:color="auto" w:fill="FDFDFC"/>
          </w:tcPr>
          <w:p>
            <w:pPr>
              <w:jc w:val="right"/>
              <w:ind w:right="586"/>
              <w:spacing w:after="0"/>
              <w:rPr>
                <w:sz w:val="20"/>
                <w:szCs w:val="20"/>
                <w:color w:val="auto"/>
              </w:rPr>
            </w:pPr>
            <w:r>
              <w:rPr>
                <w:rFonts w:ascii="Arial" w:cs="Arial" w:eastAsia="Arial" w:hAnsi="Arial"/>
                <w:sz w:val="15"/>
                <w:szCs w:val="15"/>
                <w:color w:val="231F20"/>
                <w:w w:val="71"/>
              </w:rPr>
              <w:t>$</w:t>
            </w:r>
          </w:p>
        </w:tc>
        <w:tc>
          <w:tcPr>
            <w:tcW w:w="240" w:type="dxa"/>
            <w:vAlign w:val="bottom"/>
            <w:shd w:val="clear" w:color="auto" w:fill="FDFDFC"/>
          </w:tcPr>
          <w:p>
            <w:pPr>
              <w:ind w:left="20"/>
              <w:spacing w:after="0"/>
              <w:rPr>
                <w:sz w:val="20"/>
                <w:szCs w:val="20"/>
                <w:color w:val="auto"/>
              </w:rPr>
            </w:pPr>
            <w:r>
              <w:rPr>
                <w:rFonts w:ascii="Arial" w:cs="Arial" w:eastAsia="Arial" w:hAnsi="Arial"/>
                <w:sz w:val="19"/>
                <w:szCs w:val="19"/>
                <w:color w:val="231F20"/>
              </w:rPr>
              <w:t>—</w:t>
            </w:r>
          </w:p>
        </w:tc>
        <w:tc>
          <w:tcPr>
            <w:tcW w:w="100" w:type="dxa"/>
            <w:vAlign w:val="bottom"/>
            <w:shd w:val="clear" w:color="auto" w:fill="FDFDFC"/>
          </w:tcPr>
          <w:p>
            <w:pPr>
              <w:spacing w:after="0"/>
              <w:rPr>
                <w:sz w:val="22"/>
                <w:szCs w:val="22"/>
                <w:color w:val="auto"/>
              </w:rPr>
            </w:pPr>
          </w:p>
        </w:tc>
        <w:tc>
          <w:tcPr>
            <w:tcW w:w="120" w:type="dxa"/>
            <w:vAlign w:val="bottom"/>
            <w:shd w:val="clear" w:color="auto" w:fill="FDFDFC"/>
          </w:tcPr>
          <w:p>
            <w:pPr>
              <w:spacing w:after="0"/>
              <w:rPr>
                <w:sz w:val="22"/>
                <w:szCs w:val="22"/>
                <w:color w:val="auto"/>
              </w:rPr>
            </w:pPr>
          </w:p>
        </w:tc>
        <w:tc>
          <w:tcPr>
            <w:tcW w:w="20" w:type="dxa"/>
            <w:vAlign w:val="bottom"/>
            <w:shd w:val="clear" w:color="auto" w:fill="FDFDFC"/>
          </w:tcPr>
          <w:p>
            <w:pPr>
              <w:spacing w:after="0"/>
              <w:rPr>
                <w:sz w:val="22"/>
                <w:szCs w:val="22"/>
                <w:color w:val="auto"/>
              </w:rPr>
            </w:pPr>
          </w:p>
        </w:tc>
        <w:tc>
          <w:tcPr>
            <w:tcW w:w="20" w:type="dxa"/>
            <w:vAlign w:val="bottom"/>
            <w:shd w:val="clear" w:color="auto" w:fill="FDFDFC"/>
          </w:tcPr>
          <w:p>
            <w:pPr>
              <w:spacing w:after="0"/>
              <w:rPr>
                <w:sz w:val="22"/>
                <w:szCs w:val="22"/>
                <w:color w:val="auto"/>
              </w:rPr>
            </w:pPr>
          </w:p>
        </w:tc>
        <w:tc>
          <w:tcPr>
            <w:tcW w:w="120" w:type="dxa"/>
            <w:vAlign w:val="bottom"/>
            <w:shd w:val="clear" w:color="auto" w:fill="FDFDFC"/>
          </w:tcPr>
          <w:p>
            <w:pPr>
              <w:jc w:val="right"/>
              <w:ind w:right="8"/>
              <w:spacing w:after="0"/>
              <w:rPr>
                <w:sz w:val="20"/>
                <w:szCs w:val="20"/>
                <w:color w:val="auto"/>
              </w:rPr>
            </w:pPr>
            <w:r>
              <w:rPr>
                <w:rFonts w:ascii="Arial" w:cs="Arial" w:eastAsia="Arial" w:hAnsi="Arial"/>
                <w:sz w:val="10"/>
                <w:szCs w:val="10"/>
                <w:color w:val="231F20"/>
                <w:highlight w:val="white"/>
                <w:w w:val="71"/>
              </w:rPr>
              <w:t>$</w:t>
            </w: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highlight w:val="white"/>
              </w:rPr>
              <w:t>165,973</w:t>
            </w:r>
          </w:p>
        </w:tc>
        <w:tc>
          <w:tcPr>
            <w:tcW w:w="220" w:type="dxa"/>
            <w:vAlign w:val="bottom"/>
            <w:shd w:val="clear" w:color="auto" w:fill="FDFDFC"/>
          </w:tcPr>
          <w:p>
            <w:pPr>
              <w:spacing w:after="0"/>
              <w:rPr>
                <w:sz w:val="22"/>
                <w:szCs w:val="22"/>
                <w:color w:val="auto"/>
              </w:rPr>
            </w:pPr>
          </w:p>
        </w:tc>
        <w:tc>
          <w:tcPr>
            <w:tcW w:w="20" w:type="dxa"/>
            <w:vAlign w:val="bottom"/>
            <w:shd w:val="clear" w:color="auto" w:fill="FDFDFC"/>
          </w:tcPr>
          <w:p>
            <w:pPr>
              <w:spacing w:after="0"/>
              <w:rPr>
                <w:sz w:val="22"/>
                <w:szCs w:val="22"/>
                <w:color w:val="auto"/>
              </w:rPr>
            </w:pPr>
          </w:p>
        </w:tc>
        <w:tc>
          <w:tcPr>
            <w:tcW w:w="20" w:type="dxa"/>
            <w:vAlign w:val="bottom"/>
            <w:shd w:val="clear" w:color="auto" w:fill="FDFDFC"/>
          </w:tcPr>
          <w:p>
            <w:pPr>
              <w:spacing w:after="0"/>
              <w:rPr>
                <w:sz w:val="22"/>
                <w:szCs w:val="22"/>
                <w:color w:val="auto"/>
              </w:rPr>
            </w:pPr>
          </w:p>
        </w:tc>
        <w:tc>
          <w:tcPr>
            <w:tcW w:w="120" w:type="dxa"/>
            <w:vAlign w:val="bottom"/>
            <w:shd w:val="clear" w:color="auto" w:fill="FDFDFC"/>
          </w:tcPr>
          <w:p>
            <w:pPr>
              <w:jc w:val="right"/>
              <w:ind w:right="8"/>
              <w:spacing w:after="0"/>
              <w:rPr>
                <w:sz w:val="20"/>
                <w:szCs w:val="20"/>
                <w:color w:val="auto"/>
              </w:rPr>
            </w:pPr>
            <w:r>
              <w:rPr>
                <w:rFonts w:ascii="Arial" w:cs="Arial" w:eastAsia="Arial" w:hAnsi="Arial"/>
                <w:sz w:val="10"/>
                <w:szCs w:val="10"/>
                <w:color w:val="231F20"/>
                <w:w w:val="71"/>
              </w:rPr>
              <w:t>$</w:t>
            </w: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49</w:t>
            </w:r>
          </w:p>
        </w:tc>
        <w:tc>
          <w:tcPr>
            <w:tcW w:w="220" w:type="dxa"/>
            <w:vAlign w:val="bottom"/>
            <w:shd w:val="clear" w:color="auto" w:fill="FDFDFC"/>
          </w:tcPr>
          <w:p>
            <w:pPr>
              <w:spacing w:after="0"/>
              <w:rPr>
                <w:sz w:val="22"/>
                <w:szCs w:val="22"/>
                <w:color w:val="auto"/>
              </w:rPr>
            </w:pPr>
          </w:p>
        </w:tc>
        <w:tc>
          <w:tcPr>
            <w:tcW w:w="20" w:type="dxa"/>
            <w:vAlign w:val="bottom"/>
            <w:shd w:val="clear" w:color="auto" w:fill="FDFDFC"/>
          </w:tcPr>
          <w:p>
            <w:pPr>
              <w:spacing w:after="0"/>
              <w:rPr>
                <w:sz w:val="22"/>
                <w:szCs w:val="22"/>
                <w:color w:val="auto"/>
              </w:rPr>
            </w:pPr>
          </w:p>
        </w:tc>
        <w:tc>
          <w:tcPr>
            <w:tcW w:w="20" w:type="dxa"/>
            <w:vAlign w:val="bottom"/>
            <w:shd w:val="clear" w:color="auto" w:fill="FDFDFC"/>
          </w:tcPr>
          <w:p>
            <w:pPr>
              <w:spacing w:after="0"/>
              <w:rPr>
                <w:sz w:val="22"/>
                <w:szCs w:val="22"/>
                <w:color w:val="auto"/>
              </w:rPr>
            </w:pPr>
          </w:p>
        </w:tc>
        <w:tc>
          <w:tcPr>
            <w:tcW w:w="160" w:type="dxa"/>
            <w:vAlign w:val="bottom"/>
            <w:shd w:val="clear" w:color="auto" w:fill="FDFDFC"/>
          </w:tcPr>
          <w:p>
            <w:pPr>
              <w:jc w:val="right"/>
              <w:ind w:right="48"/>
              <w:spacing w:after="0"/>
              <w:rPr>
                <w:sz w:val="20"/>
                <w:szCs w:val="20"/>
                <w:color w:val="auto"/>
              </w:rPr>
            </w:pPr>
            <w:r>
              <w:rPr>
                <w:rFonts w:ascii="Arial" w:cs="Arial" w:eastAsia="Arial" w:hAnsi="Arial"/>
                <w:sz w:val="10"/>
                <w:szCs w:val="10"/>
                <w:color w:val="231F20"/>
                <w:highlight w:val="white"/>
                <w:w w:val="71"/>
              </w:rPr>
              <w:t>$</w:t>
            </w:r>
          </w:p>
        </w:tc>
        <w:tc>
          <w:tcPr>
            <w:tcW w:w="800" w:type="dxa"/>
            <w:vAlign w:val="bottom"/>
            <w:shd w:val="clear" w:color="auto" w:fill="FDFDFC"/>
          </w:tcPr>
          <w:p>
            <w:pPr>
              <w:jc w:val="right"/>
              <w:spacing w:after="0"/>
              <w:rPr>
                <w:sz w:val="20"/>
                <w:szCs w:val="20"/>
                <w:color w:val="auto"/>
              </w:rPr>
            </w:pPr>
            <w:r>
              <w:rPr>
                <w:rFonts w:ascii="Arial" w:cs="Arial" w:eastAsia="Arial" w:hAnsi="Arial"/>
                <w:sz w:val="19"/>
                <w:szCs w:val="19"/>
                <w:color w:val="231F20"/>
                <w:highlight w:val="white"/>
              </w:rPr>
              <w:t>305,567</w:t>
            </w:r>
          </w:p>
        </w:tc>
        <w:tc>
          <w:tcPr>
            <w:tcW w:w="20" w:type="dxa"/>
            <w:vAlign w:val="bottom"/>
            <w:shd w:val="clear" w:color="auto" w:fill="FDFDFC"/>
          </w:tcPr>
          <w:p>
            <w:pPr>
              <w:spacing w:after="0"/>
              <w:rPr>
                <w:sz w:val="22"/>
                <w:szCs w:val="22"/>
                <w:color w:val="auto"/>
              </w:rPr>
            </w:pPr>
          </w:p>
        </w:tc>
        <w:tc>
          <w:tcPr>
            <w:tcW w:w="80" w:type="dxa"/>
            <w:vAlign w:val="bottom"/>
            <w:shd w:val="clear" w:color="auto" w:fill="FDFDFC"/>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40" w:type="dxa"/>
            <w:vAlign w:val="bottom"/>
            <w:tcBorders>
              <w:top w:val="single" w:sz="8" w:color="D0EBF2"/>
            </w:tcBorders>
            <w:shd w:val="clear" w:color="auto" w:fill="D0EBF2"/>
          </w:tcPr>
          <w:p>
            <w:pPr>
              <w:spacing w:after="0" w:line="213" w:lineRule="exact"/>
              <w:rPr>
                <w:sz w:val="20"/>
                <w:szCs w:val="20"/>
                <w:color w:val="auto"/>
              </w:rPr>
            </w:pPr>
            <w:r>
              <w:rPr>
                <w:rFonts w:ascii="Arial" w:cs="Arial" w:eastAsia="Arial" w:hAnsi="Arial"/>
                <w:sz w:val="19"/>
                <w:szCs w:val="19"/>
                <w:b w:val="1"/>
                <w:bCs w:val="1"/>
                <w:color w:val="231F20"/>
              </w:rPr>
              <w:t>Financial Liabilities:</w:t>
            </w:r>
          </w:p>
        </w:tc>
        <w:tc>
          <w:tcPr>
            <w:tcW w:w="120" w:type="dxa"/>
            <w:vAlign w:val="bottom"/>
            <w:tcBorders>
              <w:top w:val="single" w:sz="8" w:color="D0EBF2"/>
            </w:tcBorders>
            <w:shd w:val="clear" w:color="auto" w:fill="D0EBF2"/>
          </w:tcPr>
          <w:p>
            <w:pPr>
              <w:spacing w:after="0"/>
              <w:rPr>
                <w:sz w:val="18"/>
                <w:szCs w:val="18"/>
                <w:color w:val="auto"/>
              </w:rPr>
            </w:pPr>
          </w:p>
        </w:tc>
        <w:tc>
          <w:tcPr>
            <w:tcW w:w="20" w:type="dxa"/>
            <w:vAlign w:val="bottom"/>
            <w:tcBorders>
              <w:top w:val="single" w:sz="8" w:color="231F20"/>
            </w:tcBorders>
            <w:shd w:val="clear" w:color="auto" w:fill="D0EBF2"/>
          </w:tcPr>
          <w:p>
            <w:pPr>
              <w:spacing w:after="0"/>
              <w:rPr>
                <w:sz w:val="18"/>
                <w:szCs w:val="18"/>
                <w:color w:val="auto"/>
              </w:rPr>
            </w:pPr>
          </w:p>
        </w:tc>
        <w:tc>
          <w:tcPr>
            <w:tcW w:w="100" w:type="dxa"/>
            <w:vAlign w:val="bottom"/>
            <w:tcBorders>
              <w:top w:val="single" w:sz="8" w:color="231F20"/>
            </w:tcBorders>
            <w:shd w:val="clear" w:color="auto" w:fill="D0EBF2"/>
          </w:tcPr>
          <w:p>
            <w:pPr>
              <w:spacing w:after="0"/>
              <w:rPr>
                <w:sz w:val="18"/>
                <w:szCs w:val="18"/>
                <w:color w:val="auto"/>
              </w:rPr>
            </w:pPr>
          </w:p>
        </w:tc>
        <w:tc>
          <w:tcPr>
            <w:tcW w:w="1120" w:type="dxa"/>
            <w:vAlign w:val="bottom"/>
            <w:tcBorders>
              <w:top w:val="single" w:sz="8" w:color="231F20"/>
            </w:tcBorders>
            <w:shd w:val="clear" w:color="auto" w:fill="D0EBF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D0EBF2"/>
              <w:right w:val="single" w:sz="8" w:color="D0EBF2"/>
            </w:tcBorders>
            <w:shd w:val="clear" w:color="auto" w:fill="D0EBF2"/>
          </w:tcPr>
          <w:p>
            <w:pPr>
              <w:spacing w:after="0"/>
              <w:rPr>
                <w:sz w:val="18"/>
                <w:szCs w:val="18"/>
                <w:color w:val="auto"/>
              </w:rPr>
            </w:pPr>
          </w:p>
        </w:tc>
        <w:tc>
          <w:tcPr>
            <w:tcW w:w="20" w:type="dxa"/>
            <w:vAlign w:val="bottom"/>
            <w:tcBorders>
              <w:top w:val="single" w:sz="8" w:color="231F20"/>
            </w:tcBorders>
            <w:shd w:val="clear" w:color="auto" w:fill="D0EBF2"/>
          </w:tcPr>
          <w:p>
            <w:pPr>
              <w:spacing w:after="0"/>
              <w:rPr>
                <w:sz w:val="18"/>
                <w:szCs w:val="18"/>
                <w:color w:val="auto"/>
              </w:rPr>
            </w:pPr>
          </w:p>
        </w:tc>
        <w:tc>
          <w:tcPr>
            <w:tcW w:w="740" w:type="dxa"/>
            <w:vAlign w:val="bottom"/>
            <w:tcBorders>
              <w:top w:val="single" w:sz="8" w:color="231F20"/>
            </w:tcBorders>
            <w:shd w:val="clear" w:color="auto" w:fill="D0EBF2"/>
          </w:tcPr>
          <w:p>
            <w:pPr>
              <w:spacing w:after="0"/>
              <w:rPr>
                <w:sz w:val="18"/>
                <w:szCs w:val="18"/>
                <w:color w:val="auto"/>
              </w:rPr>
            </w:pPr>
          </w:p>
        </w:tc>
        <w:tc>
          <w:tcPr>
            <w:tcW w:w="240" w:type="dxa"/>
            <w:vAlign w:val="bottom"/>
            <w:tcBorders>
              <w:top w:val="single" w:sz="8" w:color="231F20"/>
            </w:tcBorders>
            <w:shd w:val="clear" w:color="auto" w:fill="D0EBF2"/>
          </w:tcPr>
          <w:p>
            <w:pPr>
              <w:spacing w:after="0"/>
              <w:rPr>
                <w:sz w:val="18"/>
                <w:szCs w:val="18"/>
                <w:color w:val="auto"/>
              </w:rPr>
            </w:pPr>
          </w:p>
        </w:tc>
        <w:tc>
          <w:tcPr>
            <w:tcW w:w="100" w:type="dxa"/>
            <w:vAlign w:val="bottom"/>
            <w:tcBorders>
              <w:top w:val="single" w:sz="8" w:color="D0EBF2"/>
            </w:tcBorders>
            <w:shd w:val="clear" w:color="auto" w:fill="D0EBF2"/>
          </w:tcPr>
          <w:p>
            <w:pPr>
              <w:spacing w:after="0"/>
              <w:rPr>
                <w:sz w:val="18"/>
                <w:szCs w:val="18"/>
                <w:color w:val="auto"/>
              </w:rPr>
            </w:pPr>
          </w:p>
        </w:tc>
        <w:tc>
          <w:tcPr>
            <w:tcW w:w="120" w:type="dxa"/>
            <w:vAlign w:val="bottom"/>
            <w:tcBorders>
              <w:top w:val="single" w:sz="8" w:color="D0EBF2"/>
            </w:tcBorders>
            <w:shd w:val="clear" w:color="auto" w:fill="D0EBF2"/>
          </w:tcPr>
          <w:p>
            <w:pPr>
              <w:spacing w:after="0"/>
              <w:rPr>
                <w:sz w:val="18"/>
                <w:szCs w:val="18"/>
                <w:color w:val="auto"/>
              </w:rPr>
            </w:pPr>
          </w:p>
        </w:tc>
        <w:tc>
          <w:tcPr>
            <w:tcW w:w="20" w:type="dxa"/>
            <w:vAlign w:val="bottom"/>
            <w:tcBorders>
              <w:top w:val="single" w:sz="8" w:color="D0EBF2"/>
            </w:tcBorders>
            <w:shd w:val="clear" w:color="auto" w:fill="D0EBF2"/>
          </w:tcPr>
          <w:p>
            <w:pPr>
              <w:spacing w:after="0"/>
              <w:rPr>
                <w:sz w:val="18"/>
                <w:szCs w:val="18"/>
                <w:color w:val="auto"/>
              </w:rPr>
            </w:pPr>
          </w:p>
        </w:tc>
        <w:tc>
          <w:tcPr>
            <w:tcW w:w="20" w:type="dxa"/>
            <w:vAlign w:val="bottom"/>
            <w:tcBorders>
              <w:top w:val="single" w:sz="8" w:color="231F20"/>
            </w:tcBorders>
            <w:shd w:val="clear" w:color="auto" w:fill="D0EBF2"/>
          </w:tcPr>
          <w:p>
            <w:pPr>
              <w:spacing w:after="0"/>
              <w:rPr>
                <w:sz w:val="18"/>
                <w:szCs w:val="18"/>
                <w:color w:val="auto"/>
              </w:rPr>
            </w:pPr>
          </w:p>
        </w:tc>
        <w:tc>
          <w:tcPr>
            <w:tcW w:w="120" w:type="dxa"/>
            <w:vAlign w:val="bottom"/>
            <w:tcBorders>
              <w:top w:val="single" w:sz="8" w:color="231F20"/>
            </w:tcBorders>
            <w:shd w:val="clear" w:color="auto" w:fill="D0EBF2"/>
          </w:tcPr>
          <w:p>
            <w:pPr>
              <w:spacing w:after="0"/>
              <w:rPr>
                <w:sz w:val="18"/>
                <w:szCs w:val="18"/>
                <w:color w:val="auto"/>
              </w:rPr>
            </w:pPr>
          </w:p>
        </w:tc>
        <w:tc>
          <w:tcPr>
            <w:tcW w:w="840" w:type="dxa"/>
            <w:vAlign w:val="bottom"/>
            <w:tcBorders>
              <w:top w:val="single" w:sz="8" w:color="231F20"/>
            </w:tcBorders>
            <w:shd w:val="clear" w:color="auto" w:fill="D0EBF2"/>
          </w:tcPr>
          <w:p>
            <w:pPr>
              <w:spacing w:after="0"/>
              <w:rPr>
                <w:sz w:val="18"/>
                <w:szCs w:val="18"/>
                <w:color w:val="auto"/>
              </w:rPr>
            </w:pPr>
          </w:p>
        </w:tc>
        <w:tc>
          <w:tcPr>
            <w:tcW w:w="220" w:type="dxa"/>
            <w:vAlign w:val="bottom"/>
            <w:tcBorders>
              <w:top w:val="single" w:sz="8" w:color="D0EBF2"/>
            </w:tcBorders>
            <w:shd w:val="clear" w:color="auto" w:fill="D0EBF2"/>
          </w:tcPr>
          <w:p>
            <w:pPr>
              <w:spacing w:after="0"/>
              <w:rPr>
                <w:sz w:val="18"/>
                <w:szCs w:val="18"/>
                <w:color w:val="auto"/>
              </w:rPr>
            </w:pPr>
          </w:p>
        </w:tc>
        <w:tc>
          <w:tcPr>
            <w:tcW w:w="20" w:type="dxa"/>
            <w:vAlign w:val="bottom"/>
            <w:tcBorders>
              <w:top w:val="single" w:sz="8" w:color="D0EBF2"/>
            </w:tcBorders>
            <w:shd w:val="clear" w:color="auto" w:fill="D0EBF2"/>
          </w:tcPr>
          <w:p>
            <w:pPr>
              <w:spacing w:after="0"/>
              <w:rPr>
                <w:sz w:val="18"/>
                <w:szCs w:val="18"/>
                <w:color w:val="auto"/>
              </w:rPr>
            </w:pPr>
          </w:p>
        </w:tc>
        <w:tc>
          <w:tcPr>
            <w:tcW w:w="20" w:type="dxa"/>
            <w:vAlign w:val="bottom"/>
            <w:tcBorders>
              <w:top w:val="single" w:sz="8" w:color="231F20"/>
            </w:tcBorders>
            <w:shd w:val="clear" w:color="auto" w:fill="D0EBF2"/>
          </w:tcPr>
          <w:p>
            <w:pPr>
              <w:spacing w:after="0"/>
              <w:rPr>
                <w:sz w:val="18"/>
                <w:szCs w:val="18"/>
                <w:color w:val="auto"/>
              </w:rPr>
            </w:pPr>
          </w:p>
        </w:tc>
        <w:tc>
          <w:tcPr>
            <w:tcW w:w="120" w:type="dxa"/>
            <w:vAlign w:val="bottom"/>
            <w:tcBorders>
              <w:top w:val="single" w:sz="8" w:color="231F20"/>
            </w:tcBorders>
            <w:shd w:val="clear" w:color="auto" w:fill="D0EBF2"/>
          </w:tcPr>
          <w:p>
            <w:pPr>
              <w:spacing w:after="0"/>
              <w:rPr>
                <w:sz w:val="18"/>
                <w:szCs w:val="18"/>
                <w:color w:val="auto"/>
              </w:rPr>
            </w:pPr>
          </w:p>
        </w:tc>
        <w:tc>
          <w:tcPr>
            <w:tcW w:w="840" w:type="dxa"/>
            <w:vAlign w:val="bottom"/>
            <w:tcBorders>
              <w:top w:val="single" w:sz="8" w:color="231F20"/>
            </w:tcBorders>
            <w:shd w:val="clear" w:color="auto" w:fill="D0EBF2"/>
          </w:tcPr>
          <w:p>
            <w:pPr>
              <w:spacing w:after="0"/>
              <w:rPr>
                <w:sz w:val="18"/>
                <w:szCs w:val="18"/>
                <w:color w:val="auto"/>
              </w:rPr>
            </w:pPr>
          </w:p>
        </w:tc>
        <w:tc>
          <w:tcPr>
            <w:tcW w:w="220" w:type="dxa"/>
            <w:vAlign w:val="bottom"/>
            <w:tcBorders>
              <w:top w:val="single" w:sz="8" w:color="D0EBF2"/>
            </w:tcBorders>
            <w:shd w:val="clear" w:color="auto" w:fill="D0EBF2"/>
          </w:tcPr>
          <w:p>
            <w:pPr>
              <w:spacing w:after="0"/>
              <w:rPr>
                <w:sz w:val="18"/>
                <w:szCs w:val="18"/>
                <w:color w:val="auto"/>
              </w:rPr>
            </w:pPr>
          </w:p>
        </w:tc>
        <w:tc>
          <w:tcPr>
            <w:tcW w:w="20" w:type="dxa"/>
            <w:vAlign w:val="bottom"/>
            <w:tcBorders>
              <w:top w:val="single" w:sz="8" w:color="D0EBF2"/>
            </w:tcBorders>
            <w:shd w:val="clear" w:color="auto" w:fill="D0EBF2"/>
          </w:tcPr>
          <w:p>
            <w:pPr>
              <w:spacing w:after="0"/>
              <w:rPr>
                <w:sz w:val="18"/>
                <w:szCs w:val="18"/>
                <w:color w:val="auto"/>
              </w:rPr>
            </w:pPr>
          </w:p>
        </w:tc>
        <w:tc>
          <w:tcPr>
            <w:tcW w:w="20" w:type="dxa"/>
            <w:vAlign w:val="bottom"/>
            <w:tcBorders>
              <w:top w:val="single" w:sz="8" w:color="231F20"/>
            </w:tcBorders>
            <w:shd w:val="clear" w:color="auto" w:fill="D0EBF2"/>
          </w:tcPr>
          <w:p>
            <w:pPr>
              <w:spacing w:after="0"/>
              <w:rPr>
                <w:sz w:val="18"/>
                <w:szCs w:val="18"/>
                <w:color w:val="auto"/>
              </w:rPr>
            </w:pPr>
          </w:p>
        </w:tc>
        <w:tc>
          <w:tcPr>
            <w:tcW w:w="160" w:type="dxa"/>
            <w:vAlign w:val="bottom"/>
            <w:tcBorders>
              <w:top w:val="single" w:sz="8" w:color="231F20"/>
            </w:tcBorders>
            <w:shd w:val="clear" w:color="auto" w:fill="D0EBF2"/>
          </w:tcPr>
          <w:p>
            <w:pPr>
              <w:spacing w:after="0"/>
              <w:rPr>
                <w:sz w:val="18"/>
                <w:szCs w:val="18"/>
                <w:color w:val="auto"/>
              </w:rPr>
            </w:pPr>
          </w:p>
        </w:tc>
        <w:tc>
          <w:tcPr>
            <w:tcW w:w="800" w:type="dxa"/>
            <w:vAlign w:val="bottom"/>
            <w:tcBorders>
              <w:top w:val="single" w:sz="8" w:color="231F20"/>
            </w:tcBorders>
            <w:shd w:val="clear" w:color="auto" w:fill="D0EBF2"/>
          </w:tcPr>
          <w:p>
            <w:pPr>
              <w:spacing w:after="0"/>
              <w:rPr>
                <w:sz w:val="18"/>
                <w:szCs w:val="18"/>
                <w:color w:val="auto"/>
              </w:rPr>
            </w:pPr>
          </w:p>
        </w:tc>
        <w:tc>
          <w:tcPr>
            <w:tcW w:w="20" w:type="dxa"/>
            <w:vAlign w:val="bottom"/>
            <w:tcBorders>
              <w:top w:val="single" w:sz="8" w:color="D0EBF2"/>
            </w:tcBorders>
            <w:shd w:val="clear" w:color="auto" w:fill="D0EBF2"/>
          </w:tcPr>
          <w:p>
            <w:pPr>
              <w:spacing w:after="0"/>
              <w:rPr>
                <w:sz w:val="18"/>
                <w:szCs w:val="18"/>
                <w:color w:val="auto"/>
              </w:rPr>
            </w:pPr>
          </w:p>
        </w:tc>
        <w:tc>
          <w:tcPr>
            <w:tcW w:w="80" w:type="dxa"/>
            <w:vAlign w:val="bottom"/>
            <w:tcBorders>
              <w:top w:val="single" w:sz="8" w:color="D0EBF2"/>
            </w:tcBorders>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9"/>
                <w:szCs w:val="19"/>
                <w:color w:val="231F20"/>
              </w:rPr>
              <w:t>Contingent consideration</w:t>
            </w:r>
          </w:p>
        </w:tc>
        <w:tc>
          <w:tcPr>
            <w:tcW w:w="12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231F20"/>
            </w:tcBorders>
            <w:gridSpan w:val="2"/>
            <w:shd w:val="clear" w:color="auto" w:fill="FDFDFC"/>
          </w:tcPr>
          <w:p>
            <w:pPr>
              <w:spacing w:after="0"/>
              <w:rPr>
                <w:sz w:val="20"/>
                <w:szCs w:val="20"/>
                <w:color w:val="auto"/>
              </w:rPr>
            </w:pPr>
            <w:r>
              <w:rPr>
                <w:rFonts w:ascii="Arial" w:cs="Arial" w:eastAsia="Arial" w:hAnsi="Arial"/>
                <w:sz w:val="19"/>
                <w:szCs w:val="19"/>
                <w:color w:val="231F20"/>
                <w:w w:val="94"/>
              </w:rPr>
              <w:t>$</w:t>
            </w:r>
          </w:p>
        </w:tc>
        <w:tc>
          <w:tcPr>
            <w:tcW w:w="11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0" w:type="dxa"/>
            <w:vAlign w:val="bottom"/>
          </w:tcPr>
          <w:p>
            <w:pPr>
              <w:spacing w:after="0"/>
              <w:rPr>
                <w:sz w:val="20"/>
                <w:szCs w:val="20"/>
                <w:color w:val="auto"/>
              </w:rPr>
            </w:pPr>
          </w:p>
        </w:tc>
        <w:tc>
          <w:tcPr>
            <w:tcW w:w="220" w:type="dxa"/>
            <w:vAlign w:val="bottom"/>
            <w:tcBorders>
              <w:bottom w:val="single" w:sz="8" w:color="D0EBF2"/>
              <w:right w:val="single" w:sz="8" w:color="FDFDFC"/>
            </w:tcBorders>
            <w:shd w:val="clear" w:color="auto" w:fill="FDFDFC"/>
          </w:tcPr>
          <w:p>
            <w:pPr>
              <w:spacing w:after="0"/>
              <w:rPr>
                <w:sz w:val="20"/>
                <w:szCs w:val="20"/>
                <w:color w:val="auto"/>
              </w:rPr>
            </w:pPr>
          </w:p>
        </w:tc>
        <w:tc>
          <w:tcPr>
            <w:tcW w:w="20" w:type="dxa"/>
            <w:vAlign w:val="bottom"/>
            <w:tcBorders>
              <w:bottom w:val="single" w:sz="8" w:color="231F20"/>
            </w:tcBorders>
            <w:shd w:val="clear" w:color="auto" w:fill="FDFDFC"/>
          </w:tcPr>
          <w:p>
            <w:pPr>
              <w:spacing w:after="0"/>
              <w:rPr>
                <w:sz w:val="20"/>
                <w:szCs w:val="20"/>
                <w:color w:val="auto"/>
              </w:rPr>
            </w:pPr>
          </w:p>
        </w:tc>
        <w:tc>
          <w:tcPr>
            <w:tcW w:w="740" w:type="dxa"/>
            <w:vAlign w:val="bottom"/>
            <w:tcBorders>
              <w:bottom w:val="single" w:sz="8" w:color="231F20"/>
            </w:tcBorders>
            <w:shd w:val="clear" w:color="auto" w:fill="FDFDFC"/>
          </w:tcPr>
          <w:p>
            <w:pPr>
              <w:jc w:val="right"/>
              <w:ind w:right="586"/>
              <w:spacing w:after="0"/>
              <w:rPr>
                <w:sz w:val="20"/>
                <w:szCs w:val="20"/>
                <w:color w:val="auto"/>
              </w:rPr>
            </w:pPr>
            <w:r>
              <w:rPr>
                <w:rFonts w:ascii="Arial" w:cs="Arial" w:eastAsia="Arial" w:hAnsi="Arial"/>
                <w:sz w:val="15"/>
                <w:szCs w:val="15"/>
                <w:color w:val="231F20"/>
                <w:w w:val="71"/>
              </w:rPr>
              <w:t>$</w:t>
            </w:r>
          </w:p>
        </w:tc>
        <w:tc>
          <w:tcPr>
            <w:tcW w:w="240" w:type="dxa"/>
            <w:vAlign w:val="bottom"/>
            <w:tcBorders>
              <w:bottom w:val="single" w:sz="8" w:color="231F20"/>
            </w:tcBorders>
            <w:shd w:val="clear" w:color="auto" w:fill="FDFDFC"/>
          </w:tcPr>
          <w:p>
            <w:pPr>
              <w:ind w:left="20"/>
              <w:spacing w:after="0"/>
              <w:rPr>
                <w:sz w:val="20"/>
                <w:szCs w:val="20"/>
                <w:color w:val="auto"/>
              </w:rPr>
            </w:pPr>
            <w:r>
              <w:rPr>
                <w:rFonts w:ascii="Arial" w:cs="Arial" w:eastAsia="Arial" w:hAnsi="Arial"/>
                <w:sz w:val="19"/>
                <w:szCs w:val="19"/>
                <w:color w:val="231F20"/>
              </w:rPr>
              <w:t>—</w:t>
            </w:r>
          </w:p>
        </w:tc>
        <w:tc>
          <w:tcPr>
            <w:tcW w:w="10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231F20"/>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jc w:val="right"/>
              <w:ind w:right="8"/>
              <w:spacing w:after="0"/>
              <w:rPr>
                <w:sz w:val="20"/>
                <w:szCs w:val="20"/>
                <w:color w:val="auto"/>
              </w:rPr>
            </w:pPr>
            <w:r>
              <w:rPr>
                <w:rFonts w:ascii="Arial" w:cs="Arial" w:eastAsia="Arial" w:hAnsi="Arial"/>
                <w:sz w:val="10"/>
                <w:szCs w:val="10"/>
                <w:color w:val="231F20"/>
                <w:w w:val="71"/>
              </w:rPr>
              <w:t>$</w:t>
            </w:r>
          </w:p>
        </w:tc>
        <w:tc>
          <w:tcPr>
            <w:tcW w:w="8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2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231F20"/>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jc w:val="right"/>
              <w:ind w:right="8"/>
              <w:spacing w:after="0"/>
              <w:rPr>
                <w:sz w:val="20"/>
                <w:szCs w:val="20"/>
                <w:color w:val="auto"/>
              </w:rPr>
            </w:pPr>
            <w:r>
              <w:rPr>
                <w:rFonts w:ascii="Arial" w:cs="Arial" w:eastAsia="Arial" w:hAnsi="Arial"/>
                <w:sz w:val="10"/>
                <w:szCs w:val="10"/>
                <w:color w:val="231F20"/>
                <w:w w:val="71"/>
              </w:rPr>
              <w:t>$</w:t>
            </w:r>
          </w:p>
        </w:tc>
        <w:tc>
          <w:tcPr>
            <w:tcW w:w="8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5,094</w:t>
            </w:r>
          </w:p>
        </w:tc>
        <w:tc>
          <w:tcPr>
            <w:tcW w:w="22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231F20"/>
            </w:tcBorders>
            <w:shd w:val="clear" w:color="auto" w:fill="FDFDFC"/>
          </w:tcPr>
          <w:p>
            <w:pPr>
              <w:spacing w:after="0"/>
              <w:rPr>
                <w:sz w:val="20"/>
                <w:szCs w:val="20"/>
                <w:color w:val="auto"/>
              </w:rPr>
            </w:pPr>
          </w:p>
        </w:tc>
        <w:tc>
          <w:tcPr>
            <w:tcW w:w="160" w:type="dxa"/>
            <w:vAlign w:val="bottom"/>
            <w:tcBorders>
              <w:bottom w:val="single" w:sz="8" w:color="231F20"/>
            </w:tcBorders>
            <w:shd w:val="clear" w:color="auto" w:fill="FDFDFC"/>
          </w:tcPr>
          <w:p>
            <w:pPr>
              <w:jc w:val="right"/>
              <w:ind w:right="48"/>
              <w:spacing w:after="0"/>
              <w:rPr>
                <w:sz w:val="20"/>
                <w:szCs w:val="20"/>
                <w:color w:val="auto"/>
              </w:rPr>
            </w:pPr>
            <w:r>
              <w:rPr>
                <w:rFonts w:ascii="Arial" w:cs="Arial" w:eastAsia="Arial" w:hAnsi="Arial"/>
                <w:sz w:val="10"/>
                <w:szCs w:val="10"/>
                <w:color w:val="231F20"/>
                <w:w w:val="71"/>
              </w:rPr>
              <w:t>$</w:t>
            </w:r>
          </w:p>
        </w:tc>
        <w:tc>
          <w:tcPr>
            <w:tcW w:w="8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5,094</w:t>
            </w:r>
          </w:p>
        </w:tc>
        <w:tc>
          <w:tcPr>
            <w:tcW w:w="20" w:type="dxa"/>
            <w:vAlign w:val="bottom"/>
            <w:tcBorders>
              <w:bottom w:val="single" w:sz="8" w:color="D0EBF2"/>
            </w:tcBorders>
            <w:shd w:val="clear" w:color="auto" w:fill="FDFDFC"/>
          </w:tcPr>
          <w:p>
            <w:pPr>
              <w:spacing w:after="0"/>
              <w:rPr>
                <w:sz w:val="20"/>
                <w:szCs w:val="20"/>
                <w:color w:val="auto"/>
              </w:rPr>
            </w:pPr>
          </w:p>
        </w:tc>
        <w:tc>
          <w:tcPr>
            <w:tcW w:w="8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40" w:type="dxa"/>
            <w:vAlign w:val="bottom"/>
            <w:shd w:val="clear" w:color="auto" w:fill="D0EBF2"/>
          </w:tcPr>
          <w:p>
            <w:pPr>
              <w:spacing w:after="0"/>
              <w:rPr>
                <w:sz w:val="20"/>
                <w:szCs w:val="20"/>
                <w:color w:val="auto"/>
              </w:rPr>
            </w:pPr>
            <w:r>
              <w:rPr>
                <w:rFonts w:ascii="Arial" w:cs="Arial" w:eastAsia="Arial" w:hAnsi="Arial"/>
                <w:sz w:val="19"/>
                <w:szCs w:val="19"/>
                <w:color w:val="231F20"/>
              </w:rPr>
              <w:t>Total financial liabilities</w:t>
            </w:r>
          </w:p>
        </w:tc>
        <w:tc>
          <w:tcPr>
            <w:tcW w:w="120" w:type="dxa"/>
            <w:vAlign w:val="bottom"/>
            <w:shd w:val="clear" w:color="auto" w:fill="D0EBF2"/>
          </w:tcPr>
          <w:p>
            <w:pPr>
              <w:spacing w:after="0"/>
              <w:rPr>
                <w:sz w:val="19"/>
                <w:szCs w:val="19"/>
                <w:color w:val="auto"/>
              </w:rPr>
            </w:pPr>
          </w:p>
        </w:tc>
        <w:tc>
          <w:tcPr>
            <w:tcW w:w="120" w:type="dxa"/>
            <w:vAlign w:val="bottom"/>
            <w:gridSpan w:val="2"/>
            <w:shd w:val="clear" w:color="auto" w:fill="D0EBF2"/>
          </w:tcPr>
          <w:p>
            <w:pPr>
              <w:spacing w:after="0"/>
              <w:rPr>
                <w:sz w:val="20"/>
                <w:szCs w:val="20"/>
                <w:color w:val="auto"/>
              </w:rPr>
            </w:pPr>
            <w:r>
              <w:rPr>
                <w:rFonts w:ascii="Arial" w:cs="Arial" w:eastAsia="Arial" w:hAnsi="Arial"/>
                <w:sz w:val="19"/>
                <w:szCs w:val="19"/>
                <w:color w:val="231F20"/>
                <w:w w:val="94"/>
              </w:rPr>
              <w:t>$</w:t>
            </w:r>
          </w:p>
        </w:tc>
        <w:tc>
          <w:tcPr>
            <w:tcW w:w="11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0" w:type="dxa"/>
            <w:vAlign w:val="bottom"/>
          </w:tcPr>
          <w:p>
            <w:pPr>
              <w:spacing w:after="0"/>
              <w:rPr>
                <w:sz w:val="19"/>
                <w:szCs w:val="19"/>
                <w:color w:val="auto"/>
              </w:rPr>
            </w:pPr>
          </w:p>
        </w:tc>
        <w:tc>
          <w:tcPr>
            <w:tcW w:w="220" w:type="dxa"/>
            <w:vAlign w:val="bottom"/>
            <w:tcBorders>
              <w:right w:val="single" w:sz="8" w:color="D0EBF2"/>
            </w:tcBorders>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740" w:type="dxa"/>
            <w:vAlign w:val="bottom"/>
            <w:shd w:val="clear" w:color="auto" w:fill="D0EBF2"/>
          </w:tcPr>
          <w:p>
            <w:pPr>
              <w:jc w:val="right"/>
              <w:ind w:right="586"/>
              <w:spacing w:after="0"/>
              <w:rPr>
                <w:sz w:val="20"/>
                <w:szCs w:val="20"/>
                <w:color w:val="auto"/>
              </w:rPr>
            </w:pPr>
            <w:r>
              <w:rPr>
                <w:rFonts w:ascii="Arial" w:cs="Arial" w:eastAsia="Arial" w:hAnsi="Arial"/>
                <w:sz w:val="15"/>
                <w:szCs w:val="15"/>
                <w:color w:val="231F20"/>
                <w:w w:val="71"/>
              </w:rPr>
              <w:t>$</w:t>
            </w:r>
          </w:p>
        </w:tc>
        <w:tc>
          <w:tcPr>
            <w:tcW w:w="240" w:type="dxa"/>
            <w:vAlign w:val="bottom"/>
            <w:shd w:val="clear" w:color="auto" w:fill="D0EBF2"/>
          </w:tcPr>
          <w:p>
            <w:pPr>
              <w:ind w:left="20"/>
              <w:spacing w:after="0"/>
              <w:rPr>
                <w:sz w:val="20"/>
                <w:szCs w:val="20"/>
                <w:color w:val="auto"/>
              </w:rPr>
            </w:pPr>
            <w:r>
              <w:rPr>
                <w:rFonts w:ascii="Arial" w:cs="Arial" w:eastAsia="Arial" w:hAnsi="Arial"/>
                <w:sz w:val="19"/>
                <w:szCs w:val="19"/>
                <w:color w:val="231F20"/>
              </w:rPr>
              <w:t>—</w:t>
            </w:r>
          </w:p>
        </w:tc>
        <w:tc>
          <w:tcPr>
            <w:tcW w:w="10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20" w:type="dxa"/>
            <w:vAlign w:val="bottom"/>
            <w:shd w:val="clear" w:color="auto" w:fill="D0EBF2"/>
          </w:tcPr>
          <w:p>
            <w:pPr>
              <w:jc w:val="right"/>
              <w:ind w:right="8"/>
              <w:spacing w:after="0"/>
              <w:rPr>
                <w:sz w:val="20"/>
                <w:szCs w:val="20"/>
                <w:color w:val="auto"/>
              </w:rPr>
            </w:pPr>
            <w:r>
              <w:rPr>
                <w:rFonts w:ascii="Arial" w:cs="Arial" w:eastAsia="Arial" w:hAnsi="Arial"/>
                <w:sz w:val="10"/>
                <w:szCs w:val="10"/>
                <w:color w:val="231F20"/>
                <w:w w:val="71"/>
              </w:rPr>
              <w:t>$</w:t>
            </w:r>
          </w:p>
        </w:tc>
        <w:tc>
          <w:tcPr>
            <w:tcW w:w="8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2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20" w:type="dxa"/>
            <w:vAlign w:val="bottom"/>
            <w:shd w:val="clear" w:color="auto" w:fill="D0EBF2"/>
          </w:tcPr>
          <w:p>
            <w:pPr>
              <w:jc w:val="right"/>
              <w:ind w:right="8"/>
              <w:spacing w:after="0"/>
              <w:rPr>
                <w:sz w:val="20"/>
                <w:szCs w:val="20"/>
                <w:color w:val="auto"/>
              </w:rPr>
            </w:pPr>
            <w:r>
              <w:rPr>
                <w:rFonts w:ascii="Arial" w:cs="Arial" w:eastAsia="Arial" w:hAnsi="Arial"/>
                <w:sz w:val="10"/>
                <w:szCs w:val="10"/>
                <w:color w:val="231F20"/>
                <w:w w:val="71"/>
              </w:rPr>
              <w:t>$</w:t>
            </w:r>
          </w:p>
        </w:tc>
        <w:tc>
          <w:tcPr>
            <w:tcW w:w="8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5,094</w:t>
            </w:r>
          </w:p>
        </w:tc>
        <w:tc>
          <w:tcPr>
            <w:tcW w:w="2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60" w:type="dxa"/>
            <w:vAlign w:val="bottom"/>
            <w:shd w:val="clear" w:color="auto" w:fill="D0EBF2"/>
          </w:tcPr>
          <w:p>
            <w:pPr>
              <w:jc w:val="right"/>
              <w:ind w:right="48"/>
              <w:spacing w:after="0"/>
              <w:rPr>
                <w:sz w:val="20"/>
                <w:szCs w:val="20"/>
                <w:color w:val="auto"/>
              </w:rPr>
            </w:pPr>
            <w:r>
              <w:rPr>
                <w:rFonts w:ascii="Arial" w:cs="Arial" w:eastAsia="Arial" w:hAnsi="Arial"/>
                <w:sz w:val="10"/>
                <w:szCs w:val="10"/>
                <w:color w:val="231F20"/>
                <w:w w:val="71"/>
              </w:rPr>
              <w:t>$</w:t>
            </w:r>
          </w:p>
        </w:tc>
        <w:tc>
          <w:tcPr>
            <w:tcW w:w="8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5,094</w:t>
            </w:r>
          </w:p>
        </w:tc>
        <w:tc>
          <w:tcPr>
            <w:tcW w:w="20" w:type="dxa"/>
            <w:vAlign w:val="bottom"/>
            <w:shd w:val="clear" w:color="auto" w:fill="D0EBF2"/>
          </w:tcPr>
          <w:p>
            <w:pPr>
              <w:spacing w:after="0"/>
              <w:rPr>
                <w:sz w:val="19"/>
                <w:szCs w:val="19"/>
                <w:color w:val="auto"/>
              </w:rPr>
            </w:pPr>
          </w:p>
        </w:tc>
        <w:tc>
          <w:tcPr>
            <w:tcW w:w="8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84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1220" w:type="dxa"/>
            <w:vAlign w:val="bottom"/>
            <w:gridSpan w:val="2"/>
            <w:shd w:val="clear" w:color="auto" w:fill="FDFDFC"/>
          </w:tcPr>
          <w:p>
            <w:pPr>
              <w:spacing w:after="0" w:line="157" w:lineRule="exact"/>
              <w:rPr>
                <w:sz w:val="20"/>
                <w:szCs w:val="20"/>
                <w:color w:val="auto"/>
              </w:rPr>
            </w:pPr>
            <w:r>
              <w:rPr>
                <w:rFonts w:ascii="Arial" w:cs="Arial" w:eastAsia="Arial" w:hAnsi="Arial"/>
                <w:sz w:val="15"/>
                <w:szCs w:val="15"/>
                <w:b w:val="1"/>
                <w:bCs w:val="1"/>
                <w:color w:val="231F20"/>
                <w:w w:val="97"/>
              </w:rPr>
              <w:t>Measured at NAV</w:t>
            </w:r>
          </w:p>
        </w:tc>
        <w:tc>
          <w:tcPr>
            <w:tcW w:w="20" w:type="dxa"/>
            <w:vAlign w:val="bottom"/>
            <w:vMerge w:val="continue"/>
          </w:tcPr>
          <w:p>
            <w:pPr>
              <w:spacing w:after="0"/>
              <w:rPr>
                <w:sz w:val="13"/>
                <w:szCs w:val="13"/>
                <w:color w:val="auto"/>
              </w:rPr>
            </w:pPr>
          </w:p>
        </w:tc>
        <w:tc>
          <w:tcPr>
            <w:tcW w:w="220" w:type="dxa"/>
            <w:vAlign w:val="bottom"/>
            <w:tcBorders>
              <w:right w:val="single" w:sz="8" w:color="FDFDFC"/>
            </w:tcBorders>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4740" w:type="dxa"/>
            <w:vAlign w:val="bottom"/>
            <w:gridSpan w:val="20"/>
            <w:vMerge w:val="restart"/>
            <w:shd w:val="clear" w:color="auto" w:fill="FDFDFC"/>
          </w:tcPr>
          <w:p>
            <w:pPr>
              <w:ind w:left="560"/>
              <w:spacing w:after="0"/>
              <w:rPr>
                <w:sz w:val="20"/>
                <w:szCs w:val="20"/>
                <w:color w:val="auto"/>
              </w:rPr>
            </w:pPr>
            <w:r>
              <w:rPr>
                <w:rFonts w:ascii="Arial" w:cs="Arial" w:eastAsia="Arial" w:hAnsi="Arial"/>
                <w:sz w:val="15"/>
                <w:szCs w:val="15"/>
                <w:b w:val="1"/>
                <w:bCs w:val="1"/>
                <w:color w:val="231F20"/>
              </w:rPr>
              <w:t>Measured at Fair Value as of December 31, 2023:</w:t>
            </w:r>
          </w:p>
        </w:tc>
        <w:tc>
          <w:tcPr>
            <w:tcW w:w="0" w:type="dxa"/>
            <w:vAlign w:val="bottom"/>
          </w:tcPr>
          <w:p>
            <w:pPr>
              <w:spacing w:after="0"/>
              <w:rPr>
                <w:sz w:val="1"/>
                <w:szCs w:val="1"/>
                <w:color w:val="auto"/>
              </w:rPr>
            </w:pPr>
          </w:p>
        </w:tc>
      </w:tr>
      <w:tr>
        <w:trPr>
          <w:trHeight w:val="174"/>
        </w:trPr>
        <w:tc>
          <w:tcPr>
            <w:tcW w:w="384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220" w:type="dxa"/>
            <w:vAlign w:val="bottom"/>
            <w:gridSpan w:val="2"/>
            <w:shd w:val="clear" w:color="auto" w:fill="FDFDFC"/>
          </w:tcPr>
          <w:p>
            <w:pPr>
              <w:jc w:val="center"/>
              <w:spacing w:after="0"/>
              <w:rPr>
                <w:sz w:val="20"/>
                <w:szCs w:val="20"/>
                <w:color w:val="auto"/>
              </w:rPr>
            </w:pPr>
            <w:r>
              <w:rPr>
                <w:rFonts w:ascii="Arial" w:cs="Arial" w:eastAsia="Arial" w:hAnsi="Arial"/>
                <w:sz w:val="15"/>
                <w:szCs w:val="15"/>
                <w:b w:val="1"/>
                <w:bCs w:val="1"/>
                <w:color w:val="231F20"/>
              </w:rPr>
              <w:t>as of December</w:t>
            </w:r>
          </w:p>
        </w:tc>
        <w:tc>
          <w:tcPr>
            <w:tcW w:w="20" w:type="dxa"/>
            <w:vAlign w:val="bottom"/>
          </w:tcPr>
          <w:p>
            <w:pPr>
              <w:spacing w:after="0"/>
              <w:rPr>
                <w:sz w:val="15"/>
                <w:szCs w:val="15"/>
                <w:color w:val="auto"/>
              </w:rPr>
            </w:pPr>
          </w:p>
        </w:tc>
        <w:tc>
          <w:tcPr>
            <w:tcW w:w="220" w:type="dxa"/>
            <w:vAlign w:val="bottom"/>
            <w:tcBorders>
              <w:right w:val="single" w:sz="8" w:color="FDFDFC"/>
            </w:tcBorders>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740" w:type="dxa"/>
            <w:vAlign w:val="bottom"/>
            <w:gridSpan w:val="20"/>
            <w:vMerge w:val="continue"/>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40" w:type="dxa"/>
            <w:vAlign w:val="bottom"/>
            <w:tcBorders>
              <w:bottom w:val="single" w:sz="8" w:color="FDFDFC"/>
            </w:tcBorders>
            <w:shd w:val="clear" w:color="auto" w:fill="FDFDFC"/>
          </w:tcPr>
          <w:p>
            <w:pPr>
              <w:spacing w:after="0"/>
              <w:rPr>
                <w:sz w:val="16"/>
                <w:szCs w:val="16"/>
                <w:color w:val="auto"/>
              </w:rPr>
            </w:pPr>
          </w:p>
        </w:tc>
        <w:tc>
          <w:tcPr>
            <w:tcW w:w="120" w:type="dxa"/>
            <w:vAlign w:val="bottom"/>
            <w:tcBorders>
              <w:bottom w:val="single" w:sz="8" w:color="FDFDFC"/>
            </w:tcBorders>
            <w:shd w:val="clear" w:color="auto" w:fill="FDFDFC"/>
          </w:tcPr>
          <w:p>
            <w:pPr>
              <w:spacing w:after="0"/>
              <w:rPr>
                <w:sz w:val="16"/>
                <w:szCs w:val="16"/>
                <w:color w:val="auto"/>
              </w:rPr>
            </w:pPr>
          </w:p>
        </w:tc>
        <w:tc>
          <w:tcPr>
            <w:tcW w:w="20" w:type="dxa"/>
            <w:vAlign w:val="bottom"/>
            <w:tcBorders>
              <w:bottom w:val="single" w:sz="8" w:color="FDFDFC"/>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1120" w:type="dxa"/>
            <w:vAlign w:val="bottom"/>
            <w:tcBorders>
              <w:bottom w:val="single" w:sz="8" w:color="FDFDFC"/>
            </w:tcBorders>
            <w:shd w:val="clear" w:color="auto" w:fill="FDFDFC"/>
          </w:tcPr>
          <w:p>
            <w:pPr>
              <w:jc w:val="center"/>
              <w:ind w:right="29"/>
              <w:spacing w:after="0"/>
              <w:rPr>
                <w:sz w:val="20"/>
                <w:szCs w:val="20"/>
                <w:color w:val="auto"/>
              </w:rPr>
            </w:pPr>
            <w:r>
              <w:rPr>
                <w:rFonts w:ascii="Arial" w:cs="Arial" w:eastAsia="Arial" w:hAnsi="Arial"/>
                <w:sz w:val="15"/>
                <w:szCs w:val="15"/>
                <w:b w:val="1"/>
                <w:bCs w:val="1"/>
                <w:color w:val="231F20"/>
              </w:rPr>
              <w:t>31, 2023:</w:t>
            </w:r>
          </w:p>
        </w:tc>
        <w:tc>
          <w:tcPr>
            <w:tcW w:w="20" w:type="dxa"/>
            <w:vAlign w:val="bottom"/>
            <w:tcBorders>
              <w:bottom w:val="single" w:sz="8" w:color="FDFDFC"/>
            </w:tcBorders>
          </w:tcPr>
          <w:p>
            <w:pPr>
              <w:spacing w:after="0"/>
              <w:rPr>
                <w:sz w:val="16"/>
                <w:szCs w:val="16"/>
                <w:color w:val="auto"/>
              </w:rPr>
            </w:pPr>
          </w:p>
        </w:tc>
        <w:tc>
          <w:tcPr>
            <w:tcW w:w="220" w:type="dxa"/>
            <w:vAlign w:val="bottom"/>
            <w:tcBorders>
              <w:bottom w:val="single" w:sz="8" w:color="FDFDFC"/>
              <w:right w:val="single" w:sz="8" w:color="FDFDFC"/>
            </w:tcBorders>
            <w:shd w:val="clear" w:color="auto" w:fill="FDFDFC"/>
          </w:tcPr>
          <w:p>
            <w:pPr>
              <w:spacing w:after="0"/>
              <w:rPr>
                <w:sz w:val="16"/>
                <w:szCs w:val="16"/>
                <w:color w:val="auto"/>
              </w:rPr>
            </w:pPr>
          </w:p>
        </w:tc>
        <w:tc>
          <w:tcPr>
            <w:tcW w:w="20" w:type="dxa"/>
            <w:vAlign w:val="bottom"/>
            <w:tcBorders>
              <w:bottom w:val="single" w:sz="8" w:color="FDFDFC"/>
            </w:tcBorders>
            <w:shd w:val="clear" w:color="auto" w:fill="FDFDFC"/>
          </w:tcPr>
          <w:p>
            <w:pPr>
              <w:spacing w:after="0"/>
              <w:rPr>
                <w:sz w:val="16"/>
                <w:szCs w:val="16"/>
                <w:color w:val="auto"/>
              </w:rPr>
            </w:pPr>
          </w:p>
        </w:tc>
        <w:tc>
          <w:tcPr>
            <w:tcW w:w="740" w:type="dxa"/>
            <w:vAlign w:val="bottom"/>
            <w:tcBorders>
              <w:bottom w:val="single" w:sz="8" w:color="231F20"/>
            </w:tcBorders>
            <w:shd w:val="clear" w:color="auto" w:fill="FDFDFC"/>
          </w:tcPr>
          <w:p>
            <w:pPr>
              <w:spacing w:after="0"/>
              <w:rPr>
                <w:sz w:val="16"/>
                <w:szCs w:val="16"/>
                <w:color w:val="auto"/>
              </w:rPr>
            </w:pPr>
          </w:p>
        </w:tc>
        <w:tc>
          <w:tcPr>
            <w:tcW w:w="2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840" w:type="dxa"/>
            <w:vAlign w:val="bottom"/>
            <w:tcBorders>
              <w:bottom w:val="single" w:sz="8" w:color="231F20"/>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840" w:type="dxa"/>
            <w:vAlign w:val="bottom"/>
            <w:tcBorders>
              <w:bottom w:val="single" w:sz="8" w:color="231F20"/>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160" w:type="dxa"/>
            <w:vAlign w:val="bottom"/>
            <w:tcBorders>
              <w:bottom w:val="single" w:sz="8" w:color="231F20"/>
            </w:tcBorders>
            <w:shd w:val="clear" w:color="auto" w:fill="FDFDFC"/>
          </w:tcPr>
          <w:p>
            <w:pPr>
              <w:spacing w:after="0"/>
              <w:rPr>
                <w:sz w:val="16"/>
                <w:szCs w:val="16"/>
                <w:color w:val="auto"/>
              </w:rPr>
            </w:pPr>
          </w:p>
        </w:tc>
        <w:tc>
          <w:tcPr>
            <w:tcW w:w="80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84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D0EBF2"/>
            </w:tcBorders>
            <w:shd w:val="clear" w:color="auto" w:fill="FDFDFC"/>
          </w:tcPr>
          <w:p>
            <w:pPr>
              <w:spacing w:after="0"/>
              <w:rPr>
                <w:sz w:val="14"/>
                <w:szCs w:val="14"/>
                <w:color w:val="auto"/>
              </w:rPr>
            </w:pPr>
          </w:p>
        </w:tc>
        <w:tc>
          <w:tcPr>
            <w:tcW w:w="20" w:type="dxa"/>
            <w:vAlign w:val="bottom"/>
            <w:tcBorders>
              <w:bottom w:val="single" w:sz="8" w:color="D0EBF2"/>
            </w:tcBorders>
            <w:shd w:val="clear" w:color="auto" w:fill="FDFDFC"/>
          </w:tcPr>
          <w:p>
            <w:pPr>
              <w:spacing w:after="0"/>
              <w:rPr>
                <w:sz w:val="14"/>
                <w:szCs w:val="14"/>
                <w:color w:val="auto"/>
              </w:rPr>
            </w:pPr>
          </w:p>
        </w:tc>
        <w:tc>
          <w:tcPr>
            <w:tcW w:w="100" w:type="dxa"/>
            <w:vAlign w:val="bottom"/>
            <w:tcBorders>
              <w:bottom w:val="single" w:sz="8" w:color="231F20"/>
            </w:tcBorders>
            <w:shd w:val="clear" w:color="auto" w:fill="FDFDFC"/>
          </w:tcPr>
          <w:p>
            <w:pPr>
              <w:spacing w:after="0"/>
              <w:rPr>
                <w:sz w:val="14"/>
                <w:szCs w:val="14"/>
                <w:color w:val="auto"/>
              </w:rPr>
            </w:pPr>
          </w:p>
        </w:tc>
        <w:tc>
          <w:tcPr>
            <w:tcW w:w="1120" w:type="dxa"/>
            <w:vAlign w:val="bottom"/>
            <w:tcBorders>
              <w:bottom w:val="single" w:sz="8" w:color="231F20"/>
            </w:tcBorders>
            <w:shd w:val="clear" w:color="auto" w:fill="FDFDFC"/>
          </w:tcPr>
          <w:p>
            <w:pPr>
              <w:spacing w:after="0"/>
              <w:rPr>
                <w:sz w:val="14"/>
                <w:szCs w:val="14"/>
                <w:color w:val="auto"/>
              </w:rPr>
            </w:pPr>
          </w:p>
        </w:tc>
        <w:tc>
          <w:tcPr>
            <w:tcW w:w="20" w:type="dxa"/>
            <w:vAlign w:val="bottom"/>
            <w:tcBorders>
              <w:bottom w:val="single" w:sz="8" w:color="231F20"/>
            </w:tcBorders>
            <w:shd w:val="clear" w:color="auto" w:fill="FDFDFC"/>
          </w:tcPr>
          <w:p>
            <w:pPr>
              <w:spacing w:after="0"/>
              <w:rPr>
                <w:sz w:val="14"/>
                <w:szCs w:val="14"/>
                <w:color w:val="auto"/>
              </w:rPr>
            </w:pPr>
          </w:p>
        </w:tc>
        <w:tc>
          <w:tcPr>
            <w:tcW w:w="220" w:type="dxa"/>
            <w:vAlign w:val="bottom"/>
            <w:tcBorders>
              <w:bottom w:val="single" w:sz="8" w:color="D0EBF2"/>
              <w:right w:val="single" w:sz="8" w:color="FDFDFC"/>
            </w:tcBorders>
            <w:shd w:val="clear" w:color="auto" w:fill="FDFDFC"/>
          </w:tcPr>
          <w:p>
            <w:pPr>
              <w:spacing w:after="0"/>
              <w:rPr>
                <w:sz w:val="14"/>
                <w:szCs w:val="14"/>
                <w:color w:val="auto"/>
              </w:rPr>
            </w:pPr>
          </w:p>
        </w:tc>
        <w:tc>
          <w:tcPr>
            <w:tcW w:w="20" w:type="dxa"/>
            <w:vAlign w:val="bottom"/>
            <w:tcBorders>
              <w:bottom w:val="single" w:sz="8" w:color="D0EBF2"/>
            </w:tcBorders>
          </w:tcPr>
          <w:p>
            <w:pPr>
              <w:spacing w:after="0"/>
              <w:rPr>
                <w:sz w:val="14"/>
                <w:szCs w:val="14"/>
                <w:color w:val="auto"/>
              </w:rPr>
            </w:pPr>
          </w:p>
        </w:tc>
        <w:tc>
          <w:tcPr>
            <w:tcW w:w="740" w:type="dxa"/>
            <w:vAlign w:val="bottom"/>
            <w:tcBorders>
              <w:bottom w:val="single" w:sz="8" w:color="231F20"/>
            </w:tcBorders>
            <w:shd w:val="clear" w:color="auto" w:fill="FDFDFC"/>
          </w:tcPr>
          <w:p>
            <w:pPr>
              <w:jc w:val="right"/>
              <w:spacing w:after="0" w:line="164" w:lineRule="exact"/>
              <w:rPr>
                <w:sz w:val="20"/>
                <w:szCs w:val="20"/>
                <w:color w:val="auto"/>
              </w:rPr>
            </w:pPr>
            <w:r>
              <w:rPr>
                <w:rFonts w:ascii="Arial" w:cs="Arial" w:eastAsia="Arial" w:hAnsi="Arial"/>
                <w:sz w:val="15"/>
                <w:szCs w:val="15"/>
                <w:b w:val="1"/>
                <w:bCs w:val="1"/>
                <w:color w:val="231F20"/>
              </w:rPr>
              <w:t>Level 1</w:t>
            </w:r>
          </w:p>
        </w:tc>
        <w:tc>
          <w:tcPr>
            <w:tcW w:w="240" w:type="dxa"/>
            <w:vAlign w:val="bottom"/>
            <w:tcBorders>
              <w:bottom w:val="single" w:sz="8" w:color="231F20"/>
            </w:tcBorders>
            <w:shd w:val="clear" w:color="auto" w:fill="FDFDFC"/>
          </w:tcPr>
          <w:p>
            <w:pPr>
              <w:spacing w:after="0"/>
              <w:rPr>
                <w:sz w:val="14"/>
                <w:szCs w:val="14"/>
                <w:color w:val="auto"/>
              </w:rPr>
            </w:pPr>
          </w:p>
        </w:tc>
        <w:tc>
          <w:tcPr>
            <w:tcW w:w="10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D0EBF2"/>
            </w:tcBorders>
            <w:shd w:val="clear" w:color="auto" w:fill="FDFDFC"/>
          </w:tcPr>
          <w:p>
            <w:pPr>
              <w:spacing w:after="0"/>
              <w:rPr>
                <w:sz w:val="14"/>
                <w:szCs w:val="14"/>
                <w:color w:val="auto"/>
              </w:rPr>
            </w:pPr>
          </w:p>
        </w:tc>
        <w:tc>
          <w:tcPr>
            <w:tcW w:w="20" w:type="dxa"/>
            <w:vAlign w:val="bottom"/>
            <w:tcBorders>
              <w:bottom w:val="single" w:sz="8" w:color="D0EBF2"/>
            </w:tcBorders>
            <w:shd w:val="clear" w:color="auto" w:fill="FDFDFC"/>
          </w:tcPr>
          <w:p>
            <w:pPr>
              <w:spacing w:after="0"/>
              <w:rPr>
                <w:sz w:val="14"/>
                <w:szCs w:val="14"/>
                <w:color w:val="auto"/>
              </w:rPr>
            </w:pPr>
          </w:p>
        </w:tc>
        <w:tc>
          <w:tcPr>
            <w:tcW w:w="2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231F20"/>
            </w:tcBorders>
            <w:shd w:val="clear" w:color="auto" w:fill="FDFDFC"/>
          </w:tcPr>
          <w:p>
            <w:pPr>
              <w:spacing w:after="0"/>
              <w:rPr>
                <w:sz w:val="14"/>
                <w:szCs w:val="14"/>
                <w:color w:val="auto"/>
              </w:rPr>
            </w:pPr>
          </w:p>
        </w:tc>
        <w:tc>
          <w:tcPr>
            <w:tcW w:w="840" w:type="dxa"/>
            <w:vAlign w:val="bottom"/>
            <w:tcBorders>
              <w:bottom w:val="single" w:sz="8" w:color="231F20"/>
            </w:tcBorders>
            <w:shd w:val="clear" w:color="auto" w:fill="FDFDFC"/>
          </w:tcPr>
          <w:p>
            <w:pPr>
              <w:jc w:val="right"/>
              <w:ind w:right="167"/>
              <w:spacing w:after="0" w:line="164" w:lineRule="exact"/>
              <w:rPr>
                <w:sz w:val="20"/>
                <w:szCs w:val="20"/>
                <w:color w:val="auto"/>
              </w:rPr>
            </w:pPr>
            <w:r>
              <w:rPr>
                <w:rFonts w:ascii="Arial" w:cs="Arial" w:eastAsia="Arial" w:hAnsi="Arial"/>
                <w:sz w:val="15"/>
                <w:szCs w:val="15"/>
                <w:b w:val="1"/>
                <w:bCs w:val="1"/>
                <w:color w:val="231F20"/>
              </w:rPr>
              <w:t>Level 2</w:t>
            </w:r>
          </w:p>
        </w:tc>
        <w:tc>
          <w:tcPr>
            <w:tcW w:w="220" w:type="dxa"/>
            <w:vAlign w:val="bottom"/>
            <w:tcBorders>
              <w:bottom w:val="single" w:sz="8" w:color="D0EBF2"/>
            </w:tcBorders>
            <w:shd w:val="clear" w:color="auto" w:fill="FDFDFC"/>
          </w:tcPr>
          <w:p>
            <w:pPr>
              <w:spacing w:after="0"/>
              <w:rPr>
                <w:sz w:val="14"/>
                <w:szCs w:val="14"/>
                <w:color w:val="auto"/>
              </w:rPr>
            </w:pPr>
          </w:p>
        </w:tc>
        <w:tc>
          <w:tcPr>
            <w:tcW w:w="20" w:type="dxa"/>
            <w:vAlign w:val="bottom"/>
            <w:tcBorders>
              <w:bottom w:val="single" w:sz="8" w:color="D0EBF2"/>
            </w:tcBorders>
            <w:shd w:val="clear" w:color="auto" w:fill="FDFDFC"/>
          </w:tcPr>
          <w:p>
            <w:pPr>
              <w:spacing w:after="0"/>
              <w:rPr>
                <w:sz w:val="14"/>
                <w:szCs w:val="14"/>
                <w:color w:val="auto"/>
              </w:rPr>
            </w:pPr>
          </w:p>
        </w:tc>
        <w:tc>
          <w:tcPr>
            <w:tcW w:w="2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231F20"/>
            </w:tcBorders>
            <w:shd w:val="clear" w:color="auto" w:fill="FDFDFC"/>
          </w:tcPr>
          <w:p>
            <w:pPr>
              <w:spacing w:after="0"/>
              <w:rPr>
                <w:sz w:val="14"/>
                <w:szCs w:val="14"/>
                <w:color w:val="auto"/>
              </w:rPr>
            </w:pPr>
          </w:p>
        </w:tc>
        <w:tc>
          <w:tcPr>
            <w:tcW w:w="840" w:type="dxa"/>
            <w:vAlign w:val="bottom"/>
            <w:tcBorders>
              <w:bottom w:val="single" w:sz="8" w:color="231F20"/>
            </w:tcBorders>
            <w:shd w:val="clear" w:color="auto" w:fill="FDFDFC"/>
          </w:tcPr>
          <w:p>
            <w:pPr>
              <w:jc w:val="right"/>
              <w:ind w:right="147"/>
              <w:spacing w:after="0" w:line="164" w:lineRule="exact"/>
              <w:rPr>
                <w:sz w:val="20"/>
                <w:szCs w:val="20"/>
                <w:color w:val="auto"/>
              </w:rPr>
            </w:pPr>
            <w:r>
              <w:rPr>
                <w:rFonts w:ascii="Arial" w:cs="Arial" w:eastAsia="Arial" w:hAnsi="Arial"/>
                <w:sz w:val="15"/>
                <w:szCs w:val="15"/>
                <w:b w:val="1"/>
                <w:bCs w:val="1"/>
                <w:color w:val="231F20"/>
              </w:rPr>
              <w:t>Level 3</w:t>
            </w:r>
          </w:p>
        </w:tc>
        <w:tc>
          <w:tcPr>
            <w:tcW w:w="220" w:type="dxa"/>
            <w:vAlign w:val="bottom"/>
            <w:tcBorders>
              <w:bottom w:val="single" w:sz="8" w:color="D0EBF2"/>
            </w:tcBorders>
            <w:shd w:val="clear" w:color="auto" w:fill="FDFDFC"/>
          </w:tcPr>
          <w:p>
            <w:pPr>
              <w:spacing w:after="0"/>
              <w:rPr>
                <w:sz w:val="14"/>
                <w:szCs w:val="14"/>
                <w:color w:val="auto"/>
              </w:rPr>
            </w:pPr>
          </w:p>
        </w:tc>
        <w:tc>
          <w:tcPr>
            <w:tcW w:w="20" w:type="dxa"/>
            <w:vAlign w:val="bottom"/>
            <w:tcBorders>
              <w:bottom w:val="single" w:sz="8" w:color="D0EBF2"/>
            </w:tcBorders>
            <w:shd w:val="clear" w:color="auto" w:fill="FDFDFC"/>
          </w:tcPr>
          <w:p>
            <w:pPr>
              <w:spacing w:after="0"/>
              <w:rPr>
                <w:sz w:val="14"/>
                <w:szCs w:val="14"/>
                <w:color w:val="auto"/>
              </w:rPr>
            </w:pPr>
          </w:p>
        </w:tc>
        <w:tc>
          <w:tcPr>
            <w:tcW w:w="20" w:type="dxa"/>
            <w:vAlign w:val="bottom"/>
            <w:tcBorders>
              <w:bottom w:val="single" w:sz="8" w:color="D0EBF2"/>
            </w:tcBorders>
            <w:shd w:val="clear" w:color="auto" w:fill="FDFDFC"/>
          </w:tcPr>
          <w:p>
            <w:pPr>
              <w:spacing w:after="0"/>
              <w:rPr>
                <w:sz w:val="14"/>
                <w:szCs w:val="14"/>
                <w:color w:val="auto"/>
              </w:rPr>
            </w:pPr>
          </w:p>
        </w:tc>
        <w:tc>
          <w:tcPr>
            <w:tcW w:w="160" w:type="dxa"/>
            <w:vAlign w:val="bottom"/>
            <w:tcBorders>
              <w:bottom w:val="single" w:sz="8" w:color="231F20"/>
            </w:tcBorders>
            <w:shd w:val="clear" w:color="auto" w:fill="FDFDFC"/>
          </w:tcPr>
          <w:p>
            <w:pPr>
              <w:spacing w:after="0"/>
              <w:rPr>
                <w:sz w:val="14"/>
                <w:szCs w:val="14"/>
                <w:color w:val="auto"/>
              </w:rPr>
            </w:pPr>
          </w:p>
        </w:tc>
        <w:tc>
          <w:tcPr>
            <w:tcW w:w="800" w:type="dxa"/>
            <w:vAlign w:val="bottom"/>
            <w:tcBorders>
              <w:bottom w:val="single" w:sz="8" w:color="231F20"/>
            </w:tcBorders>
            <w:shd w:val="clear" w:color="auto" w:fill="FDFDFC"/>
          </w:tcPr>
          <w:p>
            <w:pPr>
              <w:jc w:val="right"/>
              <w:ind w:right="227"/>
              <w:spacing w:after="0" w:line="164" w:lineRule="exact"/>
              <w:rPr>
                <w:sz w:val="20"/>
                <w:szCs w:val="20"/>
                <w:color w:val="auto"/>
              </w:rPr>
            </w:pPr>
            <w:r>
              <w:rPr>
                <w:rFonts w:ascii="Arial" w:cs="Arial" w:eastAsia="Arial" w:hAnsi="Arial"/>
                <w:sz w:val="15"/>
                <w:szCs w:val="15"/>
                <w:b w:val="1"/>
                <w:bCs w:val="1"/>
                <w:color w:val="231F20"/>
              </w:rPr>
              <w:t>Total</w:t>
            </w:r>
          </w:p>
        </w:tc>
        <w:tc>
          <w:tcPr>
            <w:tcW w:w="20" w:type="dxa"/>
            <w:vAlign w:val="bottom"/>
            <w:tcBorders>
              <w:bottom w:val="single" w:sz="8" w:color="D0EBF2"/>
            </w:tcBorders>
            <w:shd w:val="clear" w:color="auto" w:fill="FDFDFC"/>
          </w:tcPr>
          <w:p>
            <w:pPr>
              <w:spacing w:after="0"/>
              <w:rPr>
                <w:sz w:val="14"/>
                <w:szCs w:val="14"/>
                <w:color w:val="auto"/>
              </w:rPr>
            </w:pPr>
          </w:p>
        </w:tc>
        <w:tc>
          <w:tcPr>
            <w:tcW w:w="80" w:type="dxa"/>
            <w:vAlign w:val="bottom"/>
            <w:tcBorders>
              <w:bottom w:val="single" w:sz="8" w:color="D0EBF2"/>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840" w:type="dxa"/>
            <w:vAlign w:val="bottom"/>
            <w:shd w:val="clear" w:color="auto" w:fill="D0EBF2"/>
          </w:tcPr>
          <w:p>
            <w:pPr>
              <w:spacing w:after="0" w:line="206" w:lineRule="exact"/>
              <w:rPr>
                <w:sz w:val="20"/>
                <w:szCs w:val="20"/>
                <w:color w:val="auto"/>
              </w:rPr>
            </w:pPr>
            <w:r>
              <w:rPr>
                <w:rFonts w:ascii="Arial" w:cs="Arial" w:eastAsia="Arial" w:hAnsi="Arial"/>
                <w:sz w:val="19"/>
                <w:szCs w:val="19"/>
                <w:b w:val="1"/>
                <w:bCs w:val="1"/>
                <w:color w:val="231F20"/>
              </w:rPr>
              <w:t>Financial Assets:</w:t>
            </w:r>
          </w:p>
        </w:tc>
        <w:tc>
          <w:tcPr>
            <w:tcW w:w="12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120" w:type="dxa"/>
            <w:vAlign w:val="bottom"/>
            <w:shd w:val="clear" w:color="auto" w:fill="D0EBF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right w:val="single" w:sz="8" w:color="D0EBF2"/>
            </w:tcBorders>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740" w:type="dxa"/>
            <w:vAlign w:val="bottom"/>
            <w:shd w:val="clear" w:color="auto" w:fill="D0EBF2"/>
          </w:tcPr>
          <w:p>
            <w:pPr>
              <w:spacing w:after="0"/>
              <w:rPr>
                <w:sz w:val="17"/>
                <w:szCs w:val="17"/>
                <w:color w:val="auto"/>
              </w:rPr>
            </w:pPr>
          </w:p>
        </w:tc>
        <w:tc>
          <w:tcPr>
            <w:tcW w:w="2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840" w:type="dxa"/>
            <w:vAlign w:val="bottom"/>
            <w:shd w:val="clear" w:color="auto" w:fill="D0EBF2"/>
          </w:tcPr>
          <w:p>
            <w:pPr>
              <w:spacing w:after="0"/>
              <w:rPr>
                <w:sz w:val="17"/>
                <w:szCs w:val="17"/>
                <w:color w:val="auto"/>
              </w:rPr>
            </w:pPr>
          </w:p>
        </w:tc>
        <w:tc>
          <w:tcPr>
            <w:tcW w:w="22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840" w:type="dxa"/>
            <w:vAlign w:val="bottom"/>
            <w:shd w:val="clear" w:color="auto" w:fill="D0EBF2"/>
          </w:tcPr>
          <w:p>
            <w:pPr>
              <w:spacing w:after="0"/>
              <w:rPr>
                <w:sz w:val="17"/>
                <w:szCs w:val="17"/>
                <w:color w:val="auto"/>
              </w:rPr>
            </w:pPr>
          </w:p>
        </w:tc>
        <w:tc>
          <w:tcPr>
            <w:tcW w:w="22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160" w:type="dxa"/>
            <w:vAlign w:val="bottom"/>
            <w:shd w:val="clear" w:color="auto" w:fill="D0EBF2"/>
          </w:tcPr>
          <w:p>
            <w:pPr>
              <w:spacing w:after="0"/>
              <w:rPr>
                <w:sz w:val="17"/>
                <w:szCs w:val="17"/>
                <w:color w:val="auto"/>
              </w:rPr>
            </w:pPr>
          </w:p>
        </w:tc>
        <w:tc>
          <w:tcPr>
            <w:tcW w:w="80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Cash equivalents:</w:t>
            </w:r>
          </w:p>
        </w:tc>
        <w:tc>
          <w:tcPr>
            <w:tcW w:w="1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1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220" w:type="dxa"/>
            <w:vAlign w:val="bottom"/>
            <w:tcBorders>
              <w:right w:val="single" w:sz="8" w:color="FDFDFC"/>
            </w:tcBorders>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74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840" w:type="dxa"/>
            <w:vAlign w:val="bottom"/>
            <w:shd w:val="clear" w:color="auto" w:fill="FDFDFC"/>
          </w:tcPr>
          <w:p>
            <w:pPr>
              <w:spacing w:after="0"/>
              <w:rPr>
                <w:sz w:val="18"/>
                <w:szCs w:val="18"/>
                <w:color w:val="auto"/>
              </w:rPr>
            </w:pPr>
          </w:p>
        </w:tc>
        <w:tc>
          <w:tcPr>
            <w:tcW w:w="2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840" w:type="dxa"/>
            <w:vAlign w:val="bottom"/>
            <w:shd w:val="clear" w:color="auto" w:fill="FDFDFC"/>
          </w:tcPr>
          <w:p>
            <w:pPr>
              <w:spacing w:after="0"/>
              <w:rPr>
                <w:sz w:val="18"/>
                <w:szCs w:val="18"/>
                <w:color w:val="auto"/>
              </w:rPr>
            </w:pPr>
          </w:p>
        </w:tc>
        <w:tc>
          <w:tcPr>
            <w:tcW w:w="2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0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D0EBF2"/>
          </w:tcPr>
          <w:p>
            <w:pPr>
              <w:ind w:left="140"/>
              <w:spacing w:after="0" w:line="217" w:lineRule="exact"/>
              <w:rPr>
                <w:sz w:val="20"/>
                <w:szCs w:val="20"/>
                <w:color w:val="auto"/>
              </w:rPr>
            </w:pPr>
            <w:r>
              <w:rPr>
                <w:rFonts w:ascii="Arial" w:cs="Arial" w:eastAsia="Arial" w:hAnsi="Arial"/>
                <w:sz w:val="19"/>
                <w:szCs w:val="19"/>
                <w:color w:val="231F20"/>
              </w:rPr>
              <w:t>Money market funds</w:t>
            </w:r>
          </w:p>
        </w:tc>
        <w:tc>
          <w:tcPr>
            <w:tcW w:w="240" w:type="dxa"/>
            <w:vAlign w:val="bottom"/>
            <w:gridSpan w:val="3"/>
            <w:shd w:val="clear" w:color="auto" w:fill="D0EBF2"/>
          </w:tcPr>
          <w:p>
            <w:pPr>
              <w:ind w:left="120"/>
              <w:spacing w:after="0" w:line="217" w:lineRule="exact"/>
              <w:rPr>
                <w:sz w:val="20"/>
                <w:szCs w:val="20"/>
                <w:color w:val="auto"/>
              </w:rPr>
            </w:pPr>
            <w:r>
              <w:rPr>
                <w:rFonts w:ascii="Arial" w:cs="Arial" w:eastAsia="Arial" w:hAnsi="Arial"/>
                <w:sz w:val="19"/>
                <w:szCs w:val="19"/>
                <w:color w:val="231F20"/>
                <w:w w:val="94"/>
              </w:rPr>
              <w:t>$</w:t>
            </w:r>
          </w:p>
        </w:tc>
        <w:tc>
          <w:tcPr>
            <w:tcW w:w="112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372,912</w:t>
            </w:r>
          </w:p>
        </w:tc>
        <w:tc>
          <w:tcPr>
            <w:tcW w:w="20" w:type="dxa"/>
            <w:vAlign w:val="bottom"/>
          </w:tcPr>
          <w:p>
            <w:pPr>
              <w:spacing w:after="0"/>
              <w:rPr>
                <w:sz w:val="18"/>
                <w:szCs w:val="18"/>
                <w:color w:val="auto"/>
              </w:rPr>
            </w:pPr>
          </w:p>
        </w:tc>
        <w:tc>
          <w:tcPr>
            <w:tcW w:w="220" w:type="dxa"/>
            <w:vAlign w:val="bottom"/>
            <w:tcBorders>
              <w:right w:val="single" w:sz="8" w:color="D0EBF2"/>
            </w:tcBorders>
            <w:shd w:val="clear" w:color="auto" w:fill="D0EBF2"/>
          </w:tcPr>
          <w:p>
            <w:pPr>
              <w:spacing w:after="0"/>
              <w:rPr>
                <w:sz w:val="18"/>
                <w:szCs w:val="18"/>
                <w:color w:val="auto"/>
              </w:rPr>
            </w:pPr>
          </w:p>
        </w:tc>
        <w:tc>
          <w:tcPr>
            <w:tcW w:w="760" w:type="dxa"/>
            <w:vAlign w:val="bottom"/>
            <w:gridSpan w:val="2"/>
            <w:shd w:val="clear" w:color="auto" w:fill="D0EBF2"/>
          </w:tcPr>
          <w:p>
            <w:pPr>
              <w:jc w:val="right"/>
              <w:ind w:right="586"/>
              <w:spacing w:after="0" w:line="217" w:lineRule="exact"/>
              <w:rPr>
                <w:sz w:val="20"/>
                <w:szCs w:val="20"/>
                <w:color w:val="auto"/>
              </w:rPr>
            </w:pPr>
            <w:r>
              <w:rPr>
                <w:rFonts w:ascii="Arial" w:cs="Arial" w:eastAsia="Arial" w:hAnsi="Arial"/>
                <w:sz w:val="19"/>
                <w:szCs w:val="19"/>
                <w:color w:val="231F20"/>
                <w:w w:val="75"/>
              </w:rPr>
              <w:t>$</w:t>
            </w:r>
          </w:p>
        </w:tc>
        <w:tc>
          <w:tcPr>
            <w:tcW w:w="340" w:type="dxa"/>
            <w:vAlign w:val="bottom"/>
            <w:gridSpan w:val="2"/>
            <w:shd w:val="clear" w:color="auto" w:fill="D0EBF2"/>
          </w:tcPr>
          <w:p>
            <w:pPr>
              <w:ind w:left="40"/>
              <w:spacing w:after="0" w:line="217" w:lineRule="exact"/>
              <w:rPr>
                <w:sz w:val="20"/>
                <w:szCs w:val="20"/>
                <w:color w:val="auto"/>
              </w:rPr>
            </w:pPr>
            <w:r>
              <w:rPr>
                <w:rFonts w:ascii="Arial" w:cs="Arial" w:eastAsia="Arial" w:hAnsi="Arial"/>
                <w:sz w:val="19"/>
                <w:szCs w:val="19"/>
                <w:color w:val="231F20"/>
              </w:rPr>
              <w:t>—</w:t>
            </w:r>
          </w:p>
        </w:tc>
        <w:tc>
          <w:tcPr>
            <w:tcW w:w="280" w:type="dxa"/>
            <w:vAlign w:val="bottom"/>
            <w:gridSpan w:val="4"/>
            <w:shd w:val="clear" w:color="auto" w:fill="D0EBF2"/>
          </w:tcPr>
          <w:p>
            <w:pPr>
              <w:jc w:val="right"/>
              <w:ind w:right="8"/>
              <w:spacing w:after="0" w:line="217" w:lineRule="exact"/>
              <w:rPr>
                <w:sz w:val="20"/>
                <w:szCs w:val="20"/>
                <w:color w:val="auto"/>
              </w:rPr>
            </w:pPr>
            <w:r>
              <w:rPr>
                <w:rFonts w:ascii="Arial" w:cs="Arial" w:eastAsia="Arial" w:hAnsi="Arial"/>
                <w:sz w:val="19"/>
                <w:szCs w:val="19"/>
                <w:color w:val="231F20"/>
              </w:rPr>
              <w:t>$</w:t>
            </w:r>
          </w:p>
        </w:tc>
        <w:tc>
          <w:tcPr>
            <w:tcW w:w="84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w:t>
            </w:r>
          </w:p>
        </w:tc>
        <w:tc>
          <w:tcPr>
            <w:tcW w:w="380" w:type="dxa"/>
            <w:vAlign w:val="bottom"/>
            <w:gridSpan w:val="4"/>
            <w:shd w:val="clear" w:color="auto" w:fill="D0EBF2"/>
          </w:tcPr>
          <w:p>
            <w:pPr>
              <w:jc w:val="right"/>
              <w:ind w:right="8"/>
              <w:spacing w:after="0" w:line="217" w:lineRule="exact"/>
              <w:rPr>
                <w:sz w:val="20"/>
                <w:szCs w:val="20"/>
                <w:color w:val="auto"/>
              </w:rPr>
            </w:pPr>
            <w:r>
              <w:rPr>
                <w:rFonts w:ascii="Arial" w:cs="Arial" w:eastAsia="Arial" w:hAnsi="Arial"/>
                <w:sz w:val="19"/>
                <w:szCs w:val="19"/>
                <w:color w:val="231F20"/>
              </w:rPr>
              <w:t>$</w:t>
            </w:r>
          </w:p>
        </w:tc>
        <w:tc>
          <w:tcPr>
            <w:tcW w:w="84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w:t>
            </w:r>
          </w:p>
        </w:tc>
        <w:tc>
          <w:tcPr>
            <w:tcW w:w="420" w:type="dxa"/>
            <w:vAlign w:val="bottom"/>
            <w:gridSpan w:val="4"/>
            <w:shd w:val="clear" w:color="auto" w:fill="D0EBF2"/>
          </w:tcPr>
          <w:p>
            <w:pPr>
              <w:jc w:val="right"/>
              <w:ind w:right="48"/>
              <w:spacing w:after="0" w:line="217" w:lineRule="exact"/>
              <w:rPr>
                <w:sz w:val="20"/>
                <w:szCs w:val="20"/>
                <w:color w:val="auto"/>
              </w:rPr>
            </w:pPr>
            <w:r>
              <w:rPr>
                <w:rFonts w:ascii="Arial" w:cs="Arial" w:eastAsia="Arial" w:hAnsi="Arial"/>
                <w:sz w:val="19"/>
                <w:szCs w:val="19"/>
                <w:color w:val="231F20"/>
              </w:rPr>
              <w:t>$</w:t>
            </w:r>
          </w:p>
        </w:tc>
        <w:tc>
          <w:tcPr>
            <w:tcW w:w="900" w:type="dxa"/>
            <w:vAlign w:val="bottom"/>
            <w:gridSpan w:val="3"/>
            <w:shd w:val="clear" w:color="auto" w:fill="D0EBF2"/>
          </w:tcPr>
          <w:p>
            <w:pPr>
              <w:jc w:val="right"/>
              <w:ind w:right="100"/>
              <w:spacing w:after="0" w:line="217" w:lineRule="exact"/>
              <w:rPr>
                <w:sz w:val="20"/>
                <w:szCs w:val="20"/>
                <w:color w:val="auto"/>
              </w:rPr>
            </w:pPr>
            <w:r>
              <w:rPr>
                <w:rFonts w:ascii="Arial" w:cs="Arial" w:eastAsia="Arial" w:hAnsi="Arial"/>
                <w:sz w:val="19"/>
                <w:szCs w:val="19"/>
                <w:color w:val="231F20"/>
              </w:rPr>
              <w:t>372,912</w:t>
            </w:r>
          </w:p>
        </w:tc>
        <w:tc>
          <w:tcPr>
            <w:tcW w:w="0" w:type="dxa"/>
            <w:vAlign w:val="bottom"/>
          </w:tcPr>
          <w:p>
            <w:pPr>
              <w:spacing w:after="0"/>
              <w:rPr>
                <w:sz w:val="1"/>
                <w:szCs w:val="1"/>
                <w:color w:val="auto"/>
              </w:rPr>
            </w:pPr>
          </w:p>
        </w:tc>
      </w:tr>
      <w:tr>
        <w:trPr>
          <w:trHeight w:val="217"/>
        </w:trPr>
        <w:tc>
          <w:tcPr>
            <w:tcW w:w="38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Foreign exchange contracts</w:t>
            </w:r>
          </w:p>
        </w:tc>
        <w:tc>
          <w:tcPr>
            <w:tcW w:w="1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12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w:t>
            </w:r>
          </w:p>
        </w:tc>
        <w:tc>
          <w:tcPr>
            <w:tcW w:w="20" w:type="dxa"/>
            <w:vAlign w:val="bottom"/>
          </w:tcPr>
          <w:p>
            <w:pPr>
              <w:spacing w:after="0"/>
              <w:rPr>
                <w:sz w:val="18"/>
                <w:szCs w:val="18"/>
                <w:color w:val="auto"/>
              </w:rPr>
            </w:pPr>
          </w:p>
        </w:tc>
        <w:tc>
          <w:tcPr>
            <w:tcW w:w="220" w:type="dxa"/>
            <w:vAlign w:val="bottom"/>
            <w:tcBorders>
              <w:right w:val="single" w:sz="8" w:color="FDFDFC"/>
            </w:tcBorders>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740" w:type="dxa"/>
            <w:vAlign w:val="bottom"/>
            <w:shd w:val="clear" w:color="auto" w:fill="FDFDFC"/>
          </w:tcPr>
          <w:p>
            <w:pPr>
              <w:spacing w:after="0"/>
              <w:rPr>
                <w:sz w:val="18"/>
                <w:szCs w:val="18"/>
                <w:color w:val="auto"/>
              </w:rPr>
            </w:pPr>
          </w:p>
        </w:tc>
        <w:tc>
          <w:tcPr>
            <w:tcW w:w="340" w:type="dxa"/>
            <w:vAlign w:val="bottom"/>
            <w:gridSpan w:val="2"/>
            <w:shd w:val="clear" w:color="auto" w:fill="FDFDFC"/>
          </w:tcPr>
          <w:p>
            <w:pPr>
              <w:ind w:left="40"/>
              <w:spacing w:after="0" w:line="217" w:lineRule="exact"/>
              <w:rPr>
                <w:sz w:val="20"/>
                <w:szCs w:val="20"/>
                <w:color w:val="auto"/>
              </w:rPr>
            </w:pPr>
            <w:r>
              <w:rPr>
                <w:rFonts w:ascii="Arial" w:cs="Arial" w:eastAsia="Arial" w:hAnsi="Arial"/>
                <w:sz w:val="19"/>
                <w:szCs w:val="19"/>
                <w:color w:val="231F20"/>
              </w:rPr>
              <w:t>—</w:t>
            </w:r>
          </w:p>
        </w:tc>
        <w:tc>
          <w:tcPr>
            <w:tcW w:w="1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w:t>
            </w:r>
          </w:p>
        </w:tc>
        <w:tc>
          <w:tcPr>
            <w:tcW w:w="2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16</w:t>
            </w:r>
          </w:p>
        </w:tc>
        <w:tc>
          <w:tcPr>
            <w:tcW w:w="2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0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16</w:t>
            </w:r>
          </w:p>
        </w:tc>
        <w:tc>
          <w:tcPr>
            <w:tcW w:w="2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840" w:type="dxa"/>
            <w:vAlign w:val="bottom"/>
            <w:tcBorders>
              <w:top w:val="single" w:sz="8" w:color="D0EBF2"/>
              <w:bottom w:val="single" w:sz="8" w:color="FDFDFC"/>
            </w:tcBorders>
            <w:shd w:val="clear" w:color="auto" w:fill="D0EBF2"/>
          </w:tcPr>
          <w:p>
            <w:pPr>
              <w:spacing w:after="0" w:line="206" w:lineRule="exact"/>
              <w:rPr>
                <w:sz w:val="20"/>
                <w:szCs w:val="20"/>
                <w:color w:val="auto"/>
              </w:rPr>
            </w:pPr>
            <w:r>
              <w:rPr>
                <w:rFonts w:ascii="Arial" w:cs="Arial" w:eastAsia="Arial" w:hAnsi="Arial"/>
                <w:sz w:val="19"/>
                <w:szCs w:val="19"/>
                <w:color w:val="231F20"/>
              </w:rPr>
              <w:t>Total financial assets</w:t>
            </w:r>
          </w:p>
        </w:tc>
        <w:tc>
          <w:tcPr>
            <w:tcW w:w="120" w:type="dxa"/>
            <w:vAlign w:val="bottom"/>
            <w:tcBorders>
              <w:top w:val="single" w:sz="8" w:color="D0EBF2"/>
              <w:bottom w:val="single" w:sz="8" w:color="FDFDFC"/>
            </w:tcBorders>
            <w:shd w:val="clear" w:color="auto" w:fill="D0EBF2"/>
          </w:tcPr>
          <w:p>
            <w:pPr>
              <w:spacing w:after="0"/>
              <w:rPr>
                <w:sz w:val="21"/>
                <w:szCs w:val="21"/>
                <w:color w:val="auto"/>
              </w:rPr>
            </w:pPr>
          </w:p>
        </w:tc>
        <w:tc>
          <w:tcPr>
            <w:tcW w:w="120" w:type="dxa"/>
            <w:vAlign w:val="bottom"/>
            <w:tcBorders>
              <w:top w:val="single" w:sz="8" w:color="231F20"/>
              <w:bottom w:val="single" w:sz="8" w:color="231F20"/>
            </w:tcBorders>
            <w:gridSpan w:val="2"/>
            <w:shd w:val="clear" w:color="auto" w:fill="D0EBF2"/>
          </w:tcPr>
          <w:p>
            <w:pPr>
              <w:spacing w:after="0" w:line="206" w:lineRule="exact"/>
              <w:rPr>
                <w:sz w:val="20"/>
                <w:szCs w:val="20"/>
                <w:color w:val="auto"/>
              </w:rPr>
            </w:pPr>
            <w:r>
              <w:rPr>
                <w:rFonts w:ascii="Arial" w:cs="Arial" w:eastAsia="Arial" w:hAnsi="Arial"/>
                <w:sz w:val="19"/>
                <w:szCs w:val="19"/>
                <w:color w:val="231F20"/>
                <w:w w:val="94"/>
              </w:rPr>
              <w:t>$</w:t>
            </w:r>
          </w:p>
        </w:tc>
        <w:tc>
          <w:tcPr>
            <w:tcW w:w="112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Arial" w:cs="Arial" w:eastAsia="Arial" w:hAnsi="Arial"/>
                <w:sz w:val="19"/>
                <w:szCs w:val="19"/>
                <w:color w:val="231F20"/>
              </w:rPr>
              <w:t>372,912</w:t>
            </w:r>
          </w:p>
        </w:tc>
        <w:tc>
          <w:tcPr>
            <w:tcW w:w="20" w:type="dxa"/>
            <w:vAlign w:val="bottom"/>
          </w:tcPr>
          <w:p>
            <w:pPr>
              <w:spacing w:after="0"/>
              <w:rPr>
                <w:sz w:val="21"/>
                <w:szCs w:val="21"/>
                <w:color w:val="auto"/>
              </w:rPr>
            </w:pPr>
          </w:p>
        </w:tc>
        <w:tc>
          <w:tcPr>
            <w:tcW w:w="220" w:type="dxa"/>
            <w:vAlign w:val="bottom"/>
            <w:tcBorders>
              <w:top w:val="single" w:sz="8" w:color="D0EBF2"/>
              <w:bottom w:val="single" w:sz="8" w:color="FDFDFC"/>
              <w:right w:val="single" w:sz="8" w:color="D0EBF2"/>
            </w:tcBorders>
            <w:shd w:val="clear" w:color="auto" w:fill="D0EBF2"/>
          </w:tcPr>
          <w:p>
            <w:pPr>
              <w:spacing w:after="0"/>
              <w:rPr>
                <w:sz w:val="21"/>
                <w:szCs w:val="21"/>
                <w:color w:val="auto"/>
              </w:rPr>
            </w:pPr>
          </w:p>
        </w:tc>
        <w:tc>
          <w:tcPr>
            <w:tcW w:w="20" w:type="dxa"/>
            <w:vAlign w:val="bottom"/>
            <w:tcBorders>
              <w:top w:val="single" w:sz="8" w:color="231F20"/>
              <w:bottom w:val="single" w:sz="8" w:color="231F20"/>
            </w:tcBorders>
            <w:shd w:val="clear" w:color="auto" w:fill="D0EBF2"/>
          </w:tcPr>
          <w:p>
            <w:pPr>
              <w:spacing w:after="0"/>
              <w:rPr>
                <w:sz w:val="21"/>
                <w:szCs w:val="21"/>
                <w:color w:val="auto"/>
              </w:rPr>
            </w:pPr>
          </w:p>
        </w:tc>
        <w:tc>
          <w:tcPr>
            <w:tcW w:w="740" w:type="dxa"/>
            <w:vAlign w:val="bottom"/>
            <w:tcBorders>
              <w:top w:val="single" w:sz="8" w:color="231F20"/>
              <w:bottom w:val="single" w:sz="8" w:color="231F20"/>
            </w:tcBorders>
            <w:shd w:val="clear" w:color="auto" w:fill="D0EBF2"/>
          </w:tcPr>
          <w:p>
            <w:pPr>
              <w:jc w:val="right"/>
              <w:ind w:right="586"/>
              <w:spacing w:after="0"/>
              <w:rPr>
                <w:sz w:val="20"/>
                <w:szCs w:val="20"/>
                <w:color w:val="auto"/>
              </w:rPr>
            </w:pPr>
            <w:r>
              <w:rPr>
                <w:rFonts w:ascii="Arial" w:cs="Arial" w:eastAsia="Arial" w:hAnsi="Arial"/>
                <w:sz w:val="15"/>
                <w:szCs w:val="15"/>
                <w:color w:val="231F20"/>
                <w:w w:val="71"/>
              </w:rPr>
              <w:t>$</w:t>
            </w:r>
          </w:p>
        </w:tc>
        <w:tc>
          <w:tcPr>
            <w:tcW w:w="240" w:type="dxa"/>
            <w:vAlign w:val="bottom"/>
            <w:tcBorders>
              <w:top w:val="single" w:sz="8" w:color="231F20"/>
              <w:bottom w:val="single" w:sz="8" w:color="231F20"/>
            </w:tcBorders>
            <w:shd w:val="clear" w:color="auto" w:fill="D0EBF2"/>
          </w:tcPr>
          <w:p>
            <w:pPr>
              <w:ind w:left="40"/>
              <w:spacing w:after="0" w:line="206" w:lineRule="exact"/>
              <w:rPr>
                <w:sz w:val="20"/>
                <w:szCs w:val="20"/>
                <w:color w:val="auto"/>
              </w:rPr>
            </w:pPr>
            <w:r>
              <w:rPr>
                <w:rFonts w:ascii="Arial" w:cs="Arial" w:eastAsia="Arial" w:hAnsi="Arial"/>
                <w:sz w:val="19"/>
                <w:szCs w:val="19"/>
                <w:color w:val="231F20"/>
                <w:w w:val="94"/>
              </w:rPr>
              <w:t>—</w:t>
            </w:r>
          </w:p>
        </w:tc>
        <w:tc>
          <w:tcPr>
            <w:tcW w:w="100" w:type="dxa"/>
            <w:vAlign w:val="bottom"/>
            <w:tcBorders>
              <w:top w:val="single" w:sz="8" w:color="D0EBF2"/>
              <w:bottom w:val="single" w:sz="8" w:color="FDFDFC"/>
            </w:tcBorders>
            <w:shd w:val="clear" w:color="auto" w:fill="D0EBF2"/>
          </w:tcPr>
          <w:p>
            <w:pPr>
              <w:spacing w:after="0"/>
              <w:rPr>
                <w:sz w:val="21"/>
                <w:szCs w:val="21"/>
                <w:color w:val="auto"/>
              </w:rPr>
            </w:pPr>
          </w:p>
        </w:tc>
        <w:tc>
          <w:tcPr>
            <w:tcW w:w="140" w:type="dxa"/>
            <w:vAlign w:val="bottom"/>
            <w:tcBorders>
              <w:top w:val="single" w:sz="8" w:color="D0EBF2"/>
              <w:bottom w:val="single" w:sz="8" w:color="FDFDFC"/>
            </w:tcBorders>
            <w:gridSpan w:val="2"/>
            <w:shd w:val="clear" w:color="auto" w:fill="D0EBF2"/>
          </w:tcPr>
          <w:p>
            <w:pPr>
              <w:spacing w:after="0"/>
              <w:rPr>
                <w:sz w:val="21"/>
                <w:szCs w:val="21"/>
                <w:color w:val="auto"/>
              </w:rPr>
            </w:pPr>
          </w:p>
        </w:tc>
        <w:tc>
          <w:tcPr>
            <w:tcW w:w="20" w:type="dxa"/>
            <w:vAlign w:val="bottom"/>
            <w:tcBorders>
              <w:top w:val="single" w:sz="8" w:color="231F20"/>
              <w:bottom w:val="single" w:sz="8" w:color="231F20"/>
            </w:tcBorders>
            <w:shd w:val="clear" w:color="auto" w:fill="D0EBF2"/>
          </w:tcPr>
          <w:p>
            <w:pPr>
              <w:spacing w:after="0"/>
              <w:rPr>
                <w:sz w:val="21"/>
                <w:szCs w:val="21"/>
                <w:color w:val="auto"/>
              </w:rPr>
            </w:pPr>
          </w:p>
        </w:tc>
        <w:tc>
          <w:tcPr>
            <w:tcW w:w="120" w:type="dxa"/>
            <w:vAlign w:val="bottom"/>
            <w:tcBorders>
              <w:top w:val="single" w:sz="8" w:color="231F20"/>
              <w:bottom w:val="single" w:sz="8" w:color="231F20"/>
            </w:tcBorders>
            <w:shd w:val="clear" w:color="auto" w:fill="D0EBF2"/>
          </w:tcPr>
          <w:p>
            <w:pPr>
              <w:jc w:val="right"/>
              <w:ind w:right="8"/>
              <w:spacing w:after="0"/>
              <w:rPr>
                <w:sz w:val="20"/>
                <w:szCs w:val="20"/>
                <w:color w:val="auto"/>
              </w:rPr>
            </w:pPr>
            <w:r>
              <w:rPr>
                <w:rFonts w:ascii="Arial" w:cs="Arial" w:eastAsia="Arial" w:hAnsi="Arial"/>
                <w:sz w:val="10"/>
                <w:szCs w:val="10"/>
                <w:color w:val="231F20"/>
                <w:w w:val="71"/>
              </w:rPr>
              <w:t>$</w:t>
            </w:r>
          </w:p>
        </w:tc>
        <w:tc>
          <w:tcPr>
            <w:tcW w:w="84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Arial" w:cs="Arial" w:eastAsia="Arial" w:hAnsi="Arial"/>
                <w:sz w:val="19"/>
                <w:szCs w:val="19"/>
                <w:color w:val="231F20"/>
              </w:rPr>
              <w:t>—</w:t>
            </w:r>
          </w:p>
        </w:tc>
        <w:tc>
          <w:tcPr>
            <w:tcW w:w="240" w:type="dxa"/>
            <w:vAlign w:val="bottom"/>
            <w:tcBorders>
              <w:top w:val="single" w:sz="8" w:color="D0EBF2"/>
              <w:bottom w:val="single" w:sz="8" w:color="FDFDFC"/>
            </w:tcBorders>
            <w:gridSpan w:val="2"/>
            <w:shd w:val="clear" w:color="auto" w:fill="D0EBF2"/>
          </w:tcPr>
          <w:p>
            <w:pPr>
              <w:spacing w:after="0"/>
              <w:rPr>
                <w:sz w:val="21"/>
                <w:szCs w:val="21"/>
                <w:color w:val="auto"/>
              </w:rPr>
            </w:pPr>
          </w:p>
        </w:tc>
        <w:tc>
          <w:tcPr>
            <w:tcW w:w="20" w:type="dxa"/>
            <w:vAlign w:val="bottom"/>
            <w:tcBorders>
              <w:top w:val="single" w:sz="8" w:color="231F20"/>
              <w:bottom w:val="single" w:sz="8" w:color="231F20"/>
            </w:tcBorders>
            <w:shd w:val="clear" w:color="auto" w:fill="D0EBF2"/>
          </w:tcPr>
          <w:p>
            <w:pPr>
              <w:spacing w:after="0"/>
              <w:rPr>
                <w:sz w:val="21"/>
                <w:szCs w:val="21"/>
                <w:color w:val="auto"/>
              </w:rPr>
            </w:pPr>
          </w:p>
        </w:tc>
        <w:tc>
          <w:tcPr>
            <w:tcW w:w="120" w:type="dxa"/>
            <w:vAlign w:val="bottom"/>
            <w:tcBorders>
              <w:top w:val="single" w:sz="8" w:color="231F20"/>
              <w:bottom w:val="single" w:sz="8" w:color="231F20"/>
            </w:tcBorders>
            <w:shd w:val="clear" w:color="auto" w:fill="D0EBF2"/>
          </w:tcPr>
          <w:p>
            <w:pPr>
              <w:jc w:val="right"/>
              <w:ind w:right="8"/>
              <w:spacing w:after="0"/>
              <w:rPr>
                <w:sz w:val="20"/>
                <w:szCs w:val="20"/>
                <w:color w:val="auto"/>
              </w:rPr>
            </w:pPr>
            <w:r>
              <w:rPr>
                <w:rFonts w:ascii="Arial" w:cs="Arial" w:eastAsia="Arial" w:hAnsi="Arial"/>
                <w:sz w:val="10"/>
                <w:szCs w:val="10"/>
                <w:color w:val="231F20"/>
                <w:w w:val="71"/>
              </w:rPr>
              <w:t>$</w:t>
            </w:r>
          </w:p>
        </w:tc>
        <w:tc>
          <w:tcPr>
            <w:tcW w:w="84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Arial" w:cs="Arial" w:eastAsia="Arial" w:hAnsi="Arial"/>
                <w:sz w:val="19"/>
                <w:szCs w:val="19"/>
                <w:color w:val="231F20"/>
              </w:rPr>
              <w:t>16</w:t>
            </w:r>
          </w:p>
        </w:tc>
        <w:tc>
          <w:tcPr>
            <w:tcW w:w="240" w:type="dxa"/>
            <w:vAlign w:val="bottom"/>
            <w:tcBorders>
              <w:top w:val="single" w:sz="8" w:color="D0EBF2"/>
              <w:bottom w:val="single" w:sz="8" w:color="FDFDFC"/>
            </w:tcBorders>
            <w:gridSpan w:val="2"/>
            <w:shd w:val="clear" w:color="auto" w:fill="D0EBF2"/>
          </w:tcPr>
          <w:p>
            <w:pPr>
              <w:spacing w:after="0"/>
              <w:rPr>
                <w:sz w:val="21"/>
                <w:szCs w:val="21"/>
                <w:color w:val="auto"/>
              </w:rPr>
            </w:pPr>
          </w:p>
        </w:tc>
        <w:tc>
          <w:tcPr>
            <w:tcW w:w="20" w:type="dxa"/>
            <w:vAlign w:val="bottom"/>
            <w:tcBorders>
              <w:top w:val="single" w:sz="8" w:color="231F20"/>
              <w:bottom w:val="single" w:sz="8" w:color="231F20"/>
            </w:tcBorders>
            <w:shd w:val="clear" w:color="auto" w:fill="D0EBF2"/>
          </w:tcPr>
          <w:p>
            <w:pPr>
              <w:spacing w:after="0"/>
              <w:rPr>
                <w:sz w:val="21"/>
                <w:szCs w:val="21"/>
                <w:color w:val="auto"/>
              </w:rPr>
            </w:pPr>
          </w:p>
        </w:tc>
        <w:tc>
          <w:tcPr>
            <w:tcW w:w="160" w:type="dxa"/>
            <w:vAlign w:val="bottom"/>
            <w:tcBorders>
              <w:top w:val="single" w:sz="8" w:color="231F20"/>
              <w:bottom w:val="single" w:sz="8" w:color="231F20"/>
            </w:tcBorders>
            <w:shd w:val="clear" w:color="auto" w:fill="D0EBF2"/>
          </w:tcPr>
          <w:p>
            <w:pPr>
              <w:jc w:val="right"/>
              <w:ind w:right="48"/>
              <w:spacing w:after="0"/>
              <w:rPr>
                <w:sz w:val="20"/>
                <w:szCs w:val="20"/>
                <w:color w:val="auto"/>
              </w:rPr>
            </w:pPr>
            <w:r>
              <w:rPr>
                <w:rFonts w:ascii="Arial" w:cs="Arial" w:eastAsia="Arial" w:hAnsi="Arial"/>
                <w:sz w:val="10"/>
                <w:szCs w:val="10"/>
                <w:color w:val="231F20"/>
                <w:w w:val="71"/>
                <w:shd w:val="clear" w:color="auto" w:fill="D0EBF2"/>
              </w:rPr>
              <w:t>$</w:t>
            </w:r>
          </w:p>
        </w:tc>
        <w:tc>
          <w:tcPr>
            <w:tcW w:w="80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Arial" w:cs="Arial" w:eastAsia="Arial" w:hAnsi="Arial"/>
                <w:sz w:val="19"/>
                <w:szCs w:val="19"/>
                <w:color w:val="231F20"/>
                <w:shd w:val="clear" w:color="auto" w:fill="D0EBF2"/>
              </w:rPr>
              <w:t>372,928</w:t>
            </w:r>
          </w:p>
        </w:tc>
        <w:tc>
          <w:tcPr>
            <w:tcW w:w="100" w:type="dxa"/>
            <w:vAlign w:val="bottom"/>
            <w:tcBorders>
              <w:top w:val="single" w:sz="8" w:color="D0EBF2"/>
              <w:bottom w:val="single" w:sz="8" w:color="FDFDFC"/>
            </w:tcBorders>
            <w:gridSpan w:val="2"/>
            <w:shd w:val="clear" w:color="auto" w:fill="D0EBF2"/>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840" w:type="dxa"/>
            <w:vAlign w:val="bottom"/>
            <w:shd w:val="clear" w:color="auto" w:fill="FDFDFC"/>
          </w:tcPr>
          <w:p>
            <w:pPr>
              <w:spacing w:after="0" w:line="200" w:lineRule="exact"/>
              <w:rPr>
                <w:sz w:val="20"/>
                <w:szCs w:val="20"/>
                <w:color w:val="auto"/>
              </w:rPr>
            </w:pPr>
            <w:r>
              <w:rPr>
                <w:rFonts w:ascii="Arial" w:cs="Arial" w:eastAsia="Arial" w:hAnsi="Arial"/>
                <w:sz w:val="19"/>
                <w:szCs w:val="19"/>
                <w:b w:val="1"/>
                <w:bCs w:val="1"/>
                <w:color w:val="231F20"/>
              </w:rPr>
              <w:t>Financial Liabilities:</w:t>
            </w:r>
          </w:p>
        </w:tc>
        <w:tc>
          <w:tcPr>
            <w:tcW w:w="12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100" w:type="dxa"/>
            <w:vAlign w:val="bottom"/>
            <w:shd w:val="clear" w:color="auto" w:fill="FDFDFC"/>
          </w:tcPr>
          <w:p>
            <w:pPr>
              <w:spacing w:after="0"/>
              <w:rPr>
                <w:sz w:val="17"/>
                <w:szCs w:val="17"/>
                <w:color w:val="auto"/>
              </w:rPr>
            </w:pPr>
          </w:p>
        </w:tc>
        <w:tc>
          <w:tcPr>
            <w:tcW w:w="1120" w:type="dxa"/>
            <w:vAlign w:val="bottom"/>
            <w:shd w:val="clear" w:color="auto" w:fill="FDFDFC"/>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right w:val="single" w:sz="8" w:color="FDFDFC"/>
            </w:tcBorders>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740" w:type="dxa"/>
            <w:vAlign w:val="bottom"/>
            <w:shd w:val="clear" w:color="auto" w:fill="FDFDFC"/>
          </w:tcPr>
          <w:p>
            <w:pPr>
              <w:spacing w:after="0"/>
              <w:rPr>
                <w:sz w:val="17"/>
                <w:szCs w:val="17"/>
                <w:color w:val="auto"/>
              </w:rPr>
            </w:pPr>
          </w:p>
        </w:tc>
        <w:tc>
          <w:tcPr>
            <w:tcW w:w="240" w:type="dxa"/>
            <w:vAlign w:val="bottom"/>
            <w:shd w:val="clear" w:color="auto" w:fill="FDFDFC"/>
          </w:tcPr>
          <w:p>
            <w:pPr>
              <w:spacing w:after="0"/>
              <w:rPr>
                <w:sz w:val="17"/>
                <w:szCs w:val="17"/>
                <w:color w:val="auto"/>
              </w:rPr>
            </w:pPr>
          </w:p>
        </w:tc>
        <w:tc>
          <w:tcPr>
            <w:tcW w:w="100" w:type="dxa"/>
            <w:vAlign w:val="bottom"/>
            <w:shd w:val="clear" w:color="auto" w:fill="FDFDFC"/>
          </w:tcPr>
          <w:p>
            <w:pPr>
              <w:spacing w:after="0"/>
              <w:rPr>
                <w:sz w:val="17"/>
                <w:szCs w:val="17"/>
                <w:color w:val="auto"/>
              </w:rPr>
            </w:pPr>
          </w:p>
        </w:tc>
        <w:tc>
          <w:tcPr>
            <w:tcW w:w="12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120" w:type="dxa"/>
            <w:vAlign w:val="bottom"/>
            <w:shd w:val="clear" w:color="auto" w:fill="FDFDFC"/>
          </w:tcPr>
          <w:p>
            <w:pPr>
              <w:spacing w:after="0"/>
              <w:rPr>
                <w:sz w:val="17"/>
                <w:szCs w:val="17"/>
                <w:color w:val="auto"/>
              </w:rPr>
            </w:pPr>
          </w:p>
        </w:tc>
        <w:tc>
          <w:tcPr>
            <w:tcW w:w="840" w:type="dxa"/>
            <w:vAlign w:val="bottom"/>
            <w:shd w:val="clear" w:color="auto" w:fill="FDFDFC"/>
          </w:tcPr>
          <w:p>
            <w:pPr>
              <w:spacing w:after="0"/>
              <w:rPr>
                <w:sz w:val="17"/>
                <w:szCs w:val="17"/>
                <w:color w:val="auto"/>
              </w:rPr>
            </w:pPr>
          </w:p>
        </w:tc>
        <w:tc>
          <w:tcPr>
            <w:tcW w:w="22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120" w:type="dxa"/>
            <w:vAlign w:val="bottom"/>
            <w:shd w:val="clear" w:color="auto" w:fill="FDFDFC"/>
          </w:tcPr>
          <w:p>
            <w:pPr>
              <w:spacing w:after="0"/>
              <w:rPr>
                <w:sz w:val="17"/>
                <w:szCs w:val="17"/>
                <w:color w:val="auto"/>
              </w:rPr>
            </w:pPr>
          </w:p>
        </w:tc>
        <w:tc>
          <w:tcPr>
            <w:tcW w:w="840" w:type="dxa"/>
            <w:vAlign w:val="bottom"/>
            <w:shd w:val="clear" w:color="auto" w:fill="FDFDFC"/>
          </w:tcPr>
          <w:p>
            <w:pPr>
              <w:spacing w:after="0"/>
              <w:rPr>
                <w:sz w:val="17"/>
                <w:szCs w:val="17"/>
                <w:color w:val="auto"/>
              </w:rPr>
            </w:pPr>
          </w:p>
        </w:tc>
        <w:tc>
          <w:tcPr>
            <w:tcW w:w="22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160" w:type="dxa"/>
            <w:vAlign w:val="bottom"/>
            <w:shd w:val="clear" w:color="auto" w:fill="FDFDFC"/>
          </w:tcPr>
          <w:p>
            <w:pPr>
              <w:spacing w:after="0"/>
              <w:rPr>
                <w:sz w:val="17"/>
                <w:szCs w:val="17"/>
                <w:color w:val="auto"/>
              </w:rPr>
            </w:pPr>
          </w:p>
        </w:tc>
        <w:tc>
          <w:tcPr>
            <w:tcW w:w="80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80" w:type="dxa"/>
            <w:vAlign w:val="bottom"/>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40" w:type="dxa"/>
            <w:vAlign w:val="bottom"/>
            <w:tcBorders>
              <w:bottom w:val="single" w:sz="8" w:color="FDFDFC"/>
            </w:tcBorders>
            <w:shd w:val="clear" w:color="auto" w:fill="D0EBF2"/>
          </w:tcPr>
          <w:p>
            <w:pPr>
              <w:spacing w:after="0" w:line="217" w:lineRule="exact"/>
              <w:rPr>
                <w:sz w:val="20"/>
                <w:szCs w:val="20"/>
                <w:color w:val="auto"/>
              </w:rPr>
            </w:pPr>
            <w:r>
              <w:rPr>
                <w:rFonts w:ascii="Arial" w:cs="Arial" w:eastAsia="Arial" w:hAnsi="Arial"/>
                <w:sz w:val="19"/>
                <w:szCs w:val="19"/>
                <w:color w:val="231F20"/>
              </w:rPr>
              <w:t>Contingent consideration</w:t>
            </w:r>
          </w:p>
        </w:tc>
        <w:tc>
          <w:tcPr>
            <w:tcW w:w="120" w:type="dxa"/>
            <w:vAlign w:val="bottom"/>
            <w:tcBorders>
              <w:bottom w:val="single" w:sz="8" w:color="FDFDFC"/>
            </w:tcBorders>
            <w:shd w:val="clear" w:color="auto" w:fill="D0EBF2"/>
          </w:tcPr>
          <w:p>
            <w:pPr>
              <w:spacing w:after="0"/>
              <w:rPr>
                <w:sz w:val="18"/>
                <w:szCs w:val="18"/>
                <w:color w:val="auto"/>
              </w:rPr>
            </w:pPr>
          </w:p>
        </w:tc>
        <w:tc>
          <w:tcPr>
            <w:tcW w:w="120" w:type="dxa"/>
            <w:vAlign w:val="bottom"/>
            <w:tcBorders>
              <w:bottom w:val="single" w:sz="8" w:color="231F20"/>
            </w:tcBorders>
            <w:gridSpan w:val="2"/>
            <w:shd w:val="clear" w:color="auto" w:fill="D0EBF2"/>
          </w:tcPr>
          <w:p>
            <w:pPr>
              <w:spacing w:after="0" w:line="217" w:lineRule="exact"/>
              <w:rPr>
                <w:sz w:val="20"/>
                <w:szCs w:val="20"/>
                <w:color w:val="auto"/>
              </w:rPr>
            </w:pPr>
            <w:r>
              <w:rPr>
                <w:rFonts w:ascii="Arial" w:cs="Arial" w:eastAsia="Arial" w:hAnsi="Arial"/>
                <w:sz w:val="19"/>
                <w:szCs w:val="19"/>
                <w:color w:val="231F20"/>
                <w:w w:val="94"/>
              </w:rPr>
              <w:t>$</w:t>
            </w:r>
          </w:p>
        </w:tc>
        <w:tc>
          <w:tcPr>
            <w:tcW w:w="1120" w:type="dxa"/>
            <w:vAlign w:val="bottom"/>
            <w:tcBorders>
              <w:bottom w:val="single" w:sz="8" w:color="231F20"/>
            </w:tcBorders>
            <w:shd w:val="clear" w:color="auto" w:fill="D0EBF2"/>
          </w:tcPr>
          <w:p>
            <w:pPr>
              <w:jc w:val="right"/>
              <w:spacing w:after="0" w:line="217" w:lineRule="exact"/>
              <w:rPr>
                <w:sz w:val="20"/>
                <w:szCs w:val="20"/>
                <w:color w:val="auto"/>
              </w:rPr>
            </w:pPr>
            <w:r>
              <w:rPr>
                <w:rFonts w:ascii="Arial" w:cs="Arial" w:eastAsia="Arial" w:hAnsi="Arial"/>
                <w:sz w:val="19"/>
                <w:szCs w:val="19"/>
                <w:color w:val="231F20"/>
              </w:rPr>
              <w:t>—</w:t>
            </w:r>
          </w:p>
        </w:tc>
        <w:tc>
          <w:tcPr>
            <w:tcW w:w="20" w:type="dxa"/>
            <w:vAlign w:val="bottom"/>
          </w:tcPr>
          <w:p>
            <w:pPr>
              <w:spacing w:after="0"/>
              <w:rPr>
                <w:sz w:val="18"/>
                <w:szCs w:val="18"/>
                <w:color w:val="auto"/>
              </w:rPr>
            </w:pPr>
          </w:p>
        </w:tc>
        <w:tc>
          <w:tcPr>
            <w:tcW w:w="220" w:type="dxa"/>
            <w:vAlign w:val="bottom"/>
            <w:tcBorders>
              <w:bottom w:val="single" w:sz="8" w:color="FDFDFC"/>
              <w:right w:val="single" w:sz="8" w:color="D0EBF2"/>
            </w:tcBorders>
            <w:shd w:val="clear" w:color="auto" w:fill="D0EBF2"/>
          </w:tcPr>
          <w:p>
            <w:pPr>
              <w:spacing w:after="0"/>
              <w:rPr>
                <w:sz w:val="18"/>
                <w:szCs w:val="18"/>
                <w:color w:val="auto"/>
              </w:rPr>
            </w:pPr>
          </w:p>
        </w:tc>
        <w:tc>
          <w:tcPr>
            <w:tcW w:w="20" w:type="dxa"/>
            <w:vAlign w:val="bottom"/>
            <w:tcBorders>
              <w:bottom w:val="single" w:sz="8" w:color="231F20"/>
            </w:tcBorders>
            <w:shd w:val="clear" w:color="auto" w:fill="D0EBF2"/>
          </w:tcPr>
          <w:p>
            <w:pPr>
              <w:spacing w:after="0"/>
              <w:rPr>
                <w:sz w:val="18"/>
                <w:szCs w:val="18"/>
                <w:color w:val="auto"/>
              </w:rPr>
            </w:pPr>
          </w:p>
        </w:tc>
        <w:tc>
          <w:tcPr>
            <w:tcW w:w="740" w:type="dxa"/>
            <w:vAlign w:val="bottom"/>
            <w:tcBorders>
              <w:bottom w:val="single" w:sz="8" w:color="231F20"/>
            </w:tcBorders>
            <w:shd w:val="clear" w:color="auto" w:fill="D0EBF2"/>
          </w:tcPr>
          <w:p>
            <w:pPr>
              <w:jc w:val="right"/>
              <w:ind w:right="586"/>
              <w:spacing w:after="0"/>
              <w:rPr>
                <w:sz w:val="20"/>
                <w:szCs w:val="20"/>
                <w:color w:val="auto"/>
              </w:rPr>
            </w:pPr>
            <w:r>
              <w:rPr>
                <w:rFonts w:ascii="Arial" w:cs="Arial" w:eastAsia="Arial" w:hAnsi="Arial"/>
                <w:sz w:val="15"/>
                <w:szCs w:val="15"/>
                <w:color w:val="231F20"/>
                <w:w w:val="71"/>
              </w:rPr>
              <w:t>$</w:t>
            </w:r>
          </w:p>
        </w:tc>
        <w:tc>
          <w:tcPr>
            <w:tcW w:w="240" w:type="dxa"/>
            <w:vAlign w:val="bottom"/>
            <w:tcBorders>
              <w:bottom w:val="single" w:sz="8" w:color="231F20"/>
            </w:tcBorders>
            <w:shd w:val="clear" w:color="auto" w:fill="D0EBF2"/>
          </w:tcPr>
          <w:p>
            <w:pPr>
              <w:ind w:left="40"/>
              <w:spacing w:after="0" w:line="217" w:lineRule="exact"/>
              <w:rPr>
                <w:sz w:val="20"/>
                <w:szCs w:val="20"/>
                <w:color w:val="auto"/>
              </w:rPr>
            </w:pPr>
            <w:r>
              <w:rPr>
                <w:rFonts w:ascii="Arial" w:cs="Arial" w:eastAsia="Arial" w:hAnsi="Arial"/>
                <w:sz w:val="19"/>
                <w:szCs w:val="19"/>
                <w:color w:val="231F20"/>
                <w:w w:val="94"/>
              </w:rPr>
              <w:t>—</w:t>
            </w:r>
          </w:p>
        </w:tc>
        <w:tc>
          <w:tcPr>
            <w:tcW w:w="100" w:type="dxa"/>
            <w:vAlign w:val="bottom"/>
            <w:tcBorders>
              <w:bottom w:val="single" w:sz="8" w:color="FDFDFC"/>
            </w:tcBorders>
            <w:shd w:val="clear" w:color="auto" w:fill="D0EBF2"/>
          </w:tcPr>
          <w:p>
            <w:pPr>
              <w:spacing w:after="0"/>
              <w:rPr>
                <w:sz w:val="18"/>
                <w:szCs w:val="18"/>
                <w:color w:val="auto"/>
              </w:rPr>
            </w:pPr>
          </w:p>
        </w:tc>
        <w:tc>
          <w:tcPr>
            <w:tcW w:w="140" w:type="dxa"/>
            <w:vAlign w:val="bottom"/>
            <w:tcBorders>
              <w:bottom w:val="single" w:sz="8" w:color="FDFDFC"/>
            </w:tcBorders>
            <w:gridSpan w:val="2"/>
            <w:shd w:val="clear" w:color="auto" w:fill="D0EBF2"/>
          </w:tcPr>
          <w:p>
            <w:pPr>
              <w:spacing w:after="0"/>
              <w:rPr>
                <w:sz w:val="18"/>
                <w:szCs w:val="18"/>
                <w:color w:val="auto"/>
              </w:rPr>
            </w:pPr>
          </w:p>
        </w:tc>
        <w:tc>
          <w:tcPr>
            <w:tcW w:w="20" w:type="dxa"/>
            <w:vAlign w:val="bottom"/>
            <w:tcBorders>
              <w:bottom w:val="single" w:sz="8" w:color="231F20"/>
            </w:tcBorders>
            <w:shd w:val="clear" w:color="auto" w:fill="D0EBF2"/>
          </w:tcPr>
          <w:p>
            <w:pPr>
              <w:spacing w:after="0"/>
              <w:rPr>
                <w:sz w:val="18"/>
                <w:szCs w:val="18"/>
                <w:color w:val="auto"/>
              </w:rPr>
            </w:pPr>
          </w:p>
        </w:tc>
        <w:tc>
          <w:tcPr>
            <w:tcW w:w="120" w:type="dxa"/>
            <w:vAlign w:val="bottom"/>
            <w:tcBorders>
              <w:bottom w:val="single" w:sz="8" w:color="231F20"/>
            </w:tcBorders>
            <w:shd w:val="clear" w:color="auto" w:fill="D0EBF2"/>
          </w:tcPr>
          <w:p>
            <w:pPr>
              <w:jc w:val="right"/>
              <w:ind w:right="8"/>
              <w:spacing w:after="0"/>
              <w:rPr>
                <w:sz w:val="20"/>
                <w:szCs w:val="20"/>
                <w:color w:val="auto"/>
              </w:rPr>
            </w:pPr>
            <w:r>
              <w:rPr>
                <w:rFonts w:ascii="Arial" w:cs="Arial" w:eastAsia="Arial" w:hAnsi="Arial"/>
                <w:sz w:val="10"/>
                <w:szCs w:val="10"/>
                <w:color w:val="231F20"/>
                <w:w w:val="71"/>
              </w:rPr>
              <w:t>$</w:t>
            </w:r>
          </w:p>
        </w:tc>
        <w:tc>
          <w:tcPr>
            <w:tcW w:w="840" w:type="dxa"/>
            <w:vAlign w:val="bottom"/>
            <w:tcBorders>
              <w:bottom w:val="single" w:sz="8" w:color="231F20"/>
            </w:tcBorders>
            <w:shd w:val="clear" w:color="auto" w:fill="D0EBF2"/>
          </w:tcPr>
          <w:p>
            <w:pPr>
              <w:jc w:val="right"/>
              <w:spacing w:after="0" w:line="217" w:lineRule="exact"/>
              <w:rPr>
                <w:sz w:val="20"/>
                <w:szCs w:val="20"/>
                <w:color w:val="auto"/>
              </w:rPr>
            </w:pPr>
            <w:r>
              <w:rPr>
                <w:rFonts w:ascii="Arial" w:cs="Arial" w:eastAsia="Arial" w:hAnsi="Arial"/>
                <w:sz w:val="19"/>
                <w:szCs w:val="19"/>
                <w:color w:val="231F20"/>
              </w:rPr>
              <w:t>—</w:t>
            </w:r>
          </w:p>
        </w:tc>
        <w:tc>
          <w:tcPr>
            <w:tcW w:w="240" w:type="dxa"/>
            <w:vAlign w:val="bottom"/>
            <w:tcBorders>
              <w:bottom w:val="single" w:sz="8" w:color="FDFDFC"/>
            </w:tcBorders>
            <w:gridSpan w:val="2"/>
            <w:shd w:val="clear" w:color="auto" w:fill="D0EBF2"/>
          </w:tcPr>
          <w:p>
            <w:pPr>
              <w:spacing w:after="0"/>
              <w:rPr>
                <w:sz w:val="18"/>
                <w:szCs w:val="18"/>
                <w:color w:val="auto"/>
              </w:rPr>
            </w:pPr>
          </w:p>
        </w:tc>
        <w:tc>
          <w:tcPr>
            <w:tcW w:w="20" w:type="dxa"/>
            <w:vAlign w:val="bottom"/>
            <w:tcBorders>
              <w:bottom w:val="single" w:sz="8" w:color="231F20"/>
            </w:tcBorders>
            <w:shd w:val="clear" w:color="auto" w:fill="D0EBF2"/>
          </w:tcPr>
          <w:p>
            <w:pPr>
              <w:spacing w:after="0"/>
              <w:rPr>
                <w:sz w:val="18"/>
                <w:szCs w:val="18"/>
                <w:color w:val="auto"/>
              </w:rPr>
            </w:pPr>
          </w:p>
        </w:tc>
        <w:tc>
          <w:tcPr>
            <w:tcW w:w="120" w:type="dxa"/>
            <w:vAlign w:val="bottom"/>
            <w:tcBorders>
              <w:bottom w:val="single" w:sz="8" w:color="231F20"/>
            </w:tcBorders>
            <w:shd w:val="clear" w:color="auto" w:fill="D0EBF2"/>
          </w:tcPr>
          <w:p>
            <w:pPr>
              <w:jc w:val="right"/>
              <w:ind w:right="8"/>
              <w:spacing w:after="0"/>
              <w:rPr>
                <w:sz w:val="20"/>
                <w:szCs w:val="20"/>
                <w:color w:val="auto"/>
              </w:rPr>
            </w:pPr>
            <w:r>
              <w:rPr>
                <w:rFonts w:ascii="Arial" w:cs="Arial" w:eastAsia="Arial" w:hAnsi="Arial"/>
                <w:sz w:val="10"/>
                <w:szCs w:val="10"/>
                <w:color w:val="231F20"/>
                <w:w w:val="71"/>
              </w:rPr>
              <w:t>$</w:t>
            </w:r>
          </w:p>
        </w:tc>
        <w:tc>
          <w:tcPr>
            <w:tcW w:w="840" w:type="dxa"/>
            <w:vAlign w:val="bottom"/>
            <w:tcBorders>
              <w:bottom w:val="single" w:sz="8" w:color="231F20"/>
            </w:tcBorders>
            <w:shd w:val="clear" w:color="auto" w:fill="D0EBF2"/>
          </w:tcPr>
          <w:p>
            <w:pPr>
              <w:jc w:val="right"/>
              <w:spacing w:after="0" w:line="217" w:lineRule="exact"/>
              <w:rPr>
                <w:sz w:val="20"/>
                <w:szCs w:val="20"/>
                <w:color w:val="auto"/>
              </w:rPr>
            </w:pPr>
            <w:r>
              <w:rPr>
                <w:rFonts w:ascii="Arial" w:cs="Arial" w:eastAsia="Arial" w:hAnsi="Arial"/>
                <w:sz w:val="19"/>
                <w:szCs w:val="19"/>
                <w:color w:val="231F20"/>
              </w:rPr>
              <w:t>2,882</w:t>
            </w:r>
          </w:p>
        </w:tc>
        <w:tc>
          <w:tcPr>
            <w:tcW w:w="240" w:type="dxa"/>
            <w:vAlign w:val="bottom"/>
            <w:tcBorders>
              <w:bottom w:val="single" w:sz="8" w:color="FDFDFC"/>
            </w:tcBorders>
            <w:gridSpan w:val="2"/>
            <w:shd w:val="clear" w:color="auto" w:fill="D0EBF2"/>
          </w:tcPr>
          <w:p>
            <w:pPr>
              <w:spacing w:after="0"/>
              <w:rPr>
                <w:sz w:val="18"/>
                <w:szCs w:val="18"/>
                <w:color w:val="auto"/>
              </w:rPr>
            </w:pPr>
          </w:p>
        </w:tc>
        <w:tc>
          <w:tcPr>
            <w:tcW w:w="20" w:type="dxa"/>
            <w:vAlign w:val="bottom"/>
            <w:tcBorders>
              <w:bottom w:val="single" w:sz="8" w:color="231F20"/>
            </w:tcBorders>
            <w:shd w:val="clear" w:color="auto" w:fill="D0EBF2"/>
          </w:tcPr>
          <w:p>
            <w:pPr>
              <w:spacing w:after="0"/>
              <w:rPr>
                <w:sz w:val="18"/>
                <w:szCs w:val="18"/>
                <w:color w:val="auto"/>
              </w:rPr>
            </w:pPr>
          </w:p>
        </w:tc>
        <w:tc>
          <w:tcPr>
            <w:tcW w:w="160" w:type="dxa"/>
            <w:vAlign w:val="bottom"/>
            <w:tcBorders>
              <w:bottom w:val="single" w:sz="8" w:color="231F20"/>
            </w:tcBorders>
            <w:shd w:val="clear" w:color="auto" w:fill="D0EBF2"/>
          </w:tcPr>
          <w:p>
            <w:pPr>
              <w:jc w:val="right"/>
              <w:ind w:right="48"/>
              <w:spacing w:after="0"/>
              <w:rPr>
                <w:sz w:val="20"/>
                <w:szCs w:val="20"/>
                <w:color w:val="auto"/>
              </w:rPr>
            </w:pPr>
            <w:r>
              <w:rPr>
                <w:rFonts w:ascii="Arial" w:cs="Arial" w:eastAsia="Arial" w:hAnsi="Arial"/>
                <w:sz w:val="10"/>
                <w:szCs w:val="10"/>
                <w:color w:val="231F20"/>
                <w:w w:val="71"/>
              </w:rPr>
              <w:t>$</w:t>
            </w:r>
          </w:p>
        </w:tc>
        <w:tc>
          <w:tcPr>
            <w:tcW w:w="800" w:type="dxa"/>
            <w:vAlign w:val="bottom"/>
            <w:tcBorders>
              <w:bottom w:val="single" w:sz="8" w:color="231F20"/>
            </w:tcBorders>
            <w:shd w:val="clear" w:color="auto" w:fill="D0EBF2"/>
          </w:tcPr>
          <w:p>
            <w:pPr>
              <w:jc w:val="right"/>
              <w:spacing w:after="0" w:line="217" w:lineRule="exact"/>
              <w:rPr>
                <w:sz w:val="20"/>
                <w:szCs w:val="20"/>
                <w:color w:val="auto"/>
              </w:rPr>
            </w:pPr>
            <w:r>
              <w:rPr>
                <w:rFonts w:ascii="Arial" w:cs="Arial" w:eastAsia="Arial" w:hAnsi="Arial"/>
                <w:sz w:val="19"/>
                <w:szCs w:val="19"/>
                <w:color w:val="231F20"/>
              </w:rPr>
              <w:t>2,882</w:t>
            </w:r>
          </w:p>
        </w:tc>
        <w:tc>
          <w:tcPr>
            <w:tcW w:w="20" w:type="dxa"/>
            <w:vAlign w:val="bottom"/>
            <w:tcBorders>
              <w:bottom w:val="single" w:sz="8" w:color="FDFDFC"/>
            </w:tcBorders>
            <w:shd w:val="clear" w:color="auto" w:fill="D0EBF2"/>
          </w:tcPr>
          <w:p>
            <w:pPr>
              <w:spacing w:after="0"/>
              <w:rPr>
                <w:sz w:val="18"/>
                <w:szCs w:val="18"/>
                <w:color w:val="auto"/>
              </w:rPr>
            </w:pPr>
          </w:p>
        </w:tc>
        <w:tc>
          <w:tcPr>
            <w:tcW w:w="80" w:type="dxa"/>
            <w:vAlign w:val="bottom"/>
            <w:tcBorders>
              <w:bottom w:val="single" w:sz="8" w:color="FDFDFC"/>
            </w:tcBorders>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40" w:type="dxa"/>
            <w:vAlign w:val="bottom"/>
            <w:shd w:val="clear" w:color="auto" w:fill="FDFDFC"/>
          </w:tcPr>
          <w:p>
            <w:pPr>
              <w:spacing w:after="0" w:line="207" w:lineRule="exact"/>
              <w:rPr>
                <w:sz w:val="20"/>
                <w:szCs w:val="20"/>
                <w:color w:val="auto"/>
              </w:rPr>
            </w:pPr>
            <w:r>
              <w:rPr>
                <w:rFonts w:ascii="Arial" w:cs="Arial" w:eastAsia="Arial" w:hAnsi="Arial"/>
                <w:sz w:val="19"/>
                <w:szCs w:val="19"/>
                <w:color w:val="231F20"/>
              </w:rPr>
              <w:t>Total financial liabilities</w:t>
            </w:r>
          </w:p>
        </w:tc>
        <w:tc>
          <w:tcPr>
            <w:tcW w:w="120" w:type="dxa"/>
            <w:vAlign w:val="bottom"/>
            <w:shd w:val="clear" w:color="auto" w:fill="FDFDFC"/>
          </w:tcPr>
          <w:p>
            <w:pPr>
              <w:spacing w:after="0"/>
              <w:rPr>
                <w:sz w:val="17"/>
                <w:szCs w:val="17"/>
                <w:color w:val="auto"/>
              </w:rPr>
            </w:pPr>
          </w:p>
        </w:tc>
        <w:tc>
          <w:tcPr>
            <w:tcW w:w="120" w:type="dxa"/>
            <w:vAlign w:val="bottom"/>
            <w:gridSpan w:val="2"/>
            <w:shd w:val="clear" w:color="auto" w:fill="FDFDFC"/>
          </w:tcPr>
          <w:p>
            <w:pPr>
              <w:spacing w:after="0" w:line="207" w:lineRule="exact"/>
              <w:rPr>
                <w:sz w:val="20"/>
                <w:szCs w:val="20"/>
                <w:color w:val="auto"/>
              </w:rPr>
            </w:pPr>
            <w:r>
              <w:rPr>
                <w:rFonts w:ascii="Arial" w:cs="Arial" w:eastAsia="Arial" w:hAnsi="Arial"/>
                <w:sz w:val="19"/>
                <w:szCs w:val="19"/>
                <w:color w:val="231F20"/>
                <w:w w:val="94"/>
              </w:rPr>
              <w:t>$</w:t>
            </w:r>
          </w:p>
        </w:tc>
        <w:tc>
          <w:tcPr>
            <w:tcW w:w="1120" w:type="dxa"/>
            <w:vAlign w:val="bottom"/>
            <w:shd w:val="clear" w:color="auto" w:fill="FDFDFC"/>
          </w:tcPr>
          <w:p>
            <w:pPr>
              <w:jc w:val="right"/>
              <w:spacing w:after="0" w:line="207" w:lineRule="exact"/>
              <w:rPr>
                <w:sz w:val="20"/>
                <w:szCs w:val="20"/>
                <w:color w:val="auto"/>
              </w:rPr>
            </w:pPr>
            <w:r>
              <w:rPr>
                <w:rFonts w:ascii="Arial" w:cs="Arial" w:eastAsia="Arial" w:hAnsi="Arial"/>
                <w:sz w:val="19"/>
                <w:szCs w:val="19"/>
                <w:color w:val="231F20"/>
              </w:rPr>
              <w:t>—</w:t>
            </w:r>
          </w:p>
        </w:tc>
        <w:tc>
          <w:tcPr>
            <w:tcW w:w="20" w:type="dxa"/>
            <w:vAlign w:val="bottom"/>
          </w:tcPr>
          <w:p>
            <w:pPr>
              <w:spacing w:after="0"/>
              <w:rPr>
                <w:sz w:val="17"/>
                <w:szCs w:val="17"/>
                <w:color w:val="auto"/>
              </w:rPr>
            </w:pPr>
          </w:p>
        </w:tc>
        <w:tc>
          <w:tcPr>
            <w:tcW w:w="220" w:type="dxa"/>
            <w:vAlign w:val="bottom"/>
            <w:tcBorders>
              <w:right w:val="single" w:sz="8" w:color="FDFDFC"/>
            </w:tcBorders>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740" w:type="dxa"/>
            <w:vAlign w:val="bottom"/>
            <w:shd w:val="clear" w:color="auto" w:fill="FDFDFC"/>
          </w:tcPr>
          <w:p>
            <w:pPr>
              <w:jc w:val="right"/>
              <w:ind w:right="586"/>
              <w:spacing w:after="0"/>
              <w:rPr>
                <w:sz w:val="20"/>
                <w:szCs w:val="20"/>
                <w:color w:val="auto"/>
              </w:rPr>
            </w:pPr>
            <w:r>
              <w:rPr>
                <w:rFonts w:ascii="Arial" w:cs="Arial" w:eastAsia="Arial" w:hAnsi="Arial"/>
                <w:sz w:val="15"/>
                <w:szCs w:val="15"/>
                <w:color w:val="231F20"/>
                <w:w w:val="71"/>
              </w:rPr>
              <w:t>$</w:t>
            </w:r>
          </w:p>
        </w:tc>
        <w:tc>
          <w:tcPr>
            <w:tcW w:w="240" w:type="dxa"/>
            <w:vAlign w:val="bottom"/>
            <w:shd w:val="clear" w:color="auto" w:fill="FDFDFC"/>
          </w:tcPr>
          <w:p>
            <w:pPr>
              <w:ind w:left="40"/>
              <w:spacing w:after="0" w:line="207" w:lineRule="exact"/>
              <w:rPr>
                <w:sz w:val="20"/>
                <w:szCs w:val="20"/>
                <w:color w:val="auto"/>
              </w:rPr>
            </w:pPr>
            <w:r>
              <w:rPr>
                <w:rFonts w:ascii="Arial" w:cs="Arial" w:eastAsia="Arial" w:hAnsi="Arial"/>
                <w:sz w:val="19"/>
                <w:szCs w:val="19"/>
                <w:color w:val="231F20"/>
                <w:w w:val="94"/>
              </w:rPr>
              <w:t>—</w:t>
            </w:r>
          </w:p>
        </w:tc>
        <w:tc>
          <w:tcPr>
            <w:tcW w:w="100" w:type="dxa"/>
            <w:vAlign w:val="bottom"/>
            <w:shd w:val="clear" w:color="auto" w:fill="FDFDFC"/>
          </w:tcPr>
          <w:p>
            <w:pPr>
              <w:spacing w:after="0"/>
              <w:rPr>
                <w:sz w:val="17"/>
                <w:szCs w:val="17"/>
                <w:color w:val="auto"/>
              </w:rPr>
            </w:pPr>
          </w:p>
        </w:tc>
        <w:tc>
          <w:tcPr>
            <w:tcW w:w="160" w:type="dxa"/>
            <w:vAlign w:val="bottom"/>
            <w:gridSpan w:val="3"/>
            <w:shd w:val="clear" w:color="auto" w:fill="FDFDFC"/>
          </w:tcPr>
          <w:p>
            <w:pPr>
              <w:spacing w:after="0"/>
              <w:rPr>
                <w:sz w:val="17"/>
                <w:szCs w:val="17"/>
                <w:color w:val="auto"/>
              </w:rPr>
            </w:pPr>
          </w:p>
        </w:tc>
        <w:tc>
          <w:tcPr>
            <w:tcW w:w="120" w:type="dxa"/>
            <w:vAlign w:val="bottom"/>
            <w:shd w:val="clear" w:color="auto" w:fill="FDFDFC"/>
          </w:tcPr>
          <w:p>
            <w:pPr>
              <w:jc w:val="right"/>
              <w:ind w:right="8"/>
              <w:spacing w:after="0"/>
              <w:rPr>
                <w:sz w:val="20"/>
                <w:szCs w:val="20"/>
                <w:color w:val="auto"/>
              </w:rPr>
            </w:pPr>
            <w:r>
              <w:rPr>
                <w:rFonts w:ascii="Arial" w:cs="Arial" w:eastAsia="Arial" w:hAnsi="Arial"/>
                <w:sz w:val="10"/>
                <w:szCs w:val="10"/>
                <w:color w:val="231F20"/>
                <w:w w:val="71"/>
              </w:rPr>
              <w:t>$</w:t>
            </w:r>
          </w:p>
        </w:tc>
        <w:tc>
          <w:tcPr>
            <w:tcW w:w="840" w:type="dxa"/>
            <w:vAlign w:val="bottom"/>
            <w:shd w:val="clear" w:color="auto" w:fill="FDFDFC"/>
          </w:tcPr>
          <w:p>
            <w:pPr>
              <w:jc w:val="right"/>
              <w:spacing w:after="0" w:line="207" w:lineRule="exact"/>
              <w:rPr>
                <w:sz w:val="20"/>
                <w:szCs w:val="20"/>
                <w:color w:val="auto"/>
              </w:rPr>
            </w:pPr>
            <w:r>
              <w:rPr>
                <w:rFonts w:ascii="Arial" w:cs="Arial" w:eastAsia="Arial" w:hAnsi="Arial"/>
                <w:sz w:val="19"/>
                <w:szCs w:val="19"/>
                <w:color w:val="231F20"/>
              </w:rPr>
              <w:t>—</w:t>
            </w:r>
          </w:p>
        </w:tc>
        <w:tc>
          <w:tcPr>
            <w:tcW w:w="260" w:type="dxa"/>
            <w:vAlign w:val="bottom"/>
            <w:gridSpan w:val="3"/>
            <w:shd w:val="clear" w:color="auto" w:fill="FDFDFC"/>
          </w:tcPr>
          <w:p>
            <w:pPr>
              <w:spacing w:after="0"/>
              <w:rPr>
                <w:sz w:val="17"/>
                <w:szCs w:val="17"/>
                <w:color w:val="auto"/>
              </w:rPr>
            </w:pPr>
          </w:p>
        </w:tc>
        <w:tc>
          <w:tcPr>
            <w:tcW w:w="120" w:type="dxa"/>
            <w:vAlign w:val="bottom"/>
            <w:shd w:val="clear" w:color="auto" w:fill="FDFDFC"/>
          </w:tcPr>
          <w:p>
            <w:pPr>
              <w:jc w:val="right"/>
              <w:ind w:right="8"/>
              <w:spacing w:after="0"/>
              <w:rPr>
                <w:sz w:val="20"/>
                <w:szCs w:val="20"/>
                <w:color w:val="auto"/>
              </w:rPr>
            </w:pPr>
            <w:r>
              <w:rPr>
                <w:rFonts w:ascii="Arial" w:cs="Arial" w:eastAsia="Arial" w:hAnsi="Arial"/>
                <w:sz w:val="10"/>
                <w:szCs w:val="10"/>
                <w:color w:val="231F20"/>
                <w:w w:val="71"/>
              </w:rPr>
              <w:t>$</w:t>
            </w:r>
          </w:p>
        </w:tc>
        <w:tc>
          <w:tcPr>
            <w:tcW w:w="840" w:type="dxa"/>
            <w:vAlign w:val="bottom"/>
            <w:shd w:val="clear" w:color="auto" w:fill="FDFDFC"/>
          </w:tcPr>
          <w:p>
            <w:pPr>
              <w:jc w:val="right"/>
              <w:spacing w:after="0" w:line="207" w:lineRule="exact"/>
              <w:rPr>
                <w:sz w:val="20"/>
                <w:szCs w:val="20"/>
                <w:color w:val="auto"/>
              </w:rPr>
            </w:pPr>
            <w:r>
              <w:rPr>
                <w:rFonts w:ascii="Arial" w:cs="Arial" w:eastAsia="Arial" w:hAnsi="Arial"/>
                <w:sz w:val="19"/>
                <w:szCs w:val="19"/>
                <w:color w:val="231F20"/>
              </w:rPr>
              <w:t>2,882</w:t>
            </w:r>
          </w:p>
        </w:tc>
        <w:tc>
          <w:tcPr>
            <w:tcW w:w="260" w:type="dxa"/>
            <w:vAlign w:val="bottom"/>
            <w:gridSpan w:val="3"/>
            <w:shd w:val="clear" w:color="auto" w:fill="FDFDFC"/>
          </w:tcPr>
          <w:p>
            <w:pPr>
              <w:spacing w:after="0"/>
              <w:rPr>
                <w:sz w:val="17"/>
                <w:szCs w:val="17"/>
                <w:color w:val="auto"/>
              </w:rPr>
            </w:pPr>
          </w:p>
        </w:tc>
        <w:tc>
          <w:tcPr>
            <w:tcW w:w="160" w:type="dxa"/>
            <w:vAlign w:val="bottom"/>
            <w:shd w:val="clear" w:color="auto" w:fill="FDFDFC"/>
          </w:tcPr>
          <w:p>
            <w:pPr>
              <w:jc w:val="right"/>
              <w:ind w:right="48"/>
              <w:spacing w:after="0"/>
              <w:rPr>
                <w:sz w:val="20"/>
                <w:szCs w:val="20"/>
                <w:color w:val="auto"/>
              </w:rPr>
            </w:pPr>
            <w:r>
              <w:rPr>
                <w:rFonts w:ascii="Arial" w:cs="Arial" w:eastAsia="Arial" w:hAnsi="Arial"/>
                <w:sz w:val="10"/>
                <w:szCs w:val="10"/>
                <w:color w:val="231F20"/>
                <w:w w:val="71"/>
              </w:rPr>
              <w:t>$</w:t>
            </w:r>
          </w:p>
        </w:tc>
        <w:tc>
          <w:tcPr>
            <w:tcW w:w="800" w:type="dxa"/>
            <w:vAlign w:val="bottom"/>
            <w:shd w:val="clear" w:color="auto" w:fill="FDFDFC"/>
          </w:tcPr>
          <w:p>
            <w:pPr>
              <w:jc w:val="right"/>
              <w:spacing w:after="0" w:line="207" w:lineRule="exact"/>
              <w:rPr>
                <w:sz w:val="20"/>
                <w:szCs w:val="20"/>
                <w:color w:val="auto"/>
              </w:rPr>
            </w:pPr>
            <w:r>
              <w:rPr>
                <w:rFonts w:ascii="Arial" w:cs="Arial" w:eastAsia="Arial" w:hAnsi="Arial"/>
                <w:sz w:val="19"/>
                <w:szCs w:val="19"/>
                <w:color w:val="231F20"/>
              </w:rPr>
              <w:t>2,882</w:t>
            </w:r>
          </w:p>
        </w:tc>
        <w:tc>
          <w:tcPr>
            <w:tcW w:w="20" w:type="dxa"/>
            <w:vAlign w:val="bottom"/>
            <w:shd w:val="clear" w:color="auto" w:fill="FDFDFC"/>
          </w:tcPr>
          <w:p>
            <w:pPr>
              <w:spacing w:after="0"/>
              <w:rPr>
                <w:sz w:val="17"/>
                <w:szCs w:val="17"/>
                <w:color w:val="auto"/>
              </w:rPr>
            </w:pPr>
          </w:p>
        </w:tc>
        <w:tc>
          <w:tcPr>
            <w:tcW w:w="80" w:type="dxa"/>
            <w:vAlign w:val="bottom"/>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80" w:firstLine="463"/>
        <w:spacing w:after="0" w:line="278" w:lineRule="auto"/>
        <w:rPr>
          <w:sz w:val="20"/>
          <w:szCs w:val="20"/>
          <w:color w:val="auto"/>
        </w:rPr>
      </w:pPr>
      <w:r>
        <w:rPr>
          <w:rFonts w:ascii="Arial" w:cs="Arial" w:eastAsia="Arial" w:hAnsi="Arial"/>
          <w:sz w:val="19"/>
          <w:szCs w:val="19"/>
          <w:color w:val="231F20"/>
        </w:rPr>
        <w:t>During the years ended December 31, 2024, 2023 and 2022, there were no transfers between Level 1, Level 2 or Level 3.</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Contingent consideration</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Invoiced</w:t>
      </w:r>
    </w:p>
    <w:p>
      <w:pPr>
        <w:spacing w:after="0" w:line="180" w:lineRule="exact"/>
        <w:rPr>
          <w:sz w:val="20"/>
          <w:szCs w:val="20"/>
          <w:color w:val="auto"/>
        </w:rPr>
      </w:pPr>
    </w:p>
    <w:p>
      <w:pPr>
        <w:ind w:right="220" w:firstLine="463"/>
        <w:spacing w:after="0" w:line="307" w:lineRule="auto"/>
        <w:rPr>
          <w:sz w:val="20"/>
          <w:szCs w:val="20"/>
          <w:color w:val="auto"/>
        </w:rPr>
      </w:pPr>
      <w:r>
        <w:rPr>
          <w:rFonts w:ascii="Arial" w:cs="Arial" w:eastAsia="Arial" w:hAnsi="Arial"/>
          <w:sz w:val="18"/>
          <w:szCs w:val="18"/>
          <w:color w:val="231F20"/>
        </w:rPr>
        <w:t>The fair value of the contingent consideration related to the revenue milestones from the Company’s acquisition of Invoiced was determined using an option pricing model and the fair value of the contingent consideration related to the</w:t>
      </w:r>
    </w:p>
    <w:p>
      <w:pPr>
        <w:sectPr>
          <w:pgSz w:w="12240" w:h="15840" w:orient="portrait"/>
          <w:cols w:equalWidth="0" w:num="1">
            <w:col w:w="10200"/>
          </w:cols>
          <w:pgMar w:left="1020" w:top="1440" w:right="1020" w:bottom="572" w:gutter="0" w:footer="0" w:header="0"/>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130</w:t>
      </w:r>
    </w:p>
    <w:p>
      <w:pPr>
        <w:sectPr>
          <w:pgSz w:w="12240" w:h="15840" w:orient="portrait"/>
          <w:cols w:equalWidth="0" w:num="1">
            <w:col w:w="10200"/>
          </w:cols>
          <w:pgMar w:left="1020" w:top="1440" w:right="1020" w:bottom="572" w:gutter="0" w:footer="0" w:header="0"/>
          <w:type w:val="continuous"/>
        </w:sectPr>
      </w:pPr>
    </w:p>
    <w:bookmarkStart w:id="131" w:name="page132"/>
    <w:bookmarkEnd w:id="131"/>
    <w:p>
      <w:pPr>
        <w:spacing w:after="0" w:line="97" w:lineRule="exact"/>
        <w:rPr>
          <w:sz w:val="20"/>
          <w:szCs w:val="20"/>
          <w:color w:val="auto"/>
        </w:rPr>
      </w:pPr>
    </w:p>
    <w:p>
      <w:pPr>
        <w:ind w:left="20" w:right="40"/>
        <w:spacing w:after="0" w:line="248" w:lineRule="auto"/>
        <w:rPr>
          <w:sz w:val="20"/>
          <w:szCs w:val="20"/>
          <w:color w:val="auto"/>
        </w:rPr>
      </w:pPr>
      <w:r>
        <w:rPr>
          <w:rFonts w:ascii="Arial" w:cs="Arial" w:eastAsia="Arial" w:hAnsi="Arial"/>
          <w:sz w:val="19"/>
          <w:szCs w:val="19"/>
          <w:color w:val="231F20"/>
        </w:rPr>
        <w:t xml:space="preserve">cross-selling, product and security and IT milestones was determined using a scenario-based method. During the year ended December 31, 2024, the Company made a payment of contingent consideration of $1.1 million based on Invoiced's successful and timely achievement of the contracted milestones. Refer to </w:t>
      </w:r>
      <w:r>
        <w:rPr>
          <w:rFonts w:ascii="Arial" w:cs="Arial" w:eastAsia="Arial" w:hAnsi="Arial"/>
          <w:sz w:val="19"/>
          <w:szCs w:val="19"/>
          <w:i w:val="1"/>
          <w:iCs w:val="1"/>
          <w:color w:val="231F20"/>
        </w:rPr>
        <w:t>Note 9 - Business Combinations</w:t>
      </w:r>
      <w:r>
        <w:rPr>
          <w:rFonts w:ascii="Arial" w:cs="Arial" w:eastAsia="Arial" w:hAnsi="Arial"/>
          <w:sz w:val="19"/>
          <w:szCs w:val="19"/>
          <w:color w:val="231F20"/>
        </w:rPr>
        <w:t xml:space="preserve"> for additional details on the Invoiced acquisition. The following table presents the unobservable inputs incorporated into the valuation of contingent consideration as of December 31, 2024.</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7460" w:type="dxa"/>
            <w:vAlign w:val="bottom"/>
            <w:tcBorders>
              <w:bottom w:val="single" w:sz="8" w:color="D0EBF2"/>
            </w:tcBorders>
            <w:shd w:val="clear" w:color="auto" w:fill="FDFDFC"/>
          </w:tcPr>
          <w:p>
            <w:pPr>
              <w:spacing w:after="0"/>
              <w:rPr>
                <w:sz w:val="15"/>
                <w:szCs w:val="15"/>
                <w:color w:val="auto"/>
              </w:rPr>
            </w:pPr>
          </w:p>
        </w:tc>
        <w:tc>
          <w:tcPr>
            <w:tcW w:w="2740" w:type="dxa"/>
            <w:vAlign w:val="bottom"/>
            <w:tcBorders>
              <w:bottom w:val="single" w:sz="8" w:color="231F20"/>
            </w:tcBorders>
            <w:shd w:val="clear" w:color="auto" w:fill="FDFDFC"/>
          </w:tcPr>
          <w:p>
            <w:pPr>
              <w:jc w:val="right"/>
              <w:ind w:right="152"/>
              <w:spacing w:after="0"/>
              <w:rPr>
                <w:sz w:val="20"/>
                <w:szCs w:val="20"/>
                <w:color w:val="auto"/>
              </w:rPr>
            </w:pPr>
            <w:r>
              <w:rPr>
                <w:rFonts w:ascii="Arial" w:cs="Arial" w:eastAsia="Arial" w:hAnsi="Arial"/>
                <w:sz w:val="15"/>
                <w:szCs w:val="15"/>
                <w:b w:val="1"/>
                <w:bCs w:val="1"/>
                <w:color w:val="231F20"/>
              </w:rPr>
              <w:t>Year Ended December 31, 2024</w:t>
            </w:r>
          </w:p>
        </w:tc>
      </w:tr>
      <w:tr>
        <w:trPr>
          <w:trHeight w:val="207"/>
        </w:trPr>
        <w:tc>
          <w:tcPr>
            <w:tcW w:w="7460" w:type="dxa"/>
            <w:vAlign w:val="bottom"/>
            <w:shd w:val="clear" w:color="auto" w:fill="D0EBF2"/>
          </w:tcPr>
          <w:p>
            <w:pPr>
              <w:spacing w:after="0" w:line="206" w:lineRule="exact"/>
              <w:rPr>
                <w:sz w:val="20"/>
                <w:szCs w:val="20"/>
                <w:color w:val="auto"/>
              </w:rPr>
            </w:pPr>
            <w:r>
              <w:rPr>
                <w:rFonts w:ascii="Arial" w:cs="Arial" w:eastAsia="Arial" w:hAnsi="Arial"/>
                <w:sz w:val="19"/>
                <w:szCs w:val="19"/>
                <w:color w:val="231F20"/>
              </w:rPr>
              <w:t>Discount rate</w:t>
            </w:r>
          </w:p>
        </w:tc>
        <w:tc>
          <w:tcPr>
            <w:tcW w:w="274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6.47% - 6.59%</w:t>
            </w:r>
          </w:p>
        </w:tc>
      </w:tr>
      <w:tr>
        <w:trPr>
          <w:trHeight w:val="217"/>
        </w:trPr>
        <w:tc>
          <w:tcPr>
            <w:tcW w:w="746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Probability of successful achievement*</w:t>
            </w:r>
          </w:p>
        </w:tc>
        <w:tc>
          <w:tcPr>
            <w:tcW w:w="274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4% - 100%</w:t>
            </w:r>
          </w:p>
        </w:tc>
      </w:tr>
      <w:tr>
        <w:trPr>
          <w:trHeight w:val="179"/>
        </w:trPr>
        <w:tc>
          <w:tcPr>
            <w:tcW w:w="7460" w:type="dxa"/>
            <w:vAlign w:val="bottom"/>
          </w:tcPr>
          <w:p>
            <w:pPr>
              <w:spacing w:after="0"/>
              <w:rPr>
                <w:sz w:val="20"/>
                <w:szCs w:val="20"/>
                <w:color w:val="auto"/>
              </w:rPr>
            </w:pPr>
            <w:r>
              <w:rPr>
                <w:rFonts w:ascii="Arial" w:cs="Arial" w:eastAsia="Arial" w:hAnsi="Arial"/>
                <w:sz w:val="15"/>
                <w:szCs w:val="15"/>
                <w:color w:val="231F20"/>
              </w:rPr>
              <w:t>_____________________________</w:t>
            </w:r>
          </w:p>
        </w:tc>
        <w:tc>
          <w:tcPr>
            <w:tcW w:w="2740" w:type="dxa"/>
            <w:vAlign w:val="bottom"/>
          </w:tcPr>
          <w:p>
            <w:pPr>
              <w:spacing w:after="0"/>
              <w:rPr>
                <w:sz w:val="15"/>
                <w:szCs w:val="15"/>
                <w:color w:val="auto"/>
              </w:rPr>
            </w:pPr>
          </w:p>
        </w:tc>
      </w:tr>
    </w:tbl>
    <w:p>
      <w:pPr>
        <w:ind w:left="20" w:right="520"/>
        <w:spacing w:after="0" w:line="258" w:lineRule="auto"/>
        <w:tabs>
          <w:tab w:leader="none" w:pos="121" w:val="left"/>
        </w:tabs>
        <w:numPr>
          <w:ilvl w:val="0"/>
          <w:numId w:val="53"/>
        </w:numPr>
        <w:rPr>
          <w:rFonts w:ascii="Arial" w:cs="Arial" w:eastAsia="Arial" w:hAnsi="Arial"/>
          <w:sz w:val="15"/>
          <w:szCs w:val="15"/>
          <w:color w:val="231F20"/>
        </w:rPr>
      </w:pPr>
      <w:r>
        <w:rPr>
          <w:rFonts w:ascii="Arial" w:cs="Arial" w:eastAsia="Arial" w:hAnsi="Arial"/>
          <w:sz w:val="15"/>
          <w:szCs w:val="15"/>
          <w:color w:val="231F20"/>
        </w:rPr>
        <w:t>Probability of successful achievement was set at different targets based on the Company’s estimates on achieving them. The weighted average probability of successful achievement as of December 31, 2024 was 65.1%.</w:t>
      </w:r>
    </w:p>
    <w:p>
      <w:pPr>
        <w:spacing w:after="0" w:line="143" w:lineRule="exact"/>
        <w:rPr>
          <w:sz w:val="20"/>
          <w:szCs w:val="20"/>
          <w:color w:val="auto"/>
        </w:rPr>
      </w:pPr>
    </w:p>
    <w:p>
      <w:pPr>
        <w:ind w:left="20" w:right="40" w:firstLine="463"/>
        <w:spacing w:after="0" w:line="258" w:lineRule="auto"/>
        <w:rPr>
          <w:sz w:val="20"/>
          <w:szCs w:val="20"/>
          <w:color w:val="auto"/>
        </w:rPr>
      </w:pPr>
      <w:r>
        <w:rPr>
          <w:rFonts w:ascii="Arial" w:cs="Arial" w:eastAsia="Arial" w:hAnsi="Arial"/>
          <w:sz w:val="19"/>
          <w:szCs w:val="19"/>
          <w:color w:val="231F20"/>
        </w:rPr>
        <w:t>Increases or decreases in the discount rate would result in a lower or higher fair value measurement, respectively. Increases or decreases in any of the probabilities of success in which the revenue, cross-selling, product and security and IT milestones are expected to be achieved would result in higher or lower fair value measurement, respectively.</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9"/>
          <w:szCs w:val="19"/>
          <w:i w:val="1"/>
          <w:iCs w:val="1"/>
          <w:color w:val="231F20"/>
        </w:rPr>
        <w:t>StudyLink</w:t>
      </w:r>
    </w:p>
    <w:p>
      <w:pPr>
        <w:spacing w:after="0" w:line="180" w:lineRule="exact"/>
        <w:rPr>
          <w:sz w:val="20"/>
          <w:szCs w:val="20"/>
          <w:color w:val="auto"/>
        </w:rPr>
      </w:pPr>
    </w:p>
    <w:p>
      <w:pPr>
        <w:ind w:left="20" w:right="140" w:firstLine="463"/>
        <w:spacing w:after="0" w:line="246" w:lineRule="auto"/>
        <w:rPr>
          <w:sz w:val="20"/>
          <w:szCs w:val="20"/>
          <w:color w:val="auto"/>
        </w:rPr>
      </w:pPr>
      <w:r>
        <w:rPr>
          <w:rFonts w:ascii="Arial" w:cs="Arial" w:eastAsia="Arial" w:hAnsi="Arial"/>
          <w:sz w:val="19"/>
          <w:szCs w:val="19"/>
          <w:color w:val="231F20"/>
        </w:rPr>
        <w:t xml:space="preserve">The fair value of the contingent consideration related to the revenue milestone from the Company’s acquisition of StudyLink was determined using an option pricing model and the fair value of the contingent consideration related to the volume of money movement, the cross-selling and engineering implementation milestones was determined using a scenario-based method. Refer to </w:t>
      </w:r>
      <w:r>
        <w:rPr>
          <w:rFonts w:ascii="Arial" w:cs="Arial" w:eastAsia="Arial" w:hAnsi="Arial"/>
          <w:sz w:val="19"/>
          <w:szCs w:val="19"/>
          <w:i w:val="1"/>
          <w:iCs w:val="1"/>
          <w:color w:val="231F20"/>
        </w:rPr>
        <w:t>Note 9 - Business Combinations</w:t>
      </w:r>
      <w:r>
        <w:rPr>
          <w:rFonts w:ascii="Arial" w:cs="Arial" w:eastAsia="Arial" w:hAnsi="Arial"/>
          <w:sz w:val="19"/>
          <w:szCs w:val="19"/>
          <w:color w:val="231F20"/>
        </w:rPr>
        <w:t xml:space="preserve"> for additional details on the StudyLink acquisition. The following table presents the unobservable inputs incorporated into the valuation of contingent consideration as of December 31, 2024 and 2023.</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180" w:type="dxa"/>
            <w:vAlign w:val="bottom"/>
            <w:shd w:val="clear" w:color="auto" w:fill="FDFDFC"/>
          </w:tcPr>
          <w:p>
            <w:pPr>
              <w:spacing w:after="0"/>
              <w:rPr>
                <w:sz w:val="20"/>
                <w:szCs w:val="20"/>
                <w:color w:val="auto"/>
              </w:rPr>
            </w:pPr>
          </w:p>
        </w:tc>
        <w:tc>
          <w:tcPr>
            <w:tcW w:w="4020" w:type="dxa"/>
            <w:vAlign w:val="bottom"/>
            <w:gridSpan w:val="3"/>
            <w:shd w:val="clear" w:color="auto" w:fill="FDFDFC"/>
          </w:tcPr>
          <w:p>
            <w:pPr>
              <w:jc w:val="right"/>
              <w:ind w:right="986"/>
              <w:spacing w:after="0"/>
              <w:rPr>
                <w:sz w:val="20"/>
                <w:szCs w:val="20"/>
                <w:color w:val="auto"/>
              </w:rPr>
            </w:pPr>
            <w:r>
              <w:rPr>
                <w:rFonts w:ascii="Arial" w:cs="Arial" w:eastAsia="Arial" w:hAnsi="Arial"/>
                <w:sz w:val="15"/>
                <w:szCs w:val="15"/>
                <w:b w:val="1"/>
                <w:bCs w:val="1"/>
                <w:color w:val="231F20"/>
              </w:rPr>
              <w:t>Year Ended December 31,</w:t>
            </w:r>
          </w:p>
        </w:tc>
      </w:tr>
      <w:tr>
        <w:trPr>
          <w:trHeight w:val="191"/>
        </w:trPr>
        <w:tc>
          <w:tcPr>
            <w:tcW w:w="6180" w:type="dxa"/>
            <w:vAlign w:val="bottom"/>
            <w:shd w:val="clear" w:color="auto" w:fill="FDFDFC"/>
          </w:tcPr>
          <w:p>
            <w:pPr>
              <w:spacing w:after="0"/>
              <w:rPr>
                <w:sz w:val="16"/>
                <w:szCs w:val="16"/>
                <w:color w:val="auto"/>
              </w:rPr>
            </w:pPr>
          </w:p>
        </w:tc>
        <w:tc>
          <w:tcPr>
            <w:tcW w:w="1940" w:type="dxa"/>
            <w:vAlign w:val="bottom"/>
            <w:shd w:val="clear" w:color="auto" w:fill="FDFDFC"/>
          </w:tcPr>
          <w:p>
            <w:pPr>
              <w:jc w:val="right"/>
              <w:ind w:right="735"/>
              <w:spacing w:after="0"/>
              <w:rPr>
                <w:sz w:val="20"/>
                <w:szCs w:val="20"/>
                <w:color w:val="auto"/>
              </w:rPr>
            </w:pPr>
            <w:r>
              <w:rPr>
                <w:rFonts w:ascii="Arial" w:cs="Arial" w:eastAsia="Arial" w:hAnsi="Arial"/>
                <w:sz w:val="15"/>
                <w:szCs w:val="15"/>
                <w:b w:val="1"/>
                <w:bCs w:val="1"/>
                <w:color w:val="231F20"/>
              </w:rPr>
              <w:t>2024</w:t>
            </w:r>
          </w:p>
        </w:tc>
        <w:tc>
          <w:tcPr>
            <w:tcW w:w="2080" w:type="dxa"/>
            <w:vAlign w:val="bottom"/>
            <w:gridSpan w:val="2"/>
            <w:shd w:val="clear" w:color="auto" w:fill="FDFDFC"/>
          </w:tcPr>
          <w:p>
            <w:pPr>
              <w:jc w:val="right"/>
              <w:ind w:right="706"/>
              <w:spacing w:after="0"/>
              <w:rPr>
                <w:sz w:val="20"/>
                <w:szCs w:val="20"/>
                <w:color w:val="auto"/>
              </w:rPr>
            </w:pPr>
            <w:r>
              <w:rPr>
                <w:rFonts w:ascii="Arial" w:cs="Arial" w:eastAsia="Arial" w:hAnsi="Arial"/>
                <w:sz w:val="15"/>
                <w:szCs w:val="15"/>
                <w:b w:val="1"/>
                <w:bCs w:val="1"/>
                <w:color w:val="231F20"/>
              </w:rPr>
              <w:t>2023</w:t>
            </w:r>
          </w:p>
        </w:tc>
      </w:tr>
      <w:tr>
        <w:trPr>
          <w:trHeight w:val="207"/>
        </w:trPr>
        <w:tc>
          <w:tcPr>
            <w:tcW w:w="6180" w:type="dxa"/>
            <w:vAlign w:val="bottom"/>
            <w:tcBorders>
              <w:top w:val="single" w:sz="8" w:color="D0EBF2"/>
            </w:tcBorders>
            <w:shd w:val="clear" w:color="auto" w:fill="D0EBF2"/>
          </w:tcPr>
          <w:p>
            <w:pPr>
              <w:spacing w:after="0" w:line="207" w:lineRule="exact"/>
              <w:rPr>
                <w:sz w:val="20"/>
                <w:szCs w:val="20"/>
                <w:color w:val="auto"/>
              </w:rPr>
            </w:pPr>
            <w:r>
              <w:rPr>
                <w:rFonts w:ascii="Arial" w:cs="Arial" w:eastAsia="Arial" w:hAnsi="Arial"/>
                <w:sz w:val="19"/>
                <w:szCs w:val="19"/>
                <w:color w:val="231F20"/>
              </w:rPr>
              <w:t>Discount rate</w:t>
            </w:r>
          </w:p>
        </w:tc>
        <w:tc>
          <w:tcPr>
            <w:tcW w:w="194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6.3% - 8.2%</w:t>
            </w:r>
          </w:p>
        </w:tc>
        <w:tc>
          <w:tcPr>
            <w:tcW w:w="140" w:type="dxa"/>
            <w:vAlign w:val="bottom"/>
            <w:tcBorders>
              <w:top w:val="single" w:sz="8" w:color="D0EBF2"/>
            </w:tcBorders>
            <w:shd w:val="clear" w:color="auto" w:fill="D0EBF2"/>
          </w:tcPr>
          <w:p>
            <w:pPr>
              <w:spacing w:after="0"/>
              <w:rPr>
                <w:sz w:val="17"/>
                <w:szCs w:val="17"/>
                <w:color w:val="auto"/>
              </w:rPr>
            </w:pPr>
          </w:p>
        </w:tc>
        <w:tc>
          <w:tcPr>
            <w:tcW w:w="194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7.4% - 7.5%</w:t>
            </w:r>
          </w:p>
        </w:tc>
      </w:tr>
      <w:tr>
        <w:trPr>
          <w:trHeight w:val="217"/>
        </w:trPr>
        <w:tc>
          <w:tcPr>
            <w:tcW w:w="618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Probability of successful achievement*</w:t>
            </w:r>
          </w:p>
        </w:tc>
        <w:tc>
          <w:tcPr>
            <w:tcW w:w="194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0% - 100%</w:t>
            </w:r>
          </w:p>
        </w:tc>
        <w:tc>
          <w:tcPr>
            <w:tcW w:w="140" w:type="dxa"/>
            <w:vAlign w:val="bottom"/>
            <w:shd w:val="clear" w:color="auto" w:fill="FDFDFC"/>
          </w:tcPr>
          <w:p>
            <w:pPr>
              <w:spacing w:after="0"/>
              <w:rPr>
                <w:sz w:val="18"/>
                <w:szCs w:val="18"/>
                <w:color w:val="auto"/>
              </w:rPr>
            </w:pPr>
          </w:p>
        </w:tc>
        <w:tc>
          <w:tcPr>
            <w:tcW w:w="194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29% - 95%</w:t>
            </w:r>
          </w:p>
        </w:tc>
      </w:tr>
      <w:tr>
        <w:trPr>
          <w:trHeight w:val="179"/>
        </w:trPr>
        <w:tc>
          <w:tcPr>
            <w:tcW w:w="6180" w:type="dxa"/>
            <w:vAlign w:val="bottom"/>
          </w:tcPr>
          <w:p>
            <w:pPr>
              <w:spacing w:after="0"/>
              <w:rPr>
                <w:sz w:val="20"/>
                <w:szCs w:val="20"/>
                <w:color w:val="auto"/>
              </w:rPr>
            </w:pPr>
            <w:r>
              <w:rPr>
                <w:rFonts w:ascii="Arial" w:cs="Arial" w:eastAsia="Arial" w:hAnsi="Arial"/>
                <w:sz w:val="15"/>
                <w:szCs w:val="15"/>
                <w:color w:val="231F20"/>
              </w:rPr>
              <w:t>_____________________________</w:t>
            </w: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tcPr>
          <w:p>
            <w:pPr>
              <w:spacing w:after="0"/>
              <w:rPr>
                <w:sz w:val="15"/>
                <w:szCs w:val="15"/>
                <w:color w:val="auto"/>
              </w:rPr>
            </w:pPr>
          </w:p>
        </w:tc>
      </w:tr>
    </w:tbl>
    <w:p>
      <w:pPr>
        <w:ind w:left="20" w:right="520"/>
        <w:spacing w:after="0" w:line="258" w:lineRule="auto"/>
        <w:tabs>
          <w:tab w:leader="none" w:pos="121" w:val="left"/>
        </w:tabs>
        <w:numPr>
          <w:ilvl w:val="0"/>
          <w:numId w:val="54"/>
        </w:numPr>
        <w:rPr>
          <w:rFonts w:ascii="Arial" w:cs="Arial" w:eastAsia="Arial" w:hAnsi="Arial"/>
          <w:sz w:val="15"/>
          <w:szCs w:val="15"/>
          <w:color w:val="231F20"/>
        </w:rPr>
      </w:pPr>
      <w:r>
        <w:rPr>
          <w:rFonts w:ascii="Arial" w:cs="Arial" w:eastAsia="Arial" w:hAnsi="Arial"/>
          <w:sz w:val="15"/>
          <w:szCs w:val="15"/>
          <w:color w:val="231F20"/>
        </w:rPr>
        <w:t>Probability of successful achievement was set at different targets based on the Company’s estimates on achieving them. The weighted average probability of successful achievement as of December 31, 2024 was 42.3%.</w:t>
      </w:r>
    </w:p>
    <w:p>
      <w:pPr>
        <w:spacing w:after="0" w:line="143" w:lineRule="exact"/>
        <w:rPr>
          <w:sz w:val="20"/>
          <w:szCs w:val="20"/>
          <w:color w:val="auto"/>
        </w:rPr>
      </w:pPr>
    </w:p>
    <w:p>
      <w:pPr>
        <w:ind w:left="20" w:right="220" w:firstLine="463"/>
        <w:spacing w:after="0" w:line="251" w:lineRule="auto"/>
        <w:rPr>
          <w:sz w:val="20"/>
          <w:szCs w:val="20"/>
          <w:color w:val="auto"/>
        </w:rPr>
      </w:pPr>
      <w:r>
        <w:rPr>
          <w:rFonts w:ascii="Arial" w:cs="Arial" w:eastAsia="Arial" w:hAnsi="Arial"/>
          <w:sz w:val="19"/>
          <w:szCs w:val="19"/>
          <w:color w:val="231F20"/>
        </w:rPr>
        <w:t>Increases or decreases in the discount rate would result in a lower or higher fair value measurement, respectively. Increases or decreases in any of the probabilities of success in which the revenue, volume, cross-selling and the engineering implementation milestones are expected to be achieved would result in higher or lower fair value measurement, respectively.</w:t>
      </w:r>
    </w:p>
    <w:p>
      <w:pPr>
        <w:spacing w:after="0" w:line="144" w:lineRule="exact"/>
        <w:rPr>
          <w:sz w:val="20"/>
          <w:szCs w:val="20"/>
          <w:color w:val="auto"/>
        </w:rPr>
      </w:pPr>
    </w:p>
    <w:p>
      <w:pPr>
        <w:ind w:left="20" w:right="540" w:firstLine="463"/>
        <w:spacing w:after="0" w:line="278" w:lineRule="auto"/>
        <w:rPr>
          <w:sz w:val="20"/>
          <w:szCs w:val="20"/>
          <w:color w:val="auto"/>
        </w:rPr>
      </w:pPr>
      <w:r>
        <w:rPr>
          <w:rFonts w:ascii="Arial" w:cs="Arial" w:eastAsia="Arial" w:hAnsi="Arial"/>
          <w:sz w:val="19"/>
          <w:szCs w:val="19"/>
          <w:color w:val="231F20"/>
        </w:rPr>
        <w:t>The following table summarizes the changes in the carrying value of the contingent consideration for the years ended December 31, 2024, 2023 and 2022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420" w:type="dxa"/>
            <w:vAlign w:val="bottom"/>
            <w:tcBorders>
              <w:bottom w:val="single" w:sz="8" w:color="FDFDFC"/>
            </w:tcBorders>
            <w:shd w:val="clear" w:color="auto" w:fill="FDFDFC"/>
          </w:tcPr>
          <w:p>
            <w:pPr>
              <w:spacing w:after="0"/>
              <w:rPr>
                <w:sz w:val="16"/>
                <w:szCs w:val="16"/>
                <w:color w:val="auto"/>
              </w:rPr>
            </w:pPr>
          </w:p>
        </w:tc>
        <w:tc>
          <w:tcPr>
            <w:tcW w:w="2440" w:type="dxa"/>
            <w:vAlign w:val="bottom"/>
            <w:tcBorders>
              <w:bottom w:val="single" w:sz="8" w:color="FDFDFC"/>
            </w:tcBorders>
            <w:shd w:val="clear" w:color="auto" w:fill="FDFDFC"/>
          </w:tcPr>
          <w:p>
            <w:pPr>
              <w:spacing w:after="0"/>
              <w:rPr>
                <w:sz w:val="16"/>
                <w:szCs w:val="16"/>
                <w:color w:val="auto"/>
              </w:rPr>
            </w:pPr>
          </w:p>
        </w:tc>
        <w:tc>
          <w:tcPr>
            <w:tcW w:w="140" w:type="dxa"/>
            <w:vAlign w:val="bottom"/>
            <w:tcBorders>
              <w:bottom w:val="single" w:sz="8" w:color="FDFDFC"/>
            </w:tcBorders>
            <w:shd w:val="clear" w:color="auto" w:fill="FDFDFC"/>
          </w:tcPr>
          <w:p>
            <w:pPr>
              <w:spacing w:after="0"/>
              <w:rPr>
                <w:sz w:val="16"/>
                <w:szCs w:val="16"/>
                <w:color w:val="auto"/>
              </w:rPr>
            </w:pPr>
          </w:p>
        </w:tc>
        <w:tc>
          <w:tcPr>
            <w:tcW w:w="280" w:type="dxa"/>
            <w:vAlign w:val="bottom"/>
            <w:tcBorders>
              <w:bottom w:val="single" w:sz="8" w:color="231F20"/>
            </w:tcBorders>
            <w:shd w:val="clear" w:color="auto" w:fill="FDFDFC"/>
          </w:tcPr>
          <w:p>
            <w:pPr>
              <w:spacing w:after="0"/>
              <w:rPr>
                <w:sz w:val="16"/>
                <w:szCs w:val="16"/>
                <w:color w:val="auto"/>
              </w:rPr>
            </w:pPr>
          </w:p>
        </w:tc>
        <w:tc>
          <w:tcPr>
            <w:tcW w:w="2880" w:type="dxa"/>
            <w:vAlign w:val="bottom"/>
            <w:tcBorders>
              <w:bottom w:val="single" w:sz="8" w:color="231F20"/>
            </w:tcBorders>
            <w:gridSpan w:val="8"/>
            <w:shd w:val="clear" w:color="auto" w:fill="FDFDFC"/>
          </w:tcPr>
          <w:p>
            <w:pPr>
              <w:jc w:val="right"/>
              <w:ind w:right="86"/>
              <w:spacing w:after="0"/>
              <w:rPr>
                <w:sz w:val="20"/>
                <w:szCs w:val="20"/>
                <w:color w:val="auto"/>
              </w:rPr>
            </w:pPr>
            <w:r>
              <w:rPr>
                <w:rFonts w:ascii="Arial" w:cs="Arial" w:eastAsia="Arial" w:hAnsi="Arial"/>
                <w:sz w:val="15"/>
                <w:szCs w:val="15"/>
                <w:b w:val="1"/>
                <w:bCs w:val="1"/>
                <w:color w:val="231F20"/>
              </w:rPr>
              <w:t>Year Ended December 31,</w:t>
            </w:r>
          </w:p>
        </w:tc>
        <w:tc>
          <w:tcPr>
            <w:tcW w:w="9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420" w:type="dxa"/>
            <w:vAlign w:val="bottom"/>
            <w:tcBorders>
              <w:bottom w:val="single" w:sz="8" w:color="D0EBF2"/>
            </w:tcBorders>
            <w:shd w:val="clear" w:color="auto" w:fill="FDFDFC"/>
          </w:tcPr>
          <w:p>
            <w:pPr>
              <w:spacing w:after="0"/>
              <w:rPr>
                <w:sz w:val="15"/>
                <w:szCs w:val="15"/>
                <w:color w:val="auto"/>
              </w:rPr>
            </w:pPr>
          </w:p>
        </w:tc>
        <w:tc>
          <w:tcPr>
            <w:tcW w:w="244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80" w:type="dxa"/>
            <w:vAlign w:val="bottom"/>
            <w:tcBorders>
              <w:bottom w:val="single" w:sz="8" w:color="231F20"/>
            </w:tcBorders>
            <w:shd w:val="clear" w:color="auto" w:fill="FDFDFC"/>
          </w:tcPr>
          <w:p>
            <w:pPr>
              <w:spacing w:after="0"/>
              <w:rPr>
                <w:sz w:val="15"/>
                <w:szCs w:val="15"/>
                <w:color w:val="auto"/>
              </w:rPr>
            </w:pPr>
          </w:p>
        </w:tc>
        <w:tc>
          <w:tcPr>
            <w:tcW w:w="920" w:type="dxa"/>
            <w:vAlign w:val="bottom"/>
            <w:tcBorders>
              <w:bottom w:val="single" w:sz="8" w:color="231F20"/>
            </w:tcBorders>
            <w:shd w:val="clear" w:color="auto" w:fill="FDFDFC"/>
          </w:tcPr>
          <w:p>
            <w:pPr>
              <w:jc w:val="right"/>
              <w:ind w:right="330"/>
              <w:spacing w:after="0"/>
              <w:rPr>
                <w:sz w:val="20"/>
                <w:szCs w:val="20"/>
                <w:color w:val="auto"/>
              </w:rPr>
            </w:pPr>
            <w:r>
              <w:rPr>
                <w:rFonts w:ascii="Arial" w:cs="Arial" w:eastAsia="Arial" w:hAnsi="Arial"/>
                <w:sz w:val="15"/>
                <w:szCs w:val="15"/>
                <w:b w:val="1"/>
                <w:bCs w:val="1"/>
                <w:color w:val="231F20"/>
              </w:rPr>
              <w:t>2024</w:t>
            </w:r>
          </w:p>
        </w:tc>
        <w:tc>
          <w:tcPr>
            <w:tcW w:w="12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48"/>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48"/>
              <w:spacing w:after="0"/>
              <w:rPr>
                <w:sz w:val="20"/>
                <w:szCs w:val="20"/>
                <w:color w:val="auto"/>
              </w:rPr>
            </w:pPr>
            <w:r>
              <w:rPr>
                <w:rFonts w:ascii="Arial" w:cs="Arial" w:eastAsia="Arial" w:hAnsi="Arial"/>
                <w:sz w:val="15"/>
                <w:szCs w:val="15"/>
                <w:b w:val="1"/>
                <w:bCs w:val="1"/>
                <w:color w:val="231F20"/>
              </w:rPr>
              <w:t>2022</w:t>
            </w:r>
          </w:p>
        </w:tc>
        <w:tc>
          <w:tcPr>
            <w:tcW w:w="100" w:type="dxa"/>
            <w:vAlign w:val="bottom"/>
            <w:tcBorders>
              <w:bottom w:val="single" w:sz="8" w:color="D0EBF2"/>
            </w:tcBorders>
            <w:shd w:val="clear" w:color="auto" w:fill="FDFDFC"/>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586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Beginning balance</w:t>
            </w:r>
          </w:p>
        </w:tc>
        <w:tc>
          <w:tcPr>
            <w:tcW w:w="140" w:type="dxa"/>
            <w:vAlign w:val="bottom"/>
            <w:shd w:val="clear" w:color="auto" w:fill="D0EBF2"/>
          </w:tcPr>
          <w:p>
            <w:pPr>
              <w:spacing w:after="0"/>
              <w:rPr>
                <w:sz w:val="19"/>
                <w:szCs w:val="19"/>
                <w:color w:val="auto"/>
              </w:rPr>
            </w:pPr>
          </w:p>
        </w:tc>
        <w:tc>
          <w:tcPr>
            <w:tcW w:w="28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2,882</w:t>
            </w:r>
          </w:p>
        </w:tc>
        <w:tc>
          <w:tcPr>
            <w:tcW w:w="12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1,332</w:t>
            </w:r>
          </w:p>
        </w:tc>
        <w:tc>
          <w:tcPr>
            <w:tcW w:w="1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11,309</w:t>
            </w:r>
          </w:p>
        </w:tc>
        <w:tc>
          <w:tcPr>
            <w:tcW w:w="100" w:type="dxa"/>
            <w:vAlign w:val="bottom"/>
            <w:shd w:val="clear" w:color="auto" w:fill="D0EBF2"/>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FDFDFC"/>
          </w:tcPr>
          <w:p>
            <w:pPr>
              <w:spacing w:after="0"/>
              <w:rPr>
                <w:sz w:val="20"/>
                <w:szCs w:val="20"/>
                <w:color w:val="auto"/>
              </w:rPr>
            </w:pPr>
            <w:r>
              <w:rPr>
                <w:rFonts w:ascii="Arial" w:cs="Arial" w:eastAsia="Arial" w:hAnsi="Arial"/>
                <w:sz w:val="19"/>
                <w:szCs w:val="19"/>
                <w:color w:val="231F20"/>
              </w:rPr>
              <w:t>Additions</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9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4,508</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2,703</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1,695</w:t>
            </w:r>
          </w:p>
        </w:tc>
        <w:tc>
          <w:tcPr>
            <w:tcW w:w="100" w:type="dxa"/>
            <w:vAlign w:val="bottom"/>
            <w:shd w:val="clear" w:color="auto" w:fill="FDFDFC"/>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Change in fair value</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(978)</w:t>
            </w: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380</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(2,805)</w:t>
            </w: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FDFDFC"/>
          </w:tcPr>
          <w:p>
            <w:pPr>
              <w:spacing w:after="0"/>
              <w:rPr>
                <w:sz w:val="20"/>
                <w:szCs w:val="20"/>
                <w:color w:val="auto"/>
              </w:rPr>
            </w:pPr>
            <w:r>
              <w:rPr>
                <w:rFonts w:ascii="Arial" w:cs="Arial" w:eastAsia="Arial" w:hAnsi="Arial"/>
                <w:sz w:val="19"/>
                <w:szCs w:val="19"/>
                <w:color w:val="231F20"/>
              </w:rPr>
              <w:t>Contingent consideration paid*</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(1,125)</w:t>
            </w: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(1,674)</w:t>
            </w: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(8,664)</w:t>
            </w: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Foreign currency translation adjustment</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(193)</w:t>
            </w: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141</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(203)</w:t>
            </w:r>
          </w:p>
        </w:tc>
      </w:tr>
      <w:tr>
        <w:trPr>
          <w:trHeight w:val="220"/>
        </w:trPr>
        <w:tc>
          <w:tcPr>
            <w:tcW w:w="20" w:type="dxa"/>
            <w:vAlign w:val="bottom"/>
          </w:tcPr>
          <w:p>
            <w:pPr>
              <w:spacing w:after="0"/>
              <w:rPr>
                <w:sz w:val="19"/>
                <w:szCs w:val="19"/>
                <w:color w:val="auto"/>
              </w:rPr>
            </w:pPr>
          </w:p>
        </w:tc>
        <w:tc>
          <w:tcPr>
            <w:tcW w:w="5860" w:type="dxa"/>
            <w:vAlign w:val="bottom"/>
            <w:tcBorders>
              <w:top w:val="single" w:sz="8" w:color="FDFDFC"/>
            </w:tcBorders>
            <w:gridSpan w:val="2"/>
            <w:shd w:val="clear" w:color="auto" w:fill="FDFDFC"/>
          </w:tcPr>
          <w:p>
            <w:pPr>
              <w:spacing w:after="0"/>
              <w:rPr>
                <w:sz w:val="20"/>
                <w:szCs w:val="20"/>
                <w:color w:val="auto"/>
              </w:rPr>
            </w:pPr>
            <w:r>
              <w:rPr>
                <w:rFonts w:ascii="Arial" w:cs="Arial" w:eastAsia="Arial" w:hAnsi="Arial"/>
                <w:sz w:val="19"/>
                <w:szCs w:val="19"/>
                <w:color w:val="231F20"/>
              </w:rPr>
              <w:t>Ending balance</w:t>
            </w:r>
          </w:p>
        </w:tc>
        <w:tc>
          <w:tcPr>
            <w:tcW w:w="140" w:type="dxa"/>
            <w:vAlign w:val="bottom"/>
            <w:tcBorders>
              <w:top w:val="single" w:sz="8" w:color="FDFDFC"/>
            </w:tcBorders>
            <w:shd w:val="clear" w:color="auto" w:fill="FDFDFC"/>
          </w:tcPr>
          <w:p>
            <w:pPr>
              <w:spacing w:after="0"/>
              <w:rPr>
                <w:sz w:val="19"/>
                <w:szCs w:val="19"/>
                <w:color w:val="auto"/>
              </w:rPr>
            </w:pPr>
          </w:p>
        </w:tc>
        <w:tc>
          <w:tcPr>
            <w:tcW w:w="280" w:type="dxa"/>
            <w:vAlign w:val="bottom"/>
            <w:tcBorders>
              <w:top w:val="single" w:sz="8" w:color="231F20"/>
              <w:bottom w:val="single" w:sz="8" w:color="231F20"/>
            </w:tcBorders>
            <w:shd w:val="clear" w:color="auto" w:fill="FDFDFC"/>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5,094</w:t>
            </w:r>
          </w:p>
        </w:tc>
        <w:tc>
          <w:tcPr>
            <w:tcW w:w="120" w:type="dxa"/>
            <w:vAlign w:val="bottom"/>
            <w:tcBorders>
              <w:top w:val="single" w:sz="8" w:color="FDFDFC"/>
            </w:tcBorders>
            <w:shd w:val="clear" w:color="auto" w:fill="FDFDFC"/>
          </w:tcPr>
          <w:p>
            <w:pPr>
              <w:spacing w:after="0"/>
              <w:rPr>
                <w:sz w:val="19"/>
                <w:szCs w:val="19"/>
                <w:color w:val="auto"/>
              </w:rPr>
            </w:pPr>
          </w:p>
        </w:tc>
        <w:tc>
          <w:tcPr>
            <w:tcW w:w="140" w:type="dxa"/>
            <w:vAlign w:val="bottom"/>
            <w:tcBorders>
              <w:top w:val="single" w:sz="8" w:color="FDFDFC"/>
            </w:tcBorders>
            <w:shd w:val="clear" w:color="auto" w:fill="FDFDFC"/>
          </w:tcPr>
          <w:p>
            <w:pPr>
              <w:spacing w:after="0"/>
              <w:rPr>
                <w:sz w:val="19"/>
                <w:szCs w:val="19"/>
                <w:color w:val="auto"/>
              </w:rPr>
            </w:pPr>
          </w:p>
        </w:tc>
        <w:tc>
          <w:tcPr>
            <w:tcW w:w="260" w:type="dxa"/>
            <w:vAlign w:val="bottom"/>
            <w:tcBorders>
              <w:top w:val="single" w:sz="8" w:color="231F20"/>
              <w:bottom w:val="single" w:sz="8" w:color="231F20"/>
            </w:tcBorders>
            <w:shd w:val="clear" w:color="auto" w:fill="FDFDFC"/>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2,882</w:t>
            </w:r>
          </w:p>
        </w:tc>
        <w:tc>
          <w:tcPr>
            <w:tcW w:w="100" w:type="dxa"/>
            <w:vAlign w:val="bottom"/>
            <w:tcBorders>
              <w:top w:val="single" w:sz="8" w:color="FDFDFC"/>
            </w:tcBorders>
            <w:shd w:val="clear" w:color="auto" w:fill="FDFDFC"/>
          </w:tcPr>
          <w:p>
            <w:pPr>
              <w:spacing w:after="0"/>
              <w:rPr>
                <w:sz w:val="19"/>
                <w:szCs w:val="19"/>
                <w:color w:val="auto"/>
              </w:rPr>
            </w:pPr>
          </w:p>
        </w:tc>
        <w:tc>
          <w:tcPr>
            <w:tcW w:w="140" w:type="dxa"/>
            <w:vAlign w:val="bottom"/>
            <w:tcBorders>
              <w:top w:val="single" w:sz="8" w:color="FDFDFC"/>
            </w:tcBorders>
            <w:shd w:val="clear" w:color="auto" w:fill="FDFDFC"/>
          </w:tcPr>
          <w:p>
            <w:pPr>
              <w:spacing w:after="0"/>
              <w:rPr>
                <w:sz w:val="19"/>
                <w:szCs w:val="19"/>
                <w:color w:val="auto"/>
              </w:rPr>
            </w:pPr>
          </w:p>
        </w:tc>
        <w:tc>
          <w:tcPr>
            <w:tcW w:w="260" w:type="dxa"/>
            <w:vAlign w:val="bottom"/>
            <w:tcBorders>
              <w:top w:val="single" w:sz="8" w:color="231F20"/>
              <w:bottom w:val="single" w:sz="8" w:color="231F20"/>
            </w:tcBorders>
            <w:shd w:val="clear" w:color="auto" w:fill="FDFDFC"/>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1,332</w:t>
            </w:r>
          </w:p>
        </w:tc>
        <w:tc>
          <w:tcPr>
            <w:tcW w:w="100" w:type="dxa"/>
            <w:vAlign w:val="bottom"/>
            <w:tcBorders>
              <w:top w:val="single" w:sz="8" w:color="FDFDFC"/>
            </w:tcBorders>
            <w:shd w:val="clear" w:color="auto" w:fill="FDFD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20" w:type="dxa"/>
            <w:vAlign w:val="bottom"/>
            <w:tcBorders>
              <w:bottom w:val="single" w:sz="8" w:color="231F20"/>
            </w:tcBorders>
          </w:tcPr>
          <w:p>
            <w:pPr>
              <w:spacing w:after="0"/>
              <w:rPr>
                <w:sz w:val="11"/>
                <w:szCs w:val="11"/>
                <w:color w:val="auto"/>
              </w:rPr>
            </w:pPr>
          </w:p>
        </w:tc>
        <w:tc>
          <w:tcPr>
            <w:tcW w:w="3420" w:type="dxa"/>
            <w:vAlign w:val="bottom"/>
            <w:tcBorders>
              <w:bottom w:val="single" w:sz="8" w:color="231F20"/>
            </w:tcBorders>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42" w:lineRule="exact"/>
        <w:rPr>
          <w:sz w:val="20"/>
          <w:szCs w:val="20"/>
          <w:color w:val="auto"/>
        </w:rPr>
      </w:pPr>
    </w:p>
    <w:p>
      <w:pPr>
        <w:ind w:left="120" w:right="100" w:firstLine="9"/>
        <w:spacing w:after="0" w:line="248" w:lineRule="auto"/>
        <w:tabs>
          <w:tab w:leader="none" w:pos="221" w:val="left"/>
        </w:tabs>
        <w:numPr>
          <w:ilvl w:val="0"/>
          <w:numId w:val="55"/>
        </w:numPr>
        <w:rPr>
          <w:rFonts w:ascii="Arial" w:cs="Arial" w:eastAsia="Arial" w:hAnsi="Arial"/>
          <w:sz w:val="15"/>
          <w:szCs w:val="15"/>
          <w:color w:val="231F20"/>
        </w:rPr>
      </w:pPr>
      <w:r>
        <w:rPr>
          <w:rFonts w:ascii="Arial" w:cs="Arial" w:eastAsia="Arial" w:hAnsi="Arial"/>
          <w:sz w:val="15"/>
          <w:szCs w:val="15"/>
          <w:color w:val="231F20"/>
        </w:rPr>
        <w:t>For the years ended December 31, 2024 and 2023, contingent consideration paid has been bifurcated between the financing and operating sections of the consolidated statement of cash flows. Amounts paid up to the fair value initially recorded in purchase accounting is reported in the financing section of the consolidated statement of cash flows, while any excess is reported in the operating section of the consolidated statement of cash flows. For the year ended December 31, 2022, contingent consideration paid has been bifurcated among the investing, financing and operating sections of the consolidated statement of cash flows. Contingent consideration paid within three months after the acquisition date of Cohort Go is reported in the investing section of the consolidated statement of cash flows given the proximity to the acquisition date. Amounts paid up to the fair value initially recorded in purchase accounting is reported in the financing section of the consolidated statement of cash flows, while any excess is reported in the operating section of the consolidated statement of cash flows.</w:t>
      </w:r>
    </w:p>
    <w:p>
      <w:pPr>
        <w:sectPr>
          <w:pgSz w:w="12240" w:h="15840" w:orient="portrait"/>
          <w:cols w:equalWidth="0" w:num="1">
            <w:col w:w="10220"/>
          </w:cols>
          <w:pgMar w:left="100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131</w:t>
      </w:r>
    </w:p>
    <w:p>
      <w:pPr>
        <w:sectPr>
          <w:pgSz w:w="12240" w:h="15840" w:orient="portrait"/>
          <w:cols w:equalWidth="0" w:num="1">
            <w:col w:w="10220"/>
          </w:cols>
          <w:pgMar w:left="1000" w:top="1440" w:right="1020" w:bottom="572" w:gutter="0" w:footer="0" w:header="0"/>
          <w:type w:val="continuous"/>
        </w:sectPr>
      </w:pPr>
    </w:p>
    <w:bookmarkStart w:id="132" w:name="page133"/>
    <w:bookmarkEnd w:id="132"/>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231F20"/>
        </w:rPr>
        <w:t>Note 6. Derivative Instruments</w:t>
      </w:r>
    </w:p>
    <w:p>
      <w:pPr>
        <w:spacing w:after="0" w:line="192" w:lineRule="exact"/>
        <w:rPr>
          <w:sz w:val="20"/>
          <w:szCs w:val="20"/>
          <w:color w:val="auto"/>
        </w:rPr>
      </w:pPr>
    </w:p>
    <w:p>
      <w:pPr>
        <w:ind w:left="20" w:right="20" w:firstLine="463"/>
        <w:spacing w:after="0" w:line="243" w:lineRule="auto"/>
        <w:rPr>
          <w:sz w:val="20"/>
          <w:szCs w:val="20"/>
          <w:color w:val="auto"/>
        </w:rPr>
      </w:pPr>
      <w:r>
        <w:rPr>
          <w:rFonts w:ascii="Arial" w:cs="Arial" w:eastAsia="Arial" w:hAnsi="Arial"/>
          <w:sz w:val="19"/>
          <w:szCs w:val="19"/>
          <w:color w:val="231F20"/>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December 31, 2024 and 2023, the Company had 18,858 and 12,737 open foreign exchange contracts, respectively. As of December 31, 2024 and 2023, the Company had foreign currency forward contracts outstanding with a notional amount of $43.3 million and $36.1 million, respectively.</w:t>
      </w:r>
    </w:p>
    <w:p>
      <w:pPr>
        <w:spacing w:after="0" w:line="153" w:lineRule="exact"/>
        <w:rPr>
          <w:sz w:val="20"/>
          <w:szCs w:val="20"/>
          <w:color w:val="auto"/>
        </w:rPr>
      </w:pPr>
    </w:p>
    <w:p>
      <w:pPr>
        <w:ind w:left="20" w:right="20" w:firstLine="463"/>
        <w:spacing w:after="0" w:line="248" w:lineRule="auto"/>
        <w:rPr>
          <w:sz w:val="20"/>
          <w:szCs w:val="20"/>
          <w:color w:val="auto"/>
        </w:rPr>
      </w:pPr>
      <w:r>
        <w:rPr>
          <w:rFonts w:ascii="Arial" w:cs="Arial" w:eastAsia="Arial" w:hAnsi="Arial"/>
          <w:sz w:val="19"/>
          <w:szCs w:val="19"/>
          <w:color w:val="231F20"/>
        </w:rPr>
        <w:t>The Company records all derivative instruments in the consolidated balance sheets at their fair values. For the years ended December 31, 2024 and 2023, the Company recorded an asset of less than $0.1 million, respectively, related to outstanding foreign exchange contracts. The Company recognized a loss of $1.7 million, $2.0 million and $1.6 million during the years ended December 31, 2024, 2023 and 2022, respectively, which was included in the general and administrative line within the consolidated statements of operations and comprehensive loss.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231F20"/>
        </w:rPr>
        <w:t>Note 7. Accrued Expenses and Other Current Liabilities</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9"/>
          <w:szCs w:val="19"/>
          <w:color w:val="231F20"/>
        </w:rPr>
        <w:t>Accrued expenses and other current liabilities consisted of the following as of the dates presented (in thousands):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84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320" w:type="dxa"/>
            <w:vAlign w:val="bottom"/>
            <w:shd w:val="clear" w:color="auto" w:fill="FDFDFC"/>
          </w:tcPr>
          <w:p>
            <w:pPr>
              <w:spacing w:after="0"/>
              <w:rPr>
                <w:sz w:val="16"/>
                <w:szCs w:val="16"/>
                <w:color w:val="auto"/>
              </w:rPr>
            </w:pPr>
          </w:p>
        </w:tc>
        <w:tc>
          <w:tcPr>
            <w:tcW w:w="2880" w:type="dxa"/>
            <w:vAlign w:val="bottom"/>
            <w:gridSpan w:val="5"/>
            <w:shd w:val="clear" w:color="auto" w:fill="FDFDFC"/>
          </w:tcPr>
          <w:p>
            <w:pPr>
              <w:ind w:left="300"/>
              <w:spacing w:after="0"/>
              <w:rPr>
                <w:sz w:val="20"/>
                <w:szCs w:val="20"/>
                <w:color w:val="auto"/>
              </w:rPr>
            </w:pPr>
            <w:r>
              <w:rPr>
                <w:rFonts w:ascii="Arial" w:cs="Arial" w:eastAsia="Arial" w:hAnsi="Arial"/>
                <w:sz w:val="15"/>
                <w:szCs w:val="15"/>
                <w:b w:val="1"/>
                <w:bCs w:val="1"/>
                <w:color w:val="231F20"/>
              </w:rPr>
              <w:t>Year Ended December 31,</w:t>
            </w:r>
          </w:p>
        </w:tc>
      </w:tr>
      <w:tr>
        <w:trPr>
          <w:trHeight w:val="176"/>
        </w:trPr>
        <w:tc>
          <w:tcPr>
            <w:tcW w:w="6840" w:type="dxa"/>
            <w:vAlign w:val="bottom"/>
            <w:tcBorders>
              <w:top w:val="single" w:sz="8" w:color="FDFDFC"/>
              <w:bottom w:val="single" w:sz="8" w:color="D0EBF2"/>
            </w:tcBorders>
            <w:shd w:val="clear" w:color="auto" w:fill="FDFDFC"/>
          </w:tcPr>
          <w:p>
            <w:pPr>
              <w:spacing w:after="0"/>
              <w:rPr>
                <w:sz w:val="15"/>
                <w:szCs w:val="15"/>
                <w:color w:val="auto"/>
              </w:rPr>
            </w:pPr>
          </w:p>
        </w:tc>
        <w:tc>
          <w:tcPr>
            <w:tcW w:w="160" w:type="dxa"/>
            <w:vAlign w:val="bottom"/>
            <w:tcBorders>
              <w:top w:val="single" w:sz="8" w:color="FDFDFC"/>
              <w:bottom w:val="single" w:sz="8" w:color="D0EBF2"/>
            </w:tcBorders>
            <w:shd w:val="clear" w:color="auto" w:fill="FDFDFC"/>
          </w:tcPr>
          <w:p>
            <w:pPr>
              <w:spacing w:after="0"/>
              <w:rPr>
                <w:sz w:val="15"/>
                <w:szCs w:val="15"/>
                <w:color w:val="auto"/>
              </w:rPr>
            </w:pPr>
          </w:p>
        </w:tc>
        <w:tc>
          <w:tcPr>
            <w:tcW w:w="320" w:type="dxa"/>
            <w:vAlign w:val="bottom"/>
            <w:tcBorders>
              <w:top w:val="single" w:sz="8" w:color="231F20"/>
              <w:bottom w:val="single" w:sz="8" w:color="231F20"/>
            </w:tcBorders>
            <w:shd w:val="clear" w:color="auto" w:fill="FDFDFC"/>
          </w:tcPr>
          <w:p>
            <w:pPr>
              <w:spacing w:after="0"/>
              <w:rPr>
                <w:sz w:val="15"/>
                <w:szCs w:val="15"/>
                <w:color w:val="auto"/>
              </w:rPr>
            </w:pPr>
          </w:p>
        </w:tc>
        <w:tc>
          <w:tcPr>
            <w:tcW w:w="1100" w:type="dxa"/>
            <w:vAlign w:val="bottom"/>
            <w:tcBorders>
              <w:top w:val="single" w:sz="8" w:color="231F20"/>
              <w:bottom w:val="single" w:sz="8" w:color="231F20"/>
            </w:tcBorders>
            <w:shd w:val="clear" w:color="auto" w:fill="FDFDFC"/>
          </w:tcPr>
          <w:p>
            <w:pPr>
              <w:jc w:val="right"/>
              <w:ind w:right="469"/>
              <w:spacing w:after="0"/>
              <w:rPr>
                <w:sz w:val="20"/>
                <w:szCs w:val="20"/>
                <w:color w:val="auto"/>
              </w:rPr>
            </w:pPr>
            <w:r>
              <w:rPr>
                <w:rFonts w:ascii="Arial" w:cs="Arial" w:eastAsia="Arial" w:hAnsi="Arial"/>
                <w:sz w:val="15"/>
                <w:szCs w:val="15"/>
                <w:b w:val="1"/>
                <w:bCs w:val="1"/>
                <w:color w:val="231F20"/>
              </w:rPr>
              <w:t>2024</w:t>
            </w:r>
          </w:p>
        </w:tc>
        <w:tc>
          <w:tcPr>
            <w:tcW w:w="260" w:type="dxa"/>
            <w:vAlign w:val="bottom"/>
            <w:tcBorders>
              <w:top w:val="single" w:sz="8" w:color="231F20"/>
              <w:bottom w:val="single" w:sz="8" w:color="D0EBF2"/>
            </w:tcBorders>
            <w:shd w:val="clear" w:color="auto" w:fill="FDFDFC"/>
          </w:tcPr>
          <w:p>
            <w:pPr>
              <w:spacing w:after="0"/>
              <w:rPr>
                <w:sz w:val="15"/>
                <w:szCs w:val="15"/>
                <w:color w:val="auto"/>
              </w:rPr>
            </w:pPr>
          </w:p>
        </w:tc>
        <w:tc>
          <w:tcPr>
            <w:tcW w:w="320" w:type="dxa"/>
            <w:vAlign w:val="bottom"/>
            <w:tcBorders>
              <w:top w:val="single" w:sz="8" w:color="231F20"/>
              <w:bottom w:val="single" w:sz="8" w:color="231F20"/>
            </w:tcBorders>
            <w:shd w:val="clear" w:color="auto" w:fill="FDFDFC"/>
          </w:tcPr>
          <w:p>
            <w:pPr>
              <w:spacing w:after="0"/>
              <w:rPr>
                <w:sz w:val="15"/>
                <w:szCs w:val="15"/>
                <w:color w:val="auto"/>
              </w:rPr>
            </w:pPr>
          </w:p>
        </w:tc>
        <w:tc>
          <w:tcPr>
            <w:tcW w:w="1100" w:type="dxa"/>
            <w:vAlign w:val="bottom"/>
            <w:tcBorders>
              <w:top w:val="single" w:sz="8" w:color="231F20"/>
              <w:bottom w:val="single" w:sz="8" w:color="231F20"/>
            </w:tcBorders>
            <w:shd w:val="clear" w:color="auto" w:fill="FDFDFC"/>
          </w:tcPr>
          <w:p>
            <w:pPr>
              <w:jc w:val="right"/>
              <w:ind w:right="448"/>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top w:val="single" w:sz="8" w:color="FDFDFC"/>
              <w:bottom w:val="single" w:sz="8" w:color="D0EBF2"/>
            </w:tcBorders>
            <w:shd w:val="clear" w:color="auto" w:fill="FDFDFC"/>
          </w:tcPr>
          <w:p>
            <w:pPr>
              <w:spacing w:after="0"/>
              <w:rPr>
                <w:sz w:val="15"/>
                <w:szCs w:val="15"/>
                <w:color w:val="auto"/>
              </w:rPr>
            </w:pPr>
          </w:p>
        </w:tc>
      </w:tr>
      <w:tr>
        <w:trPr>
          <w:trHeight w:val="220"/>
        </w:trPr>
        <w:tc>
          <w:tcPr>
            <w:tcW w:w="6840" w:type="dxa"/>
            <w:vAlign w:val="bottom"/>
            <w:shd w:val="clear" w:color="auto" w:fill="D0EBF2"/>
          </w:tcPr>
          <w:p>
            <w:pPr>
              <w:spacing w:after="0"/>
              <w:rPr>
                <w:sz w:val="20"/>
                <w:szCs w:val="20"/>
                <w:color w:val="auto"/>
              </w:rPr>
            </w:pPr>
            <w:r>
              <w:rPr>
                <w:rFonts w:ascii="Arial" w:cs="Arial" w:eastAsia="Arial" w:hAnsi="Arial"/>
                <w:sz w:val="19"/>
                <w:szCs w:val="19"/>
                <w:color w:val="231F20"/>
              </w:rPr>
              <w:t>Accrued employee compensation and related taxes</w:t>
            </w:r>
          </w:p>
        </w:tc>
        <w:tc>
          <w:tcPr>
            <w:tcW w:w="160" w:type="dxa"/>
            <w:vAlign w:val="bottom"/>
            <w:shd w:val="clear" w:color="auto" w:fill="D0EBF2"/>
          </w:tcPr>
          <w:p>
            <w:pPr>
              <w:spacing w:after="0"/>
              <w:rPr>
                <w:sz w:val="19"/>
                <w:szCs w:val="19"/>
                <w:color w:val="auto"/>
              </w:rPr>
            </w:pPr>
          </w:p>
        </w:tc>
        <w:tc>
          <w:tcPr>
            <w:tcW w:w="320" w:type="dxa"/>
            <w:vAlign w:val="bottom"/>
            <w:shd w:val="clear" w:color="auto" w:fill="D0EBF2"/>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17,950</w:t>
            </w:r>
          </w:p>
        </w:tc>
        <w:tc>
          <w:tcPr>
            <w:tcW w:w="260" w:type="dxa"/>
            <w:vAlign w:val="bottom"/>
            <w:shd w:val="clear" w:color="auto" w:fill="D0EBF2"/>
          </w:tcPr>
          <w:p>
            <w:pPr>
              <w:spacing w:after="0"/>
              <w:rPr>
                <w:sz w:val="19"/>
                <w:szCs w:val="19"/>
                <w:color w:val="auto"/>
              </w:rPr>
            </w:pPr>
          </w:p>
        </w:tc>
        <w:tc>
          <w:tcPr>
            <w:tcW w:w="320" w:type="dxa"/>
            <w:vAlign w:val="bottom"/>
            <w:shd w:val="clear" w:color="auto" w:fill="D0EBF2"/>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19,748</w:t>
            </w:r>
          </w:p>
        </w:tc>
        <w:tc>
          <w:tcPr>
            <w:tcW w:w="100" w:type="dxa"/>
            <w:vAlign w:val="bottom"/>
            <w:shd w:val="clear" w:color="auto" w:fill="D0EBF2"/>
          </w:tcPr>
          <w:p>
            <w:pPr>
              <w:spacing w:after="0"/>
              <w:rPr>
                <w:sz w:val="19"/>
                <w:szCs w:val="19"/>
                <w:color w:val="auto"/>
              </w:rPr>
            </w:pPr>
          </w:p>
        </w:tc>
      </w:tr>
      <w:tr>
        <w:trPr>
          <w:trHeight w:val="230"/>
        </w:trPr>
        <w:tc>
          <w:tcPr>
            <w:tcW w:w="6840" w:type="dxa"/>
            <w:vAlign w:val="bottom"/>
            <w:shd w:val="clear" w:color="auto" w:fill="FDFDFC"/>
          </w:tcPr>
          <w:p>
            <w:pPr>
              <w:spacing w:after="0"/>
              <w:rPr>
                <w:sz w:val="20"/>
                <w:szCs w:val="20"/>
                <w:color w:val="auto"/>
              </w:rPr>
            </w:pPr>
            <w:r>
              <w:rPr>
                <w:rFonts w:ascii="Arial" w:cs="Arial" w:eastAsia="Arial" w:hAnsi="Arial"/>
                <w:sz w:val="19"/>
                <w:szCs w:val="19"/>
                <w:color w:val="231F20"/>
              </w:rPr>
              <w:t>Accrued vendor liabilities</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3,992</w:t>
            </w:r>
          </w:p>
        </w:tc>
        <w:tc>
          <w:tcPr>
            <w:tcW w:w="2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4,193</w:t>
            </w:r>
          </w:p>
        </w:tc>
        <w:tc>
          <w:tcPr>
            <w:tcW w:w="100" w:type="dxa"/>
            <w:vAlign w:val="bottom"/>
            <w:shd w:val="clear" w:color="auto" w:fill="FDFDFC"/>
          </w:tcPr>
          <w:p>
            <w:pPr>
              <w:spacing w:after="0"/>
              <w:rPr>
                <w:sz w:val="20"/>
                <w:szCs w:val="20"/>
                <w:color w:val="auto"/>
              </w:rPr>
            </w:pPr>
          </w:p>
        </w:tc>
      </w:tr>
      <w:tr>
        <w:trPr>
          <w:trHeight w:val="230"/>
        </w:trPr>
        <w:tc>
          <w:tcPr>
            <w:tcW w:w="6840" w:type="dxa"/>
            <w:vAlign w:val="bottom"/>
            <w:shd w:val="clear" w:color="auto" w:fill="D0EBF2"/>
          </w:tcPr>
          <w:p>
            <w:pPr>
              <w:spacing w:after="0"/>
              <w:rPr>
                <w:sz w:val="20"/>
                <w:szCs w:val="20"/>
                <w:color w:val="auto"/>
              </w:rPr>
            </w:pPr>
            <w:r>
              <w:rPr>
                <w:rFonts w:ascii="Arial" w:cs="Arial" w:eastAsia="Arial" w:hAnsi="Arial"/>
                <w:sz w:val="19"/>
                <w:szCs w:val="19"/>
                <w:color w:val="231F20"/>
              </w:rPr>
              <w:t>Accrued income and other non-employee related taxes</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8,699</w:t>
            </w:r>
          </w:p>
        </w:tc>
        <w:tc>
          <w:tcPr>
            <w:tcW w:w="2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6,270</w:t>
            </w:r>
          </w:p>
        </w:tc>
        <w:tc>
          <w:tcPr>
            <w:tcW w:w="100" w:type="dxa"/>
            <w:vAlign w:val="bottom"/>
            <w:shd w:val="clear" w:color="auto" w:fill="D0EBF2"/>
          </w:tcPr>
          <w:p>
            <w:pPr>
              <w:spacing w:after="0"/>
              <w:rPr>
                <w:sz w:val="20"/>
                <w:szCs w:val="20"/>
                <w:color w:val="auto"/>
              </w:rPr>
            </w:pPr>
          </w:p>
        </w:tc>
      </w:tr>
      <w:tr>
        <w:trPr>
          <w:trHeight w:val="230"/>
        </w:trPr>
        <w:tc>
          <w:tcPr>
            <w:tcW w:w="6840" w:type="dxa"/>
            <w:vAlign w:val="bottom"/>
            <w:shd w:val="clear" w:color="auto" w:fill="FDFDFC"/>
          </w:tcPr>
          <w:p>
            <w:pPr>
              <w:spacing w:after="0"/>
              <w:rPr>
                <w:sz w:val="20"/>
                <w:szCs w:val="20"/>
                <w:color w:val="auto"/>
              </w:rPr>
            </w:pPr>
            <w:r>
              <w:rPr>
                <w:rFonts w:ascii="Arial" w:cs="Arial" w:eastAsia="Arial" w:hAnsi="Arial"/>
                <w:sz w:val="19"/>
                <w:szCs w:val="19"/>
                <w:color w:val="231F20"/>
              </w:rPr>
              <w:t>Accrued professional services</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1,879</w:t>
            </w:r>
          </w:p>
        </w:tc>
        <w:tc>
          <w:tcPr>
            <w:tcW w:w="2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2,139</w:t>
            </w:r>
          </w:p>
        </w:tc>
        <w:tc>
          <w:tcPr>
            <w:tcW w:w="100" w:type="dxa"/>
            <w:vAlign w:val="bottom"/>
            <w:shd w:val="clear" w:color="auto" w:fill="FDFDFC"/>
          </w:tcPr>
          <w:p>
            <w:pPr>
              <w:spacing w:after="0"/>
              <w:rPr>
                <w:sz w:val="20"/>
                <w:szCs w:val="20"/>
                <w:color w:val="auto"/>
              </w:rPr>
            </w:pPr>
          </w:p>
        </w:tc>
      </w:tr>
      <w:tr>
        <w:trPr>
          <w:trHeight w:val="230"/>
        </w:trPr>
        <w:tc>
          <w:tcPr>
            <w:tcW w:w="6840" w:type="dxa"/>
            <w:vAlign w:val="bottom"/>
            <w:shd w:val="clear" w:color="auto" w:fill="D0EBF2"/>
          </w:tcPr>
          <w:p>
            <w:pPr>
              <w:spacing w:after="0"/>
              <w:rPr>
                <w:sz w:val="20"/>
                <w:szCs w:val="20"/>
                <w:color w:val="auto"/>
              </w:rPr>
            </w:pPr>
            <w:r>
              <w:rPr>
                <w:rFonts w:ascii="Arial" w:cs="Arial" w:eastAsia="Arial" w:hAnsi="Arial"/>
                <w:sz w:val="19"/>
                <w:szCs w:val="19"/>
                <w:color w:val="231F20"/>
              </w:rPr>
              <w:t>Current portion of operating lease liabilities</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1,719</w:t>
            </w:r>
          </w:p>
        </w:tc>
        <w:tc>
          <w:tcPr>
            <w:tcW w:w="2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1,465</w:t>
            </w:r>
          </w:p>
        </w:tc>
        <w:tc>
          <w:tcPr>
            <w:tcW w:w="100" w:type="dxa"/>
            <w:vAlign w:val="bottom"/>
            <w:shd w:val="clear" w:color="auto" w:fill="D0EBF2"/>
          </w:tcPr>
          <w:p>
            <w:pPr>
              <w:spacing w:after="0"/>
              <w:rPr>
                <w:sz w:val="20"/>
                <w:szCs w:val="20"/>
                <w:color w:val="auto"/>
              </w:rPr>
            </w:pPr>
          </w:p>
        </w:tc>
      </w:tr>
      <w:tr>
        <w:trPr>
          <w:trHeight w:val="230"/>
        </w:trPr>
        <w:tc>
          <w:tcPr>
            <w:tcW w:w="6840" w:type="dxa"/>
            <w:vAlign w:val="bottom"/>
            <w:shd w:val="clear" w:color="auto" w:fill="FDFDFC"/>
          </w:tcPr>
          <w:p>
            <w:pPr>
              <w:spacing w:after="0"/>
              <w:rPr>
                <w:sz w:val="20"/>
                <w:szCs w:val="20"/>
                <w:color w:val="auto"/>
              </w:rPr>
            </w:pPr>
            <w:r>
              <w:rPr>
                <w:rFonts w:ascii="Arial" w:cs="Arial" w:eastAsia="Arial" w:hAnsi="Arial"/>
                <w:sz w:val="19"/>
                <w:szCs w:val="19"/>
                <w:color w:val="231F20"/>
              </w:rPr>
              <w:t>Current portion of contingent consideration</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4,113</w:t>
            </w:r>
          </w:p>
        </w:tc>
        <w:tc>
          <w:tcPr>
            <w:tcW w:w="2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2,053</w:t>
            </w:r>
          </w:p>
        </w:tc>
        <w:tc>
          <w:tcPr>
            <w:tcW w:w="100" w:type="dxa"/>
            <w:vAlign w:val="bottom"/>
            <w:shd w:val="clear" w:color="auto" w:fill="FDFDFC"/>
          </w:tcPr>
          <w:p>
            <w:pPr>
              <w:spacing w:after="0"/>
              <w:rPr>
                <w:sz w:val="20"/>
                <w:szCs w:val="20"/>
                <w:color w:val="auto"/>
              </w:rPr>
            </w:pPr>
          </w:p>
        </w:tc>
      </w:tr>
      <w:tr>
        <w:trPr>
          <w:trHeight w:val="230"/>
        </w:trPr>
        <w:tc>
          <w:tcPr>
            <w:tcW w:w="6840" w:type="dxa"/>
            <w:vAlign w:val="bottom"/>
            <w:tcBorders>
              <w:bottom w:val="single" w:sz="8" w:color="FDFDFC"/>
            </w:tcBorders>
            <w:shd w:val="clear" w:color="auto" w:fill="D0EBF2"/>
          </w:tcPr>
          <w:p>
            <w:pPr>
              <w:spacing w:after="0"/>
              <w:rPr>
                <w:sz w:val="20"/>
                <w:szCs w:val="20"/>
                <w:color w:val="auto"/>
              </w:rPr>
            </w:pPr>
            <w:r>
              <w:rPr>
                <w:rFonts w:ascii="Arial" w:cs="Arial" w:eastAsia="Arial" w:hAnsi="Arial"/>
                <w:sz w:val="19"/>
                <w:szCs w:val="19"/>
                <w:color w:val="231F20"/>
              </w:rPr>
              <w:t>Other accrued expenses and current liabilities</w:t>
            </w:r>
          </w:p>
        </w:tc>
        <w:tc>
          <w:tcPr>
            <w:tcW w:w="160" w:type="dxa"/>
            <w:vAlign w:val="bottom"/>
            <w:tcBorders>
              <w:bottom w:val="single" w:sz="8" w:color="FDFDFC"/>
            </w:tcBorders>
            <w:shd w:val="clear" w:color="auto" w:fill="D0EBF2"/>
          </w:tcPr>
          <w:p>
            <w:pPr>
              <w:spacing w:after="0"/>
              <w:rPr>
                <w:sz w:val="20"/>
                <w:szCs w:val="20"/>
                <w:color w:val="auto"/>
              </w:rPr>
            </w:pPr>
          </w:p>
        </w:tc>
        <w:tc>
          <w:tcPr>
            <w:tcW w:w="320" w:type="dxa"/>
            <w:vAlign w:val="bottom"/>
            <w:tcBorders>
              <w:bottom w:val="single" w:sz="8" w:color="231F20"/>
            </w:tcBorders>
            <w:shd w:val="clear" w:color="auto" w:fill="D0EBF2"/>
          </w:tcPr>
          <w:p>
            <w:pPr>
              <w:spacing w:after="0"/>
              <w:rPr>
                <w:sz w:val="20"/>
                <w:szCs w:val="20"/>
                <w:color w:val="auto"/>
              </w:rPr>
            </w:pPr>
          </w:p>
        </w:tc>
        <w:tc>
          <w:tcPr>
            <w:tcW w:w="110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10,945</w:t>
            </w:r>
          </w:p>
        </w:tc>
        <w:tc>
          <w:tcPr>
            <w:tcW w:w="260" w:type="dxa"/>
            <w:vAlign w:val="bottom"/>
            <w:tcBorders>
              <w:bottom w:val="single" w:sz="8" w:color="FDFDFC"/>
            </w:tcBorders>
            <w:shd w:val="clear" w:color="auto" w:fill="D0EBF2"/>
          </w:tcPr>
          <w:p>
            <w:pPr>
              <w:spacing w:after="0"/>
              <w:rPr>
                <w:sz w:val="20"/>
                <w:szCs w:val="20"/>
                <w:color w:val="auto"/>
              </w:rPr>
            </w:pPr>
          </w:p>
        </w:tc>
        <w:tc>
          <w:tcPr>
            <w:tcW w:w="320" w:type="dxa"/>
            <w:vAlign w:val="bottom"/>
            <w:tcBorders>
              <w:bottom w:val="single" w:sz="8" w:color="231F20"/>
            </w:tcBorders>
            <w:shd w:val="clear" w:color="auto" w:fill="D0EBF2"/>
          </w:tcPr>
          <w:p>
            <w:pPr>
              <w:spacing w:after="0"/>
              <w:rPr>
                <w:sz w:val="20"/>
                <w:szCs w:val="20"/>
                <w:color w:val="auto"/>
              </w:rPr>
            </w:pPr>
          </w:p>
        </w:tc>
        <w:tc>
          <w:tcPr>
            <w:tcW w:w="110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7,447</w:t>
            </w:r>
          </w:p>
        </w:tc>
        <w:tc>
          <w:tcPr>
            <w:tcW w:w="100" w:type="dxa"/>
            <w:vAlign w:val="bottom"/>
            <w:tcBorders>
              <w:bottom w:val="single" w:sz="8" w:color="FDFDFC"/>
            </w:tcBorders>
            <w:shd w:val="clear" w:color="auto" w:fill="D0EBF2"/>
          </w:tcPr>
          <w:p>
            <w:pPr>
              <w:spacing w:after="0"/>
              <w:rPr>
                <w:sz w:val="20"/>
                <w:szCs w:val="20"/>
                <w:color w:val="auto"/>
              </w:rPr>
            </w:pPr>
          </w:p>
        </w:tc>
      </w:tr>
      <w:tr>
        <w:trPr>
          <w:trHeight w:val="220"/>
        </w:trPr>
        <w:tc>
          <w:tcPr>
            <w:tcW w:w="6840" w:type="dxa"/>
            <w:vAlign w:val="bottom"/>
            <w:shd w:val="clear" w:color="auto" w:fill="FDFDFC"/>
          </w:tcPr>
          <w:p>
            <w:pPr>
              <w:spacing w:after="0"/>
              <w:rPr>
                <w:sz w:val="19"/>
                <w:szCs w:val="19"/>
                <w:color w:val="auto"/>
              </w:rPr>
            </w:pPr>
          </w:p>
        </w:tc>
        <w:tc>
          <w:tcPr>
            <w:tcW w:w="160" w:type="dxa"/>
            <w:vAlign w:val="bottom"/>
            <w:shd w:val="clear" w:color="auto" w:fill="FDFDFC"/>
          </w:tcPr>
          <w:p>
            <w:pPr>
              <w:spacing w:after="0"/>
              <w:rPr>
                <w:sz w:val="19"/>
                <w:szCs w:val="19"/>
                <w:color w:val="auto"/>
              </w:rPr>
            </w:pPr>
          </w:p>
        </w:tc>
        <w:tc>
          <w:tcPr>
            <w:tcW w:w="320" w:type="dxa"/>
            <w:vAlign w:val="bottom"/>
            <w:tcBorders>
              <w:bottom w:val="single" w:sz="8" w:color="231F20"/>
            </w:tcBorders>
            <w:shd w:val="clear" w:color="auto" w:fill="FDFDFC"/>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49,297</w:t>
            </w:r>
          </w:p>
        </w:tc>
        <w:tc>
          <w:tcPr>
            <w:tcW w:w="260" w:type="dxa"/>
            <w:vAlign w:val="bottom"/>
            <w:shd w:val="clear" w:color="auto" w:fill="FDFDFC"/>
          </w:tcPr>
          <w:p>
            <w:pPr>
              <w:spacing w:after="0"/>
              <w:rPr>
                <w:sz w:val="19"/>
                <w:szCs w:val="19"/>
                <w:color w:val="auto"/>
              </w:rPr>
            </w:pPr>
          </w:p>
        </w:tc>
        <w:tc>
          <w:tcPr>
            <w:tcW w:w="320" w:type="dxa"/>
            <w:vAlign w:val="bottom"/>
            <w:tcBorders>
              <w:bottom w:val="single" w:sz="8" w:color="231F20"/>
            </w:tcBorders>
            <w:shd w:val="clear" w:color="auto" w:fill="FDFDFC"/>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43,315</w:t>
            </w:r>
          </w:p>
        </w:tc>
        <w:tc>
          <w:tcPr>
            <w:tcW w:w="100" w:type="dxa"/>
            <w:vAlign w:val="bottom"/>
            <w:shd w:val="clear" w:color="auto" w:fill="FDFDFC"/>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231F20"/>
        </w:rPr>
        <w:t>Note 8. Property and Equipment, net</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9"/>
          <w:szCs w:val="19"/>
          <w:color w:val="231F20"/>
        </w:rPr>
        <w:t>Property and equipment, net consisted of the following as of the dates presented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420" w:type="dxa"/>
            <w:vAlign w:val="bottom"/>
            <w:tcBorders>
              <w:bottom w:val="single" w:sz="8" w:color="FDFDFC"/>
            </w:tcBorders>
            <w:shd w:val="clear" w:color="auto" w:fill="FDFDFC"/>
          </w:tcPr>
          <w:p>
            <w:pPr>
              <w:spacing w:after="0"/>
              <w:rPr>
                <w:sz w:val="16"/>
                <w:szCs w:val="16"/>
                <w:color w:val="auto"/>
              </w:rPr>
            </w:pPr>
          </w:p>
        </w:tc>
        <w:tc>
          <w:tcPr>
            <w:tcW w:w="2220" w:type="dxa"/>
            <w:vAlign w:val="bottom"/>
            <w:tcBorders>
              <w:bottom w:val="single" w:sz="8" w:color="FDFDFC"/>
            </w:tcBorders>
            <w:shd w:val="clear" w:color="auto" w:fill="FDFDFC"/>
          </w:tcPr>
          <w:p>
            <w:pPr>
              <w:spacing w:after="0"/>
              <w:rPr>
                <w:sz w:val="16"/>
                <w:szCs w:val="16"/>
                <w:color w:val="auto"/>
              </w:rPr>
            </w:pPr>
          </w:p>
        </w:tc>
        <w:tc>
          <w:tcPr>
            <w:tcW w:w="140" w:type="dxa"/>
            <w:vAlign w:val="bottom"/>
            <w:tcBorders>
              <w:bottom w:val="single" w:sz="8" w:color="FDFDFC"/>
            </w:tcBorders>
            <w:shd w:val="clear" w:color="auto" w:fill="FDFDFC"/>
          </w:tcPr>
          <w:p>
            <w:pPr>
              <w:spacing w:after="0"/>
              <w:rPr>
                <w:sz w:val="16"/>
                <w:szCs w:val="16"/>
                <w:color w:val="auto"/>
              </w:rPr>
            </w:pPr>
          </w:p>
        </w:tc>
        <w:tc>
          <w:tcPr>
            <w:tcW w:w="1780" w:type="dxa"/>
            <w:vAlign w:val="bottom"/>
            <w:tcBorders>
              <w:bottom w:val="single" w:sz="8" w:color="FDFDFC"/>
            </w:tcBorders>
            <w:gridSpan w:val="2"/>
            <w:shd w:val="clear" w:color="auto" w:fill="FDFDFC"/>
          </w:tcPr>
          <w:p>
            <w:pPr>
              <w:jc w:val="center"/>
              <w:ind w:right="160"/>
              <w:spacing w:after="0"/>
              <w:rPr>
                <w:sz w:val="20"/>
                <w:szCs w:val="20"/>
                <w:color w:val="auto"/>
              </w:rPr>
            </w:pPr>
            <w:r>
              <w:rPr>
                <w:rFonts w:ascii="Arial" w:cs="Arial" w:eastAsia="Arial" w:hAnsi="Arial"/>
                <w:sz w:val="15"/>
                <w:szCs w:val="15"/>
                <w:b w:val="1"/>
                <w:bCs w:val="1"/>
                <w:color w:val="231F20"/>
              </w:rPr>
              <w:t>Estimated Useful Life</w:t>
            </w:r>
          </w:p>
        </w:tc>
        <w:tc>
          <w:tcPr>
            <w:tcW w:w="260" w:type="dxa"/>
            <w:vAlign w:val="bottom"/>
            <w:tcBorders>
              <w:bottom w:val="single" w:sz="8" w:color="231F20"/>
            </w:tcBorders>
            <w:shd w:val="clear" w:color="auto" w:fill="FDFDFC"/>
          </w:tcPr>
          <w:p>
            <w:pPr>
              <w:spacing w:after="0"/>
              <w:rPr>
                <w:sz w:val="16"/>
                <w:szCs w:val="16"/>
                <w:color w:val="auto"/>
              </w:rPr>
            </w:pPr>
          </w:p>
        </w:tc>
        <w:tc>
          <w:tcPr>
            <w:tcW w:w="1520" w:type="dxa"/>
            <w:vAlign w:val="bottom"/>
            <w:tcBorders>
              <w:bottom w:val="single" w:sz="8" w:color="231F20"/>
            </w:tcBorders>
            <w:gridSpan w:val="4"/>
            <w:shd w:val="clear" w:color="auto" w:fill="FDFDFC"/>
          </w:tcPr>
          <w:p>
            <w:pPr>
              <w:jc w:val="right"/>
              <w:spacing w:after="0"/>
              <w:rPr>
                <w:sz w:val="20"/>
                <w:szCs w:val="20"/>
                <w:color w:val="auto"/>
              </w:rPr>
            </w:pPr>
            <w:r>
              <w:rPr>
                <w:rFonts w:ascii="Arial" w:cs="Arial" w:eastAsia="Arial" w:hAnsi="Arial"/>
                <w:sz w:val="15"/>
                <w:szCs w:val="15"/>
                <w:b w:val="1"/>
                <w:bCs w:val="1"/>
                <w:color w:val="231F20"/>
              </w:rPr>
              <w:t>December 31,</w:t>
            </w:r>
          </w:p>
        </w:tc>
        <w:tc>
          <w:tcPr>
            <w:tcW w:w="76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shd w:val="clear" w:color="auto" w:fill="FDFDFC"/>
          </w:tcPr>
          <w:p>
            <w:pPr>
              <w:spacing w:after="0"/>
              <w:rPr>
                <w:sz w:val="15"/>
                <w:szCs w:val="15"/>
                <w:color w:val="auto"/>
              </w:rPr>
            </w:pPr>
          </w:p>
        </w:tc>
        <w:tc>
          <w:tcPr>
            <w:tcW w:w="22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780" w:type="dxa"/>
            <w:vAlign w:val="bottom"/>
            <w:gridSpan w:val="2"/>
            <w:shd w:val="clear" w:color="auto" w:fill="FDFDFC"/>
          </w:tcPr>
          <w:p>
            <w:pPr>
              <w:jc w:val="center"/>
              <w:ind w:right="160"/>
              <w:spacing w:after="0"/>
              <w:rPr>
                <w:sz w:val="20"/>
                <w:szCs w:val="20"/>
                <w:color w:val="auto"/>
              </w:rPr>
            </w:pPr>
            <w:r>
              <w:rPr>
                <w:rFonts w:ascii="Arial" w:cs="Arial" w:eastAsia="Arial" w:hAnsi="Arial"/>
                <w:sz w:val="15"/>
                <w:szCs w:val="15"/>
                <w:i w:val="1"/>
                <w:iCs w:val="1"/>
                <w:color w:val="231F20"/>
              </w:rPr>
              <w:t>(Years)</w:t>
            </w:r>
          </w:p>
        </w:tc>
        <w:tc>
          <w:tcPr>
            <w:tcW w:w="260" w:type="dxa"/>
            <w:vAlign w:val="bottom"/>
            <w:shd w:val="clear" w:color="auto" w:fill="FDFDFC"/>
          </w:tcPr>
          <w:p>
            <w:pPr>
              <w:spacing w:after="0"/>
              <w:rPr>
                <w:sz w:val="15"/>
                <w:szCs w:val="15"/>
                <w:color w:val="auto"/>
              </w:rPr>
            </w:pPr>
          </w:p>
        </w:tc>
        <w:tc>
          <w:tcPr>
            <w:tcW w:w="880" w:type="dxa"/>
            <w:vAlign w:val="bottom"/>
            <w:shd w:val="clear" w:color="auto" w:fill="FDFDFC"/>
          </w:tcPr>
          <w:p>
            <w:pPr>
              <w:jc w:val="right"/>
              <w:ind w:right="310"/>
              <w:spacing w:after="0"/>
              <w:rPr>
                <w:sz w:val="20"/>
                <w:szCs w:val="20"/>
                <w:color w:val="auto"/>
              </w:rPr>
            </w:pPr>
            <w:r>
              <w:rPr>
                <w:rFonts w:ascii="Arial" w:cs="Arial" w:eastAsia="Arial" w:hAnsi="Arial"/>
                <w:sz w:val="15"/>
                <w:szCs w:val="15"/>
                <w:b w:val="1"/>
                <w:bCs w:val="1"/>
                <w:color w:val="231F20"/>
              </w:rPr>
              <w:t>2024</w:t>
            </w:r>
          </w:p>
        </w:tc>
        <w:tc>
          <w:tcPr>
            <w:tcW w:w="1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400" w:type="dxa"/>
            <w:vAlign w:val="bottom"/>
            <w:shd w:val="clear" w:color="auto" w:fill="FDFDFC"/>
          </w:tcPr>
          <w:p>
            <w:pPr>
              <w:spacing w:after="0"/>
              <w:rPr>
                <w:sz w:val="15"/>
                <w:szCs w:val="15"/>
                <w:color w:val="auto"/>
              </w:rPr>
            </w:pPr>
          </w:p>
        </w:tc>
        <w:tc>
          <w:tcPr>
            <w:tcW w:w="760" w:type="dxa"/>
            <w:vAlign w:val="bottom"/>
            <w:shd w:val="clear" w:color="auto" w:fill="FDFDFC"/>
          </w:tcPr>
          <w:p>
            <w:pPr>
              <w:jc w:val="right"/>
              <w:ind w:right="328"/>
              <w:spacing w:after="0"/>
              <w:rPr>
                <w:sz w:val="20"/>
                <w:szCs w:val="20"/>
                <w:color w:val="auto"/>
              </w:rPr>
            </w:pPr>
            <w:r>
              <w:rPr>
                <w:rFonts w:ascii="Arial" w:cs="Arial" w:eastAsia="Arial" w:hAnsi="Arial"/>
                <w:sz w:val="15"/>
                <w:szCs w:val="15"/>
                <w:b w:val="1"/>
                <w:bCs w:val="1"/>
                <w:color w:val="231F20"/>
                <w:w w:val="95"/>
              </w:rPr>
              <w:t>2023</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40" w:type="dxa"/>
            <w:vAlign w:val="bottom"/>
            <w:tcBorders>
              <w:top w:val="single" w:sz="8" w:color="D0EBF2"/>
            </w:tcBorders>
            <w:gridSpan w:val="2"/>
            <w:shd w:val="clear" w:color="auto" w:fill="D0EBF2"/>
          </w:tcPr>
          <w:p>
            <w:pPr>
              <w:spacing w:after="0"/>
              <w:rPr>
                <w:sz w:val="20"/>
                <w:szCs w:val="20"/>
                <w:color w:val="auto"/>
              </w:rPr>
            </w:pPr>
            <w:r>
              <w:rPr>
                <w:rFonts w:ascii="Arial" w:cs="Arial" w:eastAsia="Arial" w:hAnsi="Arial"/>
                <w:sz w:val="19"/>
                <w:szCs w:val="19"/>
                <w:color w:val="231F20"/>
              </w:rPr>
              <w:t>Computer equipment and software</w:t>
            </w:r>
          </w:p>
        </w:tc>
        <w:tc>
          <w:tcPr>
            <w:tcW w:w="140" w:type="dxa"/>
            <w:vAlign w:val="bottom"/>
            <w:tcBorders>
              <w:top w:val="single" w:sz="8" w:color="D0EBF2"/>
            </w:tcBorders>
            <w:shd w:val="clear" w:color="auto" w:fill="D0EBF2"/>
          </w:tcPr>
          <w:p>
            <w:pPr>
              <w:spacing w:after="0"/>
              <w:rPr>
                <w:sz w:val="19"/>
                <w:szCs w:val="19"/>
                <w:color w:val="auto"/>
              </w:rPr>
            </w:pPr>
          </w:p>
        </w:tc>
        <w:tc>
          <w:tcPr>
            <w:tcW w:w="1640" w:type="dxa"/>
            <w:vAlign w:val="bottom"/>
            <w:tcBorders>
              <w:top w:val="single" w:sz="8" w:color="231F20"/>
            </w:tcBorders>
            <w:shd w:val="clear" w:color="auto" w:fill="D0EBF2"/>
          </w:tcPr>
          <w:p>
            <w:pPr>
              <w:jc w:val="center"/>
              <w:spacing w:after="0"/>
              <w:rPr>
                <w:sz w:val="20"/>
                <w:szCs w:val="20"/>
                <w:color w:val="auto"/>
              </w:rPr>
            </w:pPr>
            <w:r>
              <w:rPr>
                <w:rFonts w:ascii="Arial" w:cs="Arial" w:eastAsia="Arial" w:hAnsi="Arial"/>
                <w:sz w:val="19"/>
                <w:szCs w:val="19"/>
                <w:color w:val="231F20"/>
                <w:w w:val="99"/>
              </w:rPr>
              <w:t>3 - 5</w:t>
            </w:r>
          </w:p>
        </w:tc>
        <w:tc>
          <w:tcPr>
            <w:tcW w:w="140" w:type="dxa"/>
            <w:vAlign w:val="bottom"/>
            <w:tcBorders>
              <w:top w:val="single" w:sz="8" w:color="D0EBF2"/>
            </w:tcBorders>
            <w:shd w:val="clear" w:color="auto" w:fill="D0EBF2"/>
          </w:tcPr>
          <w:p>
            <w:pPr>
              <w:spacing w:after="0"/>
              <w:rPr>
                <w:sz w:val="19"/>
                <w:szCs w:val="19"/>
                <w:color w:val="auto"/>
              </w:rPr>
            </w:pPr>
          </w:p>
        </w:tc>
        <w:tc>
          <w:tcPr>
            <w:tcW w:w="260" w:type="dxa"/>
            <w:vAlign w:val="bottom"/>
            <w:tcBorders>
              <w:top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88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3,907</w:t>
            </w:r>
          </w:p>
        </w:tc>
        <w:tc>
          <w:tcPr>
            <w:tcW w:w="12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D0EBF2"/>
            </w:tcBorders>
            <w:shd w:val="clear" w:color="auto" w:fill="D0EBF2"/>
          </w:tcPr>
          <w:p>
            <w:pPr>
              <w:spacing w:after="0"/>
              <w:rPr>
                <w:sz w:val="19"/>
                <w:szCs w:val="19"/>
                <w:color w:val="auto"/>
              </w:rPr>
            </w:pPr>
          </w:p>
        </w:tc>
        <w:tc>
          <w:tcPr>
            <w:tcW w:w="400" w:type="dxa"/>
            <w:vAlign w:val="bottom"/>
            <w:tcBorders>
              <w:top w:val="single" w:sz="8" w:color="231F20"/>
            </w:tcBorders>
            <w:shd w:val="clear" w:color="auto" w:fill="D0EBF2"/>
          </w:tcPr>
          <w:p>
            <w:pPr>
              <w:jc w:val="right"/>
              <w:ind w:right="186"/>
              <w:spacing w:after="0"/>
              <w:rPr>
                <w:sz w:val="20"/>
                <w:szCs w:val="20"/>
                <w:color w:val="auto"/>
              </w:rPr>
            </w:pPr>
            <w:r>
              <w:rPr>
                <w:rFonts w:ascii="Arial" w:cs="Arial" w:eastAsia="Arial" w:hAnsi="Arial"/>
                <w:sz w:val="19"/>
                <w:szCs w:val="19"/>
                <w:color w:val="231F20"/>
                <w:w w:val="94"/>
              </w:rPr>
              <w:t>$</w:t>
            </w:r>
          </w:p>
        </w:tc>
        <w:tc>
          <w:tcPr>
            <w:tcW w:w="76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3,681</w:t>
            </w:r>
          </w:p>
        </w:tc>
        <w:tc>
          <w:tcPr>
            <w:tcW w:w="10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gridSpan w:val="2"/>
            <w:shd w:val="clear" w:color="auto" w:fill="FDFDFC"/>
          </w:tcPr>
          <w:p>
            <w:pPr>
              <w:spacing w:after="0"/>
              <w:rPr>
                <w:sz w:val="20"/>
                <w:szCs w:val="20"/>
                <w:color w:val="auto"/>
              </w:rPr>
            </w:pPr>
            <w:r>
              <w:rPr>
                <w:rFonts w:ascii="Arial" w:cs="Arial" w:eastAsia="Arial" w:hAnsi="Arial"/>
                <w:sz w:val="19"/>
                <w:szCs w:val="19"/>
                <w:color w:val="231F20"/>
              </w:rPr>
              <w:t>Internal-use software</w:t>
            </w:r>
          </w:p>
        </w:tc>
        <w:tc>
          <w:tcPr>
            <w:tcW w:w="140" w:type="dxa"/>
            <w:vAlign w:val="bottom"/>
            <w:shd w:val="clear" w:color="auto" w:fill="FDFDFC"/>
          </w:tcPr>
          <w:p>
            <w:pPr>
              <w:spacing w:after="0"/>
              <w:rPr>
                <w:sz w:val="20"/>
                <w:szCs w:val="20"/>
                <w:color w:val="auto"/>
              </w:rPr>
            </w:pPr>
          </w:p>
        </w:tc>
        <w:tc>
          <w:tcPr>
            <w:tcW w:w="1640" w:type="dxa"/>
            <w:vAlign w:val="bottom"/>
            <w:shd w:val="clear" w:color="auto" w:fill="FDFDFC"/>
          </w:tcPr>
          <w:p>
            <w:pPr>
              <w:jc w:val="center"/>
              <w:spacing w:after="0"/>
              <w:rPr>
                <w:sz w:val="20"/>
                <w:szCs w:val="20"/>
                <w:color w:val="auto"/>
              </w:rPr>
            </w:pPr>
            <w:r>
              <w:rPr>
                <w:rFonts w:ascii="Arial" w:cs="Arial" w:eastAsia="Arial" w:hAnsi="Arial"/>
                <w:sz w:val="19"/>
                <w:szCs w:val="19"/>
                <w:color w:val="231F20"/>
                <w:w w:val="94"/>
              </w:rPr>
              <w:t>5</w:t>
            </w: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23,378</w:t>
            </w:r>
          </w:p>
        </w:tc>
        <w:tc>
          <w:tcPr>
            <w:tcW w:w="1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400" w:type="dxa"/>
            <w:vAlign w:val="bottom"/>
            <w:shd w:val="clear" w:color="auto" w:fill="FDFDFC"/>
          </w:tcPr>
          <w:p>
            <w:pPr>
              <w:spacing w:after="0"/>
              <w:rPr>
                <w:sz w:val="20"/>
                <w:szCs w:val="20"/>
                <w:color w:val="auto"/>
              </w:rPr>
            </w:pPr>
          </w:p>
        </w:tc>
        <w:tc>
          <w:tcPr>
            <w:tcW w:w="7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18,135</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Furniture and fixtures</w:t>
            </w:r>
          </w:p>
        </w:tc>
        <w:tc>
          <w:tcPr>
            <w:tcW w:w="1780" w:type="dxa"/>
            <w:vAlign w:val="bottom"/>
            <w:gridSpan w:val="2"/>
            <w:shd w:val="clear" w:color="auto" w:fill="D0EBF2"/>
          </w:tcPr>
          <w:p>
            <w:pPr>
              <w:jc w:val="center"/>
              <w:ind w:left="26"/>
              <w:spacing w:after="0"/>
              <w:rPr>
                <w:sz w:val="20"/>
                <w:szCs w:val="20"/>
                <w:color w:val="auto"/>
              </w:rPr>
            </w:pPr>
            <w:r>
              <w:rPr>
                <w:rFonts w:ascii="Arial" w:cs="Arial" w:eastAsia="Arial" w:hAnsi="Arial"/>
                <w:sz w:val="19"/>
                <w:szCs w:val="19"/>
                <w:color w:val="231F20"/>
                <w:w w:val="94"/>
              </w:rPr>
              <w:t>3</w:t>
            </w: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904</w:t>
            </w:r>
          </w:p>
        </w:tc>
        <w:tc>
          <w:tcPr>
            <w:tcW w:w="1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400" w:type="dxa"/>
            <w:vAlign w:val="bottom"/>
            <w:shd w:val="clear" w:color="auto" w:fill="D0EBF2"/>
          </w:tcPr>
          <w:p>
            <w:pPr>
              <w:spacing w:after="0"/>
              <w:rPr>
                <w:sz w:val="20"/>
                <w:szCs w:val="20"/>
                <w:color w:val="auto"/>
              </w:rPr>
            </w:pPr>
          </w:p>
        </w:tc>
        <w:tc>
          <w:tcPr>
            <w:tcW w:w="7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912</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shd w:val="clear" w:color="auto" w:fill="FDFDFC"/>
          </w:tcPr>
          <w:p>
            <w:pPr>
              <w:spacing w:after="0" w:line="213" w:lineRule="exact"/>
              <w:rPr>
                <w:sz w:val="20"/>
                <w:szCs w:val="20"/>
                <w:color w:val="auto"/>
              </w:rPr>
            </w:pPr>
            <w:r>
              <w:rPr>
                <w:rFonts w:ascii="Arial" w:cs="Arial" w:eastAsia="Arial" w:hAnsi="Arial"/>
                <w:sz w:val="19"/>
                <w:szCs w:val="19"/>
                <w:color w:val="231F20"/>
              </w:rPr>
              <w:t>Leasehold improvements</w:t>
            </w:r>
          </w:p>
        </w:tc>
        <w:tc>
          <w:tcPr>
            <w:tcW w:w="140" w:type="dxa"/>
            <w:vAlign w:val="bottom"/>
            <w:shd w:val="clear" w:color="auto" w:fill="FDFDFC"/>
          </w:tcPr>
          <w:p>
            <w:pPr>
              <w:spacing w:after="0"/>
              <w:rPr>
                <w:sz w:val="18"/>
                <w:szCs w:val="18"/>
                <w:color w:val="auto"/>
              </w:rPr>
            </w:pPr>
          </w:p>
        </w:tc>
        <w:tc>
          <w:tcPr>
            <w:tcW w:w="1780" w:type="dxa"/>
            <w:vAlign w:val="bottom"/>
            <w:gridSpan w:val="2"/>
            <w:shd w:val="clear" w:color="auto" w:fill="FDFDFC"/>
          </w:tcPr>
          <w:p>
            <w:pPr>
              <w:jc w:val="center"/>
              <w:ind w:right="160"/>
              <w:spacing w:after="0" w:line="213" w:lineRule="exact"/>
              <w:rPr>
                <w:sz w:val="20"/>
                <w:szCs w:val="20"/>
                <w:color w:val="auto"/>
              </w:rPr>
            </w:pPr>
            <w:r>
              <w:rPr>
                <w:rFonts w:ascii="Arial" w:cs="Arial" w:eastAsia="Arial" w:hAnsi="Arial"/>
                <w:sz w:val="19"/>
                <w:szCs w:val="19"/>
                <w:color w:val="231F20"/>
                <w:w w:val="99"/>
              </w:rPr>
              <w:t>Shorter of lease</w:t>
            </w:r>
          </w:p>
        </w:tc>
        <w:tc>
          <w:tcPr>
            <w:tcW w:w="260" w:type="dxa"/>
            <w:vAlign w:val="bottom"/>
            <w:shd w:val="clear" w:color="auto" w:fill="FDFDFC"/>
          </w:tcPr>
          <w:p>
            <w:pPr>
              <w:spacing w:after="0"/>
              <w:rPr>
                <w:sz w:val="18"/>
                <w:szCs w:val="18"/>
                <w:color w:val="auto"/>
              </w:rPr>
            </w:pPr>
          </w:p>
        </w:tc>
        <w:tc>
          <w:tcPr>
            <w:tcW w:w="8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400" w:type="dxa"/>
            <w:vAlign w:val="bottom"/>
            <w:shd w:val="clear" w:color="auto" w:fill="FDFDFC"/>
          </w:tcPr>
          <w:p>
            <w:pPr>
              <w:spacing w:after="0"/>
              <w:rPr>
                <w:sz w:val="18"/>
                <w:szCs w:val="18"/>
                <w:color w:val="auto"/>
              </w:rPr>
            </w:pPr>
          </w:p>
        </w:tc>
        <w:tc>
          <w:tcPr>
            <w:tcW w:w="76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shd w:val="clear" w:color="auto" w:fill="FDFDFC"/>
          </w:tcPr>
          <w:p>
            <w:pPr>
              <w:spacing w:after="0"/>
              <w:rPr>
                <w:sz w:val="18"/>
                <w:szCs w:val="18"/>
                <w:color w:val="auto"/>
              </w:rPr>
            </w:pPr>
          </w:p>
        </w:tc>
        <w:tc>
          <w:tcPr>
            <w:tcW w:w="222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1780" w:type="dxa"/>
            <w:vAlign w:val="bottom"/>
            <w:gridSpan w:val="2"/>
            <w:shd w:val="clear" w:color="auto" w:fill="FDFDFC"/>
          </w:tcPr>
          <w:p>
            <w:pPr>
              <w:jc w:val="center"/>
              <w:ind w:right="160"/>
              <w:spacing w:after="0" w:line="217" w:lineRule="exact"/>
              <w:rPr>
                <w:sz w:val="20"/>
                <w:szCs w:val="20"/>
                <w:color w:val="auto"/>
              </w:rPr>
            </w:pPr>
            <w:r>
              <w:rPr>
                <w:rFonts w:ascii="Arial" w:cs="Arial" w:eastAsia="Arial" w:hAnsi="Arial"/>
                <w:sz w:val="19"/>
                <w:szCs w:val="19"/>
                <w:color w:val="231F20"/>
                <w:w w:val="99"/>
              </w:rPr>
              <w:t>term</w:t>
            </w:r>
          </w:p>
        </w:tc>
        <w:tc>
          <w:tcPr>
            <w:tcW w:w="260" w:type="dxa"/>
            <w:vAlign w:val="bottom"/>
            <w:shd w:val="clear" w:color="auto" w:fill="FDFDFC"/>
          </w:tcPr>
          <w:p>
            <w:pPr>
              <w:spacing w:after="0"/>
              <w:rPr>
                <w:sz w:val="18"/>
                <w:szCs w:val="18"/>
                <w:color w:val="auto"/>
              </w:rPr>
            </w:pPr>
          </w:p>
        </w:tc>
        <w:tc>
          <w:tcPr>
            <w:tcW w:w="88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5,456</w:t>
            </w:r>
          </w:p>
        </w:tc>
        <w:tc>
          <w:tcPr>
            <w:tcW w:w="1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400" w:type="dxa"/>
            <w:vAlign w:val="bottom"/>
            <w:shd w:val="clear" w:color="auto" w:fill="FDFDFC"/>
          </w:tcPr>
          <w:p>
            <w:pPr>
              <w:spacing w:after="0"/>
              <w:rPr>
                <w:sz w:val="18"/>
                <w:szCs w:val="18"/>
                <w:color w:val="auto"/>
              </w:rPr>
            </w:pPr>
          </w:p>
        </w:tc>
        <w:tc>
          <w:tcPr>
            <w:tcW w:w="76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5,431</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20" w:type="dxa"/>
            <w:vAlign w:val="bottom"/>
            <w:tcBorders>
              <w:bottom w:val="single" w:sz="8" w:color="D0EBF2"/>
            </w:tcBorders>
            <w:shd w:val="clear" w:color="auto" w:fill="FDFDFC"/>
          </w:tcPr>
          <w:p>
            <w:pPr>
              <w:spacing w:after="0"/>
              <w:rPr>
                <w:sz w:val="20"/>
                <w:szCs w:val="20"/>
                <w:color w:val="auto"/>
              </w:rPr>
            </w:pPr>
          </w:p>
        </w:tc>
        <w:tc>
          <w:tcPr>
            <w:tcW w:w="2220" w:type="dxa"/>
            <w:vAlign w:val="bottom"/>
            <w:tcBorders>
              <w:bottom w:val="single" w:sz="8" w:color="D0EBF2"/>
            </w:tcBorders>
            <w:shd w:val="clear" w:color="auto" w:fill="FDFDFC"/>
          </w:tcPr>
          <w:p>
            <w:pPr>
              <w:spacing w:after="0"/>
              <w:rPr>
                <w:sz w:val="20"/>
                <w:szCs w:val="20"/>
                <w:color w:val="auto"/>
              </w:rPr>
            </w:pPr>
          </w:p>
        </w:tc>
        <w:tc>
          <w:tcPr>
            <w:tcW w:w="140" w:type="dxa"/>
            <w:vAlign w:val="bottom"/>
            <w:tcBorders>
              <w:bottom w:val="single" w:sz="8" w:color="D0EBF2"/>
            </w:tcBorders>
            <w:shd w:val="clear" w:color="auto" w:fill="FDFDFC"/>
          </w:tcPr>
          <w:p>
            <w:pPr>
              <w:spacing w:after="0"/>
              <w:rPr>
                <w:sz w:val="20"/>
                <w:szCs w:val="20"/>
                <w:color w:val="auto"/>
              </w:rPr>
            </w:pPr>
          </w:p>
        </w:tc>
        <w:tc>
          <w:tcPr>
            <w:tcW w:w="1780" w:type="dxa"/>
            <w:vAlign w:val="bottom"/>
            <w:tcBorders>
              <w:bottom w:val="single" w:sz="8" w:color="D0EBF2"/>
            </w:tcBorders>
            <w:gridSpan w:val="2"/>
            <w:shd w:val="clear" w:color="auto" w:fill="FDFDFC"/>
          </w:tcPr>
          <w:p>
            <w:pPr>
              <w:jc w:val="center"/>
              <w:ind w:right="160"/>
              <w:spacing w:after="0"/>
              <w:rPr>
                <w:sz w:val="20"/>
                <w:szCs w:val="20"/>
                <w:color w:val="auto"/>
              </w:rPr>
            </w:pPr>
            <w:r>
              <w:rPr>
                <w:rFonts w:ascii="Arial" w:cs="Arial" w:eastAsia="Arial" w:hAnsi="Arial"/>
                <w:sz w:val="19"/>
                <w:szCs w:val="19"/>
                <w:color w:val="231F20"/>
                <w:w w:val="99"/>
              </w:rPr>
              <w:t>or useful life</w:t>
            </w:r>
          </w:p>
        </w:tc>
        <w:tc>
          <w:tcPr>
            <w:tcW w:w="260" w:type="dxa"/>
            <w:vAlign w:val="bottom"/>
            <w:tcBorders>
              <w:bottom w:val="single" w:sz="8" w:color="231F20"/>
            </w:tcBorders>
            <w:shd w:val="clear" w:color="auto" w:fill="FDFDFC"/>
          </w:tcPr>
          <w:p>
            <w:pPr>
              <w:spacing w:after="0"/>
              <w:rPr>
                <w:sz w:val="20"/>
                <w:szCs w:val="20"/>
                <w:color w:val="auto"/>
              </w:rPr>
            </w:pPr>
          </w:p>
        </w:tc>
        <w:tc>
          <w:tcPr>
            <w:tcW w:w="880" w:type="dxa"/>
            <w:vAlign w:val="bottom"/>
            <w:tcBorders>
              <w:bottom w:val="single" w:sz="8" w:color="231F20"/>
            </w:tcBorders>
            <w:vMerge w:val="continue"/>
            <w:shd w:val="clear" w:color="auto" w:fill="FDFDFC"/>
          </w:tcPr>
          <w:p>
            <w:pPr>
              <w:spacing w:after="0"/>
              <w:rPr>
                <w:sz w:val="20"/>
                <w:szCs w:val="20"/>
                <w:color w:val="auto"/>
              </w:rPr>
            </w:pPr>
          </w:p>
        </w:tc>
        <w:tc>
          <w:tcPr>
            <w:tcW w:w="12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D0EBF2"/>
            </w:tcBorders>
            <w:shd w:val="clear" w:color="auto" w:fill="FDFDFC"/>
          </w:tcPr>
          <w:p>
            <w:pPr>
              <w:spacing w:after="0"/>
              <w:rPr>
                <w:sz w:val="20"/>
                <w:szCs w:val="20"/>
                <w:color w:val="auto"/>
              </w:rPr>
            </w:pPr>
          </w:p>
        </w:tc>
        <w:tc>
          <w:tcPr>
            <w:tcW w:w="400" w:type="dxa"/>
            <w:vAlign w:val="bottom"/>
            <w:tcBorders>
              <w:bottom w:val="single" w:sz="8" w:color="231F20"/>
            </w:tcBorders>
            <w:shd w:val="clear" w:color="auto" w:fill="FDFDFC"/>
          </w:tcPr>
          <w:p>
            <w:pPr>
              <w:spacing w:after="0"/>
              <w:rPr>
                <w:sz w:val="20"/>
                <w:szCs w:val="20"/>
                <w:color w:val="auto"/>
              </w:rPr>
            </w:pPr>
          </w:p>
        </w:tc>
        <w:tc>
          <w:tcPr>
            <w:tcW w:w="760" w:type="dxa"/>
            <w:vAlign w:val="bottom"/>
            <w:tcBorders>
              <w:bottom w:val="single" w:sz="8" w:color="231F20"/>
            </w:tcBorders>
            <w:vMerge w:val="continue"/>
            <w:shd w:val="clear" w:color="auto" w:fill="FDFDFC"/>
          </w:tcPr>
          <w:p>
            <w:pPr>
              <w:spacing w:after="0"/>
              <w:rPr>
                <w:sz w:val="20"/>
                <w:szCs w:val="20"/>
                <w:color w:val="auto"/>
              </w:rPr>
            </w:pPr>
          </w:p>
        </w:tc>
        <w:tc>
          <w:tcPr>
            <w:tcW w:w="10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D0EBF2"/>
          </w:tcPr>
          <w:p>
            <w:pPr>
              <w:spacing w:after="0"/>
              <w:rPr>
                <w:sz w:val="18"/>
                <w:szCs w:val="18"/>
                <w:color w:val="auto"/>
              </w:rPr>
            </w:pPr>
          </w:p>
        </w:tc>
        <w:tc>
          <w:tcPr>
            <w:tcW w:w="22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64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880" w:type="dxa"/>
            <w:vAlign w:val="bottom"/>
            <w:shd w:val="clear" w:color="auto" w:fill="D0EBF2"/>
          </w:tcPr>
          <w:p>
            <w:pPr>
              <w:jc w:val="right"/>
              <w:spacing w:after="0" w:line="211" w:lineRule="exact"/>
              <w:rPr>
                <w:sz w:val="20"/>
                <w:szCs w:val="20"/>
                <w:color w:val="auto"/>
              </w:rPr>
            </w:pPr>
            <w:r>
              <w:rPr>
                <w:rFonts w:ascii="Arial" w:cs="Arial" w:eastAsia="Arial" w:hAnsi="Arial"/>
                <w:sz w:val="19"/>
                <w:szCs w:val="19"/>
                <w:color w:val="231F20"/>
              </w:rPr>
              <w:t>33,645</w:t>
            </w:r>
          </w:p>
        </w:tc>
        <w:tc>
          <w:tcPr>
            <w:tcW w:w="12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400" w:type="dxa"/>
            <w:vAlign w:val="bottom"/>
            <w:shd w:val="clear" w:color="auto" w:fill="D0EBF2"/>
          </w:tcPr>
          <w:p>
            <w:pPr>
              <w:spacing w:after="0"/>
              <w:rPr>
                <w:sz w:val="18"/>
                <w:szCs w:val="18"/>
                <w:color w:val="auto"/>
              </w:rPr>
            </w:pPr>
          </w:p>
        </w:tc>
        <w:tc>
          <w:tcPr>
            <w:tcW w:w="760" w:type="dxa"/>
            <w:vAlign w:val="bottom"/>
            <w:shd w:val="clear" w:color="auto" w:fill="D0EBF2"/>
          </w:tcPr>
          <w:p>
            <w:pPr>
              <w:jc w:val="right"/>
              <w:spacing w:after="0" w:line="211" w:lineRule="exact"/>
              <w:rPr>
                <w:sz w:val="20"/>
                <w:szCs w:val="20"/>
                <w:color w:val="auto"/>
              </w:rPr>
            </w:pPr>
            <w:r>
              <w:rPr>
                <w:rFonts w:ascii="Arial" w:cs="Arial" w:eastAsia="Arial" w:hAnsi="Arial"/>
                <w:sz w:val="19"/>
                <w:szCs w:val="19"/>
                <w:color w:val="231F20"/>
              </w:rPr>
              <w:t>28,159</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gridSpan w:val="2"/>
            <w:shd w:val="clear" w:color="auto" w:fill="FDFDFC"/>
          </w:tcPr>
          <w:p>
            <w:pPr>
              <w:spacing w:after="0"/>
              <w:rPr>
                <w:sz w:val="20"/>
                <w:szCs w:val="20"/>
                <w:color w:val="auto"/>
              </w:rPr>
            </w:pPr>
            <w:r>
              <w:rPr>
                <w:rFonts w:ascii="Arial" w:cs="Arial" w:eastAsia="Arial" w:hAnsi="Arial"/>
                <w:sz w:val="19"/>
                <w:szCs w:val="19"/>
                <w:color w:val="231F20"/>
              </w:rPr>
              <w:t>Less: Accumulated depreciation and amortization*</w:t>
            </w:r>
          </w:p>
        </w:tc>
        <w:tc>
          <w:tcPr>
            <w:tcW w:w="140" w:type="dxa"/>
            <w:vAlign w:val="bottom"/>
            <w:shd w:val="clear" w:color="auto" w:fill="FDFDFC"/>
          </w:tcPr>
          <w:p>
            <w:pPr>
              <w:spacing w:after="0"/>
              <w:rPr>
                <w:sz w:val="20"/>
                <w:szCs w:val="20"/>
                <w:color w:val="auto"/>
              </w:rPr>
            </w:pPr>
          </w:p>
        </w:tc>
        <w:tc>
          <w:tcPr>
            <w:tcW w:w="164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00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(16,485)</w:t>
            </w:r>
          </w:p>
        </w:tc>
        <w:tc>
          <w:tcPr>
            <w:tcW w:w="120" w:type="dxa"/>
            <w:vAlign w:val="bottom"/>
            <w:shd w:val="clear" w:color="auto" w:fill="FDFDFC"/>
          </w:tcPr>
          <w:p>
            <w:pPr>
              <w:spacing w:after="0"/>
              <w:rPr>
                <w:sz w:val="20"/>
                <w:szCs w:val="20"/>
                <w:color w:val="auto"/>
              </w:rPr>
            </w:pPr>
          </w:p>
        </w:tc>
        <w:tc>
          <w:tcPr>
            <w:tcW w:w="400" w:type="dxa"/>
            <w:vAlign w:val="bottom"/>
            <w:shd w:val="clear" w:color="auto" w:fill="FDFDFC"/>
          </w:tcPr>
          <w:p>
            <w:pPr>
              <w:spacing w:after="0"/>
              <w:rPr>
                <w:sz w:val="20"/>
                <w:szCs w:val="20"/>
                <w:color w:val="auto"/>
              </w:rPr>
            </w:pPr>
          </w:p>
        </w:tc>
        <w:tc>
          <w:tcPr>
            <w:tcW w:w="86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(13,025)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20" w:type="dxa"/>
            <w:vAlign w:val="bottom"/>
            <w:tcBorders>
              <w:top w:val="single" w:sz="8" w:color="D0EBF2"/>
            </w:tcBorders>
            <w:shd w:val="clear" w:color="auto" w:fill="D0EBF2"/>
          </w:tcPr>
          <w:p>
            <w:pPr>
              <w:spacing w:after="0"/>
              <w:rPr>
                <w:sz w:val="19"/>
                <w:szCs w:val="19"/>
                <w:color w:val="auto"/>
              </w:rPr>
            </w:pPr>
          </w:p>
        </w:tc>
        <w:tc>
          <w:tcPr>
            <w:tcW w:w="2220" w:type="dxa"/>
            <w:vAlign w:val="bottom"/>
            <w:tcBorders>
              <w:top w:val="single" w:sz="8" w:color="D0EBF2"/>
            </w:tcBorders>
            <w:shd w:val="clear" w:color="auto" w:fill="D0EBF2"/>
          </w:tcPr>
          <w:p>
            <w:pPr>
              <w:spacing w:after="0"/>
              <w:rPr>
                <w:sz w:val="19"/>
                <w:szCs w:val="19"/>
                <w:color w:val="auto"/>
              </w:rPr>
            </w:pPr>
          </w:p>
        </w:tc>
        <w:tc>
          <w:tcPr>
            <w:tcW w:w="140" w:type="dxa"/>
            <w:vAlign w:val="bottom"/>
            <w:tcBorders>
              <w:top w:val="single" w:sz="8" w:color="D0EBF2"/>
            </w:tcBorders>
            <w:shd w:val="clear" w:color="auto" w:fill="D0EBF2"/>
          </w:tcPr>
          <w:p>
            <w:pPr>
              <w:spacing w:after="0"/>
              <w:rPr>
                <w:sz w:val="19"/>
                <w:szCs w:val="19"/>
                <w:color w:val="auto"/>
              </w:rPr>
            </w:pPr>
          </w:p>
        </w:tc>
        <w:tc>
          <w:tcPr>
            <w:tcW w:w="1640" w:type="dxa"/>
            <w:vAlign w:val="bottom"/>
            <w:tcBorders>
              <w:top w:val="single" w:sz="8" w:color="D0EBF2"/>
            </w:tcBorders>
            <w:shd w:val="clear" w:color="auto" w:fill="D0EBF2"/>
          </w:tcPr>
          <w:p>
            <w:pPr>
              <w:spacing w:after="0"/>
              <w:rPr>
                <w:sz w:val="19"/>
                <w:szCs w:val="19"/>
                <w:color w:val="auto"/>
              </w:rPr>
            </w:pPr>
          </w:p>
        </w:tc>
        <w:tc>
          <w:tcPr>
            <w:tcW w:w="140" w:type="dxa"/>
            <w:vAlign w:val="bottom"/>
            <w:tcBorders>
              <w:top w:val="single" w:sz="8" w:color="D0EBF2"/>
            </w:tcBorders>
            <w:shd w:val="clear" w:color="auto" w:fill="D0EBF2"/>
          </w:tcPr>
          <w:p>
            <w:pPr>
              <w:spacing w:after="0"/>
              <w:rPr>
                <w:sz w:val="19"/>
                <w:szCs w:val="19"/>
                <w:color w:val="auto"/>
              </w:rPr>
            </w:pPr>
          </w:p>
        </w:tc>
        <w:tc>
          <w:tcPr>
            <w:tcW w:w="260" w:type="dxa"/>
            <w:vAlign w:val="bottom"/>
            <w:tcBorders>
              <w:top w:val="single" w:sz="8" w:color="231F20"/>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8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17,160</w:t>
            </w:r>
          </w:p>
        </w:tc>
        <w:tc>
          <w:tcPr>
            <w:tcW w:w="12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D0EBF2"/>
            </w:tcBorders>
            <w:shd w:val="clear" w:color="auto" w:fill="D0EBF2"/>
          </w:tcPr>
          <w:p>
            <w:pPr>
              <w:spacing w:after="0"/>
              <w:rPr>
                <w:sz w:val="19"/>
                <w:szCs w:val="19"/>
                <w:color w:val="auto"/>
              </w:rPr>
            </w:pPr>
          </w:p>
        </w:tc>
        <w:tc>
          <w:tcPr>
            <w:tcW w:w="400" w:type="dxa"/>
            <w:vAlign w:val="bottom"/>
            <w:tcBorders>
              <w:top w:val="single" w:sz="8" w:color="231F20"/>
              <w:bottom w:val="single" w:sz="8" w:color="231F20"/>
            </w:tcBorders>
            <w:shd w:val="clear" w:color="auto" w:fill="D0EBF2"/>
          </w:tcPr>
          <w:p>
            <w:pPr>
              <w:jc w:val="right"/>
              <w:ind w:right="186"/>
              <w:spacing w:after="0"/>
              <w:rPr>
                <w:sz w:val="20"/>
                <w:szCs w:val="20"/>
                <w:color w:val="auto"/>
              </w:rPr>
            </w:pPr>
            <w:r>
              <w:rPr>
                <w:rFonts w:ascii="Arial" w:cs="Arial" w:eastAsia="Arial" w:hAnsi="Arial"/>
                <w:sz w:val="19"/>
                <w:szCs w:val="19"/>
                <w:color w:val="231F20"/>
                <w:w w:val="94"/>
              </w:rPr>
              <w:t>$</w:t>
            </w:r>
          </w:p>
        </w:tc>
        <w:tc>
          <w:tcPr>
            <w:tcW w:w="76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15,134</w:t>
            </w:r>
          </w:p>
        </w:tc>
        <w:tc>
          <w:tcPr>
            <w:tcW w:w="10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Borders>
              <w:bottom w:val="single" w:sz="8" w:color="231F20"/>
            </w:tcBorders>
          </w:tcPr>
          <w:p>
            <w:pPr>
              <w:spacing w:after="0"/>
              <w:rPr>
                <w:sz w:val="11"/>
                <w:szCs w:val="11"/>
                <w:color w:val="auto"/>
              </w:rPr>
            </w:pPr>
          </w:p>
        </w:tc>
        <w:tc>
          <w:tcPr>
            <w:tcW w:w="3420" w:type="dxa"/>
            <w:vAlign w:val="bottom"/>
            <w:tcBorders>
              <w:bottom w:val="single" w:sz="8" w:color="231F20"/>
            </w:tcBorders>
          </w:tcPr>
          <w:p>
            <w:pPr>
              <w:spacing w:after="0"/>
              <w:rPr>
                <w:sz w:val="11"/>
                <w:szCs w:val="11"/>
                <w:color w:val="auto"/>
              </w:rPr>
            </w:pPr>
          </w:p>
        </w:tc>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0"/>
        <w:spacing w:after="0"/>
        <w:rPr>
          <w:sz w:val="20"/>
          <w:szCs w:val="20"/>
          <w:color w:val="auto"/>
        </w:rPr>
      </w:pPr>
      <w:r>
        <w:rPr>
          <w:rFonts w:ascii="Arial" w:cs="Arial" w:eastAsia="Arial" w:hAnsi="Arial"/>
          <w:sz w:val="15"/>
          <w:szCs w:val="15"/>
          <w:color w:val="231F20"/>
        </w:rPr>
        <w:t>* For the year ended December 31, 2024, accumulated depreciation and amortization expense included $(348) thousand of computer disposals</w:t>
      </w:r>
    </w:p>
    <w:p>
      <w:pPr>
        <w:spacing w:after="0" w:line="21" w:lineRule="exact"/>
        <w:rPr>
          <w:sz w:val="20"/>
          <w:szCs w:val="20"/>
          <w:color w:val="auto"/>
        </w:rPr>
      </w:pPr>
    </w:p>
    <w:p>
      <w:pPr>
        <w:ind w:left="20" w:right="100"/>
        <w:spacing w:after="0" w:line="258" w:lineRule="auto"/>
        <w:rPr>
          <w:sz w:val="20"/>
          <w:szCs w:val="20"/>
          <w:color w:val="auto"/>
        </w:rPr>
      </w:pPr>
      <w:r>
        <w:rPr>
          <w:rFonts w:ascii="Arial" w:cs="Arial" w:eastAsia="Arial" w:hAnsi="Arial"/>
          <w:sz w:val="15"/>
          <w:szCs w:val="15"/>
          <w:color w:val="231F20"/>
        </w:rPr>
        <w:t>and $(1,290) thousand of foreign currency translation adjustments. For the year ended December 31, 2023, accumulated depreciation and amortization expense included $(167) thousand of computer disposals and $54 thousand of foreign currency translation adjustments.</w:t>
      </w:r>
    </w:p>
    <w:p>
      <w:pPr>
        <w:spacing w:after="0" w:line="143" w:lineRule="exact"/>
        <w:rPr>
          <w:sz w:val="20"/>
          <w:szCs w:val="20"/>
          <w:color w:val="auto"/>
        </w:rPr>
      </w:pPr>
    </w:p>
    <w:p>
      <w:pPr>
        <w:ind w:left="20" w:right="20" w:firstLine="463"/>
        <w:spacing w:after="0" w:line="278" w:lineRule="auto"/>
        <w:rPr>
          <w:sz w:val="20"/>
          <w:szCs w:val="20"/>
          <w:color w:val="auto"/>
        </w:rPr>
      </w:pPr>
      <w:r>
        <w:rPr>
          <w:rFonts w:ascii="Arial" w:cs="Arial" w:eastAsia="Arial" w:hAnsi="Arial"/>
          <w:sz w:val="19"/>
          <w:szCs w:val="19"/>
          <w:color w:val="231F20"/>
        </w:rPr>
        <w:t>Depreciation of property and equipment and amortization of internal-used software was $5.1 million, $4.2 million and $3.2 million for the years ended December 31, 2024, 2023 and 2022, respectively.</w:t>
      </w:r>
    </w:p>
    <w:p>
      <w:pPr>
        <w:spacing w:after="0" w:line="117" w:lineRule="exact"/>
        <w:rPr>
          <w:sz w:val="20"/>
          <w:szCs w:val="20"/>
          <w:color w:val="auto"/>
        </w:rPr>
      </w:pPr>
    </w:p>
    <w:p>
      <w:pPr>
        <w:ind w:left="20" w:right="480" w:firstLine="463"/>
        <w:spacing w:after="0" w:line="278" w:lineRule="auto"/>
        <w:rPr>
          <w:sz w:val="20"/>
          <w:szCs w:val="20"/>
          <w:color w:val="auto"/>
        </w:rPr>
      </w:pPr>
      <w:r>
        <w:rPr>
          <w:rFonts w:ascii="Arial" w:cs="Arial" w:eastAsia="Arial" w:hAnsi="Arial"/>
          <w:sz w:val="19"/>
          <w:szCs w:val="19"/>
          <w:color w:val="231F20"/>
        </w:rPr>
        <w:t>The Company capitalized $5.2 million and $5.0 million in costs related to internal-use software during the years ended December 31, 2024 and 2023.</w:t>
      </w:r>
    </w:p>
    <w:p>
      <w:pPr>
        <w:sectPr>
          <w:pgSz w:w="12240" w:h="15840" w:orient="portrait"/>
          <w:cols w:equalWidth="0" w:num="1">
            <w:col w:w="10220"/>
          </w:cols>
          <w:pgMar w:left="1000" w:top="1440" w:right="1020" w:bottom="572"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132</w:t>
      </w:r>
    </w:p>
    <w:p>
      <w:pPr>
        <w:sectPr>
          <w:pgSz w:w="12240" w:h="15840" w:orient="portrait"/>
          <w:cols w:equalWidth="0" w:num="1">
            <w:col w:w="10220"/>
          </w:cols>
          <w:pgMar w:left="1000" w:top="1440" w:right="1020" w:bottom="572" w:gutter="0" w:footer="0" w:header="0"/>
          <w:type w:val="continuous"/>
        </w:sectPr>
      </w:pPr>
    </w:p>
    <w:bookmarkStart w:id="133" w:name="page134"/>
    <w:bookmarkEnd w:id="133"/>
    <w:p>
      <w:pPr>
        <w:spacing w:after="0" w:line="97"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As of December 31, 2024 and 2023, the carrying value of internal-used software was $15.4 million and $12.7 million, respectively. Amortization expense related to internal-used software was $3.6 million, $2.9 million and $1.6 million for the years ended December 31, 2024, 2023 and 2022,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Geographic Information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The following table summarizes the Company’s property and equipment, net based on geography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40" w:type="dxa"/>
            <w:vAlign w:val="bottom"/>
            <w:tcBorders>
              <w:bottom w:val="single" w:sz="8" w:color="FDFDFC"/>
            </w:tcBorders>
            <w:shd w:val="clear" w:color="auto" w:fill="FDFDFC"/>
          </w:tcPr>
          <w:p>
            <w:pPr>
              <w:spacing w:after="0"/>
              <w:rPr>
                <w:sz w:val="16"/>
                <w:szCs w:val="16"/>
                <w:color w:val="auto"/>
              </w:rPr>
            </w:pPr>
          </w:p>
        </w:tc>
        <w:tc>
          <w:tcPr>
            <w:tcW w:w="160" w:type="dxa"/>
            <w:vAlign w:val="bottom"/>
            <w:tcBorders>
              <w:bottom w:val="single" w:sz="8" w:color="FDFDFC"/>
            </w:tcBorders>
            <w:shd w:val="clear" w:color="auto" w:fill="FDFDFC"/>
          </w:tcPr>
          <w:p>
            <w:pPr>
              <w:spacing w:after="0"/>
              <w:rPr>
                <w:sz w:val="16"/>
                <w:szCs w:val="16"/>
                <w:color w:val="auto"/>
              </w:rPr>
            </w:pPr>
          </w:p>
        </w:tc>
        <w:tc>
          <w:tcPr>
            <w:tcW w:w="320" w:type="dxa"/>
            <w:vAlign w:val="bottom"/>
            <w:tcBorders>
              <w:bottom w:val="single" w:sz="8" w:color="231F20"/>
            </w:tcBorders>
            <w:shd w:val="clear" w:color="auto" w:fill="FDFDFC"/>
          </w:tcPr>
          <w:p>
            <w:pPr>
              <w:spacing w:after="0"/>
              <w:rPr>
                <w:sz w:val="16"/>
                <w:szCs w:val="16"/>
                <w:color w:val="auto"/>
              </w:rPr>
            </w:pPr>
          </w:p>
        </w:tc>
        <w:tc>
          <w:tcPr>
            <w:tcW w:w="1800" w:type="dxa"/>
            <w:vAlign w:val="bottom"/>
            <w:tcBorders>
              <w:bottom w:val="single" w:sz="8" w:color="231F20"/>
            </w:tcBorders>
            <w:gridSpan w:val="3"/>
            <w:shd w:val="clear" w:color="auto" w:fill="FDFDFC"/>
          </w:tcPr>
          <w:p>
            <w:pPr>
              <w:jc w:val="right"/>
              <w:spacing w:after="0"/>
              <w:rPr>
                <w:sz w:val="20"/>
                <w:szCs w:val="20"/>
                <w:color w:val="auto"/>
              </w:rPr>
            </w:pPr>
            <w:r>
              <w:rPr>
                <w:rFonts w:ascii="Arial" w:cs="Arial" w:eastAsia="Arial" w:hAnsi="Arial"/>
                <w:sz w:val="15"/>
                <w:szCs w:val="15"/>
                <w:b w:val="1"/>
                <w:bCs w:val="1"/>
                <w:color w:val="231F20"/>
              </w:rPr>
              <w:t>December 31,</w:t>
            </w:r>
          </w:p>
        </w:tc>
        <w:tc>
          <w:tcPr>
            <w:tcW w:w="98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r>
      <w:tr>
        <w:trPr>
          <w:trHeight w:val="176"/>
        </w:trPr>
        <w:tc>
          <w:tcPr>
            <w:tcW w:w="6840" w:type="dxa"/>
            <w:vAlign w:val="bottom"/>
            <w:tcBorders>
              <w:bottom w:val="single" w:sz="8" w:color="D0EBF2"/>
            </w:tcBorders>
            <w:shd w:val="clear" w:color="auto" w:fill="FDFDFC"/>
          </w:tcPr>
          <w:p>
            <w:pPr>
              <w:spacing w:after="0"/>
              <w:rPr>
                <w:sz w:val="15"/>
                <w:szCs w:val="15"/>
                <w:color w:val="auto"/>
              </w:rPr>
            </w:pPr>
          </w:p>
        </w:tc>
        <w:tc>
          <w:tcPr>
            <w:tcW w:w="160" w:type="dxa"/>
            <w:vAlign w:val="bottom"/>
            <w:tcBorders>
              <w:bottom w:val="single" w:sz="8" w:color="D0EBF2"/>
            </w:tcBorders>
            <w:shd w:val="clear" w:color="auto" w:fill="FDFDFC"/>
          </w:tcPr>
          <w:p>
            <w:pPr>
              <w:spacing w:after="0"/>
              <w:rPr>
                <w:sz w:val="15"/>
                <w:szCs w:val="15"/>
                <w:color w:val="auto"/>
              </w:rPr>
            </w:pPr>
          </w:p>
        </w:tc>
        <w:tc>
          <w:tcPr>
            <w:tcW w:w="320" w:type="dxa"/>
            <w:vAlign w:val="bottom"/>
            <w:tcBorders>
              <w:bottom w:val="single" w:sz="8" w:color="231F20"/>
            </w:tcBorders>
            <w:shd w:val="clear" w:color="auto" w:fill="FDFDFC"/>
          </w:tcPr>
          <w:p>
            <w:pPr>
              <w:spacing w:after="0"/>
              <w:rPr>
                <w:sz w:val="15"/>
                <w:szCs w:val="15"/>
                <w:color w:val="auto"/>
              </w:rPr>
            </w:pPr>
          </w:p>
        </w:tc>
        <w:tc>
          <w:tcPr>
            <w:tcW w:w="1100" w:type="dxa"/>
            <w:vAlign w:val="bottom"/>
            <w:tcBorders>
              <w:bottom w:val="single" w:sz="8" w:color="231F20"/>
            </w:tcBorders>
            <w:shd w:val="clear" w:color="auto" w:fill="FDFDFC"/>
          </w:tcPr>
          <w:p>
            <w:pPr>
              <w:jc w:val="right"/>
              <w:ind w:right="472"/>
              <w:spacing w:after="0"/>
              <w:rPr>
                <w:sz w:val="20"/>
                <w:szCs w:val="20"/>
                <w:color w:val="auto"/>
              </w:rPr>
            </w:pPr>
            <w:r>
              <w:rPr>
                <w:rFonts w:ascii="Arial" w:cs="Arial" w:eastAsia="Arial" w:hAnsi="Arial"/>
                <w:sz w:val="15"/>
                <w:szCs w:val="15"/>
                <w:b w:val="1"/>
                <w:bCs w:val="1"/>
                <w:color w:val="231F20"/>
              </w:rPr>
              <w:t>2024</w:t>
            </w:r>
          </w:p>
        </w:tc>
        <w:tc>
          <w:tcPr>
            <w:tcW w:w="260" w:type="dxa"/>
            <w:vAlign w:val="bottom"/>
            <w:tcBorders>
              <w:bottom w:val="single" w:sz="8" w:color="D0EBF2"/>
            </w:tcBorders>
            <w:shd w:val="clear" w:color="auto" w:fill="FDFDFC"/>
          </w:tcPr>
          <w:p>
            <w:pPr>
              <w:spacing w:after="0"/>
              <w:rPr>
                <w:sz w:val="15"/>
                <w:szCs w:val="15"/>
                <w:color w:val="auto"/>
              </w:rPr>
            </w:pPr>
          </w:p>
        </w:tc>
        <w:tc>
          <w:tcPr>
            <w:tcW w:w="440" w:type="dxa"/>
            <w:vAlign w:val="bottom"/>
            <w:tcBorders>
              <w:bottom w:val="single" w:sz="8" w:color="231F20"/>
            </w:tcBorders>
            <w:shd w:val="clear" w:color="auto" w:fill="FDFDFC"/>
          </w:tcPr>
          <w:p>
            <w:pPr>
              <w:spacing w:after="0"/>
              <w:rPr>
                <w:sz w:val="15"/>
                <w:szCs w:val="15"/>
                <w:color w:val="auto"/>
              </w:rPr>
            </w:pPr>
          </w:p>
        </w:tc>
        <w:tc>
          <w:tcPr>
            <w:tcW w:w="980" w:type="dxa"/>
            <w:vAlign w:val="bottom"/>
            <w:tcBorders>
              <w:bottom w:val="single" w:sz="8" w:color="231F20"/>
            </w:tcBorders>
            <w:shd w:val="clear" w:color="auto" w:fill="FDFDFC"/>
          </w:tcPr>
          <w:p>
            <w:pPr>
              <w:jc w:val="right"/>
              <w:ind w:right="449"/>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bottom w:val="single" w:sz="8" w:color="D0EBF2"/>
            </w:tcBorders>
            <w:shd w:val="clear" w:color="auto" w:fill="FDFDFC"/>
          </w:tcPr>
          <w:p>
            <w:pPr>
              <w:spacing w:after="0"/>
              <w:rPr>
                <w:sz w:val="15"/>
                <w:szCs w:val="15"/>
                <w:color w:val="auto"/>
              </w:rPr>
            </w:pPr>
          </w:p>
        </w:tc>
      </w:tr>
      <w:tr>
        <w:trPr>
          <w:trHeight w:val="220"/>
        </w:trPr>
        <w:tc>
          <w:tcPr>
            <w:tcW w:w="6840" w:type="dxa"/>
            <w:vAlign w:val="bottom"/>
            <w:shd w:val="clear" w:color="auto" w:fill="D0EBF2"/>
          </w:tcPr>
          <w:p>
            <w:pPr>
              <w:spacing w:after="0"/>
              <w:rPr>
                <w:sz w:val="20"/>
                <w:szCs w:val="20"/>
                <w:color w:val="auto"/>
              </w:rPr>
            </w:pPr>
            <w:r>
              <w:rPr>
                <w:rFonts w:ascii="Arial" w:cs="Arial" w:eastAsia="Arial" w:hAnsi="Arial"/>
                <w:sz w:val="19"/>
                <w:szCs w:val="19"/>
                <w:color w:val="231F20"/>
              </w:rPr>
              <w:t>Long-lived assets:</w:t>
            </w:r>
          </w:p>
        </w:tc>
        <w:tc>
          <w:tcPr>
            <w:tcW w:w="160" w:type="dxa"/>
            <w:vAlign w:val="bottom"/>
            <w:shd w:val="clear" w:color="auto" w:fill="D0EBF2"/>
          </w:tcPr>
          <w:p>
            <w:pPr>
              <w:spacing w:after="0"/>
              <w:rPr>
                <w:sz w:val="19"/>
                <w:szCs w:val="19"/>
                <w:color w:val="auto"/>
              </w:rPr>
            </w:pPr>
          </w:p>
        </w:tc>
        <w:tc>
          <w:tcPr>
            <w:tcW w:w="320" w:type="dxa"/>
            <w:vAlign w:val="bottom"/>
            <w:shd w:val="clear" w:color="auto" w:fill="D0EBF2"/>
          </w:tcPr>
          <w:p>
            <w:pPr>
              <w:spacing w:after="0"/>
              <w:rPr>
                <w:sz w:val="19"/>
                <w:szCs w:val="19"/>
                <w:color w:val="auto"/>
              </w:rPr>
            </w:pPr>
          </w:p>
        </w:tc>
        <w:tc>
          <w:tcPr>
            <w:tcW w:w="1100" w:type="dxa"/>
            <w:vAlign w:val="bottom"/>
            <w:shd w:val="clear" w:color="auto" w:fill="D0EBF2"/>
          </w:tcPr>
          <w:p>
            <w:pPr>
              <w:spacing w:after="0"/>
              <w:rPr>
                <w:sz w:val="19"/>
                <w:szCs w:val="19"/>
                <w:color w:val="auto"/>
              </w:rPr>
            </w:pPr>
          </w:p>
        </w:tc>
        <w:tc>
          <w:tcPr>
            <w:tcW w:w="260" w:type="dxa"/>
            <w:vAlign w:val="bottom"/>
            <w:shd w:val="clear" w:color="auto" w:fill="D0EBF2"/>
          </w:tcPr>
          <w:p>
            <w:pPr>
              <w:spacing w:after="0"/>
              <w:rPr>
                <w:sz w:val="19"/>
                <w:szCs w:val="19"/>
                <w:color w:val="auto"/>
              </w:rPr>
            </w:pPr>
          </w:p>
        </w:tc>
        <w:tc>
          <w:tcPr>
            <w:tcW w:w="440" w:type="dxa"/>
            <w:vAlign w:val="bottom"/>
            <w:shd w:val="clear" w:color="auto" w:fill="D0EBF2"/>
          </w:tcPr>
          <w:p>
            <w:pPr>
              <w:spacing w:after="0"/>
              <w:rPr>
                <w:sz w:val="19"/>
                <w:szCs w:val="19"/>
                <w:color w:val="auto"/>
              </w:rPr>
            </w:pPr>
          </w:p>
        </w:tc>
        <w:tc>
          <w:tcPr>
            <w:tcW w:w="98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r>
      <w:tr>
        <w:trPr>
          <w:trHeight w:val="230"/>
        </w:trPr>
        <w:tc>
          <w:tcPr>
            <w:tcW w:w="6840" w:type="dxa"/>
            <w:vAlign w:val="bottom"/>
            <w:shd w:val="clear" w:color="auto" w:fill="FDFDFC"/>
          </w:tcPr>
          <w:p>
            <w:pPr>
              <w:spacing w:after="0"/>
              <w:rPr>
                <w:sz w:val="20"/>
                <w:szCs w:val="20"/>
                <w:color w:val="auto"/>
              </w:rPr>
            </w:pPr>
            <w:r>
              <w:rPr>
                <w:rFonts w:ascii="Arial" w:cs="Arial" w:eastAsia="Arial" w:hAnsi="Arial"/>
                <w:sz w:val="19"/>
                <w:szCs w:val="19"/>
                <w:color w:val="231F20"/>
              </w:rPr>
              <w:t>U.S.</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15,903</w:t>
            </w:r>
          </w:p>
        </w:tc>
        <w:tc>
          <w:tcPr>
            <w:tcW w:w="260" w:type="dxa"/>
            <w:vAlign w:val="bottom"/>
            <w:shd w:val="clear" w:color="auto" w:fill="FDFDFC"/>
          </w:tcPr>
          <w:p>
            <w:pPr>
              <w:spacing w:after="0"/>
              <w:rPr>
                <w:sz w:val="20"/>
                <w:szCs w:val="20"/>
                <w:color w:val="auto"/>
              </w:rPr>
            </w:pPr>
          </w:p>
        </w:tc>
        <w:tc>
          <w:tcPr>
            <w:tcW w:w="440" w:type="dxa"/>
            <w:vAlign w:val="bottom"/>
            <w:shd w:val="clear" w:color="auto" w:fill="FDFDFC"/>
          </w:tcPr>
          <w:p>
            <w:pPr>
              <w:jc w:val="right"/>
              <w:ind w:right="246"/>
              <w:spacing w:after="0"/>
              <w:rPr>
                <w:sz w:val="20"/>
                <w:szCs w:val="20"/>
                <w:color w:val="auto"/>
              </w:rPr>
            </w:pPr>
            <w:r>
              <w:rPr>
                <w:rFonts w:ascii="Arial" w:cs="Arial" w:eastAsia="Arial" w:hAnsi="Arial"/>
                <w:sz w:val="19"/>
                <w:szCs w:val="19"/>
                <w:color w:val="231F20"/>
                <w:w w:val="75"/>
              </w:rPr>
              <w:t>$</w:t>
            </w:r>
          </w:p>
        </w:tc>
        <w:tc>
          <w:tcPr>
            <w:tcW w:w="9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13,503</w:t>
            </w:r>
          </w:p>
        </w:tc>
        <w:tc>
          <w:tcPr>
            <w:tcW w:w="100" w:type="dxa"/>
            <w:vAlign w:val="bottom"/>
            <w:shd w:val="clear" w:color="auto" w:fill="FDFDFC"/>
          </w:tcPr>
          <w:p>
            <w:pPr>
              <w:spacing w:after="0"/>
              <w:rPr>
                <w:sz w:val="20"/>
                <w:szCs w:val="20"/>
                <w:color w:val="auto"/>
              </w:rPr>
            </w:pPr>
          </w:p>
        </w:tc>
      </w:tr>
      <w:tr>
        <w:trPr>
          <w:trHeight w:val="230"/>
        </w:trPr>
        <w:tc>
          <w:tcPr>
            <w:tcW w:w="6840" w:type="dxa"/>
            <w:vAlign w:val="bottom"/>
            <w:shd w:val="clear" w:color="auto" w:fill="D0EBF2"/>
          </w:tcPr>
          <w:p>
            <w:pPr>
              <w:spacing w:after="0"/>
              <w:rPr>
                <w:sz w:val="20"/>
                <w:szCs w:val="20"/>
                <w:color w:val="auto"/>
              </w:rPr>
            </w:pPr>
            <w:r>
              <w:rPr>
                <w:rFonts w:ascii="Arial" w:cs="Arial" w:eastAsia="Arial" w:hAnsi="Arial"/>
                <w:sz w:val="19"/>
                <w:szCs w:val="19"/>
                <w:color w:val="231F20"/>
              </w:rPr>
              <w:t>U.K.</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53</w:t>
            </w:r>
          </w:p>
        </w:tc>
        <w:tc>
          <w:tcPr>
            <w:tcW w:w="26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105</w:t>
            </w:r>
          </w:p>
        </w:tc>
        <w:tc>
          <w:tcPr>
            <w:tcW w:w="100" w:type="dxa"/>
            <w:vAlign w:val="bottom"/>
            <w:shd w:val="clear" w:color="auto" w:fill="D0EBF2"/>
          </w:tcPr>
          <w:p>
            <w:pPr>
              <w:spacing w:after="0"/>
              <w:rPr>
                <w:sz w:val="20"/>
                <w:szCs w:val="20"/>
                <w:color w:val="auto"/>
              </w:rPr>
            </w:pPr>
          </w:p>
        </w:tc>
      </w:tr>
      <w:tr>
        <w:trPr>
          <w:trHeight w:val="230"/>
        </w:trPr>
        <w:tc>
          <w:tcPr>
            <w:tcW w:w="684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9"/>
                <w:szCs w:val="19"/>
                <w:color w:val="231F20"/>
              </w:rPr>
              <w:t>Other countries</w:t>
            </w:r>
          </w:p>
        </w:tc>
        <w:tc>
          <w:tcPr>
            <w:tcW w:w="160" w:type="dxa"/>
            <w:vAlign w:val="bottom"/>
            <w:tcBorders>
              <w:bottom w:val="single" w:sz="8" w:color="D0EBF2"/>
            </w:tcBorders>
            <w:shd w:val="clear" w:color="auto" w:fill="FDFDFC"/>
          </w:tcPr>
          <w:p>
            <w:pPr>
              <w:spacing w:after="0"/>
              <w:rPr>
                <w:sz w:val="20"/>
                <w:szCs w:val="20"/>
                <w:color w:val="auto"/>
              </w:rPr>
            </w:pPr>
          </w:p>
        </w:tc>
        <w:tc>
          <w:tcPr>
            <w:tcW w:w="320" w:type="dxa"/>
            <w:vAlign w:val="bottom"/>
            <w:tcBorders>
              <w:bottom w:val="single" w:sz="8" w:color="231F20"/>
            </w:tcBorders>
            <w:shd w:val="clear" w:color="auto" w:fill="FDFDFC"/>
          </w:tcPr>
          <w:p>
            <w:pPr>
              <w:spacing w:after="0"/>
              <w:rPr>
                <w:sz w:val="20"/>
                <w:szCs w:val="20"/>
                <w:color w:val="auto"/>
              </w:rPr>
            </w:pPr>
          </w:p>
        </w:tc>
        <w:tc>
          <w:tcPr>
            <w:tcW w:w="11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1,204</w:t>
            </w:r>
          </w:p>
        </w:tc>
        <w:tc>
          <w:tcPr>
            <w:tcW w:w="260" w:type="dxa"/>
            <w:vAlign w:val="bottom"/>
            <w:tcBorders>
              <w:bottom w:val="single" w:sz="8" w:color="D0EBF2"/>
            </w:tcBorders>
            <w:shd w:val="clear" w:color="auto" w:fill="FDFDFC"/>
          </w:tcPr>
          <w:p>
            <w:pPr>
              <w:spacing w:after="0"/>
              <w:rPr>
                <w:sz w:val="20"/>
                <w:szCs w:val="20"/>
                <w:color w:val="auto"/>
              </w:rPr>
            </w:pPr>
          </w:p>
        </w:tc>
        <w:tc>
          <w:tcPr>
            <w:tcW w:w="440" w:type="dxa"/>
            <w:vAlign w:val="bottom"/>
            <w:tcBorders>
              <w:bottom w:val="single" w:sz="8" w:color="231F20"/>
            </w:tcBorders>
            <w:shd w:val="clear" w:color="auto" w:fill="FDFDFC"/>
          </w:tcPr>
          <w:p>
            <w:pPr>
              <w:spacing w:after="0"/>
              <w:rPr>
                <w:sz w:val="20"/>
                <w:szCs w:val="20"/>
                <w:color w:val="auto"/>
              </w:rPr>
            </w:pPr>
          </w:p>
        </w:tc>
        <w:tc>
          <w:tcPr>
            <w:tcW w:w="9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1,526</w:t>
            </w:r>
          </w:p>
        </w:tc>
        <w:tc>
          <w:tcPr>
            <w:tcW w:w="100" w:type="dxa"/>
            <w:vAlign w:val="bottom"/>
            <w:tcBorders>
              <w:bottom w:val="single" w:sz="8" w:color="D0EBF2"/>
            </w:tcBorders>
            <w:shd w:val="clear" w:color="auto" w:fill="FDFDFC"/>
          </w:tcPr>
          <w:p>
            <w:pPr>
              <w:spacing w:after="0"/>
              <w:rPr>
                <w:sz w:val="20"/>
                <w:szCs w:val="20"/>
                <w:color w:val="auto"/>
              </w:rPr>
            </w:pPr>
          </w:p>
        </w:tc>
      </w:tr>
      <w:tr>
        <w:trPr>
          <w:trHeight w:val="220"/>
        </w:trPr>
        <w:tc>
          <w:tcPr>
            <w:tcW w:w="6840" w:type="dxa"/>
            <w:vAlign w:val="bottom"/>
            <w:shd w:val="clear" w:color="auto" w:fill="D0EBF2"/>
          </w:tcPr>
          <w:p>
            <w:pPr>
              <w:spacing w:after="0"/>
              <w:rPr>
                <w:sz w:val="19"/>
                <w:szCs w:val="19"/>
                <w:color w:val="auto"/>
              </w:rPr>
            </w:pPr>
          </w:p>
        </w:tc>
        <w:tc>
          <w:tcPr>
            <w:tcW w:w="160" w:type="dxa"/>
            <w:vAlign w:val="bottom"/>
            <w:shd w:val="clear" w:color="auto" w:fill="D0EBF2"/>
          </w:tcPr>
          <w:p>
            <w:pPr>
              <w:spacing w:after="0"/>
              <w:rPr>
                <w:sz w:val="19"/>
                <w:szCs w:val="19"/>
                <w:color w:val="auto"/>
              </w:rPr>
            </w:pPr>
          </w:p>
        </w:tc>
        <w:tc>
          <w:tcPr>
            <w:tcW w:w="320" w:type="dxa"/>
            <w:vAlign w:val="bottom"/>
            <w:tcBorders>
              <w:bottom w:val="single" w:sz="8" w:color="231F20"/>
            </w:tcBorders>
            <w:shd w:val="clear" w:color="auto" w:fill="D0EBF2"/>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17,160</w:t>
            </w:r>
          </w:p>
        </w:tc>
        <w:tc>
          <w:tcPr>
            <w:tcW w:w="260" w:type="dxa"/>
            <w:vAlign w:val="bottom"/>
            <w:shd w:val="clear" w:color="auto" w:fill="D0EBF2"/>
          </w:tcPr>
          <w:p>
            <w:pPr>
              <w:spacing w:after="0"/>
              <w:rPr>
                <w:sz w:val="19"/>
                <w:szCs w:val="19"/>
                <w:color w:val="auto"/>
              </w:rPr>
            </w:pPr>
          </w:p>
        </w:tc>
        <w:tc>
          <w:tcPr>
            <w:tcW w:w="440" w:type="dxa"/>
            <w:vAlign w:val="bottom"/>
            <w:tcBorders>
              <w:bottom w:val="single" w:sz="8" w:color="231F20"/>
            </w:tcBorders>
            <w:shd w:val="clear" w:color="auto" w:fill="D0EBF2"/>
          </w:tcPr>
          <w:p>
            <w:pPr>
              <w:jc w:val="right"/>
              <w:ind w:right="246"/>
              <w:spacing w:after="0"/>
              <w:rPr>
                <w:sz w:val="20"/>
                <w:szCs w:val="20"/>
                <w:color w:val="auto"/>
              </w:rPr>
            </w:pPr>
            <w:r>
              <w:rPr>
                <w:rFonts w:ascii="Arial" w:cs="Arial" w:eastAsia="Arial" w:hAnsi="Arial"/>
                <w:sz w:val="19"/>
                <w:szCs w:val="19"/>
                <w:color w:val="231F20"/>
                <w:w w:val="75"/>
              </w:rPr>
              <w:t>$</w:t>
            </w:r>
          </w:p>
        </w:tc>
        <w:tc>
          <w:tcPr>
            <w:tcW w:w="98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15,134</w:t>
            </w:r>
          </w:p>
        </w:tc>
        <w:tc>
          <w:tcPr>
            <w:tcW w:w="100" w:type="dxa"/>
            <w:vAlign w:val="bottom"/>
            <w:shd w:val="clear" w:color="auto" w:fill="D0EBF2"/>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Note 9. Business Combinations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Invoiced</w:t>
      </w:r>
    </w:p>
    <w:p>
      <w:pPr>
        <w:spacing w:after="0" w:line="184" w:lineRule="exact"/>
        <w:rPr>
          <w:sz w:val="20"/>
          <w:szCs w:val="20"/>
          <w:color w:val="auto"/>
        </w:rPr>
      </w:pPr>
    </w:p>
    <w:p>
      <w:pPr>
        <w:ind w:right="60" w:firstLine="463"/>
        <w:spacing w:after="0" w:line="270" w:lineRule="auto"/>
        <w:rPr>
          <w:sz w:val="20"/>
          <w:szCs w:val="20"/>
          <w:color w:val="auto"/>
        </w:rPr>
      </w:pPr>
      <w:r>
        <w:rPr>
          <w:rFonts w:ascii="Arial" w:cs="Arial" w:eastAsia="Arial" w:hAnsi="Arial"/>
          <w:sz w:val="18"/>
          <w:szCs w:val="18"/>
          <w:color w:val="231F20"/>
        </w:rPr>
        <w:t>On August 2, 2024, Flywire acquired all of the issued and outstanding shares of Invoiced, a U.S.-based SaaS B2B company that provides accounts receivable software that automates all aspects of billing, collections, payments, reporting and forecasting within a single online platform. The acquisition of Invoiced was intended to accelerate the Company's global expansion in its B2B vertical. The acquisition of Invoiced has been accounted for as a business combination.</w:t>
      </w:r>
    </w:p>
    <w:p>
      <w:pPr>
        <w:spacing w:after="0" w:line="126" w:lineRule="exact"/>
        <w:rPr>
          <w:sz w:val="20"/>
          <w:szCs w:val="20"/>
          <w:color w:val="auto"/>
        </w:rPr>
      </w:pPr>
    </w:p>
    <w:p>
      <w:pPr>
        <w:ind w:right="120" w:firstLine="463"/>
        <w:spacing w:after="0" w:line="248" w:lineRule="auto"/>
        <w:rPr>
          <w:sz w:val="20"/>
          <w:szCs w:val="20"/>
          <w:color w:val="auto"/>
        </w:rPr>
      </w:pPr>
      <w:r>
        <w:rPr>
          <w:rFonts w:ascii="Arial" w:cs="Arial" w:eastAsia="Arial" w:hAnsi="Arial"/>
          <w:sz w:val="19"/>
          <w:szCs w:val="19"/>
          <w:color w:val="231F20"/>
        </w:rPr>
        <w:t>During the fourth quarter of 2024, the cash consideration, net of cash acquired and the purchase price allocation was adjusted to reflect a working capital true-up. This resulted in a $0.1 million decrease in the cash consideration, net of cash acquired and a $0.1 million decrease to goodwill from the quarter ended September 30, 2024 to the year ended December 31, 2024. The adjusted purchase price allocation is reflected in the consolidated balance sheet as of December 31, 2024 and purchase price allocation below.</w:t>
      </w:r>
    </w:p>
    <w:p>
      <w:pPr>
        <w:spacing w:after="0" w:line="146" w:lineRule="exact"/>
        <w:rPr>
          <w:sz w:val="20"/>
          <w:szCs w:val="20"/>
          <w:color w:val="auto"/>
        </w:rPr>
      </w:pPr>
    </w:p>
    <w:p>
      <w:pPr>
        <w:ind w:right="260" w:firstLine="463"/>
        <w:spacing w:after="0" w:line="258" w:lineRule="auto"/>
        <w:rPr>
          <w:sz w:val="20"/>
          <w:szCs w:val="20"/>
          <w:color w:val="auto"/>
        </w:rPr>
      </w:pPr>
      <w:r>
        <w:rPr>
          <w:rFonts w:ascii="Arial" w:cs="Arial" w:eastAsia="Arial" w:hAnsi="Arial"/>
          <w:sz w:val="19"/>
          <w:szCs w:val="19"/>
          <w:color w:val="231F20"/>
        </w:rPr>
        <w:t>Pursuant to the terms of the business combination agreement, the Company acquired Invoiced for estimated total purchase consideration of approximately $53.2 million or $51.7 million, net of cash acquired, which consisted of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40" w:type="dxa"/>
            <w:vAlign w:val="bottom"/>
            <w:shd w:val="clear" w:color="auto" w:fill="D0EBF2"/>
          </w:tcPr>
          <w:p>
            <w:pPr>
              <w:spacing w:after="0"/>
              <w:rPr>
                <w:sz w:val="20"/>
                <w:szCs w:val="20"/>
                <w:color w:val="auto"/>
              </w:rPr>
            </w:pPr>
            <w:r>
              <w:rPr>
                <w:rFonts w:ascii="Arial" w:cs="Arial" w:eastAsia="Arial" w:hAnsi="Arial"/>
                <w:sz w:val="19"/>
                <w:szCs w:val="19"/>
                <w:color w:val="231F20"/>
              </w:rPr>
              <w:t>Cash consideration, net of cash acquired</w:t>
            </w:r>
          </w:p>
        </w:tc>
        <w:tc>
          <w:tcPr>
            <w:tcW w:w="600" w:type="dxa"/>
            <w:vAlign w:val="bottom"/>
            <w:shd w:val="clear" w:color="auto" w:fill="D0EBF2"/>
          </w:tcPr>
          <w:p>
            <w:pPr>
              <w:jc w:val="right"/>
              <w:ind w:right="386"/>
              <w:spacing w:after="0"/>
              <w:rPr>
                <w:sz w:val="20"/>
                <w:szCs w:val="20"/>
                <w:color w:val="auto"/>
              </w:rPr>
            </w:pPr>
            <w:r>
              <w:rPr>
                <w:rFonts w:ascii="Arial" w:cs="Arial" w:eastAsia="Arial" w:hAnsi="Arial"/>
                <w:sz w:val="19"/>
                <w:szCs w:val="19"/>
                <w:color w:val="231F20"/>
                <w:w w:val="94"/>
              </w:rPr>
              <w:t>$</w:t>
            </w:r>
          </w:p>
        </w:tc>
        <w:tc>
          <w:tcPr>
            <w:tcW w:w="10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47,229</w:t>
            </w:r>
          </w:p>
        </w:tc>
        <w:tc>
          <w:tcPr>
            <w:tcW w:w="100" w:type="dxa"/>
            <w:vAlign w:val="bottom"/>
            <w:shd w:val="clear" w:color="auto" w:fill="D0EBF2"/>
          </w:tcPr>
          <w:p>
            <w:pPr>
              <w:spacing w:after="0"/>
              <w:rPr>
                <w:sz w:val="19"/>
                <w:szCs w:val="19"/>
                <w:color w:val="auto"/>
              </w:rPr>
            </w:pPr>
          </w:p>
        </w:tc>
      </w:tr>
      <w:tr>
        <w:trPr>
          <w:trHeight w:val="217"/>
        </w:trPr>
        <w:tc>
          <w:tcPr>
            <w:tcW w:w="8440" w:type="dxa"/>
            <w:vAlign w:val="bottom"/>
            <w:tcBorders>
              <w:bottom w:val="single" w:sz="8" w:color="D0EBF2"/>
            </w:tcBorders>
            <w:shd w:val="clear" w:color="auto" w:fill="FDFDFC"/>
          </w:tcPr>
          <w:p>
            <w:pPr>
              <w:spacing w:after="0" w:line="217" w:lineRule="exact"/>
              <w:rPr>
                <w:sz w:val="20"/>
                <w:szCs w:val="20"/>
                <w:color w:val="auto"/>
              </w:rPr>
            </w:pPr>
            <w:r>
              <w:rPr>
                <w:rFonts w:ascii="Arial" w:cs="Arial" w:eastAsia="Arial" w:hAnsi="Arial"/>
                <w:sz w:val="19"/>
                <w:szCs w:val="19"/>
                <w:color w:val="231F20"/>
              </w:rPr>
              <w:t>Estimated fair value of contingent consideration</w:t>
            </w:r>
          </w:p>
        </w:tc>
        <w:tc>
          <w:tcPr>
            <w:tcW w:w="600" w:type="dxa"/>
            <w:vAlign w:val="bottom"/>
            <w:tcBorders>
              <w:bottom w:val="single" w:sz="8" w:color="231F20"/>
            </w:tcBorders>
            <w:shd w:val="clear" w:color="auto" w:fill="FDFDFC"/>
          </w:tcPr>
          <w:p>
            <w:pPr>
              <w:spacing w:after="0"/>
              <w:rPr>
                <w:sz w:val="18"/>
                <w:szCs w:val="18"/>
                <w:color w:val="auto"/>
              </w:rPr>
            </w:pPr>
          </w:p>
        </w:tc>
        <w:tc>
          <w:tcPr>
            <w:tcW w:w="1060" w:type="dxa"/>
            <w:vAlign w:val="bottom"/>
            <w:tcBorders>
              <w:bottom w:val="single" w:sz="8" w:color="231F20"/>
            </w:tcBorders>
            <w:shd w:val="clear" w:color="auto" w:fill="FDFDFC"/>
          </w:tcPr>
          <w:p>
            <w:pPr>
              <w:jc w:val="right"/>
              <w:spacing w:after="0" w:line="217" w:lineRule="exact"/>
              <w:rPr>
                <w:sz w:val="20"/>
                <w:szCs w:val="20"/>
                <w:color w:val="auto"/>
              </w:rPr>
            </w:pPr>
            <w:r>
              <w:rPr>
                <w:rFonts w:ascii="Arial" w:cs="Arial" w:eastAsia="Arial" w:hAnsi="Arial"/>
                <w:sz w:val="19"/>
                <w:szCs w:val="19"/>
                <w:color w:val="231F20"/>
              </w:rPr>
              <w:t>4,508</w:t>
            </w:r>
          </w:p>
        </w:tc>
        <w:tc>
          <w:tcPr>
            <w:tcW w:w="100" w:type="dxa"/>
            <w:vAlign w:val="bottom"/>
            <w:tcBorders>
              <w:bottom w:val="single" w:sz="8" w:color="D0EBF2"/>
            </w:tcBorders>
            <w:shd w:val="clear" w:color="auto" w:fill="FDFDFC"/>
          </w:tcPr>
          <w:p>
            <w:pPr>
              <w:spacing w:after="0"/>
              <w:rPr>
                <w:sz w:val="18"/>
                <w:szCs w:val="18"/>
                <w:color w:val="auto"/>
              </w:rPr>
            </w:pPr>
          </w:p>
        </w:tc>
      </w:tr>
      <w:tr>
        <w:trPr>
          <w:trHeight w:val="207"/>
        </w:trPr>
        <w:tc>
          <w:tcPr>
            <w:tcW w:w="8440" w:type="dxa"/>
            <w:vAlign w:val="bottom"/>
            <w:shd w:val="clear" w:color="auto" w:fill="D0EBF2"/>
          </w:tcPr>
          <w:p>
            <w:pPr>
              <w:ind w:left="260"/>
              <w:spacing w:after="0" w:line="207" w:lineRule="exact"/>
              <w:rPr>
                <w:sz w:val="20"/>
                <w:szCs w:val="20"/>
                <w:color w:val="auto"/>
              </w:rPr>
            </w:pPr>
            <w:r>
              <w:rPr>
                <w:rFonts w:ascii="Arial" w:cs="Arial" w:eastAsia="Arial" w:hAnsi="Arial"/>
                <w:sz w:val="19"/>
                <w:szCs w:val="19"/>
                <w:color w:val="231F20"/>
              </w:rPr>
              <w:t>Total purchase consideration, net of cash acquired</w:t>
            </w:r>
          </w:p>
        </w:tc>
        <w:tc>
          <w:tcPr>
            <w:tcW w:w="600" w:type="dxa"/>
            <w:vAlign w:val="bottom"/>
            <w:tcBorders>
              <w:bottom w:val="single" w:sz="8" w:color="231F20"/>
            </w:tcBorders>
            <w:shd w:val="clear" w:color="auto" w:fill="D0EBF2"/>
          </w:tcPr>
          <w:p>
            <w:pPr>
              <w:jc w:val="right"/>
              <w:ind w:right="386"/>
              <w:spacing w:after="0" w:line="207" w:lineRule="exact"/>
              <w:rPr>
                <w:sz w:val="20"/>
                <w:szCs w:val="20"/>
                <w:color w:val="auto"/>
              </w:rPr>
            </w:pPr>
            <w:r>
              <w:rPr>
                <w:rFonts w:ascii="Arial" w:cs="Arial" w:eastAsia="Arial" w:hAnsi="Arial"/>
                <w:sz w:val="19"/>
                <w:szCs w:val="19"/>
                <w:color w:val="231F20"/>
                <w:w w:val="94"/>
              </w:rPr>
              <w:t>$</w:t>
            </w:r>
          </w:p>
        </w:tc>
        <w:tc>
          <w:tcPr>
            <w:tcW w:w="1060" w:type="dxa"/>
            <w:vAlign w:val="bottom"/>
            <w:tcBorders>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51,737</w:t>
            </w:r>
          </w:p>
        </w:tc>
        <w:tc>
          <w:tcPr>
            <w:tcW w:w="100" w:type="dxa"/>
            <w:vAlign w:val="bottom"/>
            <w:shd w:val="clear" w:color="auto" w:fill="D0EBF2"/>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40" w:firstLine="463"/>
        <w:spacing w:after="0" w:line="278" w:lineRule="auto"/>
        <w:rPr>
          <w:sz w:val="20"/>
          <w:szCs w:val="20"/>
          <w:color w:val="auto"/>
        </w:rPr>
      </w:pPr>
      <w:r>
        <w:rPr>
          <w:rFonts w:ascii="Arial" w:cs="Arial" w:eastAsia="Arial" w:hAnsi="Arial"/>
          <w:sz w:val="19"/>
          <w:szCs w:val="19"/>
          <w:color w:val="231F20"/>
        </w:rPr>
        <w:t>The purchase consideration includes $2.0 million of acquisition holdback payments payable on the first and second anniversary dates of the acquisition.</w:t>
      </w:r>
    </w:p>
    <w:p>
      <w:pPr>
        <w:spacing w:after="0" w:line="117" w:lineRule="exact"/>
        <w:rPr>
          <w:sz w:val="20"/>
          <w:szCs w:val="20"/>
          <w:color w:val="auto"/>
        </w:rPr>
      </w:pPr>
    </w:p>
    <w:p>
      <w:pPr>
        <w:ind w:right="60" w:firstLine="463"/>
        <w:spacing w:after="0" w:line="246" w:lineRule="auto"/>
        <w:rPr>
          <w:sz w:val="20"/>
          <w:szCs w:val="20"/>
          <w:color w:val="auto"/>
        </w:rPr>
      </w:pPr>
      <w:r>
        <w:rPr>
          <w:rFonts w:ascii="Arial" w:cs="Arial" w:eastAsia="Arial" w:hAnsi="Arial"/>
          <w:sz w:val="19"/>
          <w:szCs w:val="19"/>
          <w:color w:val="231F20"/>
        </w:rPr>
        <w:t>The business combination agreement provides for contingent consideration of up to $7.5 million, with an estimated fair value of $4.5 million on the date of acquisition, and represents additional payments that Flywire may be required to make in the future which are dependent upon the successful achievement of certain targets related to revenue and cross-selling of the Invoiced software as well as milestones related to the Invoiced software product and security and IT integration. During the year ended December 31, 2024, the Company made a contingent consideration payment of $1.1 million based on Invoiced's successful and timely achievement of the contracted milestones.</w:t>
      </w:r>
    </w:p>
    <w:p>
      <w:pPr>
        <w:spacing w:after="0" w:line="148" w:lineRule="exact"/>
        <w:rPr>
          <w:sz w:val="20"/>
          <w:szCs w:val="20"/>
          <w:color w:val="auto"/>
        </w:rPr>
      </w:pPr>
    </w:p>
    <w:p>
      <w:pPr>
        <w:ind w:right="280" w:firstLine="463"/>
        <w:spacing w:after="0" w:line="307" w:lineRule="auto"/>
        <w:rPr>
          <w:sz w:val="20"/>
          <w:szCs w:val="20"/>
          <w:color w:val="auto"/>
        </w:rPr>
      </w:pPr>
      <w:r>
        <w:rPr>
          <w:rFonts w:ascii="Arial" w:cs="Arial" w:eastAsia="Arial" w:hAnsi="Arial"/>
          <w:sz w:val="18"/>
          <w:szCs w:val="18"/>
          <w:color w:val="231F20"/>
        </w:rPr>
        <w:t>During the year ended December 31, 2024, the Company incurred $0.6 million in transaction costs, which are included in general and administrative expenses in the consolidated statements of operations and comprehensive loss.</w:t>
      </w:r>
    </w:p>
    <w:p>
      <w:pPr>
        <w:spacing w:after="0" w:line="94" w:lineRule="exact"/>
        <w:rPr>
          <w:sz w:val="20"/>
          <w:szCs w:val="20"/>
          <w:color w:val="auto"/>
        </w:rPr>
      </w:pPr>
    </w:p>
    <w:p>
      <w:pPr>
        <w:ind w:right="60" w:firstLine="463"/>
        <w:spacing w:after="0" w:line="278" w:lineRule="auto"/>
        <w:rPr>
          <w:sz w:val="20"/>
          <w:szCs w:val="20"/>
          <w:color w:val="auto"/>
        </w:rPr>
      </w:pPr>
      <w:r>
        <w:rPr>
          <w:rFonts w:ascii="Arial" w:cs="Arial" w:eastAsia="Arial" w:hAnsi="Arial"/>
          <w:sz w:val="19"/>
          <w:szCs w:val="19"/>
          <w:color w:val="231F20"/>
        </w:rPr>
        <w:t>The table summarizes the allocation of the purchase consideration to the assets acquired and liabilities assumed (in thousands):</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133</w:t>
      </w:r>
    </w:p>
    <w:p>
      <w:pPr>
        <w:sectPr>
          <w:pgSz w:w="12240" w:h="15840" w:orient="portrait"/>
          <w:cols w:equalWidth="0" w:num="1">
            <w:col w:w="10200"/>
          </w:cols>
          <w:pgMar w:left="1020" w:top="1440" w:right="1020" w:bottom="572" w:gutter="0" w:footer="0" w:header="0"/>
          <w:type w:val="continuous"/>
        </w:sectPr>
      </w:pPr>
    </w:p>
    <w:bookmarkStart w:id="134" w:name="page135"/>
    <w:bookmarkEnd w:id="134"/>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40" w:type="dxa"/>
            <w:vAlign w:val="bottom"/>
            <w:shd w:val="clear" w:color="auto" w:fill="D0EBF2"/>
          </w:tcPr>
          <w:p>
            <w:pPr>
              <w:spacing w:after="0"/>
              <w:rPr>
                <w:sz w:val="20"/>
                <w:szCs w:val="20"/>
                <w:color w:val="auto"/>
              </w:rPr>
            </w:pPr>
            <w:r>
              <w:rPr>
                <w:rFonts w:ascii="Arial" w:cs="Arial" w:eastAsia="Arial" w:hAnsi="Arial"/>
                <w:sz w:val="19"/>
                <w:szCs w:val="19"/>
                <w:color w:val="231F20"/>
              </w:rPr>
              <w:t>Cash</w:t>
            </w:r>
          </w:p>
        </w:tc>
        <w:tc>
          <w:tcPr>
            <w:tcW w:w="600" w:type="dxa"/>
            <w:vAlign w:val="bottom"/>
            <w:shd w:val="clear" w:color="auto" w:fill="D0EBF2"/>
          </w:tcPr>
          <w:p>
            <w:pPr>
              <w:jc w:val="right"/>
              <w:ind w:right="386"/>
              <w:spacing w:after="0"/>
              <w:rPr>
                <w:sz w:val="20"/>
                <w:szCs w:val="20"/>
                <w:color w:val="auto"/>
              </w:rPr>
            </w:pPr>
            <w:r>
              <w:rPr>
                <w:rFonts w:ascii="Arial" w:cs="Arial" w:eastAsia="Arial" w:hAnsi="Arial"/>
                <w:sz w:val="19"/>
                <w:szCs w:val="19"/>
                <w:color w:val="231F20"/>
                <w:w w:val="94"/>
              </w:rPr>
              <w:t>$</w:t>
            </w:r>
          </w:p>
        </w:tc>
        <w:tc>
          <w:tcPr>
            <w:tcW w:w="10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1,418</w:t>
            </w:r>
          </w:p>
        </w:tc>
        <w:tc>
          <w:tcPr>
            <w:tcW w:w="100" w:type="dxa"/>
            <w:vAlign w:val="bottom"/>
            <w:shd w:val="clear" w:color="auto" w:fill="D0EBF2"/>
          </w:tcPr>
          <w:p>
            <w:pPr>
              <w:spacing w:after="0"/>
              <w:rPr>
                <w:sz w:val="18"/>
                <w:szCs w:val="18"/>
                <w:color w:val="auto"/>
              </w:rPr>
            </w:pPr>
          </w:p>
        </w:tc>
      </w:tr>
      <w:tr>
        <w:trPr>
          <w:trHeight w:val="217"/>
        </w:trPr>
        <w:tc>
          <w:tcPr>
            <w:tcW w:w="84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Prepaid expenses and other current assets</w:t>
            </w:r>
          </w:p>
        </w:tc>
        <w:tc>
          <w:tcPr>
            <w:tcW w:w="600" w:type="dxa"/>
            <w:vAlign w:val="bottom"/>
            <w:shd w:val="clear" w:color="auto" w:fill="FDFDFC"/>
          </w:tcPr>
          <w:p>
            <w:pPr>
              <w:spacing w:after="0"/>
              <w:rPr>
                <w:sz w:val="18"/>
                <w:szCs w:val="18"/>
                <w:color w:val="auto"/>
              </w:rPr>
            </w:pPr>
          </w:p>
        </w:tc>
        <w:tc>
          <w:tcPr>
            <w:tcW w:w="106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219</w:t>
            </w:r>
          </w:p>
        </w:tc>
        <w:tc>
          <w:tcPr>
            <w:tcW w:w="100" w:type="dxa"/>
            <w:vAlign w:val="bottom"/>
            <w:shd w:val="clear" w:color="auto" w:fill="FDFDFC"/>
          </w:tcPr>
          <w:p>
            <w:pPr>
              <w:spacing w:after="0"/>
              <w:rPr>
                <w:sz w:val="18"/>
                <w:szCs w:val="18"/>
                <w:color w:val="auto"/>
              </w:rPr>
            </w:pPr>
          </w:p>
        </w:tc>
      </w:tr>
      <w:tr>
        <w:trPr>
          <w:trHeight w:val="217"/>
        </w:trPr>
        <w:tc>
          <w:tcPr>
            <w:tcW w:w="844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Other assets</w:t>
            </w:r>
          </w:p>
        </w:tc>
        <w:tc>
          <w:tcPr>
            <w:tcW w:w="600" w:type="dxa"/>
            <w:vAlign w:val="bottom"/>
            <w:shd w:val="clear" w:color="auto" w:fill="D0EBF2"/>
          </w:tcPr>
          <w:p>
            <w:pPr>
              <w:spacing w:after="0"/>
              <w:rPr>
                <w:sz w:val="18"/>
                <w:szCs w:val="18"/>
                <w:color w:val="auto"/>
              </w:rPr>
            </w:pPr>
          </w:p>
        </w:tc>
        <w:tc>
          <w:tcPr>
            <w:tcW w:w="106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11</w:t>
            </w:r>
          </w:p>
        </w:tc>
        <w:tc>
          <w:tcPr>
            <w:tcW w:w="100" w:type="dxa"/>
            <w:vAlign w:val="bottom"/>
            <w:shd w:val="clear" w:color="auto" w:fill="D0EBF2"/>
          </w:tcPr>
          <w:p>
            <w:pPr>
              <w:spacing w:after="0"/>
              <w:rPr>
                <w:sz w:val="18"/>
                <w:szCs w:val="18"/>
                <w:color w:val="auto"/>
              </w:rPr>
            </w:pPr>
          </w:p>
        </w:tc>
      </w:tr>
      <w:tr>
        <w:trPr>
          <w:trHeight w:val="217"/>
        </w:trPr>
        <w:tc>
          <w:tcPr>
            <w:tcW w:w="84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Identifiable intangible assets</w:t>
            </w:r>
          </w:p>
        </w:tc>
        <w:tc>
          <w:tcPr>
            <w:tcW w:w="600" w:type="dxa"/>
            <w:vAlign w:val="bottom"/>
            <w:shd w:val="clear" w:color="auto" w:fill="FDFDFC"/>
          </w:tcPr>
          <w:p>
            <w:pPr>
              <w:spacing w:after="0"/>
              <w:rPr>
                <w:sz w:val="18"/>
                <w:szCs w:val="18"/>
                <w:color w:val="auto"/>
              </w:rPr>
            </w:pPr>
          </w:p>
        </w:tc>
        <w:tc>
          <w:tcPr>
            <w:tcW w:w="106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26,100</w:t>
            </w:r>
          </w:p>
        </w:tc>
        <w:tc>
          <w:tcPr>
            <w:tcW w:w="100" w:type="dxa"/>
            <w:vAlign w:val="bottom"/>
            <w:shd w:val="clear" w:color="auto" w:fill="FDFDFC"/>
          </w:tcPr>
          <w:p>
            <w:pPr>
              <w:spacing w:after="0"/>
              <w:rPr>
                <w:sz w:val="18"/>
                <w:szCs w:val="18"/>
                <w:color w:val="auto"/>
              </w:rPr>
            </w:pPr>
          </w:p>
        </w:tc>
      </w:tr>
      <w:tr>
        <w:trPr>
          <w:trHeight w:val="217"/>
        </w:trPr>
        <w:tc>
          <w:tcPr>
            <w:tcW w:w="8440" w:type="dxa"/>
            <w:vAlign w:val="bottom"/>
            <w:tcBorders>
              <w:bottom w:val="single" w:sz="8" w:color="FDFDFC"/>
            </w:tcBorders>
            <w:shd w:val="clear" w:color="auto" w:fill="D0EBF2"/>
          </w:tcPr>
          <w:p>
            <w:pPr>
              <w:spacing w:after="0" w:line="217" w:lineRule="exact"/>
              <w:rPr>
                <w:sz w:val="20"/>
                <w:szCs w:val="20"/>
                <w:color w:val="auto"/>
              </w:rPr>
            </w:pPr>
            <w:r>
              <w:rPr>
                <w:rFonts w:ascii="Arial" w:cs="Arial" w:eastAsia="Arial" w:hAnsi="Arial"/>
                <w:sz w:val="19"/>
                <w:szCs w:val="19"/>
                <w:color w:val="231F20"/>
              </w:rPr>
              <w:t>Goodwill</w:t>
            </w:r>
          </w:p>
        </w:tc>
        <w:tc>
          <w:tcPr>
            <w:tcW w:w="600" w:type="dxa"/>
            <w:vAlign w:val="bottom"/>
            <w:tcBorders>
              <w:bottom w:val="single" w:sz="8" w:color="231F20"/>
            </w:tcBorders>
            <w:shd w:val="clear" w:color="auto" w:fill="D0EBF2"/>
          </w:tcPr>
          <w:p>
            <w:pPr>
              <w:spacing w:after="0"/>
              <w:rPr>
                <w:sz w:val="18"/>
                <w:szCs w:val="18"/>
                <w:color w:val="auto"/>
              </w:rPr>
            </w:pPr>
          </w:p>
        </w:tc>
        <w:tc>
          <w:tcPr>
            <w:tcW w:w="1060" w:type="dxa"/>
            <w:vAlign w:val="bottom"/>
            <w:tcBorders>
              <w:bottom w:val="single" w:sz="8" w:color="231F20"/>
            </w:tcBorders>
            <w:shd w:val="clear" w:color="auto" w:fill="D0EBF2"/>
          </w:tcPr>
          <w:p>
            <w:pPr>
              <w:jc w:val="right"/>
              <w:spacing w:after="0" w:line="217" w:lineRule="exact"/>
              <w:rPr>
                <w:sz w:val="20"/>
                <w:szCs w:val="20"/>
                <w:color w:val="auto"/>
              </w:rPr>
            </w:pPr>
            <w:r>
              <w:rPr>
                <w:rFonts w:ascii="Arial" w:cs="Arial" w:eastAsia="Arial" w:hAnsi="Arial"/>
                <w:sz w:val="19"/>
                <w:szCs w:val="19"/>
                <w:color w:val="231F20"/>
              </w:rPr>
              <w:t>31,818</w:t>
            </w:r>
          </w:p>
        </w:tc>
        <w:tc>
          <w:tcPr>
            <w:tcW w:w="100" w:type="dxa"/>
            <w:vAlign w:val="bottom"/>
            <w:tcBorders>
              <w:bottom w:val="single" w:sz="8" w:color="FDFDFC"/>
            </w:tcBorders>
            <w:shd w:val="clear" w:color="auto" w:fill="D0EBF2"/>
          </w:tcPr>
          <w:p>
            <w:pPr>
              <w:spacing w:after="0"/>
              <w:rPr>
                <w:sz w:val="18"/>
                <w:szCs w:val="18"/>
                <w:color w:val="auto"/>
              </w:rPr>
            </w:pPr>
          </w:p>
        </w:tc>
      </w:tr>
      <w:tr>
        <w:trPr>
          <w:trHeight w:val="207"/>
        </w:trPr>
        <w:tc>
          <w:tcPr>
            <w:tcW w:w="8440" w:type="dxa"/>
            <w:vAlign w:val="bottom"/>
            <w:tcBorders>
              <w:bottom w:val="single" w:sz="8" w:color="D0EBF2"/>
            </w:tcBorders>
            <w:shd w:val="clear" w:color="auto" w:fill="FDFDFC"/>
          </w:tcPr>
          <w:p>
            <w:pPr>
              <w:ind w:left="260"/>
              <w:spacing w:after="0" w:line="207" w:lineRule="exact"/>
              <w:rPr>
                <w:sz w:val="20"/>
                <w:szCs w:val="20"/>
                <w:color w:val="auto"/>
              </w:rPr>
            </w:pPr>
            <w:r>
              <w:rPr>
                <w:rFonts w:ascii="Arial" w:cs="Arial" w:eastAsia="Arial" w:hAnsi="Arial"/>
                <w:sz w:val="19"/>
                <w:szCs w:val="19"/>
                <w:color w:val="231F20"/>
              </w:rPr>
              <w:t>Total assets acquired</w:t>
            </w:r>
          </w:p>
        </w:tc>
        <w:tc>
          <w:tcPr>
            <w:tcW w:w="600" w:type="dxa"/>
            <w:vAlign w:val="bottom"/>
            <w:tcBorders>
              <w:bottom w:val="single" w:sz="8" w:color="231F20"/>
            </w:tcBorders>
            <w:shd w:val="clear" w:color="auto" w:fill="FDFDFC"/>
          </w:tcPr>
          <w:p>
            <w:pPr>
              <w:spacing w:after="0"/>
              <w:rPr>
                <w:sz w:val="17"/>
                <w:szCs w:val="17"/>
                <w:color w:val="auto"/>
              </w:rPr>
            </w:pPr>
          </w:p>
        </w:tc>
        <w:tc>
          <w:tcPr>
            <w:tcW w:w="1060" w:type="dxa"/>
            <w:vAlign w:val="bottom"/>
            <w:tcBorders>
              <w:bottom w:val="single" w:sz="8" w:color="231F20"/>
            </w:tcBorders>
            <w:shd w:val="clear" w:color="auto" w:fill="FDFDFC"/>
          </w:tcPr>
          <w:p>
            <w:pPr>
              <w:jc w:val="right"/>
              <w:spacing w:after="0" w:line="207" w:lineRule="exact"/>
              <w:rPr>
                <w:sz w:val="20"/>
                <w:szCs w:val="20"/>
                <w:color w:val="auto"/>
              </w:rPr>
            </w:pPr>
            <w:r>
              <w:rPr>
                <w:rFonts w:ascii="Arial" w:cs="Arial" w:eastAsia="Arial" w:hAnsi="Arial"/>
                <w:sz w:val="19"/>
                <w:szCs w:val="19"/>
                <w:color w:val="231F20"/>
              </w:rPr>
              <w:t>59,566</w:t>
            </w:r>
          </w:p>
        </w:tc>
        <w:tc>
          <w:tcPr>
            <w:tcW w:w="100" w:type="dxa"/>
            <w:vAlign w:val="bottom"/>
            <w:tcBorders>
              <w:bottom w:val="single" w:sz="8" w:color="D0EBF2"/>
            </w:tcBorders>
            <w:shd w:val="clear" w:color="auto" w:fill="FDFDFC"/>
          </w:tcPr>
          <w:p>
            <w:pPr>
              <w:spacing w:after="0"/>
              <w:rPr>
                <w:sz w:val="17"/>
                <w:szCs w:val="17"/>
                <w:color w:val="auto"/>
              </w:rPr>
            </w:pPr>
          </w:p>
        </w:tc>
      </w:tr>
      <w:tr>
        <w:trPr>
          <w:trHeight w:val="207"/>
        </w:trPr>
        <w:tc>
          <w:tcPr>
            <w:tcW w:w="8440" w:type="dxa"/>
            <w:vAlign w:val="bottom"/>
            <w:shd w:val="clear" w:color="auto" w:fill="D0EBF2"/>
          </w:tcPr>
          <w:p>
            <w:pPr>
              <w:spacing w:after="0" w:line="206" w:lineRule="exact"/>
              <w:rPr>
                <w:sz w:val="20"/>
                <w:szCs w:val="20"/>
                <w:color w:val="auto"/>
              </w:rPr>
            </w:pPr>
            <w:r>
              <w:rPr>
                <w:rFonts w:ascii="Arial" w:cs="Arial" w:eastAsia="Arial" w:hAnsi="Arial"/>
                <w:sz w:val="19"/>
                <w:szCs w:val="19"/>
                <w:color w:val="231F20"/>
              </w:rPr>
              <w:t>Deferred tax liabilities</w:t>
            </w:r>
          </w:p>
        </w:tc>
        <w:tc>
          <w:tcPr>
            <w:tcW w:w="600" w:type="dxa"/>
            <w:vAlign w:val="bottom"/>
            <w:shd w:val="clear" w:color="auto" w:fill="D0EBF2"/>
          </w:tcPr>
          <w:p>
            <w:pPr>
              <w:spacing w:after="0"/>
              <w:rPr>
                <w:sz w:val="17"/>
                <w:szCs w:val="17"/>
                <w:color w:val="auto"/>
              </w:rPr>
            </w:pPr>
          </w:p>
        </w:tc>
        <w:tc>
          <w:tcPr>
            <w:tcW w:w="106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4,923</w:t>
            </w:r>
          </w:p>
        </w:tc>
        <w:tc>
          <w:tcPr>
            <w:tcW w:w="100" w:type="dxa"/>
            <w:vAlign w:val="bottom"/>
            <w:shd w:val="clear" w:color="auto" w:fill="D0EBF2"/>
          </w:tcPr>
          <w:p>
            <w:pPr>
              <w:spacing w:after="0"/>
              <w:rPr>
                <w:sz w:val="17"/>
                <w:szCs w:val="17"/>
                <w:color w:val="auto"/>
              </w:rPr>
            </w:pPr>
          </w:p>
        </w:tc>
      </w:tr>
      <w:tr>
        <w:trPr>
          <w:trHeight w:val="217"/>
        </w:trPr>
        <w:tc>
          <w:tcPr>
            <w:tcW w:w="84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Deferred revenue</w:t>
            </w:r>
          </w:p>
        </w:tc>
        <w:tc>
          <w:tcPr>
            <w:tcW w:w="600" w:type="dxa"/>
            <w:vAlign w:val="bottom"/>
            <w:shd w:val="clear" w:color="auto" w:fill="FDFDFC"/>
          </w:tcPr>
          <w:p>
            <w:pPr>
              <w:spacing w:after="0"/>
              <w:rPr>
                <w:sz w:val="18"/>
                <w:szCs w:val="18"/>
                <w:color w:val="auto"/>
              </w:rPr>
            </w:pPr>
          </w:p>
        </w:tc>
        <w:tc>
          <w:tcPr>
            <w:tcW w:w="106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1,037</w:t>
            </w:r>
          </w:p>
        </w:tc>
        <w:tc>
          <w:tcPr>
            <w:tcW w:w="100" w:type="dxa"/>
            <w:vAlign w:val="bottom"/>
            <w:shd w:val="clear" w:color="auto" w:fill="FDFDFC"/>
          </w:tcPr>
          <w:p>
            <w:pPr>
              <w:spacing w:after="0"/>
              <w:rPr>
                <w:sz w:val="18"/>
                <w:szCs w:val="18"/>
                <w:color w:val="auto"/>
              </w:rPr>
            </w:pPr>
          </w:p>
        </w:tc>
      </w:tr>
      <w:tr>
        <w:trPr>
          <w:trHeight w:val="217"/>
        </w:trPr>
        <w:tc>
          <w:tcPr>
            <w:tcW w:w="8440" w:type="dxa"/>
            <w:vAlign w:val="bottom"/>
            <w:tcBorders>
              <w:bottom w:val="single" w:sz="8" w:color="FDFDFC"/>
            </w:tcBorders>
            <w:shd w:val="clear" w:color="auto" w:fill="D0EBF2"/>
          </w:tcPr>
          <w:p>
            <w:pPr>
              <w:spacing w:after="0" w:line="217" w:lineRule="exact"/>
              <w:rPr>
                <w:sz w:val="20"/>
                <w:szCs w:val="20"/>
                <w:color w:val="auto"/>
              </w:rPr>
            </w:pPr>
            <w:r>
              <w:rPr>
                <w:rFonts w:ascii="Arial" w:cs="Arial" w:eastAsia="Arial" w:hAnsi="Arial"/>
                <w:sz w:val="19"/>
                <w:szCs w:val="19"/>
                <w:color w:val="231F20"/>
              </w:rPr>
              <w:t>Accounts payable and accrued expenses</w:t>
            </w:r>
          </w:p>
        </w:tc>
        <w:tc>
          <w:tcPr>
            <w:tcW w:w="600" w:type="dxa"/>
            <w:vAlign w:val="bottom"/>
            <w:tcBorders>
              <w:bottom w:val="single" w:sz="8" w:color="231F20"/>
            </w:tcBorders>
            <w:shd w:val="clear" w:color="auto" w:fill="D0EBF2"/>
          </w:tcPr>
          <w:p>
            <w:pPr>
              <w:spacing w:after="0"/>
              <w:rPr>
                <w:sz w:val="18"/>
                <w:szCs w:val="18"/>
                <w:color w:val="auto"/>
              </w:rPr>
            </w:pPr>
          </w:p>
        </w:tc>
        <w:tc>
          <w:tcPr>
            <w:tcW w:w="1060" w:type="dxa"/>
            <w:vAlign w:val="bottom"/>
            <w:tcBorders>
              <w:bottom w:val="single" w:sz="8" w:color="231F20"/>
            </w:tcBorders>
            <w:shd w:val="clear" w:color="auto" w:fill="D0EBF2"/>
          </w:tcPr>
          <w:p>
            <w:pPr>
              <w:jc w:val="right"/>
              <w:spacing w:after="0" w:line="217" w:lineRule="exact"/>
              <w:rPr>
                <w:sz w:val="20"/>
                <w:szCs w:val="20"/>
                <w:color w:val="auto"/>
              </w:rPr>
            </w:pPr>
            <w:r>
              <w:rPr>
                <w:rFonts w:ascii="Arial" w:cs="Arial" w:eastAsia="Arial" w:hAnsi="Arial"/>
                <w:sz w:val="19"/>
                <w:szCs w:val="19"/>
                <w:color w:val="231F20"/>
              </w:rPr>
              <w:t>451</w:t>
            </w:r>
          </w:p>
        </w:tc>
        <w:tc>
          <w:tcPr>
            <w:tcW w:w="100" w:type="dxa"/>
            <w:vAlign w:val="bottom"/>
            <w:tcBorders>
              <w:bottom w:val="single" w:sz="8" w:color="FDFDFC"/>
            </w:tcBorders>
            <w:shd w:val="clear" w:color="auto" w:fill="D0EBF2"/>
          </w:tcPr>
          <w:p>
            <w:pPr>
              <w:spacing w:after="0"/>
              <w:rPr>
                <w:sz w:val="18"/>
                <w:szCs w:val="18"/>
                <w:color w:val="auto"/>
              </w:rPr>
            </w:pPr>
          </w:p>
        </w:tc>
      </w:tr>
      <w:tr>
        <w:trPr>
          <w:trHeight w:val="207"/>
        </w:trPr>
        <w:tc>
          <w:tcPr>
            <w:tcW w:w="8440" w:type="dxa"/>
            <w:vAlign w:val="bottom"/>
            <w:tcBorders>
              <w:bottom w:val="single" w:sz="8" w:color="D0EBF2"/>
            </w:tcBorders>
            <w:shd w:val="clear" w:color="auto" w:fill="FDFDFC"/>
          </w:tcPr>
          <w:p>
            <w:pPr>
              <w:ind w:left="260"/>
              <w:spacing w:after="0" w:line="207" w:lineRule="exact"/>
              <w:rPr>
                <w:sz w:val="20"/>
                <w:szCs w:val="20"/>
                <w:color w:val="auto"/>
              </w:rPr>
            </w:pPr>
            <w:r>
              <w:rPr>
                <w:rFonts w:ascii="Arial" w:cs="Arial" w:eastAsia="Arial" w:hAnsi="Arial"/>
                <w:sz w:val="19"/>
                <w:szCs w:val="19"/>
                <w:color w:val="231F20"/>
              </w:rPr>
              <w:t>Total liabilities assumed</w:t>
            </w:r>
          </w:p>
        </w:tc>
        <w:tc>
          <w:tcPr>
            <w:tcW w:w="600" w:type="dxa"/>
            <w:vAlign w:val="bottom"/>
            <w:tcBorders>
              <w:bottom w:val="single" w:sz="8" w:color="231F20"/>
            </w:tcBorders>
            <w:shd w:val="clear" w:color="auto" w:fill="FDFDFC"/>
          </w:tcPr>
          <w:p>
            <w:pPr>
              <w:spacing w:after="0"/>
              <w:rPr>
                <w:sz w:val="17"/>
                <w:szCs w:val="17"/>
                <w:color w:val="auto"/>
              </w:rPr>
            </w:pPr>
          </w:p>
        </w:tc>
        <w:tc>
          <w:tcPr>
            <w:tcW w:w="1060" w:type="dxa"/>
            <w:vAlign w:val="bottom"/>
            <w:tcBorders>
              <w:bottom w:val="single" w:sz="8" w:color="231F20"/>
            </w:tcBorders>
            <w:shd w:val="clear" w:color="auto" w:fill="FDFDFC"/>
          </w:tcPr>
          <w:p>
            <w:pPr>
              <w:jc w:val="right"/>
              <w:spacing w:after="0" w:line="207" w:lineRule="exact"/>
              <w:rPr>
                <w:sz w:val="20"/>
                <w:szCs w:val="20"/>
                <w:color w:val="auto"/>
              </w:rPr>
            </w:pPr>
            <w:r>
              <w:rPr>
                <w:rFonts w:ascii="Arial" w:cs="Arial" w:eastAsia="Arial" w:hAnsi="Arial"/>
                <w:sz w:val="19"/>
                <w:szCs w:val="19"/>
                <w:color w:val="231F20"/>
              </w:rPr>
              <w:t>6,411</w:t>
            </w:r>
          </w:p>
        </w:tc>
        <w:tc>
          <w:tcPr>
            <w:tcW w:w="100" w:type="dxa"/>
            <w:vAlign w:val="bottom"/>
            <w:tcBorders>
              <w:bottom w:val="single" w:sz="8" w:color="D0EBF2"/>
            </w:tcBorders>
            <w:shd w:val="clear" w:color="auto" w:fill="FDFDFC"/>
          </w:tcPr>
          <w:p>
            <w:pPr>
              <w:spacing w:after="0"/>
              <w:rPr>
                <w:sz w:val="17"/>
                <w:szCs w:val="17"/>
                <w:color w:val="auto"/>
              </w:rPr>
            </w:pPr>
          </w:p>
        </w:tc>
      </w:tr>
      <w:tr>
        <w:trPr>
          <w:trHeight w:val="207"/>
        </w:trPr>
        <w:tc>
          <w:tcPr>
            <w:tcW w:w="8440" w:type="dxa"/>
            <w:vAlign w:val="bottom"/>
            <w:shd w:val="clear" w:color="auto" w:fill="D0EBF2"/>
          </w:tcPr>
          <w:p>
            <w:pPr>
              <w:spacing w:after="0" w:line="206" w:lineRule="exact"/>
              <w:rPr>
                <w:sz w:val="20"/>
                <w:szCs w:val="20"/>
                <w:color w:val="auto"/>
              </w:rPr>
            </w:pPr>
            <w:r>
              <w:rPr>
                <w:rFonts w:ascii="Arial" w:cs="Arial" w:eastAsia="Arial" w:hAnsi="Arial"/>
                <w:sz w:val="19"/>
                <w:szCs w:val="19"/>
                <w:color w:val="231F20"/>
              </w:rPr>
              <w:t>Net assets acquired</w:t>
            </w:r>
          </w:p>
        </w:tc>
        <w:tc>
          <w:tcPr>
            <w:tcW w:w="600" w:type="dxa"/>
            <w:vAlign w:val="bottom"/>
            <w:shd w:val="clear" w:color="auto" w:fill="D0EBF2"/>
          </w:tcPr>
          <w:p>
            <w:pPr>
              <w:spacing w:after="0"/>
              <w:rPr>
                <w:sz w:val="17"/>
                <w:szCs w:val="17"/>
                <w:color w:val="auto"/>
              </w:rPr>
            </w:pPr>
          </w:p>
        </w:tc>
        <w:tc>
          <w:tcPr>
            <w:tcW w:w="106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53,155</w:t>
            </w:r>
          </w:p>
        </w:tc>
        <w:tc>
          <w:tcPr>
            <w:tcW w:w="100" w:type="dxa"/>
            <w:vAlign w:val="bottom"/>
            <w:shd w:val="clear" w:color="auto" w:fill="D0EBF2"/>
          </w:tcPr>
          <w:p>
            <w:pPr>
              <w:spacing w:after="0"/>
              <w:rPr>
                <w:sz w:val="17"/>
                <w:szCs w:val="17"/>
                <w:color w:val="auto"/>
              </w:rPr>
            </w:pPr>
          </w:p>
        </w:tc>
      </w:tr>
      <w:tr>
        <w:trPr>
          <w:trHeight w:val="217"/>
        </w:trPr>
        <w:tc>
          <w:tcPr>
            <w:tcW w:w="8440" w:type="dxa"/>
            <w:vAlign w:val="bottom"/>
            <w:tcBorders>
              <w:bottom w:val="single" w:sz="8" w:color="D0EBF2"/>
            </w:tcBorders>
            <w:shd w:val="clear" w:color="auto" w:fill="FDFDFC"/>
          </w:tcPr>
          <w:p>
            <w:pPr>
              <w:ind w:left="260"/>
              <w:spacing w:after="0" w:line="217" w:lineRule="exact"/>
              <w:rPr>
                <w:sz w:val="20"/>
                <w:szCs w:val="20"/>
                <w:color w:val="auto"/>
              </w:rPr>
            </w:pPr>
            <w:r>
              <w:rPr>
                <w:rFonts w:ascii="Arial" w:cs="Arial" w:eastAsia="Arial" w:hAnsi="Arial"/>
                <w:sz w:val="19"/>
                <w:szCs w:val="19"/>
                <w:color w:val="231F20"/>
              </w:rPr>
              <w:t>Less: cash acquired</w:t>
            </w:r>
          </w:p>
        </w:tc>
        <w:tc>
          <w:tcPr>
            <w:tcW w:w="600" w:type="dxa"/>
            <w:vAlign w:val="bottom"/>
            <w:tcBorders>
              <w:bottom w:val="single" w:sz="8" w:color="231F20"/>
            </w:tcBorders>
            <w:shd w:val="clear" w:color="auto" w:fill="FDFDFC"/>
          </w:tcPr>
          <w:p>
            <w:pPr>
              <w:spacing w:after="0"/>
              <w:rPr>
                <w:sz w:val="18"/>
                <w:szCs w:val="18"/>
                <w:color w:val="auto"/>
              </w:rPr>
            </w:pPr>
          </w:p>
        </w:tc>
        <w:tc>
          <w:tcPr>
            <w:tcW w:w="1060" w:type="dxa"/>
            <w:vAlign w:val="bottom"/>
            <w:tcBorders>
              <w:bottom w:val="single" w:sz="8" w:color="231F20"/>
            </w:tcBorders>
            <w:shd w:val="clear" w:color="auto" w:fill="FDFDFC"/>
          </w:tcPr>
          <w:p>
            <w:pPr>
              <w:jc w:val="right"/>
              <w:spacing w:after="0" w:line="217" w:lineRule="exact"/>
              <w:rPr>
                <w:sz w:val="20"/>
                <w:szCs w:val="20"/>
                <w:color w:val="auto"/>
              </w:rPr>
            </w:pPr>
            <w:r>
              <w:rPr>
                <w:rFonts w:ascii="Arial" w:cs="Arial" w:eastAsia="Arial" w:hAnsi="Arial"/>
                <w:sz w:val="19"/>
                <w:szCs w:val="19"/>
                <w:color w:val="231F20"/>
              </w:rPr>
              <w:t>1,418</w:t>
            </w:r>
          </w:p>
        </w:tc>
        <w:tc>
          <w:tcPr>
            <w:tcW w:w="100" w:type="dxa"/>
            <w:vAlign w:val="bottom"/>
            <w:tcBorders>
              <w:bottom w:val="single" w:sz="8" w:color="D0EBF2"/>
            </w:tcBorders>
            <w:shd w:val="clear" w:color="auto" w:fill="FDFDFC"/>
          </w:tcPr>
          <w:p>
            <w:pPr>
              <w:spacing w:after="0"/>
              <w:rPr>
                <w:sz w:val="18"/>
                <w:szCs w:val="18"/>
                <w:color w:val="auto"/>
              </w:rPr>
            </w:pPr>
          </w:p>
        </w:tc>
      </w:tr>
      <w:tr>
        <w:trPr>
          <w:trHeight w:val="207"/>
        </w:trPr>
        <w:tc>
          <w:tcPr>
            <w:tcW w:w="8440" w:type="dxa"/>
            <w:vAlign w:val="bottom"/>
            <w:shd w:val="clear" w:color="auto" w:fill="D0EBF2"/>
          </w:tcPr>
          <w:p>
            <w:pPr>
              <w:spacing w:after="0" w:line="207" w:lineRule="exact"/>
              <w:rPr>
                <w:sz w:val="20"/>
                <w:szCs w:val="20"/>
                <w:color w:val="auto"/>
              </w:rPr>
            </w:pPr>
            <w:r>
              <w:rPr>
                <w:rFonts w:ascii="Arial" w:cs="Arial" w:eastAsia="Arial" w:hAnsi="Arial"/>
                <w:sz w:val="19"/>
                <w:szCs w:val="19"/>
                <w:color w:val="231F20"/>
              </w:rPr>
              <w:t>Net assets, less cash acquired</w:t>
            </w:r>
          </w:p>
        </w:tc>
        <w:tc>
          <w:tcPr>
            <w:tcW w:w="600" w:type="dxa"/>
            <w:vAlign w:val="bottom"/>
            <w:tcBorders>
              <w:bottom w:val="single" w:sz="8" w:color="231F20"/>
            </w:tcBorders>
            <w:shd w:val="clear" w:color="auto" w:fill="D0EBF2"/>
          </w:tcPr>
          <w:p>
            <w:pPr>
              <w:jc w:val="right"/>
              <w:ind w:right="386"/>
              <w:spacing w:after="0" w:line="207" w:lineRule="exact"/>
              <w:rPr>
                <w:sz w:val="20"/>
                <w:szCs w:val="20"/>
                <w:color w:val="auto"/>
              </w:rPr>
            </w:pPr>
            <w:r>
              <w:rPr>
                <w:rFonts w:ascii="Arial" w:cs="Arial" w:eastAsia="Arial" w:hAnsi="Arial"/>
                <w:sz w:val="19"/>
                <w:szCs w:val="19"/>
                <w:color w:val="231F20"/>
                <w:w w:val="94"/>
              </w:rPr>
              <w:t>$</w:t>
            </w:r>
          </w:p>
        </w:tc>
        <w:tc>
          <w:tcPr>
            <w:tcW w:w="1060" w:type="dxa"/>
            <w:vAlign w:val="bottom"/>
            <w:tcBorders>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51,737</w:t>
            </w:r>
          </w:p>
        </w:tc>
        <w:tc>
          <w:tcPr>
            <w:tcW w:w="100" w:type="dxa"/>
            <w:vAlign w:val="bottom"/>
            <w:shd w:val="clear" w:color="auto" w:fill="D0EBF2"/>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Goodwill arising from the acquisition of $31.9 million was attributable to the assembled workforce of Invoiced and the synergies expected to arise from the acquisition. No goodwill from this acquisition will be deductible for income tax purposes.</w:t>
      </w:r>
    </w:p>
    <w:p>
      <w:pPr>
        <w:spacing w:after="0" w:line="136" w:lineRule="exact"/>
        <w:rPr>
          <w:sz w:val="20"/>
          <w:szCs w:val="20"/>
          <w:color w:val="auto"/>
        </w:rPr>
      </w:pPr>
    </w:p>
    <w:p>
      <w:pPr>
        <w:ind w:right="820" w:firstLine="463"/>
        <w:spacing w:after="0" w:line="278" w:lineRule="auto"/>
        <w:rPr>
          <w:sz w:val="20"/>
          <w:szCs w:val="20"/>
          <w:color w:val="auto"/>
        </w:rPr>
      </w:pPr>
      <w:r>
        <w:rPr>
          <w:rFonts w:ascii="Arial" w:cs="Arial" w:eastAsia="Arial" w:hAnsi="Arial"/>
          <w:sz w:val="19"/>
          <w:szCs w:val="19"/>
          <w:color w:val="231F20"/>
        </w:rPr>
        <w:t>The following table reflects the fair values of the identified intangible assets of Invoiced and their respective weighted-average amortization periods.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4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24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1580" w:type="dxa"/>
            <w:vAlign w:val="bottom"/>
            <w:gridSpan w:val="2"/>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w w:val="99"/>
              </w:rPr>
              <w:t>Weighted-</w:t>
            </w:r>
          </w:p>
        </w:tc>
        <w:tc>
          <w:tcPr>
            <w:tcW w:w="0" w:type="dxa"/>
            <w:vAlign w:val="bottom"/>
          </w:tcPr>
          <w:p>
            <w:pPr>
              <w:spacing w:after="0"/>
              <w:rPr>
                <w:sz w:val="1"/>
                <w:szCs w:val="1"/>
                <w:color w:val="auto"/>
              </w:rPr>
            </w:pPr>
          </w:p>
        </w:tc>
      </w:tr>
      <w:tr>
        <w:trPr>
          <w:trHeight w:val="174"/>
        </w:trPr>
        <w:tc>
          <w:tcPr>
            <w:tcW w:w="704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24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1580" w:type="dxa"/>
            <w:vAlign w:val="bottom"/>
            <w:gridSpan w:val="2"/>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rPr>
              <w:t>Average</w:t>
            </w:r>
          </w:p>
        </w:tc>
        <w:tc>
          <w:tcPr>
            <w:tcW w:w="0" w:type="dxa"/>
            <w:vAlign w:val="bottom"/>
          </w:tcPr>
          <w:p>
            <w:pPr>
              <w:spacing w:after="0"/>
              <w:rPr>
                <w:sz w:val="1"/>
                <w:szCs w:val="1"/>
                <w:color w:val="auto"/>
              </w:rPr>
            </w:pPr>
          </w:p>
        </w:tc>
      </w:tr>
      <w:tr>
        <w:trPr>
          <w:trHeight w:val="174"/>
        </w:trPr>
        <w:tc>
          <w:tcPr>
            <w:tcW w:w="704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240" w:type="dxa"/>
            <w:vAlign w:val="bottom"/>
            <w:vMerge w:val="restart"/>
            <w:shd w:val="clear" w:color="auto" w:fill="FDFDFC"/>
          </w:tcPr>
          <w:p>
            <w:pPr>
              <w:jc w:val="right"/>
              <w:ind w:right="192"/>
              <w:spacing w:after="0"/>
              <w:rPr>
                <w:sz w:val="20"/>
                <w:szCs w:val="20"/>
                <w:color w:val="auto"/>
              </w:rPr>
            </w:pPr>
            <w:r>
              <w:rPr>
                <w:rFonts w:ascii="Arial" w:cs="Arial" w:eastAsia="Arial" w:hAnsi="Arial"/>
                <w:sz w:val="15"/>
                <w:szCs w:val="15"/>
                <w:b w:val="1"/>
                <w:bCs w:val="1"/>
                <w:color w:val="231F20"/>
              </w:rPr>
              <w:t>Fair Values</w:t>
            </w:r>
          </w:p>
        </w:tc>
        <w:tc>
          <w:tcPr>
            <w:tcW w:w="200" w:type="dxa"/>
            <w:vAlign w:val="bottom"/>
            <w:shd w:val="clear" w:color="auto" w:fill="FDFDFC"/>
          </w:tcPr>
          <w:p>
            <w:pPr>
              <w:spacing w:after="0"/>
              <w:rPr>
                <w:sz w:val="15"/>
                <w:szCs w:val="15"/>
                <w:color w:val="auto"/>
              </w:rPr>
            </w:pPr>
          </w:p>
        </w:tc>
        <w:tc>
          <w:tcPr>
            <w:tcW w:w="1580" w:type="dxa"/>
            <w:vAlign w:val="bottom"/>
            <w:gridSpan w:val="2"/>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rPr>
              <w:t>Amortization</w:t>
            </w:r>
          </w:p>
        </w:tc>
        <w:tc>
          <w:tcPr>
            <w:tcW w:w="0" w:type="dxa"/>
            <w:vAlign w:val="bottom"/>
          </w:tcPr>
          <w:p>
            <w:pPr>
              <w:spacing w:after="0"/>
              <w:rPr>
                <w:sz w:val="1"/>
                <w:szCs w:val="1"/>
                <w:color w:val="auto"/>
              </w:rPr>
            </w:pPr>
          </w:p>
        </w:tc>
      </w:tr>
      <w:tr>
        <w:trPr>
          <w:trHeight w:val="191"/>
        </w:trPr>
        <w:tc>
          <w:tcPr>
            <w:tcW w:w="704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240" w:type="dxa"/>
            <w:vAlign w:val="bottom"/>
            <w:vMerge w:val="continue"/>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1580" w:type="dxa"/>
            <w:vAlign w:val="bottom"/>
            <w:gridSpan w:val="2"/>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rPr>
              <w:t>Periods</w:t>
            </w:r>
          </w:p>
        </w:tc>
        <w:tc>
          <w:tcPr>
            <w:tcW w:w="0" w:type="dxa"/>
            <w:vAlign w:val="bottom"/>
          </w:tcPr>
          <w:p>
            <w:pPr>
              <w:spacing w:after="0"/>
              <w:rPr>
                <w:sz w:val="1"/>
                <w:szCs w:val="1"/>
                <w:color w:val="auto"/>
              </w:rPr>
            </w:pPr>
          </w:p>
        </w:tc>
      </w:tr>
      <w:tr>
        <w:trPr>
          <w:trHeight w:val="163"/>
        </w:trPr>
        <w:tc>
          <w:tcPr>
            <w:tcW w:w="7040" w:type="dxa"/>
            <w:vAlign w:val="bottom"/>
            <w:tcBorders>
              <w:top w:val="single" w:sz="8" w:color="FDFDFC"/>
            </w:tcBorders>
            <w:shd w:val="clear" w:color="auto" w:fill="FDFDFC"/>
          </w:tcPr>
          <w:p>
            <w:pPr>
              <w:spacing w:after="0"/>
              <w:rPr>
                <w:sz w:val="14"/>
                <w:szCs w:val="14"/>
                <w:color w:val="auto"/>
              </w:rPr>
            </w:pPr>
          </w:p>
        </w:tc>
        <w:tc>
          <w:tcPr>
            <w:tcW w:w="140" w:type="dxa"/>
            <w:vAlign w:val="bottom"/>
            <w:tcBorders>
              <w:top w:val="single" w:sz="8" w:color="231F20"/>
            </w:tcBorders>
            <w:shd w:val="clear" w:color="auto" w:fill="FDFDFC"/>
          </w:tcPr>
          <w:p>
            <w:pPr>
              <w:spacing w:after="0"/>
              <w:rPr>
                <w:sz w:val="14"/>
                <w:szCs w:val="14"/>
                <w:color w:val="auto"/>
              </w:rPr>
            </w:pPr>
          </w:p>
        </w:tc>
        <w:tc>
          <w:tcPr>
            <w:tcW w:w="1240" w:type="dxa"/>
            <w:vAlign w:val="bottom"/>
            <w:tcBorders>
              <w:top w:val="single" w:sz="8" w:color="231F20"/>
            </w:tcBorders>
            <w:shd w:val="clear" w:color="auto" w:fill="FDFDFC"/>
          </w:tcPr>
          <w:p>
            <w:pPr>
              <w:jc w:val="right"/>
              <w:ind w:right="72"/>
              <w:spacing w:after="0" w:line="164" w:lineRule="exact"/>
              <w:rPr>
                <w:sz w:val="20"/>
                <w:szCs w:val="20"/>
                <w:color w:val="auto"/>
              </w:rPr>
            </w:pPr>
            <w:r>
              <w:rPr>
                <w:rFonts w:ascii="Arial" w:cs="Arial" w:eastAsia="Arial" w:hAnsi="Arial"/>
                <w:sz w:val="15"/>
                <w:szCs w:val="15"/>
                <w:b w:val="1"/>
                <w:bCs w:val="1"/>
                <w:color w:val="231F20"/>
              </w:rPr>
              <w:t>(in thousands)</w:t>
            </w:r>
          </w:p>
        </w:tc>
        <w:tc>
          <w:tcPr>
            <w:tcW w:w="200" w:type="dxa"/>
            <w:vAlign w:val="bottom"/>
            <w:tcBorders>
              <w:top w:val="single" w:sz="8" w:color="FDFDFC"/>
            </w:tcBorders>
            <w:shd w:val="clear" w:color="auto" w:fill="FDFDFC"/>
          </w:tcPr>
          <w:p>
            <w:pPr>
              <w:spacing w:after="0"/>
              <w:rPr>
                <w:sz w:val="14"/>
                <w:szCs w:val="14"/>
                <w:color w:val="auto"/>
              </w:rPr>
            </w:pPr>
          </w:p>
        </w:tc>
        <w:tc>
          <w:tcPr>
            <w:tcW w:w="1480" w:type="dxa"/>
            <w:vAlign w:val="bottom"/>
            <w:tcBorders>
              <w:top w:val="single" w:sz="8" w:color="231F20"/>
            </w:tcBorders>
            <w:shd w:val="clear" w:color="auto" w:fill="FDFDFC"/>
          </w:tcPr>
          <w:p>
            <w:pPr>
              <w:jc w:val="center"/>
              <w:spacing w:after="0" w:line="164" w:lineRule="exact"/>
              <w:rPr>
                <w:sz w:val="20"/>
                <w:szCs w:val="20"/>
                <w:color w:val="auto"/>
              </w:rPr>
            </w:pPr>
            <w:r>
              <w:rPr>
                <w:rFonts w:ascii="Arial" w:cs="Arial" w:eastAsia="Arial" w:hAnsi="Arial"/>
                <w:sz w:val="15"/>
                <w:szCs w:val="15"/>
                <w:b w:val="1"/>
                <w:bCs w:val="1"/>
                <w:color w:val="231F20"/>
              </w:rPr>
              <w:t>(years)</w:t>
            </w:r>
          </w:p>
        </w:tc>
        <w:tc>
          <w:tcPr>
            <w:tcW w:w="100" w:type="dxa"/>
            <w:vAlign w:val="bottom"/>
            <w:tcBorders>
              <w:top w:val="single" w:sz="8" w:color="FDFDFC"/>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04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Developed technology</w:t>
            </w:r>
          </w:p>
        </w:tc>
        <w:tc>
          <w:tcPr>
            <w:tcW w:w="14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w w:val="94"/>
              </w:rPr>
              <w:t>$</w:t>
            </w:r>
          </w:p>
        </w:tc>
        <w:tc>
          <w:tcPr>
            <w:tcW w:w="124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7,100</w:t>
            </w:r>
          </w:p>
        </w:tc>
        <w:tc>
          <w:tcPr>
            <w:tcW w:w="200" w:type="dxa"/>
            <w:vAlign w:val="bottom"/>
            <w:shd w:val="clear" w:color="auto" w:fill="D0EBF2"/>
          </w:tcPr>
          <w:p>
            <w:pPr>
              <w:spacing w:after="0"/>
              <w:rPr>
                <w:sz w:val="18"/>
                <w:szCs w:val="18"/>
                <w:color w:val="auto"/>
              </w:rPr>
            </w:pPr>
          </w:p>
        </w:tc>
        <w:tc>
          <w:tcPr>
            <w:tcW w:w="148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7</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Acquired relationships</w:t>
            </w:r>
          </w:p>
        </w:tc>
        <w:tc>
          <w:tcPr>
            <w:tcW w:w="140" w:type="dxa"/>
            <w:vAlign w:val="bottom"/>
            <w:shd w:val="clear" w:color="auto" w:fill="FDFDFC"/>
          </w:tcPr>
          <w:p>
            <w:pPr>
              <w:spacing w:after="0"/>
              <w:rPr>
                <w:sz w:val="18"/>
                <w:szCs w:val="18"/>
                <w:color w:val="auto"/>
              </w:rPr>
            </w:pPr>
          </w:p>
        </w:tc>
        <w:tc>
          <w:tcPr>
            <w:tcW w:w="124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18,600</w:t>
            </w:r>
          </w:p>
        </w:tc>
        <w:tc>
          <w:tcPr>
            <w:tcW w:w="1680" w:type="dxa"/>
            <w:vAlign w:val="bottom"/>
            <w:gridSpan w:val="2"/>
            <w:shd w:val="clear" w:color="auto" w:fill="FDFDFC"/>
          </w:tcPr>
          <w:p>
            <w:pPr>
              <w:jc w:val="right"/>
              <w:spacing w:after="0" w:line="217" w:lineRule="exact"/>
              <w:rPr>
                <w:sz w:val="20"/>
                <w:szCs w:val="20"/>
                <w:color w:val="auto"/>
              </w:rPr>
            </w:pPr>
            <w:r>
              <w:rPr>
                <w:rFonts w:ascii="Arial" w:cs="Arial" w:eastAsia="Arial" w:hAnsi="Arial"/>
                <w:sz w:val="19"/>
                <w:szCs w:val="19"/>
                <w:color w:val="231F20"/>
              </w:rPr>
              <w:t>11</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40" w:type="dxa"/>
            <w:vAlign w:val="bottom"/>
            <w:tcBorders>
              <w:bottom w:val="single" w:sz="8" w:color="FDFDFC"/>
            </w:tcBorders>
            <w:shd w:val="clear" w:color="auto" w:fill="D0EBF2"/>
          </w:tcPr>
          <w:p>
            <w:pPr>
              <w:spacing w:after="0" w:line="217" w:lineRule="exact"/>
              <w:rPr>
                <w:sz w:val="20"/>
                <w:szCs w:val="20"/>
                <w:color w:val="auto"/>
              </w:rPr>
            </w:pPr>
            <w:r>
              <w:rPr>
                <w:rFonts w:ascii="Arial" w:cs="Arial" w:eastAsia="Arial" w:hAnsi="Arial"/>
                <w:sz w:val="19"/>
                <w:szCs w:val="19"/>
                <w:color w:val="231F20"/>
              </w:rPr>
              <w:t>Trade name/Trademark</w:t>
            </w:r>
          </w:p>
        </w:tc>
        <w:tc>
          <w:tcPr>
            <w:tcW w:w="140" w:type="dxa"/>
            <w:vAlign w:val="bottom"/>
            <w:tcBorders>
              <w:bottom w:val="single" w:sz="8" w:color="231F20"/>
            </w:tcBorders>
            <w:shd w:val="clear" w:color="auto" w:fill="D0EBF2"/>
          </w:tcPr>
          <w:p>
            <w:pPr>
              <w:spacing w:after="0"/>
              <w:rPr>
                <w:sz w:val="18"/>
                <w:szCs w:val="18"/>
                <w:color w:val="auto"/>
              </w:rPr>
            </w:pPr>
          </w:p>
        </w:tc>
        <w:tc>
          <w:tcPr>
            <w:tcW w:w="1240" w:type="dxa"/>
            <w:vAlign w:val="bottom"/>
            <w:tcBorders>
              <w:bottom w:val="single" w:sz="8" w:color="231F20"/>
            </w:tcBorders>
            <w:shd w:val="clear" w:color="auto" w:fill="D0EBF2"/>
          </w:tcPr>
          <w:p>
            <w:pPr>
              <w:jc w:val="right"/>
              <w:spacing w:after="0" w:line="217" w:lineRule="exact"/>
              <w:rPr>
                <w:sz w:val="20"/>
                <w:szCs w:val="20"/>
                <w:color w:val="auto"/>
              </w:rPr>
            </w:pPr>
            <w:r>
              <w:rPr>
                <w:rFonts w:ascii="Arial" w:cs="Arial" w:eastAsia="Arial" w:hAnsi="Arial"/>
                <w:sz w:val="19"/>
                <w:szCs w:val="19"/>
                <w:color w:val="231F20"/>
              </w:rPr>
              <w:t>400</w:t>
            </w:r>
          </w:p>
        </w:tc>
        <w:tc>
          <w:tcPr>
            <w:tcW w:w="1680" w:type="dxa"/>
            <w:vAlign w:val="bottom"/>
            <w:tcBorders>
              <w:bottom w:val="single" w:sz="8" w:color="FDFDFC"/>
            </w:tcBorders>
            <w:gridSpan w:val="2"/>
            <w:shd w:val="clear" w:color="auto" w:fill="D0EBF2"/>
          </w:tcPr>
          <w:p>
            <w:pPr>
              <w:jc w:val="right"/>
              <w:spacing w:after="0" w:line="217" w:lineRule="exact"/>
              <w:rPr>
                <w:sz w:val="20"/>
                <w:szCs w:val="20"/>
                <w:color w:val="auto"/>
              </w:rPr>
            </w:pPr>
            <w:r>
              <w:rPr>
                <w:rFonts w:ascii="Arial" w:cs="Arial" w:eastAsia="Arial" w:hAnsi="Arial"/>
                <w:sz w:val="19"/>
                <w:szCs w:val="19"/>
                <w:color w:val="231F20"/>
              </w:rPr>
              <w:t>4</w:t>
            </w:r>
          </w:p>
        </w:tc>
        <w:tc>
          <w:tcPr>
            <w:tcW w:w="100" w:type="dxa"/>
            <w:vAlign w:val="bottom"/>
            <w:tcBorders>
              <w:bottom w:val="single" w:sz="8" w:color="FDFDFC"/>
            </w:tcBorders>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40" w:type="dxa"/>
            <w:vAlign w:val="bottom"/>
            <w:shd w:val="clear" w:color="auto" w:fill="FDFDFC"/>
          </w:tcPr>
          <w:p>
            <w:pPr>
              <w:spacing w:after="0"/>
              <w:rPr>
                <w:sz w:val="17"/>
                <w:szCs w:val="17"/>
                <w:color w:val="auto"/>
              </w:rPr>
            </w:pPr>
          </w:p>
        </w:tc>
        <w:tc>
          <w:tcPr>
            <w:tcW w:w="140" w:type="dxa"/>
            <w:vAlign w:val="bottom"/>
            <w:tcBorders>
              <w:bottom w:val="single" w:sz="8" w:color="231F20"/>
            </w:tcBorders>
            <w:shd w:val="clear" w:color="auto" w:fill="FDFDFC"/>
          </w:tcPr>
          <w:p>
            <w:pPr>
              <w:jc w:val="right"/>
              <w:spacing w:after="0" w:line="207" w:lineRule="exact"/>
              <w:rPr>
                <w:sz w:val="20"/>
                <w:szCs w:val="20"/>
                <w:color w:val="auto"/>
              </w:rPr>
            </w:pPr>
            <w:r>
              <w:rPr>
                <w:rFonts w:ascii="Arial" w:cs="Arial" w:eastAsia="Arial" w:hAnsi="Arial"/>
                <w:sz w:val="19"/>
                <w:szCs w:val="19"/>
                <w:color w:val="231F20"/>
                <w:w w:val="94"/>
              </w:rPr>
              <w:t>$</w:t>
            </w:r>
          </w:p>
        </w:tc>
        <w:tc>
          <w:tcPr>
            <w:tcW w:w="1240" w:type="dxa"/>
            <w:vAlign w:val="bottom"/>
            <w:tcBorders>
              <w:bottom w:val="single" w:sz="8" w:color="231F20"/>
            </w:tcBorders>
            <w:shd w:val="clear" w:color="auto" w:fill="FDFDFC"/>
          </w:tcPr>
          <w:p>
            <w:pPr>
              <w:jc w:val="right"/>
              <w:spacing w:after="0" w:line="207" w:lineRule="exact"/>
              <w:rPr>
                <w:sz w:val="20"/>
                <w:szCs w:val="20"/>
                <w:color w:val="auto"/>
              </w:rPr>
            </w:pPr>
            <w:r>
              <w:rPr>
                <w:rFonts w:ascii="Arial" w:cs="Arial" w:eastAsia="Arial" w:hAnsi="Arial"/>
                <w:sz w:val="19"/>
                <w:szCs w:val="19"/>
                <w:color w:val="231F20"/>
              </w:rPr>
              <w:t>26,100</w:t>
            </w:r>
          </w:p>
        </w:tc>
        <w:tc>
          <w:tcPr>
            <w:tcW w:w="200" w:type="dxa"/>
            <w:vAlign w:val="bottom"/>
            <w:shd w:val="clear" w:color="auto" w:fill="FDFDFC"/>
          </w:tcPr>
          <w:p>
            <w:pPr>
              <w:spacing w:after="0"/>
              <w:rPr>
                <w:sz w:val="17"/>
                <w:szCs w:val="17"/>
                <w:color w:val="auto"/>
              </w:rPr>
            </w:pPr>
          </w:p>
        </w:tc>
        <w:tc>
          <w:tcPr>
            <w:tcW w:w="1480" w:type="dxa"/>
            <w:vAlign w:val="bottom"/>
            <w:shd w:val="clear" w:color="auto" w:fill="FDFDFC"/>
          </w:tcPr>
          <w:p>
            <w:pPr>
              <w:spacing w:after="0"/>
              <w:rPr>
                <w:sz w:val="17"/>
                <w:szCs w:val="17"/>
                <w:color w:val="auto"/>
              </w:rPr>
            </w:pPr>
          </w:p>
        </w:tc>
        <w:tc>
          <w:tcPr>
            <w:tcW w:w="100" w:type="dxa"/>
            <w:vAlign w:val="bottom"/>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40" w:firstLine="463"/>
        <w:spacing w:after="0" w:line="251" w:lineRule="auto"/>
        <w:rPr>
          <w:sz w:val="20"/>
          <w:szCs w:val="20"/>
          <w:color w:val="auto"/>
        </w:rPr>
      </w:pPr>
      <w:r>
        <w:rPr>
          <w:rFonts w:ascii="Arial" w:cs="Arial" w:eastAsia="Arial" w:hAnsi="Arial"/>
          <w:sz w:val="19"/>
          <w:szCs w:val="19"/>
          <w:color w:val="231F20"/>
        </w:rPr>
        <w:t>The results of Invoiced have been included in the consolidated financial statements since the date of the acquisition. Invoiced contributed $2.4 million in platform revenue during the year ended December 31, 2024. The Company has not disclosed net income or loss since the acquisition date as the business was fully integrated into the consolidated Company's operations and therefore it was impracticable to determine this amount.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Unaudited Pro Forma Financial Information</w:t>
      </w:r>
    </w:p>
    <w:p>
      <w:pPr>
        <w:spacing w:after="0" w:line="188" w:lineRule="exact"/>
        <w:rPr>
          <w:sz w:val="20"/>
          <w:szCs w:val="20"/>
          <w:color w:val="auto"/>
        </w:rPr>
      </w:pPr>
    </w:p>
    <w:p>
      <w:pPr>
        <w:ind w:right="80" w:firstLine="463"/>
        <w:spacing w:after="0" w:line="245" w:lineRule="auto"/>
        <w:rPr>
          <w:sz w:val="20"/>
          <w:szCs w:val="20"/>
          <w:color w:val="auto"/>
        </w:rPr>
      </w:pPr>
      <w:r>
        <w:rPr>
          <w:rFonts w:ascii="Arial" w:cs="Arial" w:eastAsia="Arial" w:hAnsi="Arial"/>
          <w:sz w:val="19"/>
          <w:szCs w:val="19"/>
          <w:color w:val="231F20"/>
        </w:rPr>
        <w:t>The following unaudited pro forma financial information shows the results of the Company’s operations for the years ended December 31, 2024 and 2023 as if the acquisition had occurred on January 1, 2023.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Invoiced. The unaudited pro forma information reflects the effects of applying the Company’s accounting policies and certain pro forma adjustments to the combined historical financial information of the Company and Invoiced. The pro forma adjustments include:</w:t>
      </w:r>
    </w:p>
    <w:p>
      <w:pPr>
        <w:spacing w:after="0" w:line="85" w:lineRule="exact"/>
        <w:rPr>
          <w:sz w:val="20"/>
          <w:szCs w:val="20"/>
          <w:color w:val="auto"/>
        </w:rPr>
      </w:pPr>
    </w:p>
    <w:p>
      <w:pPr>
        <w:ind w:left="920" w:hanging="458"/>
        <w:spacing w:after="0"/>
        <w:tabs>
          <w:tab w:leader="none" w:pos="920" w:val="left"/>
        </w:tabs>
        <w:numPr>
          <w:ilvl w:val="0"/>
          <w:numId w:val="56"/>
        </w:numPr>
        <w:rPr>
          <w:rFonts w:ascii="Arial" w:cs="Arial" w:eastAsia="Arial" w:hAnsi="Arial"/>
          <w:sz w:val="19"/>
          <w:szCs w:val="19"/>
          <w:color w:val="231F20"/>
        </w:rPr>
      </w:pPr>
      <w:r>
        <w:rPr>
          <w:rFonts w:ascii="Arial" w:cs="Arial" w:eastAsia="Arial" w:hAnsi="Arial"/>
          <w:sz w:val="19"/>
          <w:szCs w:val="19"/>
          <w:color w:val="231F20"/>
        </w:rPr>
        <w:t>incremental amortization expense associated with the estimated fair value of identified intangible assets;</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56"/>
        </w:numPr>
        <w:rPr>
          <w:rFonts w:ascii="Arial" w:cs="Arial" w:eastAsia="Arial" w:hAnsi="Arial"/>
          <w:sz w:val="19"/>
          <w:szCs w:val="19"/>
          <w:color w:val="231F20"/>
        </w:rPr>
      </w:pPr>
      <w:r>
        <w:rPr>
          <w:rFonts w:ascii="Arial" w:cs="Arial" w:eastAsia="Arial" w:hAnsi="Arial"/>
          <w:sz w:val="19"/>
          <w:szCs w:val="19"/>
          <w:color w:val="231F20"/>
        </w:rPr>
        <w:t>incremental employee compensation expense for Invoiced employees;</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56"/>
        </w:numPr>
        <w:rPr>
          <w:rFonts w:ascii="Arial" w:cs="Arial" w:eastAsia="Arial" w:hAnsi="Arial"/>
          <w:sz w:val="19"/>
          <w:szCs w:val="19"/>
          <w:color w:val="231F20"/>
        </w:rPr>
      </w:pPr>
      <w:r>
        <w:rPr>
          <w:rFonts w:ascii="Arial" w:cs="Arial" w:eastAsia="Arial" w:hAnsi="Arial"/>
          <w:sz w:val="19"/>
          <w:szCs w:val="19"/>
          <w:color w:val="231F20"/>
        </w:rPr>
        <w:t>transaction costs; and</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56"/>
        </w:numPr>
        <w:rPr>
          <w:rFonts w:ascii="Arial" w:cs="Arial" w:eastAsia="Arial" w:hAnsi="Arial"/>
          <w:sz w:val="19"/>
          <w:szCs w:val="19"/>
          <w:color w:val="231F20"/>
        </w:rPr>
      </w:pPr>
      <w:r>
        <w:rPr>
          <w:rFonts w:ascii="Arial" w:cs="Arial" w:eastAsia="Arial" w:hAnsi="Arial"/>
          <w:sz w:val="19"/>
          <w:szCs w:val="19"/>
          <w:color w:val="231F20"/>
        </w:rPr>
        <w:t>the estimated tax impact of the above items.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2300" w:type="dxa"/>
            <w:vAlign w:val="bottom"/>
            <w:gridSpan w:val="5"/>
            <w:shd w:val="clear" w:color="auto" w:fill="FDFDFC"/>
          </w:tcPr>
          <w:p>
            <w:pPr>
              <w:jc w:val="right"/>
              <w:spacing w:after="0"/>
              <w:rPr>
                <w:sz w:val="20"/>
                <w:szCs w:val="20"/>
                <w:color w:val="auto"/>
              </w:rPr>
            </w:pPr>
            <w:r>
              <w:rPr>
                <w:rFonts w:ascii="Arial" w:cs="Arial" w:eastAsia="Arial" w:hAnsi="Arial"/>
                <w:sz w:val="15"/>
                <w:szCs w:val="15"/>
                <w:b w:val="1"/>
                <w:bCs w:val="1"/>
                <w:color w:val="231F20"/>
              </w:rPr>
              <w:t>Year Ended December 31, 2024</w:t>
            </w:r>
          </w:p>
        </w:tc>
        <w:tc>
          <w:tcPr>
            <w:tcW w:w="240" w:type="dxa"/>
            <w:vAlign w:val="bottom"/>
            <w:shd w:val="clear" w:color="auto" w:fill="FDFDFC"/>
          </w:tcPr>
          <w:p>
            <w:pPr>
              <w:spacing w:after="0"/>
              <w:rPr>
                <w:sz w:val="16"/>
                <w:szCs w:val="16"/>
                <w:color w:val="auto"/>
              </w:rPr>
            </w:pPr>
          </w:p>
        </w:tc>
        <w:tc>
          <w:tcPr>
            <w:tcW w:w="2400" w:type="dxa"/>
            <w:vAlign w:val="bottom"/>
            <w:gridSpan w:val="7"/>
            <w:shd w:val="clear" w:color="auto" w:fill="FDFDFC"/>
          </w:tcPr>
          <w:p>
            <w:pPr>
              <w:jc w:val="right"/>
              <w:ind w:right="140"/>
              <w:spacing w:after="0"/>
              <w:rPr>
                <w:sz w:val="20"/>
                <w:szCs w:val="20"/>
                <w:color w:val="auto"/>
              </w:rPr>
            </w:pPr>
            <w:r>
              <w:rPr>
                <w:rFonts w:ascii="Arial" w:cs="Arial" w:eastAsia="Arial" w:hAnsi="Arial"/>
                <w:sz w:val="15"/>
                <w:szCs w:val="15"/>
                <w:b w:val="1"/>
                <w:bCs w:val="1"/>
                <w:color w:val="231F20"/>
              </w:rPr>
              <w:t>Year Ended December 31, 2023</w:t>
            </w:r>
          </w:p>
        </w:tc>
      </w:tr>
      <w:tr>
        <w:trPr>
          <w:trHeight w:val="176"/>
        </w:trPr>
        <w:tc>
          <w:tcPr>
            <w:tcW w:w="5140" w:type="dxa"/>
            <w:vAlign w:val="bottom"/>
            <w:tcBorders>
              <w:top w:val="single" w:sz="8" w:color="FDFDFC"/>
              <w:bottom w:val="single" w:sz="8" w:color="FDFDFC"/>
            </w:tcBorders>
            <w:shd w:val="clear" w:color="auto" w:fill="FDFDFC"/>
          </w:tcPr>
          <w:p>
            <w:pPr>
              <w:spacing w:after="0"/>
              <w:rPr>
                <w:sz w:val="15"/>
                <w:szCs w:val="15"/>
                <w:color w:val="auto"/>
              </w:rPr>
            </w:pPr>
          </w:p>
        </w:tc>
        <w:tc>
          <w:tcPr>
            <w:tcW w:w="120" w:type="dxa"/>
            <w:vAlign w:val="bottom"/>
            <w:tcBorders>
              <w:top w:val="single" w:sz="8" w:color="FDFDFC"/>
              <w:bottom w:val="single" w:sz="8" w:color="FDFDFC"/>
            </w:tcBorders>
            <w:shd w:val="clear" w:color="auto" w:fill="FDFDFC"/>
          </w:tcPr>
          <w:p>
            <w:pPr>
              <w:spacing w:after="0"/>
              <w:rPr>
                <w:sz w:val="15"/>
                <w:szCs w:val="15"/>
                <w:color w:val="auto"/>
              </w:rPr>
            </w:pPr>
          </w:p>
        </w:tc>
        <w:tc>
          <w:tcPr>
            <w:tcW w:w="200" w:type="dxa"/>
            <w:vAlign w:val="bottom"/>
            <w:tcBorders>
              <w:top w:val="single" w:sz="8" w:color="231F20"/>
              <w:bottom w:val="single" w:sz="8" w:color="231F20"/>
            </w:tcBorders>
            <w:shd w:val="clear" w:color="auto" w:fill="FDFDFC"/>
          </w:tcPr>
          <w:p>
            <w:pPr>
              <w:spacing w:after="0"/>
              <w:rPr>
                <w:sz w:val="15"/>
                <w:szCs w:val="15"/>
                <w:color w:val="auto"/>
              </w:rPr>
            </w:pPr>
          </w:p>
        </w:tc>
        <w:tc>
          <w:tcPr>
            <w:tcW w:w="840" w:type="dxa"/>
            <w:vAlign w:val="bottom"/>
            <w:tcBorders>
              <w:top w:val="single" w:sz="8" w:color="231F20"/>
              <w:bottom w:val="single" w:sz="8" w:color="231F20"/>
            </w:tcBorders>
            <w:shd w:val="clear" w:color="auto" w:fill="FDFDFC"/>
          </w:tcPr>
          <w:p>
            <w:pPr>
              <w:jc w:val="right"/>
              <w:ind w:right="212"/>
              <w:spacing w:after="0"/>
              <w:rPr>
                <w:sz w:val="20"/>
                <w:szCs w:val="20"/>
                <w:color w:val="auto"/>
              </w:rPr>
            </w:pPr>
            <w:r>
              <w:rPr>
                <w:rFonts w:ascii="Arial" w:cs="Arial" w:eastAsia="Arial" w:hAnsi="Arial"/>
                <w:sz w:val="15"/>
                <w:szCs w:val="15"/>
                <w:b w:val="1"/>
                <w:bCs w:val="1"/>
                <w:color w:val="231F20"/>
              </w:rPr>
              <w:t>Actual</w:t>
            </w:r>
          </w:p>
        </w:tc>
        <w:tc>
          <w:tcPr>
            <w:tcW w:w="240" w:type="dxa"/>
            <w:vAlign w:val="bottom"/>
            <w:tcBorders>
              <w:top w:val="single" w:sz="8" w:color="231F20"/>
              <w:bottom w:val="single" w:sz="8" w:color="FDFDFC"/>
            </w:tcBorders>
            <w:shd w:val="clear" w:color="auto" w:fill="FDFDFC"/>
          </w:tcPr>
          <w:p>
            <w:pPr>
              <w:spacing w:after="0"/>
              <w:rPr>
                <w:sz w:val="15"/>
                <w:szCs w:val="15"/>
                <w:color w:val="auto"/>
              </w:rPr>
            </w:pPr>
          </w:p>
        </w:tc>
        <w:tc>
          <w:tcPr>
            <w:tcW w:w="120" w:type="dxa"/>
            <w:vAlign w:val="bottom"/>
            <w:tcBorders>
              <w:top w:val="single" w:sz="8" w:color="231F20"/>
              <w:bottom w:val="single" w:sz="8" w:color="231F20"/>
            </w:tcBorders>
            <w:shd w:val="clear" w:color="auto" w:fill="FDFDFC"/>
          </w:tcPr>
          <w:p>
            <w:pPr>
              <w:spacing w:after="0"/>
              <w:rPr>
                <w:sz w:val="15"/>
                <w:szCs w:val="15"/>
                <w:color w:val="auto"/>
              </w:rPr>
            </w:pPr>
          </w:p>
        </w:tc>
        <w:tc>
          <w:tcPr>
            <w:tcW w:w="900" w:type="dxa"/>
            <w:vAlign w:val="bottom"/>
            <w:tcBorders>
              <w:top w:val="single" w:sz="8" w:color="231F20"/>
              <w:bottom w:val="single" w:sz="8" w:color="231F20"/>
            </w:tcBorders>
            <w:shd w:val="clear" w:color="auto" w:fill="FDFDFC"/>
          </w:tcPr>
          <w:p>
            <w:pPr>
              <w:jc w:val="right"/>
              <w:ind w:right="55"/>
              <w:spacing w:after="0"/>
              <w:rPr>
                <w:sz w:val="20"/>
                <w:szCs w:val="20"/>
                <w:color w:val="auto"/>
              </w:rPr>
            </w:pPr>
            <w:r>
              <w:rPr>
                <w:rFonts w:ascii="Arial" w:cs="Arial" w:eastAsia="Arial" w:hAnsi="Arial"/>
                <w:sz w:val="15"/>
                <w:szCs w:val="15"/>
                <w:b w:val="1"/>
                <w:bCs w:val="1"/>
                <w:color w:val="231F20"/>
                <w:w w:val="98"/>
              </w:rPr>
              <w:t>Pro Forma</w:t>
            </w:r>
          </w:p>
        </w:tc>
        <w:tc>
          <w:tcPr>
            <w:tcW w:w="240" w:type="dxa"/>
            <w:vAlign w:val="bottom"/>
            <w:tcBorders>
              <w:top w:val="single" w:sz="8" w:color="FDFDFC"/>
              <w:bottom w:val="single" w:sz="8" w:color="FDFDFC"/>
            </w:tcBorders>
            <w:shd w:val="clear" w:color="auto" w:fill="FDFDFC"/>
          </w:tcPr>
          <w:p>
            <w:pPr>
              <w:spacing w:after="0"/>
              <w:rPr>
                <w:sz w:val="15"/>
                <w:szCs w:val="15"/>
                <w:color w:val="auto"/>
              </w:rPr>
            </w:pPr>
          </w:p>
        </w:tc>
        <w:tc>
          <w:tcPr>
            <w:tcW w:w="180" w:type="dxa"/>
            <w:vAlign w:val="bottom"/>
            <w:tcBorders>
              <w:top w:val="single" w:sz="8" w:color="231F20"/>
              <w:bottom w:val="single" w:sz="8" w:color="231F20"/>
            </w:tcBorders>
            <w:shd w:val="clear" w:color="auto" w:fill="FDFDFC"/>
          </w:tcPr>
          <w:p>
            <w:pPr>
              <w:spacing w:after="0"/>
              <w:rPr>
                <w:sz w:val="15"/>
                <w:szCs w:val="15"/>
                <w:color w:val="auto"/>
              </w:rPr>
            </w:pPr>
          </w:p>
        </w:tc>
        <w:tc>
          <w:tcPr>
            <w:tcW w:w="860" w:type="dxa"/>
            <w:vAlign w:val="bottom"/>
            <w:tcBorders>
              <w:top w:val="single" w:sz="8" w:color="231F20"/>
              <w:bottom w:val="single" w:sz="8" w:color="231F20"/>
            </w:tcBorders>
            <w:shd w:val="clear" w:color="auto" w:fill="FDFDFC"/>
          </w:tcPr>
          <w:p>
            <w:pPr>
              <w:jc w:val="right"/>
              <w:ind w:right="212"/>
              <w:spacing w:after="0"/>
              <w:rPr>
                <w:sz w:val="20"/>
                <w:szCs w:val="20"/>
                <w:color w:val="auto"/>
              </w:rPr>
            </w:pPr>
            <w:r>
              <w:rPr>
                <w:rFonts w:ascii="Arial" w:cs="Arial" w:eastAsia="Arial" w:hAnsi="Arial"/>
                <w:sz w:val="15"/>
                <w:szCs w:val="15"/>
                <w:b w:val="1"/>
                <w:bCs w:val="1"/>
                <w:color w:val="231F20"/>
              </w:rPr>
              <w:t>Actual</w:t>
            </w:r>
          </w:p>
        </w:tc>
        <w:tc>
          <w:tcPr>
            <w:tcW w:w="100" w:type="dxa"/>
            <w:vAlign w:val="bottom"/>
            <w:tcBorders>
              <w:top w:val="single" w:sz="8" w:color="231F20"/>
              <w:bottom w:val="single" w:sz="8" w:color="FDFDFC"/>
            </w:tcBorders>
            <w:shd w:val="clear" w:color="auto" w:fill="FDFDFC"/>
          </w:tcPr>
          <w:p>
            <w:pPr>
              <w:spacing w:after="0"/>
              <w:rPr>
                <w:sz w:val="15"/>
                <w:szCs w:val="15"/>
                <w:color w:val="auto"/>
              </w:rPr>
            </w:pPr>
          </w:p>
        </w:tc>
        <w:tc>
          <w:tcPr>
            <w:tcW w:w="120" w:type="dxa"/>
            <w:vAlign w:val="bottom"/>
            <w:tcBorders>
              <w:top w:val="single" w:sz="8" w:color="231F20"/>
              <w:bottom w:val="single" w:sz="8" w:color="FDFDFC"/>
            </w:tcBorders>
            <w:shd w:val="clear" w:color="auto" w:fill="FDFDFC"/>
          </w:tcPr>
          <w:p>
            <w:pPr>
              <w:spacing w:after="0"/>
              <w:rPr>
                <w:sz w:val="15"/>
                <w:szCs w:val="15"/>
                <w:color w:val="auto"/>
              </w:rPr>
            </w:pPr>
          </w:p>
        </w:tc>
        <w:tc>
          <w:tcPr>
            <w:tcW w:w="120" w:type="dxa"/>
            <w:vAlign w:val="bottom"/>
            <w:tcBorders>
              <w:top w:val="single" w:sz="8" w:color="231F20"/>
              <w:bottom w:val="single" w:sz="8" w:color="231F20"/>
            </w:tcBorders>
            <w:shd w:val="clear" w:color="auto" w:fill="FDFDFC"/>
          </w:tcPr>
          <w:p>
            <w:pPr>
              <w:spacing w:after="0"/>
              <w:rPr>
                <w:sz w:val="15"/>
                <w:szCs w:val="15"/>
                <w:color w:val="auto"/>
              </w:rPr>
            </w:pPr>
          </w:p>
        </w:tc>
        <w:tc>
          <w:tcPr>
            <w:tcW w:w="920" w:type="dxa"/>
            <w:vAlign w:val="bottom"/>
            <w:tcBorders>
              <w:top w:val="single" w:sz="8" w:color="231F20"/>
              <w:bottom w:val="single" w:sz="8" w:color="231F20"/>
            </w:tcBorders>
            <w:shd w:val="clear" w:color="auto" w:fill="FDFDFC"/>
          </w:tcPr>
          <w:p>
            <w:pPr>
              <w:jc w:val="right"/>
              <w:ind w:right="52"/>
              <w:spacing w:after="0"/>
              <w:rPr>
                <w:sz w:val="20"/>
                <w:szCs w:val="20"/>
                <w:color w:val="auto"/>
              </w:rPr>
            </w:pPr>
            <w:r>
              <w:rPr>
                <w:rFonts w:ascii="Arial" w:cs="Arial" w:eastAsia="Arial" w:hAnsi="Arial"/>
                <w:sz w:val="15"/>
                <w:szCs w:val="15"/>
                <w:b w:val="1"/>
                <w:bCs w:val="1"/>
                <w:color w:val="231F20"/>
              </w:rPr>
              <w:t>Pro Forma</w:t>
            </w:r>
          </w:p>
        </w:tc>
        <w:tc>
          <w:tcPr>
            <w:tcW w:w="100" w:type="dxa"/>
            <w:vAlign w:val="bottom"/>
            <w:tcBorders>
              <w:top w:val="single" w:sz="8" w:color="FDFDFC"/>
              <w:bottom w:val="single" w:sz="8" w:color="FDFDFC"/>
            </w:tcBorders>
            <w:shd w:val="clear" w:color="auto" w:fill="FDFDFC"/>
          </w:tcPr>
          <w:p>
            <w:pPr>
              <w:spacing w:after="0"/>
              <w:rPr>
                <w:sz w:val="15"/>
                <w:szCs w:val="15"/>
                <w:color w:val="auto"/>
              </w:rPr>
            </w:pPr>
          </w:p>
        </w:tc>
      </w:tr>
      <w:tr>
        <w:trPr>
          <w:trHeight w:val="167"/>
        </w:trPr>
        <w:tc>
          <w:tcPr>
            <w:tcW w:w="514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200" w:type="dxa"/>
            <w:vAlign w:val="bottom"/>
            <w:shd w:val="clear" w:color="auto" w:fill="FDFDFC"/>
          </w:tcPr>
          <w:p>
            <w:pPr>
              <w:spacing w:after="0"/>
              <w:rPr>
                <w:sz w:val="14"/>
                <w:szCs w:val="14"/>
                <w:color w:val="auto"/>
              </w:rPr>
            </w:pPr>
          </w:p>
        </w:tc>
        <w:tc>
          <w:tcPr>
            <w:tcW w:w="840" w:type="dxa"/>
            <w:vAlign w:val="bottom"/>
            <w:shd w:val="clear" w:color="auto" w:fill="FDFDFC"/>
          </w:tcPr>
          <w:p>
            <w:pPr>
              <w:spacing w:after="0"/>
              <w:rPr>
                <w:sz w:val="14"/>
                <w:szCs w:val="14"/>
                <w:color w:val="auto"/>
              </w:rPr>
            </w:pPr>
          </w:p>
        </w:tc>
        <w:tc>
          <w:tcPr>
            <w:tcW w:w="24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900" w:type="dxa"/>
            <w:vAlign w:val="bottom"/>
            <w:shd w:val="clear" w:color="auto" w:fill="FDFDFC"/>
          </w:tcPr>
          <w:p>
            <w:pPr>
              <w:jc w:val="right"/>
              <w:ind w:right="135"/>
              <w:spacing w:after="0" w:line="167" w:lineRule="exact"/>
              <w:rPr>
                <w:sz w:val="20"/>
                <w:szCs w:val="20"/>
                <w:color w:val="auto"/>
              </w:rPr>
            </w:pPr>
            <w:r>
              <w:rPr>
                <w:rFonts w:ascii="Arial" w:cs="Arial" w:eastAsia="Arial" w:hAnsi="Arial"/>
                <w:sz w:val="15"/>
                <w:szCs w:val="15"/>
                <w:b w:val="1"/>
                <w:bCs w:val="1"/>
                <w:color w:val="231F20"/>
              </w:rPr>
              <w:t>(in</w:t>
            </w:r>
          </w:p>
        </w:tc>
        <w:tc>
          <w:tcPr>
            <w:tcW w:w="1280" w:type="dxa"/>
            <w:vAlign w:val="bottom"/>
            <w:gridSpan w:val="3"/>
            <w:shd w:val="clear" w:color="auto" w:fill="FDFDFC"/>
          </w:tcPr>
          <w:p>
            <w:pPr>
              <w:jc w:val="right"/>
              <w:ind w:right="552"/>
              <w:spacing w:after="0" w:line="167" w:lineRule="exact"/>
              <w:rPr>
                <w:sz w:val="20"/>
                <w:szCs w:val="20"/>
                <w:color w:val="auto"/>
              </w:rPr>
            </w:pPr>
            <w:r>
              <w:rPr>
                <w:rFonts w:ascii="Arial" w:cs="Arial" w:eastAsia="Arial" w:hAnsi="Arial"/>
                <w:sz w:val="15"/>
                <w:szCs w:val="15"/>
                <w:b w:val="1"/>
                <w:bCs w:val="1"/>
                <w:color w:val="231F20"/>
                <w:w w:val="76"/>
              </w:rPr>
              <w:t>thousands)</w:t>
            </w:r>
          </w:p>
        </w:tc>
        <w:tc>
          <w:tcPr>
            <w:tcW w:w="10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9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r>
      <w:tr>
        <w:trPr>
          <w:trHeight w:val="230"/>
        </w:trPr>
        <w:tc>
          <w:tcPr>
            <w:tcW w:w="5140" w:type="dxa"/>
            <w:vAlign w:val="bottom"/>
            <w:shd w:val="clear" w:color="auto" w:fill="D0EBF2"/>
          </w:tcPr>
          <w:p>
            <w:pPr>
              <w:spacing w:after="0"/>
              <w:rPr>
                <w:sz w:val="20"/>
                <w:szCs w:val="20"/>
                <w:color w:val="auto"/>
              </w:rPr>
            </w:pPr>
            <w:r>
              <w:rPr>
                <w:rFonts w:ascii="Arial" w:cs="Arial" w:eastAsia="Arial" w:hAnsi="Arial"/>
                <w:sz w:val="19"/>
                <w:szCs w:val="19"/>
                <w:color w:val="231F20"/>
              </w:rPr>
              <w:t>Revenue</w:t>
            </w:r>
          </w:p>
        </w:tc>
        <w:tc>
          <w:tcPr>
            <w:tcW w:w="320" w:type="dxa"/>
            <w:vAlign w:val="bottom"/>
            <w:gridSpan w:val="2"/>
            <w:shd w:val="clear" w:color="auto" w:fill="D0EBF2"/>
          </w:tcPr>
          <w:p>
            <w:pPr>
              <w:jc w:val="right"/>
              <w:ind w:right="4"/>
              <w:spacing w:after="0"/>
              <w:rPr>
                <w:sz w:val="20"/>
                <w:szCs w:val="20"/>
                <w:color w:val="auto"/>
              </w:rPr>
            </w:pPr>
            <w:r>
              <w:rPr>
                <w:rFonts w:ascii="Arial" w:cs="Arial" w:eastAsia="Arial" w:hAnsi="Arial"/>
                <w:sz w:val="19"/>
                <w:szCs w:val="19"/>
                <w:color w:val="231F20"/>
              </w:rPr>
              <w:t>$</w:t>
            </w:r>
          </w:p>
        </w:tc>
        <w:tc>
          <w:tcPr>
            <w:tcW w:w="8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492,144</w:t>
            </w:r>
          </w:p>
        </w:tc>
        <w:tc>
          <w:tcPr>
            <w:tcW w:w="36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w:t>
            </w: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495,412</w:t>
            </w:r>
          </w:p>
        </w:tc>
        <w:tc>
          <w:tcPr>
            <w:tcW w:w="420" w:type="dxa"/>
            <w:vAlign w:val="bottom"/>
            <w:gridSpan w:val="2"/>
            <w:shd w:val="clear" w:color="auto" w:fill="D0EBF2"/>
          </w:tcPr>
          <w:p>
            <w:pPr>
              <w:jc w:val="right"/>
              <w:ind w:right="4"/>
              <w:spacing w:after="0"/>
              <w:rPr>
                <w:sz w:val="20"/>
                <w:szCs w:val="20"/>
                <w:color w:val="auto"/>
              </w:rPr>
            </w:pPr>
            <w:r>
              <w:rPr>
                <w:rFonts w:ascii="Arial" w:cs="Arial" w:eastAsia="Arial" w:hAnsi="Arial"/>
                <w:sz w:val="19"/>
                <w:szCs w:val="19"/>
                <w:color w:val="231F20"/>
              </w:rPr>
              <w:t>$</w:t>
            </w:r>
          </w:p>
        </w:tc>
        <w:tc>
          <w:tcPr>
            <w:tcW w:w="8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403,094</w:t>
            </w:r>
          </w:p>
        </w:tc>
        <w:tc>
          <w:tcPr>
            <w:tcW w:w="100" w:type="dxa"/>
            <w:vAlign w:val="bottom"/>
            <w:shd w:val="clear" w:color="auto" w:fill="D0EBF2"/>
          </w:tcPr>
          <w:p>
            <w:pPr>
              <w:spacing w:after="0"/>
              <w:rPr>
                <w:sz w:val="20"/>
                <w:szCs w:val="20"/>
                <w:color w:val="auto"/>
              </w:rPr>
            </w:pPr>
          </w:p>
        </w:tc>
        <w:tc>
          <w:tcPr>
            <w:tcW w:w="24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w:t>
            </w: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408,325</w:t>
            </w:r>
          </w:p>
        </w:tc>
        <w:tc>
          <w:tcPr>
            <w:tcW w:w="100" w:type="dxa"/>
            <w:vAlign w:val="bottom"/>
            <w:shd w:val="clear" w:color="auto" w:fill="D0EBF2"/>
          </w:tcPr>
          <w:p>
            <w:pPr>
              <w:spacing w:after="0"/>
              <w:rPr>
                <w:sz w:val="20"/>
                <w:szCs w:val="20"/>
                <w:color w:val="auto"/>
              </w:rPr>
            </w:pPr>
          </w:p>
        </w:tc>
      </w:tr>
      <w:tr>
        <w:trPr>
          <w:trHeight w:val="230"/>
        </w:trPr>
        <w:tc>
          <w:tcPr>
            <w:tcW w:w="5140" w:type="dxa"/>
            <w:vAlign w:val="bottom"/>
            <w:shd w:val="clear" w:color="auto" w:fill="FDFDFC"/>
          </w:tcPr>
          <w:p>
            <w:pPr>
              <w:spacing w:after="0"/>
              <w:rPr>
                <w:sz w:val="20"/>
                <w:szCs w:val="20"/>
                <w:color w:val="auto"/>
              </w:rPr>
            </w:pPr>
            <w:r>
              <w:rPr>
                <w:rFonts w:ascii="Arial" w:cs="Arial" w:eastAsia="Arial" w:hAnsi="Arial"/>
                <w:sz w:val="19"/>
                <w:szCs w:val="19"/>
                <w:color w:val="231F20"/>
              </w:rPr>
              <w:t>Net income (loss)</w:t>
            </w:r>
          </w:p>
        </w:tc>
        <w:tc>
          <w:tcPr>
            <w:tcW w:w="320" w:type="dxa"/>
            <w:vAlign w:val="bottom"/>
            <w:gridSpan w:val="2"/>
            <w:shd w:val="clear" w:color="auto" w:fill="FDFDFC"/>
          </w:tcPr>
          <w:p>
            <w:pPr>
              <w:jc w:val="right"/>
              <w:ind w:right="4"/>
              <w:spacing w:after="0"/>
              <w:rPr>
                <w:sz w:val="20"/>
                <w:szCs w:val="20"/>
                <w:color w:val="auto"/>
              </w:rPr>
            </w:pPr>
            <w:r>
              <w:rPr>
                <w:rFonts w:ascii="Arial" w:cs="Arial" w:eastAsia="Arial" w:hAnsi="Arial"/>
                <w:sz w:val="19"/>
                <w:szCs w:val="19"/>
                <w:color w:val="231F20"/>
              </w:rPr>
              <w:t>$</w:t>
            </w:r>
          </w:p>
        </w:tc>
        <w:tc>
          <w:tcPr>
            <w:tcW w:w="8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2,900</w:t>
            </w:r>
          </w:p>
        </w:tc>
        <w:tc>
          <w:tcPr>
            <w:tcW w:w="36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w:t>
            </w: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1,623</w:t>
            </w:r>
          </w:p>
        </w:tc>
        <w:tc>
          <w:tcPr>
            <w:tcW w:w="420" w:type="dxa"/>
            <w:vAlign w:val="bottom"/>
            <w:gridSpan w:val="2"/>
            <w:shd w:val="clear" w:color="auto" w:fill="FDFDFC"/>
          </w:tcPr>
          <w:p>
            <w:pPr>
              <w:jc w:val="right"/>
              <w:ind w:right="4"/>
              <w:spacing w:after="0"/>
              <w:rPr>
                <w:sz w:val="20"/>
                <w:szCs w:val="20"/>
                <w:color w:val="auto"/>
              </w:rPr>
            </w:pPr>
            <w:r>
              <w:rPr>
                <w:rFonts w:ascii="Arial" w:cs="Arial" w:eastAsia="Arial" w:hAnsi="Arial"/>
                <w:sz w:val="19"/>
                <w:szCs w:val="19"/>
                <w:color w:val="231F20"/>
              </w:rPr>
              <w:t>$</w:t>
            </w:r>
          </w:p>
        </w:tc>
        <w:tc>
          <w:tcPr>
            <w:tcW w:w="96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(8,566)</w:t>
            </w:r>
          </w:p>
        </w:tc>
        <w:tc>
          <w:tcPr>
            <w:tcW w:w="24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w:t>
            </w:r>
          </w:p>
        </w:tc>
        <w:tc>
          <w:tcPr>
            <w:tcW w:w="102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(11,233)</w:t>
            </w:r>
          </w:p>
        </w:tc>
      </w:tr>
    </w:tbl>
    <w:p>
      <w:pPr>
        <w:spacing w:after="0" w:line="200" w:lineRule="exact"/>
        <w:rPr>
          <w:sz w:val="20"/>
          <w:szCs w:val="20"/>
          <w:color w:val="auto"/>
        </w:rPr>
      </w:pP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134</w:t>
      </w:r>
    </w:p>
    <w:p>
      <w:pPr>
        <w:sectPr>
          <w:pgSz w:w="12240" w:h="15840" w:orient="portrait"/>
          <w:cols w:equalWidth="0" w:num="1">
            <w:col w:w="10200"/>
          </w:cols>
          <w:pgMar w:left="1020" w:top="1440" w:right="1020" w:bottom="572" w:gutter="0" w:footer="0" w:header="0"/>
          <w:type w:val="continuous"/>
        </w:sectPr>
      </w:pPr>
    </w:p>
    <w:bookmarkStart w:id="135" w:name="page136"/>
    <w:bookmarkEnd w:id="135"/>
    <w:p>
      <w:pPr>
        <w:spacing w:after="0" w:line="105"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StudyLink</w:t>
      </w:r>
    </w:p>
    <w:p>
      <w:pPr>
        <w:spacing w:after="0" w:line="180" w:lineRule="exact"/>
        <w:rPr>
          <w:sz w:val="20"/>
          <w:szCs w:val="20"/>
          <w:color w:val="auto"/>
        </w:rPr>
      </w:pPr>
    </w:p>
    <w:p>
      <w:pPr>
        <w:ind w:right="120" w:firstLine="463"/>
        <w:spacing w:after="0" w:line="245" w:lineRule="auto"/>
        <w:rPr>
          <w:sz w:val="20"/>
          <w:szCs w:val="20"/>
          <w:color w:val="auto"/>
        </w:rPr>
      </w:pPr>
      <w:r>
        <w:rPr>
          <w:rFonts w:ascii="Arial" w:cs="Arial" w:eastAsia="Arial" w:hAnsi="Arial"/>
          <w:sz w:val="19"/>
          <w:szCs w:val="19"/>
          <w:color w:val="231F20"/>
        </w:rPr>
        <w:t>On November 3, 2023, Flywire, through one of its Australian subsidiaries Flywire Pacific Pty Ltd., acquired all of the issued and outstanding shares of StudyLink,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the Company's growth in the Australian higher education market and enhance the Company's value proposition to payers, universities and agents in the higher education ecosystem. The acquisition of StudyLink has been accounted for as a business combination.</w:t>
      </w:r>
    </w:p>
    <w:p>
      <w:pPr>
        <w:spacing w:after="0" w:line="148" w:lineRule="exact"/>
        <w:rPr>
          <w:sz w:val="20"/>
          <w:szCs w:val="20"/>
          <w:color w:val="auto"/>
        </w:rPr>
      </w:pPr>
    </w:p>
    <w:p>
      <w:pPr>
        <w:ind w:right="320" w:firstLine="463"/>
        <w:spacing w:after="0" w:line="278" w:lineRule="auto"/>
        <w:rPr>
          <w:sz w:val="20"/>
          <w:szCs w:val="20"/>
          <w:color w:val="auto"/>
        </w:rPr>
      </w:pPr>
      <w:r>
        <w:rPr>
          <w:rFonts w:ascii="Arial" w:cs="Arial" w:eastAsia="Arial" w:hAnsi="Arial"/>
          <w:sz w:val="19"/>
          <w:szCs w:val="19"/>
          <w:color w:val="231F20"/>
        </w:rPr>
        <w:t>During the first quarter of 2024, the Company completed its purchase accounting and recorded an immaterial net working capital adjustment.</w:t>
      </w:r>
    </w:p>
    <w:p>
      <w:pPr>
        <w:spacing w:after="0" w:line="117" w:lineRule="exact"/>
        <w:rPr>
          <w:sz w:val="20"/>
          <w:szCs w:val="20"/>
          <w:color w:val="auto"/>
        </w:rPr>
      </w:pPr>
    </w:p>
    <w:p>
      <w:pPr>
        <w:ind w:right="140" w:firstLine="463"/>
        <w:spacing w:after="0" w:line="258" w:lineRule="auto"/>
        <w:rPr>
          <w:sz w:val="20"/>
          <w:szCs w:val="20"/>
          <w:color w:val="auto"/>
        </w:rPr>
      </w:pPr>
      <w:r>
        <w:rPr>
          <w:rFonts w:ascii="Arial" w:cs="Arial" w:eastAsia="Arial" w:hAnsi="Arial"/>
          <w:sz w:val="19"/>
          <w:szCs w:val="19"/>
          <w:color w:val="231F20"/>
        </w:rPr>
        <w:t>Pursuant to the terms of the business combination agreement, the Company acquired StudyLink for estimated total purchase consideration of approximately $37.6 million or $35.5 million, net of cash acquired, which consisted of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40" w:type="dxa"/>
            <w:vAlign w:val="bottom"/>
            <w:shd w:val="clear" w:color="auto" w:fill="D0EBF2"/>
          </w:tcPr>
          <w:p>
            <w:pPr>
              <w:spacing w:after="0"/>
              <w:rPr>
                <w:sz w:val="20"/>
                <w:szCs w:val="20"/>
                <w:color w:val="auto"/>
              </w:rPr>
            </w:pPr>
            <w:r>
              <w:rPr>
                <w:rFonts w:ascii="Arial" w:cs="Arial" w:eastAsia="Arial" w:hAnsi="Arial"/>
                <w:sz w:val="19"/>
                <w:szCs w:val="19"/>
                <w:color w:val="231F20"/>
              </w:rPr>
              <w:t>Cash consideration, net of cash acquired</w:t>
            </w:r>
          </w:p>
        </w:tc>
        <w:tc>
          <w:tcPr>
            <w:tcW w:w="2560" w:type="dxa"/>
            <w:vAlign w:val="bottom"/>
            <w:gridSpan w:val="2"/>
            <w:shd w:val="clear" w:color="auto" w:fill="D0EBF2"/>
          </w:tcPr>
          <w:p>
            <w:pPr>
              <w:jc w:val="right"/>
              <w:ind w:right="426"/>
              <w:spacing w:after="0"/>
              <w:rPr>
                <w:sz w:val="20"/>
                <w:szCs w:val="20"/>
                <w:color w:val="auto"/>
              </w:rPr>
            </w:pPr>
            <w:r>
              <w:rPr>
                <w:rFonts w:ascii="Arial" w:cs="Arial" w:eastAsia="Arial" w:hAnsi="Arial"/>
                <w:sz w:val="19"/>
                <w:szCs w:val="19"/>
                <w:color w:val="231F20"/>
              </w:rPr>
              <w:t>$</w:t>
            </w: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32,764</w:t>
            </w:r>
          </w:p>
        </w:tc>
        <w:tc>
          <w:tcPr>
            <w:tcW w:w="100" w:type="dxa"/>
            <w:vAlign w:val="bottom"/>
            <w:shd w:val="clear" w:color="auto" w:fill="D0EBF2"/>
          </w:tcPr>
          <w:p>
            <w:pPr>
              <w:spacing w:after="0"/>
              <w:rPr>
                <w:sz w:val="18"/>
                <w:szCs w:val="18"/>
                <w:color w:val="auto"/>
              </w:rPr>
            </w:pPr>
          </w:p>
        </w:tc>
      </w:tr>
      <w:tr>
        <w:trPr>
          <w:trHeight w:val="217"/>
        </w:trPr>
        <w:tc>
          <w:tcPr>
            <w:tcW w:w="6440" w:type="dxa"/>
            <w:vAlign w:val="bottom"/>
            <w:tcBorders>
              <w:bottom w:val="single" w:sz="8" w:color="D0EBF2"/>
            </w:tcBorders>
            <w:shd w:val="clear" w:color="auto" w:fill="FDFDFC"/>
          </w:tcPr>
          <w:p>
            <w:pPr>
              <w:spacing w:after="0" w:line="217" w:lineRule="exact"/>
              <w:rPr>
                <w:sz w:val="20"/>
                <w:szCs w:val="20"/>
                <w:color w:val="auto"/>
              </w:rPr>
            </w:pPr>
            <w:r>
              <w:rPr>
                <w:rFonts w:ascii="Arial" w:cs="Arial" w:eastAsia="Arial" w:hAnsi="Arial"/>
                <w:sz w:val="19"/>
                <w:szCs w:val="19"/>
                <w:color w:val="231F20"/>
              </w:rPr>
              <w:t>Estimated fair value of contingent consideration</w:t>
            </w:r>
          </w:p>
        </w:tc>
        <w:tc>
          <w:tcPr>
            <w:tcW w:w="1940" w:type="dxa"/>
            <w:vAlign w:val="bottom"/>
            <w:tcBorders>
              <w:bottom w:val="single" w:sz="8" w:color="D0EBF2"/>
            </w:tcBorders>
            <w:shd w:val="clear" w:color="auto" w:fill="FDFDFC"/>
          </w:tcPr>
          <w:p>
            <w:pPr>
              <w:spacing w:after="0"/>
              <w:rPr>
                <w:sz w:val="18"/>
                <w:szCs w:val="18"/>
                <w:color w:val="auto"/>
              </w:rPr>
            </w:pPr>
          </w:p>
        </w:tc>
        <w:tc>
          <w:tcPr>
            <w:tcW w:w="620" w:type="dxa"/>
            <w:vAlign w:val="bottom"/>
            <w:tcBorders>
              <w:bottom w:val="single" w:sz="8" w:color="231F20"/>
            </w:tcBorders>
            <w:shd w:val="clear" w:color="auto" w:fill="FDFDFC"/>
          </w:tcPr>
          <w:p>
            <w:pPr>
              <w:spacing w:after="0"/>
              <w:rPr>
                <w:sz w:val="18"/>
                <w:szCs w:val="18"/>
                <w:color w:val="auto"/>
              </w:rPr>
            </w:pPr>
          </w:p>
        </w:tc>
        <w:tc>
          <w:tcPr>
            <w:tcW w:w="1100" w:type="dxa"/>
            <w:vAlign w:val="bottom"/>
            <w:tcBorders>
              <w:bottom w:val="single" w:sz="8" w:color="231F20"/>
            </w:tcBorders>
            <w:shd w:val="clear" w:color="auto" w:fill="FDFDFC"/>
          </w:tcPr>
          <w:p>
            <w:pPr>
              <w:jc w:val="right"/>
              <w:spacing w:after="0" w:line="217" w:lineRule="exact"/>
              <w:rPr>
                <w:sz w:val="20"/>
                <w:szCs w:val="20"/>
                <w:color w:val="auto"/>
              </w:rPr>
            </w:pPr>
            <w:r>
              <w:rPr>
                <w:rFonts w:ascii="Arial" w:cs="Arial" w:eastAsia="Arial" w:hAnsi="Arial"/>
                <w:sz w:val="19"/>
                <w:szCs w:val="19"/>
                <w:color w:val="231F20"/>
              </w:rPr>
              <w:t>2,701</w:t>
            </w:r>
          </w:p>
        </w:tc>
        <w:tc>
          <w:tcPr>
            <w:tcW w:w="100" w:type="dxa"/>
            <w:vAlign w:val="bottom"/>
            <w:tcBorders>
              <w:bottom w:val="single" w:sz="8" w:color="D0EBF2"/>
            </w:tcBorders>
            <w:shd w:val="clear" w:color="auto" w:fill="FDFDFC"/>
          </w:tcPr>
          <w:p>
            <w:pPr>
              <w:spacing w:after="0"/>
              <w:rPr>
                <w:sz w:val="18"/>
                <w:szCs w:val="18"/>
                <w:color w:val="auto"/>
              </w:rPr>
            </w:pPr>
          </w:p>
        </w:tc>
      </w:tr>
      <w:tr>
        <w:trPr>
          <w:trHeight w:val="207"/>
        </w:trPr>
        <w:tc>
          <w:tcPr>
            <w:tcW w:w="6440" w:type="dxa"/>
            <w:vAlign w:val="bottom"/>
            <w:shd w:val="clear" w:color="auto" w:fill="D0EBF2"/>
          </w:tcPr>
          <w:p>
            <w:pPr>
              <w:ind w:left="260"/>
              <w:spacing w:after="0" w:line="206" w:lineRule="exact"/>
              <w:rPr>
                <w:sz w:val="20"/>
                <w:szCs w:val="20"/>
                <w:color w:val="auto"/>
              </w:rPr>
            </w:pPr>
            <w:r>
              <w:rPr>
                <w:rFonts w:ascii="Arial" w:cs="Arial" w:eastAsia="Arial" w:hAnsi="Arial"/>
                <w:sz w:val="19"/>
                <w:szCs w:val="19"/>
                <w:color w:val="231F20"/>
              </w:rPr>
              <w:t>Total purchase consideration, net of cash acquired</w:t>
            </w:r>
          </w:p>
        </w:tc>
        <w:tc>
          <w:tcPr>
            <w:tcW w:w="1940" w:type="dxa"/>
            <w:vAlign w:val="bottom"/>
            <w:shd w:val="clear" w:color="auto" w:fill="D0EBF2"/>
          </w:tcPr>
          <w:p>
            <w:pPr>
              <w:spacing w:after="0"/>
              <w:rPr>
                <w:sz w:val="17"/>
                <w:szCs w:val="17"/>
                <w:color w:val="auto"/>
              </w:rPr>
            </w:pPr>
          </w:p>
        </w:tc>
        <w:tc>
          <w:tcPr>
            <w:tcW w:w="620" w:type="dxa"/>
            <w:vAlign w:val="bottom"/>
            <w:tcBorders>
              <w:bottom w:val="single" w:sz="8" w:color="231F20"/>
            </w:tcBorders>
            <w:shd w:val="clear" w:color="auto" w:fill="D0EBF2"/>
          </w:tcPr>
          <w:p>
            <w:pPr>
              <w:jc w:val="right"/>
              <w:ind w:right="426"/>
              <w:spacing w:after="0" w:line="206" w:lineRule="exact"/>
              <w:rPr>
                <w:sz w:val="20"/>
                <w:szCs w:val="20"/>
                <w:color w:val="auto"/>
              </w:rPr>
            </w:pPr>
            <w:r>
              <w:rPr>
                <w:rFonts w:ascii="Arial" w:cs="Arial" w:eastAsia="Arial" w:hAnsi="Arial"/>
                <w:sz w:val="19"/>
                <w:szCs w:val="19"/>
                <w:color w:val="231F20"/>
                <w:w w:val="75"/>
              </w:rPr>
              <w:t>$</w:t>
            </w:r>
          </w:p>
        </w:tc>
        <w:tc>
          <w:tcPr>
            <w:tcW w:w="1100" w:type="dxa"/>
            <w:vAlign w:val="bottom"/>
            <w:tcBorders>
              <w:bottom w:val="single" w:sz="8" w:color="231F20"/>
            </w:tcBorders>
            <w:shd w:val="clear" w:color="auto" w:fill="D0EBF2"/>
          </w:tcPr>
          <w:p>
            <w:pPr>
              <w:jc w:val="right"/>
              <w:spacing w:after="0" w:line="206" w:lineRule="exact"/>
              <w:rPr>
                <w:sz w:val="20"/>
                <w:szCs w:val="20"/>
                <w:color w:val="auto"/>
              </w:rPr>
            </w:pPr>
            <w:r>
              <w:rPr>
                <w:rFonts w:ascii="Arial" w:cs="Arial" w:eastAsia="Arial" w:hAnsi="Arial"/>
                <w:sz w:val="19"/>
                <w:szCs w:val="19"/>
                <w:color w:val="231F20"/>
              </w:rPr>
              <w:t>35,465</w:t>
            </w:r>
          </w:p>
        </w:tc>
        <w:tc>
          <w:tcPr>
            <w:tcW w:w="100" w:type="dxa"/>
            <w:vAlign w:val="bottom"/>
            <w:shd w:val="clear" w:color="auto" w:fill="D0EBF2"/>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right="60" w:firstLine="463"/>
        <w:spacing w:after="0" w:line="246" w:lineRule="auto"/>
        <w:rPr>
          <w:sz w:val="20"/>
          <w:szCs w:val="20"/>
          <w:color w:val="auto"/>
        </w:rPr>
      </w:pPr>
      <w:r>
        <w:rPr>
          <w:rFonts w:ascii="Arial" w:cs="Arial" w:eastAsia="Arial" w:hAnsi="Arial"/>
          <w:sz w:val="19"/>
          <w:szCs w:val="19"/>
          <w:color w:val="231F20"/>
        </w:rPr>
        <w:t>The business combination agreement provides for contingent consideration up to $3.9 million, with an estimated fair value of $2.7 million on the date of acquisition, and represents additional payments that Flywire may be required to make in the future which are dependent upon StudyLink's successful achievement of revenue, volume, cross-selling and engineering implementation milestones and is subject to exchange rate fluctuation adjustment between the U.S. Dollar and Australian Dollar. A portion of contingent consideration can be paid in the form of cash or shares of common stock, at the Company's option.</w:t>
      </w:r>
    </w:p>
    <w:p>
      <w:pPr>
        <w:spacing w:after="0" w:line="148" w:lineRule="exact"/>
        <w:rPr>
          <w:sz w:val="20"/>
          <w:szCs w:val="20"/>
          <w:color w:val="auto"/>
        </w:rPr>
      </w:pPr>
    </w:p>
    <w:p>
      <w:pPr>
        <w:ind w:right="180" w:firstLine="463"/>
        <w:spacing w:after="0" w:line="245" w:lineRule="auto"/>
        <w:rPr>
          <w:sz w:val="20"/>
          <w:szCs w:val="20"/>
          <w:color w:val="auto"/>
        </w:rPr>
      </w:pPr>
      <w:r>
        <w:rPr>
          <w:rFonts w:ascii="Arial" w:cs="Arial" w:eastAsia="Arial" w:hAnsi="Arial"/>
          <w:sz w:val="19"/>
          <w:szCs w:val="19"/>
          <w:color w:val="231F20"/>
        </w:rPr>
        <w:t>Additional payments in the form of shares of common stock will be made based on the continuing employment of a key employee; accordingly, the fair value of $2.4 million, or approximately 84,000 shares of common stock, have been excluded from the purchase consideration. These shares were fixed on the date of acquisition and payable only in common stock, therefore are equity-classified. During the years ended December 31, 2024 and 2023, the Company expensed $1.2 million and $0.2 million, respectively, in stock-based compensation associated with retention of the key employee. The stock-based compensation expense is included in the Company’s consolidated statements of operations and comprehensive loss and additional paid-in capital on the consolidated balance sheet.</w:t>
      </w:r>
    </w:p>
    <w:p>
      <w:pPr>
        <w:spacing w:after="0" w:line="148" w:lineRule="exact"/>
        <w:rPr>
          <w:sz w:val="20"/>
          <w:szCs w:val="20"/>
          <w:color w:val="auto"/>
        </w:rPr>
      </w:pPr>
    </w:p>
    <w:p>
      <w:pPr>
        <w:ind w:right="280" w:firstLine="463"/>
        <w:spacing w:after="0" w:line="307" w:lineRule="auto"/>
        <w:rPr>
          <w:sz w:val="20"/>
          <w:szCs w:val="20"/>
          <w:color w:val="auto"/>
        </w:rPr>
      </w:pPr>
      <w:r>
        <w:rPr>
          <w:rFonts w:ascii="Arial" w:cs="Arial" w:eastAsia="Arial" w:hAnsi="Arial"/>
          <w:sz w:val="18"/>
          <w:szCs w:val="18"/>
          <w:color w:val="231F20"/>
        </w:rPr>
        <w:t>During the year ended December 31, 2023, the Company incurred $0.7 million in transaction costs, which are included in general and administrative expenses in the consolidated statements of operations and comprehensive loss.</w:t>
      </w:r>
    </w:p>
    <w:p>
      <w:pPr>
        <w:spacing w:after="0" w:line="94" w:lineRule="exact"/>
        <w:rPr>
          <w:sz w:val="20"/>
          <w:szCs w:val="20"/>
          <w:color w:val="auto"/>
        </w:rPr>
      </w:pPr>
    </w:p>
    <w:p>
      <w:pPr>
        <w:ind w:right="60" w:firstLine="463"/>
        <w:spacing w:after="0" w:line="278" w:lineRule="auto"/>
        <w:rPr>
          <w:sz w:val="20"/>
          <w:szCs w:val="20"/>
          <w:color w:val="auto"/>
        </w:rPr>
      </w:pPr>
      <w:r>
        <w:rPr>
          <w:rFonts w:ascii="Arial" w:cs="Arial" w:eastAsia="Arial" w:hAnsi="Arial"/>
          <w:sz w:val="19"/>
          <w:szCs w:val="19"/>
          <w:color w:val="231F20"/>
        </w:rPr>
        <w:t>The table summarizes the allocation of the purchase consideration to the assets acquired and liabilities assumed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80" w:type="dxa"/>
            <w:vAlign w:val="bottom"/>
            <w:shd w:val="clear" w:color="auto" w:fill="D0EBF2"/>
          </w:tcPr>
          <w:p>
            <w:pPr>
              <w:spacing w:after="0"/>
              <w:rPr>
                <w:sz w:val="20"/>
                <w:szCs w:val="20"/>
                <w:color w:val="auto"/>
              </w:rPr>
            </w:pPr>
            <w:r>
              <w:rPr>
                <w:rFonts w:ascii="Arial" w:cs="Arial" w:eastAsia="Arial" w:hAnsi="Arial"/>
                <w:sz w:val="19"/>
                <w:szCs w:val="19"/>
                <w:color w:val="231F20"/>
              </w:rPr>
              <w:t>Cash</w:t>
            </w:r>
          </w:p>
        </w:tc>
        <w:tc>
          <w:tcPr>
            <w:tcW w:w="2900" w:type="dxa"/>
            <w:vAlign w:val="bottom"/>
            <w:gridSpan w:val="2"/>
            <w:shd w:val="clear" w:color="auto" w:fill="D0EBF2"/>
          </w:tcPr>
          <w:p>
            <w:pPr>
              <w:jc w:val="right"/>
              <w:ind w:right="426"/>
              <w:spacing w:after="0"/>
              <w:rPr>
                <w:sz w:val="20"/>
                <w:szCs w:val="20"/>
                <w:color w:val="auto"/>
              </w:rPr>
            </w:pPr>
            <w:r>
              <w:rPr>
                <w:rFonts w:ascii="Arial" w:cs="Arial" w:eastAsia="Arial" w:hAnsi="Arial"/>
                <w:sz w:val="19"/>
                <w:szCs w:val="19"/>
                <w:color w:val="231F20"/>
              </w:rPr>
              <w:t>$</w:t>
            </w:r>
          </w:p>
        </w:tc>
        <w:tc>
          <w:tcPr>
            <w:tcW w:w="11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2,108</w:t>
            </w:r>
          </w:p>
        </w:tc>
        <w:tc>
          <w:tcPr>
            <w:tcW w:w="100" w:type="dxa"/>
            <w:vAlign w:val="bottom"/>
            <w:shd w:val="clear" w:color="auto" w:fill="D0EBF2"/>
          </w:tcPr>
          <w:p>
            <w:pPr>
              <w:spacing w:after="0"/>
              <w:rPr>
                <w:sz w:val="19"/>
                <w:szCs w:val="19"/>
                <w:color w:val="auto"/>
              </w:rPr>
            </w:pPr>
          </w:p>
        </w:tc>
      </w:tr>
      <w:tr>
        <w:trPr>
          <w:trHeight w:val="217"/>
        </w:trPr>
        <w:tc>
          <w:tcPr>
            <w:tcW w:w="608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Accounts receivable</w:t>
            </w:r>
          </w:p>
        </w:tc>
        <w:tc>
          <w:tcPr>
            <w:tcW w:w="2260" w:type="dxa"/>
            <w:vAlign w:val="bottom"/>
            <w:shd w:val="clear" w:color="auto" w:fill="FDFDFC"/>
          </w:tcPr>
          <w:p>
            <w:pPr>
              <w:spacing w:after="0"/>
              <w:rPr>
                <w:sz w:val="18"/>
                <w:szCs w:val="18"/>
                <w:color w:val="auto"/>
              </w:rPr>
            </w:pPr>
          </w:p>
        </w:tc>
        <w:tc>
          <w:tcPr>
            <w:tcW w:w="640" w:type="dxa"/>
            <w:vAlign w:val="bottom"/>
            <w:shd w:val="clear" w:color="auto" w:fill="FDFDFC"/>
          </w:tcPr>
          <w:p>
            <w:pPr>
              <w:spacing w:after="0"/>
              <w:rPr>
                <w:sz w:val="18"/>
                <w:szCs w:val="18"/>
                <w:color w:val="auto"/>
              </w:rPr>
            </w:pPr>
          </w:p>
        </w:tc>
        <w:tc>
          <w:tcPr>
            <w:tcW w:w="112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2,762</w:t>
            </w:r>
          </w:p>
        </w:tc>
        <w:tc>
          <w:tcPr>
            <w:tcW w:w="100" w:type="dxa"/>
            <w:vAlign w:val="bottom"/>
            <w:shd w:val="clear" w:color="auto" w:fill="FDFDFC"/>
          </w:tcPr>
          <w:p>
            <w:pPr>
              <w:spacing w:after="0"/>
              <w:rPr>
                <w:sz w:val="18"/>
                <w:szCs w:val="18"/>
                <w:color w:val="auto"/>
              </w:rPr>
            </w:pPr>
          </w:p>
        </w:tc>
      </w:tr>
      <w:tr>
        <w:trPr>
          <w:trHeight w:val="217"/>
        </w:trPr>
        <w:tc>
          <w:tcPr>
            <w:tcW w:w="608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Prepaid expenses and other current assets</w:t>
            </w:r>
          </w:p>
        </w:tc>
        <w:tc>
          <w:tcPr>
            <w:tcW w:w="2260" w:type="dxa"/>
            <w:vAlign w:val="bottom"/>
            <w:shd w:val="clear" w:color="auto" w:fill="D0EBF2"/>
          </w:tcPr>
          <w:p>
            <w:pPr>
              <w:spacing w:after="0"/>
              <w:rPr>
                <w:sz w:val="18"/>
                <w:szCs w:val="18"/>
                <w:color w:val="auto"/>
              </w:rPr>
            </w:pPr>
          </w:p>
        </w:tc>
        <w:tc>
          <w:tcPr>
            <w:tcW w:w="640" w:type="dxa"/>
            <w:vAlign w:val="bottom"/>
            <w:shd w:val="clear" w:color="auto" w:fill="D0EBF2"/>
          </w:tcPr>
          <w:p>
            <w:pPr>
              <w:spacing w:after="0"/>
              <w:rPr>
                <w:sz w:val="18"/>
                <w:szCs w:val="18"/>
                <w:color w:val="auto"/>
              </w:rPr>
            </w:pPr>
          </w:p>
        </w:tc>
        <w:tc>
          <w:tcPr>
            <w:tcW w:w="112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432</w:t>
            </w:r>
          </w:p>
        </w:tc>
        <w:tc>
          <w:tcPr>
            <w:tcW w:w="100" w:type="dxa"/>
            <w:vAlign w:val="bottom"/>
            <w:shd w:val="clear" w:color="auto" w:fill="D0EBF2"/>
          </w:tcPr>
          <w:p>
            <w:pPr>
              <w:spacing w:after="0"/>
              <w:rPr>
                <w:sz w:val="18"/>
                <w:szCs w:val="18"/>
                <w:color w:val="auto"/>
              </w:rPr>
            </w:pPr>
          </w:p>
        </w:tc>
      </w:tr>
      <w:tr>
        <w:trPr>
          <w:trHeight w:val="217"/>
        </w:trPr>
        <w:tc>
          <w:tcPr>
            <w:tcW w:w="608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Other assets</w:t>
            </w:r>
          </w:p>
        </w:tc>
        <w:tc>
          <w:tcPr>
            <w:tcW w:w="2260" w:type="dxa"/>
            <w:vAlign w:val="bottom"/>
            <w:shd w:val="clear" w:color="auto" w:fill="FDFDFC"/>
          </w:tcPr>
          <w:p>
            <w:pPr>
              <w:spacing w:after="0"/>
              <w:rPr>
                <w:sz w:val="18"/>
                <w:szCs w:val="18"/>
                <w:color w:val="auto"/>
              </w:rPr>
            </w:pPr>
          </w:p>
        </w:tc>
        <w:tc>
          <w:tcPr>
            <w:tcW w:w="640" w:type="dxa"/>
            <w:vAlign w:val="bottom"/>
            <w:shd w:val="clear" w:color="auto" w:fill="FDFDFC"/>
          </w:tcPr>
          <w:p>
            <w:pPr>
              <w:spacing w:after="0"/>
              <w:rPr>
                <w:sz w:val="18"/>
                <w:szCs w:val="18"/>
                <w:color w:val="auto"/>
              </w:rPr>
            </w:pPr>
          </w:p>
        </w:tc>
        <w:tc>
          <w:tcPr>
            <w:tcW w:w="112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193</w:t>
            </w:r>
          </w:p>
        </w:tc>
        <w:tc>
          <w:tcPr>
            <w:tcW w:w="100" w:type="dxa"/>
            <w:vAlign w:val="bottom"/>
            <w:shd w:val="clear" w:color="auto" w:fill="FDFDFC"/>
          </w:tcPr>
          <w:p>
            <w:pPr>
              <w:spacing w:after="0"/>
              <w:rPr>
                <w:sz w:val="18"/>
                <w:szCs w:val="18"/>
                <w:color w:val="auto"/>
              </w:rPr>
            </w:pPr>
          </w:p>
        </w:tc>
      </w:tr>
      <w:tr>
        <w:trPr>
          <w:trHeight w:val="217"/>
        </w:trPr>
        <w:tc>
          <w:tcPr>
            <w:tcW w:w="608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Goodwill</w:t>
            </w:r>
          </w:p>
        </w:tc>
        <w:tc>
          <w:tcPr>
            <w:tcW w:w="2260" w:type="dxa"/>
            <w:vAlign w:val="bottom"/>
            <w:shd w:val="clear" w:color="auto" w:fill="D0EBF2"/>
          </w:tcPr>
          <w:p>
            <w:pPr>
              <w:spacing w:after="0"/>
              <w:rPr>
                <w:sz w:val="18"/>
                <w:szCs w:val="18"/>
                <w:color w:val="auto"/>
              </w:rPr>
            </w:pPr>
          </w:p>
        </w:tc>
        <w:tc>
          <w:tcPr>
            <w:tcW w:w="640" w:type="dxa"/>
            <w:vAlign w:val="bottom"/>
            <w:shd w:val="clear" w:color="auto" w:fill="D0EBF2"/>
          </w:tcPr>
          <w:p>
            <w:pPr>
              <w:spacing w:after="0"/>
              <w:rPr>
                <w:sz w:val="18"/>
                <w:szCs w:val="18"/>
                <w:color w:val="auto"/>
              </w:rPr>
            </w:pPr>
          </w:p>
        </w:tc>
        <w:tc>
          <w:tcPr>
            <w:tcW w:w="112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20,705</w:t>
            </w:r>
          </w:p>
        </w:tc>
        <w:tc>
          <w:tcPr>
            <w:tcW w:w="100" w:type="dxa"/>
            <w:vAlign w:val="bottom"/>
            <w:shd w:val="clear" w:color="auto" w:fill="D0EBF2"/>
          </w:tcPr>
          <w:p>
            <w:pPr>
              <w:spacing w:after="0"/>
              <w:rPr>
                <w:sz w:val="18"/>
                <w:szCs w:val="18"/>
                <w:color w:val="auto"/>
              </w:rPr>
            </w:pPr>
          </w:p>
        </w:tc>
      </w:tr>
      <w:tr>
        <w:trPr>
          <w:trHeight w:val="217"/>
        </w:trPr>
        <w:tc>
          <w:tcPr>
            <w:tcW w:w="6080" w:type="dxa"/>
            <w:vAlign w:val="bottom"/>
            <w:tcBorders>
              <w:bottom w:val="single" w:sz="8" w:color="D0EBF2"/>
            </w:tcBorders>
            <w:shd w:val="clear" w:color="auto" w:fill="FDFDFC"/>
          </w:tcPr>
          <w:p>
            <w:pPr>
              <w:spacing w:after="0" w:line="217" w:lineRule="exact"/>
              <w:rPr>
                <w:sz w:val="20"/>
                <w:szCs w:val="20"/>
                <w:color w:val="auto"/>
              </w:rPr>
            </w:pPr>
            <w:r>
              <w:rPr>
                <w:rFonts w:ascii="Arial" w:cs="Arial" w:eastAsia="Arial" w:hAnsi="Arial"/>
                <w:sz w:val="19"/>
                <w:szCs w:val="19"/>
                <w:color w:val="231F20"/>
              </w:rPr>
              <w:t>Identifiable intangible assets</w:t>
            </w:r>
          </w:p>
        </w:tc>
        <w:tc>
          <w:tcPr>
            <w:tcW w:w="2260" w:type="dxa"/>
            <w:vAlign w:val="bottom"/>
            <w:tcBorders>
              <w:bottom w:val="single" w:sz="8" w:color="D0EBF2"/>
            </w:tcBorders>
            <w:shd w:val="clear" w:color="auto" w:fill="FDFDFC"/>
          </w:tcPr>
          <w:p>
            <w:pPr>
              <w:spacing w:after="0"/>
              <w:rPr>
                <w:sz w:val="18"/>
                <w:szCs w:val="18"/>
                <w:color w:val="auto"/>
              </w:rPr>
            </w:pPr>
          </w:p>
        </w:tc>
        <w:tc>
          <w:tcPr>
            <w:tcW w:w="640" w:type="dxa"/>
            <w:vAlign w:val="bottom"/>
            <w:tcBorders>
              <w:bottom w:val="single" w:sz="8" w:color="231F20"/>
            </w:tcBorders>
            <w:shd w:val="clear" w:color="auto" w:fill="FDFDFC"/>
          </w:tcPr>
          <w:p>
            <w:pPr>
              <w:spacing w:after="0"/>
              <w:rPr>
                <w:sz w:val="18"/>
                <w:szCs w:val="18"/>
                <w:color w:val="auto"/>
              </w:rPr>
            </w:pPr>
          </w:p>
        </w:tc>
        <w:tc>
          <w:tcPr>
            <w:tcW w:w="1120" w:type="dxa"/>
            <w:vAlign w:val="bottom"/>
            <w:tcBorders>
              <w:bottom w:val="single" w:sz="8" w:color="231F20"/>
            </w:tcBorders>
            <w:shd w:val="clear" w:color="auto" w:fill="FDFDFC"/>
          </w:tcPr>
          <w:p>
            <w:pPr>
              <w:jc w:val="right"/>
              <w:spacing w:after="0" w:line="217" w:lineRule="exact"/>
              <w:rPr>
                <w:sz w:val="20"/>
                <w:szCs w:val="20"/>
                <w:color w:val="auto"/>
              </w:rPr>
            </w:pPr>
            <w:r>
              <w:rPr>
                <w:rFonts w:ascii="Arial" w:cs="Arial" w:eastAsia="Arial" w:hAnsi="Arial"/>
                <w:sz w:val="19"/>
                <w:szCs w:val="19"/>
                <w:color w:val="231F20"/>
              </w:rPr>
              <w:t>19,553</w:t>
            </w:r>
          </w:p>
        </w:tc>
        <w:tc>
          <w:tcPr>
            <w:tcW w:w="100" w:type="dxa"/>
            <w:vAlign w:val="bottom"/>
            <w:tcBorders>
              <w:bottom w:val="single" w:sz="8" w:color="D0EBF2"/>
            </w:tcBorders>
            <w:shd w:val="clear" w:color="auto" w:fill="FDFDFC"/>
          </w:tcPr>
          <w:p>
            <w:pPr>
              <w:spacing w:after="0"/>
              <w:rPr>
                <w:sz w:val="18"/>
                <w:szCs w:val="18"/>
                <w:color w:val="auto"/>
              </w:rPr>
            </w:pPr>
          </w:p>
        </w:tc>
      </w:tr>
      <w:tr>
        <w:trPr>
          <w:trHeight w:val="207"/>
        </w:trPr>
        <w:tc>
          <w:tcPr>
            <w:tcW w:w="6080" w:type="dxa"/>
            <w:vAlign w:val="bottom"/>
            <w:tcBorders>
              <w:bottom w:val="single" w:sz="8" w:color="FDFDFC"/>
            </w:tcBorders>
            <w:shd w:val="clear" w:color="auto" w:fill="D0EBF2"/>
          </w:tcPr>
          <w:p>
            <w:pPr>
              <w:ind w:left="260"/>
              <w:spacing w:after="0" w:line="206" w:lineRule="exact"/>
              <w:rPr>
                <w:sz w:val="20"/>
                <w:szCs w:val="20"/>
                <w:color w:val="auto"/>
              </w:rPr>
            </w:pPr>
            <w:r>
              <w:rPr>
                <w:rFonts w:ascii="Arial" w:cs="Arial" w:eastAsia="Arial" w:hAnsi="Arial"/>
                <w:sz w:val="19"/>
                <w:szCs w:val="19"/>
                <w:color w:val="231F20"/>
              </w:rPr>
              <w:t>Total assets acquired</w:t>
            </w:r>
          </w:p>
        </w:tc>
        <w:tc>
          <w:tcPr>
            <w:tcW w:w="2260" w:type="dxa"/>
            <w:vAlign w:val="bottom"/>
            <w:tcBorders>
              <w:bottom w:val="single" w:sz="8" w:color="FDFDFC"/>
            </w:tcBorders>
            <w:shd w:val="clear" w:color="auto" w:fill="D0EBF2"/>
          </w:tcPr>
          <w:p>
            <w:pPr>
              <w:spacing w:after="0"/>
              <w:rPr>
                <w:sz w:val="17"/>
                <w:szCs w:val="17"/>
                <w:color w:val="auto"/>
              </w:rPr>
            </w:pPr>
          </w:p>
        </w:tc>
        <w:tc>
          <w:tcPr>
            <w:tcW w:w="640" w:type="dxa"/>
            <w:vAlign w:val="bottom"/>
            <w:tcBorders>
              <w:bottom w:val="single" w:sz="8" w:color="231F20"/>
            </w:tcBorders>
            <w:shd w:val="clear" w:color="auto" w:fill="D0EBF2"/>
          </w:tcPr>
          <w:p>
            <w:pPr>
              <w:spacing w:after="0"/>
              <w:rPr>
                <w:sz w:val="17"/>
                <w:szCs w:val="17"/>
                <w:color w:val="auto"/>
              </w:rPr>
            </w:pPr>
          </w:p>
        </w:tc>
        <w:tc>
          <w:tcPr>
            <w:tcW w:w="1120" w:type="dxa"/>
            <w:vAlign w:val="bottom"/>
            <w:tcBorders>
              <w:bottom w:val="single" w:sz="8" w:color="231F20"/>
            </w:tcBorders>
            <w:shd w:val="clear" w:color="auto" w:fill="D0EBF2"/>
          </w:tcPr>
          <w:p>
            <w:pPr>
              <w:jc w:val="right"/>
              <w:spacing w:after="0" w:line="206" w:lineRule="exact"/>
              <w:rPr>
                <w:sz w:val="20"/>
                <w:szCs w:val="20"/>
                <w:color w:val="auto"/>
              </w:rPr>
            </w:pPr>
            <w:r>
              <w:rPr>
                <w:rFonts w:ascii="Arial" w:cs="Arial" w:eastAsia="Arial" w:hAnsi="Arial"/>
                <w:sz w:val="19"/>
                <w:szCs w:val="19"/>
                <w:color w:val="231F20"/>
              </w:rPr>
              <w:t>45,753</w:t>
            </w:r>
          </w:p>
        </w:tc>
        <w:tc>
          <w:tcPr>
            <w:tcW w:w="100" w:type="dxa"/>
            <w:vAlign w:val="bottom"/>
            <w:tcBorders>
              <w:bottom w:val="single" w:sz="8" w:color="FDFDFC"/>
            </w:tcBorders>
            <w:shd w:val="clear" w:color="auto" w:fill="D0EBF2"/>
          </w:tcPr>
          <w:p>
            <w:pPr>
              <w:spacing w:after="0"/>
              <w:rPr>
                <w:sz w:val="17"/>
                <w:szCs w:val="17"/>
                <w:color w:val="auto"/>
              </w:rPr>
            </w:pPr>
          </w:p>
        </w:tc>
      </w:tr>
      <w:tr>
        <w:trPr>
          <w:trHeight w:val="207"/>
        </w:trPr>
        <w:tc>
          <w:tcPr>
            <w:tcW w:w="6080" w:type="dxa"/>
            <w:vAlign w:val="bottom"/>
            <w:shd w:val="clear" w:color="auto" w:fill="FDFDFC"/>
          </w:tcPr>
          <w:p>
            <w:pPr>
              <w:spacing w:after="0" w:line="207" w:lineRule="exact"/>
              <w:rPr>
                <w:sz w:val="20"/>
                <w:szCs w:val="20"/>
                <w:color w:val="auto"/>
              </w:rPr>
            </w:pPr>
            <w:r>
              <w:rPr>
                <w:rFonts w:ascii="Arial" w:cs="Arial" w:eastAsia="Arial" w:hAnsi="Arial"/>
                <w:sz w:val="19"/>
                <w:szCs w:val="19"/>
                <w:color w:val="231F20"/>
              </w:rPr>
              <w:t>Deferred tax liabilities</w:t>
            </w:r>
          </w:p>
        </w:tc>
        <w:tc>
          <w:tcPr>
            <w:tcW w:w="2260" w:type="dxa"/>
            <w:vAlign w:val="bottom"/>
            <w:shd w:val="clear" w:color="auto" w:fill="FDFDFC"/>
          </w:tcPr>
          <w:p>
            <w:pPr>
              <w:spacing w:after="0"/>
              <w:rPr>
                <w:sz w:val="17"/>
                <w:szCs w:val="17"/>
                <w:color w:val="auto"/>
              </w:rPr>
            </w:pPr>
          </w:p>
        </w:tc>
        <w:tc>
          <w:tcPr>
            <w:tcW w:w="640" w:type="dxa"/>
            <w:vAlign w:val="bottom"/>
            <w:shd w:val="clear" w:color="auto" w:fill="FDFDFC"/>
          </w:tcPr>
          <w:p>
            <w:pPr>
              <w:spacing w:after="0"/>
              <w:rPr>
                <w:sz w:val="17"/>
                <w:szCs w:val="17"/>
                <w:color w:val="auto"/>
              </w:rPr>
            </w:pPr>
          </w:p>
        </w:tc>
        <w:tc>
          <w:tcPr>
            <w:tcW w:w="1120" w:type="dxa"/>
            <w:vAlign w:val="bottom"/>
            <w:shd w:val="clear" w:color="auto" w:fill="FDFDFC"/>
          </w:tcPr>
          <w:p>
            <w:pPr>
              <w:jc w:val="right"/>
              <w:spacing w:after="0" w:line="207" w:lineRule="exact"/>
              <w:rPr>
                <w:sz w:val="20"/>
                <w:szCs w:val="20"/>
                <w:color w:val="auto"/>
              </w:rPr>
            </w:pPr>
            <w:r>
              <w:rPr>
                <w:rFonts w:ascii="Arial" w:cs="Arial" w:eastAsia="Arial" w:hAnsi="Arial"/>
                <w:sz w:val="19"/>
                <w:szCs w:val="19"/>
                <w:color w:val="231F20"/>
              </w:rPr>
              <w:t>2,663</w:t>
            </w:r>
          </w:p>
        </w:tc>
        <w:tc>
          <w:tcPr>
            <w:tcW w:w="100" w:type="dxa"/>
            <w:vAlign w:val="bottom"/>
            <w:shd w:val="clear" w:color="auto" w:fill="FDFDFC"/>
          </w:tcPr>
          <w:p>
            <w:pPr>
              <w:spacing w:after="0"/>
              <w:rPr>
                <w:sz w:val="17"/>
                <w:szCs w:val="17"/>
                <w:color w:val="auto"/>
              </w:rPr>
            </w:pPr>
          </w:p>
        </w:tc>
      </w:tr>
      <w:tr>
        <w:trPr>
          <w:trHeight w:val="217"/>
        </w:trPr>
        <w:tc>
          <w:tcPr>
            <w:tcW w:w="608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Deferred revenue</w:t>
            </w:r>
          </w:p>
        </w:tc>
        <w:tc>
          <w:tcPr>
            <w:tcW w:w="2260" w:type="dxa"/>
            <w:vAlign w:val="bottom"/>
            <w:shd w:val="clear" w:color="auto" w:fill="D0EBF2"/>
          </w:tcPr>
          <w:p>
            <w:pPr>
              <w:spacing w:after="0"/>
              <w:rPr>
                <w:sz w:val="18"/>
                <w:szCs w:val="18"/>
                <w:color w:val="auto"/>
              </w:rPr>
            </w:pPr>
          </w:p>
        </w:tc>
        <w:tc>
          <w:tcPr>
            <w:tcW w:w="640" w:type="dxa"/>
            <w:vAlign w:val="bottom"/>
            <w:shd w:val="clear" w:color="auto" w:fill="D0EBF2"/>
          </w:tcPr>
          <w:p>
            <w:pPr>
              <w:spacing w:after="0"/>
              <w:rPr>
                <w:sz w:val="18"/>
                <w:szCs w:val="18"/>
                <w:color w:val="auto"/>
              </w:rPr>
            </w:pPr>
          </w:p>
        </w:tc>
        <w:tc>
          <w:tcPr>
            <w:tcW w:w="112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2,654</w:t>
            </w:r>
          </w:p>
        </w:tc>
        <w:tc>
          <w:tcPr>
            <w:tcW w:w="100" w:type="dxa"/>
            <w:vAlign w:val="bottom"/>
            <w:shd w:val="clear" w:color="auto" w:fill="D0EBF2"/>
          </w:tcPr>
          <w:p>
            <w:pPr>
              <w:spacing w:after="0"/>
              <w:rPr>
                <w:sz w:val="18"/>
                <w:szCs w:val="18"/>
                <w:color w:val="auto"/>
              </w:rPr>
            </w:pPr>
          </w:p>
        </w:tc>
      </w:tr>
      <w:tr>
        <w:trPr>
          <w:trHeight w:val="217"/>
        </w:trPr>
        <w:tc>
          <w:tcPr>
            <w:tcW w:w="608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Accounts payable</w:t>
            </w:r>
          </w:p>
        </w:tc>
        <w:tc>
          <w:tcPr>
            <w:tcW w:w="2260" w:type="dxa"/>
            <w:vAlign w:val="bottom"/>
            <w:shd w:val="clear" w:color="auto" w:fill="FDFDFC"/>
          </w:tcPr>
          <w:p>
            <w:pPr>
              <w:spacing w:after="0"/>
              <w:rPr>
                <w:sz w:val="18"/>
                <w:szCs w:val="18"/>
                <w:color w:val="auto"/>
              </w:rPr>
            </w:pPr>
          </w:p>
        </w:tc>
        <w:tc>
          <w:tcPr>
            <w:tcW w:w="640" w:type="dxa"/>
            <w:vAlign w:val="bottom"/>
            <w:shd w:val="clear" w:color="auto" w:fill="FDFDFC"/>
          </w:tcPr>
          <w:p>
            <w:pPr>
              <w:spacing w:after="0"/>
              <w:rPr>
                <w:sz w:val="18"/>
                <w:szCs w:val="18"/>
                <w:color w:val="auto"/>
              </w:rPr>
            </w:pPr>
          </w:p>
        </w:tc>
        <w:tc>
          <w:tcPr>
            <w:tcW w:w="112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859</w:t>
            </w:r>
          </w:p>
        </w:tc>
        <w:tc>
          <w:tcPr>
            <w:tcW w:w="100" w:type="dxa"/>
            <w:vAlign w:val="bottom"/>
            <w:shd w:val="clear" w:color="auto" w:fill="FDFDFC"/>
          </w:tcPr>
          <w:p>
            <w:pPr>
              <w:spacing w:after="0"/>
              <w:rPr>
                <w:sz w:val="18"/>
                <w:szCs w:val="18"/>
                <w:color w:val="auto"/>
              </w:rPr>
            </w:pPr>
          </w:p>
        </w:tc>
      </w:tr>
      <w:tr>
        <w:trPr>
          <w:trHeight w:val="217"/>
        </w:trPr>
        <w:tc>
          <w:tcPr>
            <w:tcW w:w="6080" w:type="dxa"/>
            <w:vAlign w:val="bottom"/>
            <w:tcBorders>
              <w:bottom w:val="single" w:sz="8" w:color="FDFDFC"/>
            </w:tcBorders>
            <w:shd w:val="clear" w:color="auto" w:fill="D0EBF2"/>
          </w:tcPr>
          <w:p>
            <w:pPr>
              <w:spacing w:after="0" w:line="217" w:lineRule="exact"/>
              <w:rPr>
                <w:sz w:val="20"/>
                <w:szCs w:val="20"/>
                <w:color w:val="auto"/>
              </w:rPr>
            </w:pPr>
            <w:r>
              <w:rPr>
                <w:rFonts w:ascii="Arial" w:cs="Arial" w:eastAsia="Arial" w:hAnsi="Arial"/>
                <w:sz w:val="19"/>
                <w:szCs w:val="19"/>
                <w:color w:val="231F20"/>
              </w:rPr>
              <w:t>Accrued expenses and other current liabilities</w:t>
            </w:r>
          </w:p>
        </w:tc>
        <w:tc>
          <w:tcPr>
            <w:tcW w:w="2260" w:type="dxa"/>
            <w:vAlign w:val="bottom"/>
            <w:tcBorders>
              <w:bottom w:val="single" w:sz="8" w:color="FDFDFC"/>
            </w:tcBorders>
            <w:shd w:val="clear" w:color="auto" w:fill="D0EBF2"/>
          </w:tcPr>
          <w:p>
            <w:pPr>
              <w:spacing w:after="0"/>
              <w:rPr>
                <w:sz w:val="18"/>
                <w:szCs w:val="18"/>
                <w:color w:val="auto"/>
              </w:rPr>
            </w:pPr>
          </w:p>
        </w:tc>
        <w:tc>
          <w:tcPr>
            <w:tcW w:w="640" w:type="dxa"/>
            <w:vAlign w:val="bottom"/>
            <w:tcBorders>
              <w:bottom w:val="single" w:sz="8" w:color="231F20"/>
            </w:tcBorders>
            <w:shd w:val="clear" w:color="auto" w:fill="D0EBF2"/>
          </w:tcPr>
          <w:p>
            <w:pPr>
              <w:spacing w:after="0"/>
              <w:rPr>
                <w:sz w:val="18"/>
                <w:szCs w:val="18"/>
                <w:color w:val="auto"/>
              </w:rPr>
            </w:pPr>
          </w:p>
        </w:tc>
        <w:tc>
          <w:tcPr>
            <w:tcW w:w="1120" w:type="dxa"/>
            <w:vAlign w:val="bottom"/>
            <w:tcBorders>
              <w:bottom w:val="single" w:sz="8" w:color="231F20"/>
            </w:tcBorders>
            <w:shd w:val="clear" w:color="auto" w:fill="D0EBF2"/>
          </w:tcPr>
          <w:p>
            <w:pPr>
              <w:jc w:val="right"/>
              <w:spacing w:after="0" w:line="217" w:lineRule="exact"/>
              <w:rPr>
                <w:sz w:val="20"/>
                <w:szCs w:val="20"/>
                <w:color w:val="auto"/>
              </w:rPr>
            </w:pPr>
            <w:r>
              <w:rPr>
                <w:rFonts w:ascii="Arial" w:cs="Arial" w:eastAsia="Arial" w:hAnsi="Arial"/>
                <w:sz w:val="19"/>
                <w:szCs w:val="19"/>
                <w:color w:val="231F20"/>
              </w:rPr>
              <w:t>2,004</w:t>
            </w:r>
          </w:p>
        </w:tc>
        <w:tc>
          <w:tcPr>
            <w:tcW w:w="100" w:type="dxa"/>
            <w:vAlign w:val="bottom"/>
            <w:tcBorders>
              <w:bottom w:val="single" w:sz="8" w:color="FDFDFC"/>
            </w:tcBorders>
            <w:shd w:val="clear" w:color="auto" w:fill="D0EBF2"/>
          </w:tcPr>
          <w:p>
            <w:pPr>
              <w:spacing w:after="0"/>
              <w:rPr>
                <w:sz w:val="18"/>
                <w:szCs w:val="18"/>
                <w:color w:val="auto"/>
              </w:rPr>
            </w:pPr>
          </w:p>
        </w:tc>
      </w:tr>
      <w:tr>
        <w:trPr>
          <w:trHeight w:val="207"/>
        </w:trPr>
        <w:tc>
          <w:tcPr>
            <w:tcW w:w="6080" w:type="dxa"/>
            <w:vAlign w:val="bottom"/>
            <w:tcBorders>
              <w:bottom w:val="single" w:sz="8" w:color="D0EBF2"/>
            </w:tcBorders>
            <w:shd w:val="clear" w:color="auto" w:fill="FDFDFC"/>
          </w:tcPr>
          <w:p>
            <w:pPr>
              <w:ind w:left="260"/>
              <w:spacing w:after="0" w:line="207" w:lineRule="exact"/>
              <w:rPr>
                <w:sz w:val="20"/>
                <w:szCs w:val="20"/>
                <w:color w:val="auto"/>
              </w:rPr>
            </w:pPr>
            <w:r>
              <w:rPr>
                <w:rFonts w:ascii="Arial" w:cs="Arial" w:eastAsia="Arial" w:hAnsi="Arial"/>
                <w:sz w:val="19"/>
                <w:szCs w:val="19"/>
                <w:color w:val="231F20"/>
              </w:rPr>
              <w:t>Total liabilities assumed</w:t>
            </w:r>
          </w:p>
        </w:tc>
        <w:tc>
          <w:tcPr>
            <w:tcW w:w="2260" w:type="dxa"/>
            <w:vAlign w:val="bottom"/>
            <w:tcBorders>
              <w:bottom w:val="single" w:sz="8" w:color="D0EBF2"/>
            </w:tcBorders>
            <w:shd w:val="clear" w:color="auto" w:fill="FDFDFC"/>
          </w:tcPr>
          <w:p>
            <w:pPr>
              <w:spacing w:after="0"/>
              <w:rPr>
                <w:sz w:val="17"/>
                <w:szCs w:val="17"/>
                <w:color w:val="auto"/>
              </w:rPr>
            </w:pPr>
          </w:p>
        </w:tc>
        <w:tc>
          <w:tcPr>
            <w:tcW w:w="640" w:type="dxa"/>
            <w:vAlign w:val="bottom"/>
            <w:tcBorders>
              <w:bottom w:val="single" w:sz="8" w:color="231F20"/>
            </w:tcBorders>
            <w:shd w:val="clear" w:color="auto" w:fill="FDFDFC"/>
          </w:tcPr>
          <w:p>
            <w:pPr>
              <w:spacing w:after="0"/>
              <w:rPr>
                <w:sz w:val="17"/>
                <w:szCs w:val="17"/>
                <w:color w:val="auto"/>
              </w:rPr>
            </w:pPr>
          </w:p>
        </w:tc>
        <w:tc>
          <w:tcPr>
            <w:tcW w:w="1120" w:type="dxa"/>
            <w:vAlign w:val="bottom"/>
            <w:tcBorders>
              <w:bottom w:val="single" w:sz="8" w:color="231F20"/>
            </w:tcBorders>
            <w:shd w:val="clear" w:color="auto" w:fill="FDFDFC"/>
          </w:tcPr>
          <w:p>
            <w:pPr>
              <w:jc w:val="right"/>
              <w:spacing w:after="0" w:line="207" w:lineRule="exact"/>
              <w:rPr>
                <w:sz w:val="20"/>
                <w:szCs w:val="20"/>
                <w:color w:val="auto"/>
              </w:rPr>
            </w:pPr>
            <w:r>
              <w:rPr>
                <w:rFonts w:ascii="Arial" w:cs="Arial" w:eastAsia="Arial" w:hAnsi="Arial"/>
                <w:sz w:val="19"/>
                <w:szCs w:val="19"/>
                <w:color w:val="231F20"/>
              </w:rPr>
              <w:t>8,180</w:t>
            </w:r>
          </w:p>
        </w:tc>
        <w:tc>
          <w:tcPr>
            <w:tcW w:w="100" w:type="dxa"/>
            <w:vAlign w:val="bottom"/>
            <w:tcBorders>
              <w:bottom w:val="single" w:sz="8" w:color="D0EBF2"/>
            </w:tcBorders>
            <w:shd w:val="clear" w:color="auto" w:fill="FDFDFC"/>
          </w:tcPr>
          <w:p>
            <w:pPr>
              <w:spacing w:after="0"/>
              <w:rPr>
                <w:sz w:val="17"/>
                <w:szCs w:val="17"/>
                <w:color w:val="auto"/>
              </w:rPr>
            </w:pPr>
          </w:p>
        </w:tc>
      </w:tr>
      <w:tr>
        <w:trPr>
          <w:trHeight w:val="207"/>
        </w:trPr>
        <w:tc>
          <w:tcPr>
            <w:tcW w:w="6080" w:type="dxa"/>
            <w:vAlign w:val="bottom"/>
            <w:shd w:val="clear" w:color="auto" w:fill="D0EBF2"/>
          </w:tcPr>
          <w:p>
            <w:pPr>
              <w:spacing w:after="0" w:line="206" w:lineRule="exact"/>
              <w:rPr>
                <w:sz w:val="20"/>
                <w:szCs w:val="20"/>
                <w:color w:val="auto"/>
              </w:rPr>
            </w:pPr>
            <w:r>
              <w:rPr>
                <w:rFonts w:ascii="Arial" w:cs="Arial" w:eastAsia="Arial" w:hAnsi="Arial"/>
                <w:sz w:val="19"/>
                <w:szCs w:val="19"/>
                <w:color w:val="231F20"/>
              </w:rPr>
              <w:t>Net assets acquired</w:t>
            </w:r>
          </w:p>
        </w:tc>
        <w:tc>
          <w:tcPr>
            <w:tcW w:w="2260" w:type="dxa"/>
            <w:vAlign w:val="bottom"/>
            <w:shd w:val="clear" w:color="auto" w:fill="D0EBF2"/>
          </w:tcPr>
          <w:p>
            <w:pPr>
              <w:spacing w:after="0"/>
              <w:rPr>
                <w:sz w:val="17"/>
                <w:szCs w:val="17"/>
                <w:color w:val="auto"/>
              </w:rPr>
            </w:pPr>
          </w:p>
        </w:tc>
        <w:tc>
          <w:tcPr>
            <w:tcW w:w="640" w:type="dxa"/>
            <w:vAlign w:val="bottom"/>
            <w:shd w:val="clear" w:color="auto" w:fill="D0EBF2"/>
          </w:tcPr>
          <w:p>
            <w:pPr>
              <w:spacing w:after="0"/>
              <w:rPr>
                <w:sz w:val="17"/>
                <w:szCs w:val="17"/>
                <w:color w:val="auto"/>
              </w:rPr>
            </w:pPr>
          </w:p>
        </w:tc>
        <w:tc>
          <w:tcPr>
            <w:tcW w:w="1120" w:type="dxa"/>
            <w:vAlign w:val="bottom"/>
            <w:shd w:val="clear" w:color="auto" w:fill="D0EBF2"/>
          </w:tcPr>
          <w:p>
            <w:pPr>
              <w:jc w:val="right"/>
              <w:spacing w:after="0" w:line="206" w:lineRule="exact"/>
              <w:rPr>
                <w:sz w:val="20"/>
                <w:szCs w:val="20"/>
                <w:color w:val="auto"/>
              </w:rPr>
            </w:pPr>
            <w:r>
              <w:rPr>
                <w:rFonts w:ascii="Arial" w:cs="Arial" w:eastAsia="Arial" w:hAnsi="Arial"/>
                <w:sz w:val="19"/>
                <w:szCs w:val="19"/>
                <w:color w:val="231F20"/>
              </w:rPr>
              <w:t>37,573</w:t>
            </w:r>
          </w:p>
        </w:tc>
        <w:tc>
          <w:tcPr>
            <w:tcW w:w="100" w:type="dxa"/>
            <w:vAlign w:val="bottom"/>
            <w:shd w:val="clear" w:color="auto" w:fill="D0EBF2"/>
          </w:tcPr>
          <w:p>
            <w:pPr>
              <w:spacing w:after="0"/>
              <w:rPr>
                <w:sz w:val="17"/>
                <w:szCs w:val="17"/>
                <w:color w:val="auto"/>
              </w:rPr>
            </w:pPr>
          </w:p>
        </w:tc>
      </w:tr>
      <w:tr>
        <w:trPr>
          <w:trHeight w:val="217"/>
        </w:trPr>
        <w:tc>
          <w:tcPr>
            <w:tcW w:w="6080" w:type="dxa"/>
            <w:vAlign w:val="bottom"/>
            <w:tcBorders>
              <w:bottom w:val="single" w:sz="8" w:color="D0EBF2"/>
            </w:tcBorders>
            <w:shd w:val="clear" w:color="auto" w:fill="FDFDFC"/>
          </w:tcPr>
          <w:p>
            <w:pPr>
              <w:ind w:left="260"/>
              <w:spacing w:after="0" w:line="217" w:lineRule="exact"/>
              <w:rPr>
                <w:sz w:val="20"/>
                <w:szCs w:val="20"/>
                <w:color w:val="auto"/>
              </w:rPr>
            </w:pPr>
            <w:r>
              <w:rPr>
                <w:rFonts w:ascii="Arial" w:cs="Arial" w:eastAsia="Arial" w:hAnsi="Arial"/>
                <w:sz w:val="19"/>
                <w:szCs w:val="19"/>
                <w:color w:val="231F20"/>
              </w:rPr>
              <w:t>Less: cash acquired</w:t>
            </w:r>
          </w:p>
        </w:tc>
        <w:tc>
          <w:tcPr>
            <w:tcW w:w="2260" w:type="dxa"/>
            <w:vAlign w:val="bottom"/>
            <w:tcBorders>
              <w:bottom w:val="single" w:sz="8" w:color="D0EBF2"/>
            </w:tcBorders>
            <w:shd w:val="clear" w:color="auto" w:fill="FDFDFC"/>
          </w:tcPr>
          <w:p>
            <w:pPr>
              <w:spacing w:after="0"/>
              <w:rPr>
                <w:sz w:val="18"/>
                <w:szCs w:val="18"/>
                <w:color w:val="auto"/>
              </w:rPr>
            </w:pPr>
          </w:p>
        </w:tc>
        <w:tc>
          <w:tcPr>
            <w:tcW w:w="640" w:type="dxa"/>
            <w:vAlign w:val="bottom"/>
            <w:tcBorders>
              <w:bottom w:val="single" w:sz="8" w:color="231F20"/>
            </w:tcBorders>
            <w:shd w:val="clear" w:color="auto" w:fill="FDFDFC"/>
          </w:tcPr>
          <w:p>
            <w:pPr>
              <w:spacing w:after="0"/>
              <w:rPr>
                <w:sz w:val="18"/>
                <w:szCs w:val="18"/>
                <w:color w:val="auto"/>
              </w:rPr>
            </w:pPr>
          </w:p>
        </w:tc>
        <w:tc>
          <w:tcPr>
            <w:tcW w:w="1120" w:type="dxa"/>
            <w:vAlign w:val="bottom"/>
            <w:tcBorders>
              <w:bottom w:val="single" w:sz="8" w:color="231F20"/>
            </w:tcBorders>
            <w:shd w:val="clear" w:color="auto" w:fill="FDFDFC"/>
          </w:tcPr>
          <w:p>
            <w:pPr>
              <w:jc w:val="right"/>
              <w:spacing w:after="0" w:line="217" w:lineRule="exact"/>
              <w:rPr>
                <w:sz w:val="20"/>
                <w:szCs w:val="20"/>
                <w:color w:val="auto"/>
              </w:rPr>
            </w:pPr>
            <w:r>
              <w:rPr>
                <w:rFonts w:ascii="Arial" w:cs="Arial" w:eastAsia="Arial" w:hAnsi="Arial"/>
                <w:sz w:val="19"/>
                <w:szCs w:val="19"/>
                <w:color w:val="231F20"/>
              </w:rPr>
              <w:t>2,108</w:t>
            </w:r>
          </w:p>
        </w:tc>
        <w:tc>
          <w:tcPr>
            <w:tcW w:w="100" w:type="dxa"/>
            <w:vAlign w:val="bottom"/>
            <w:tcBorders>
              <w:bottom w:val="single" w:sz="8" w:color="D0EBF2"/>
            </w:tcBorders>
            <w:shd w:val="clear" w:color="auto" w:fill="FDFDFC"/>
          </w:tcPr>
          <w:p>
            <w:pPr>
              <w:spacing w:after="0"/>
              <w:rPr>
                <w:sz w:val="18"/>
                <w:szCs w:val="18"/>
                <w:color w:val="auto"/>
              </w:rPr>
            </w:pPr>
          </w:p>
        </w:tc>
      </w:tr>
      <w:tr>
        <w:trPr>
          <w:trHeight w:val="207"/>
        </w:trPr>
        <w:tc>
          <w:tcPr>
            <w:tcW w:w="6080" w:type="dxa"/>
            <w:vAlign w:val="bottom"/>
            <w:shd w:val="clear" w:color="auto" w:fill="D0EBF2"/>
          </w:tcPr>
          <w:p>
            <w:pPr>
              <w:spacing w:after="0" w:line="207" w:lineRule="exact"/>
              <w:rPr>
                <w:sz w:val="20"/>
                <w:szCs w:val="20"/>
                <w:color w:val="auto"/>
              </w:rPr>
            </w:pPr>
            <w:r>
              <w:rPr>
                <w:rFonts w:ascii="Arial" w:cs="Arial" w:eastAsia="Arial" w:hAnsi="Arial"/>
                <w:sz w:val="19"/>
                <w:szCs w:val="19"/>
                <w:color w:val="231F20"/>
              </w:rPr>
              <w:t>Net assets, less cash acquired</w:t>
            </w:r>
          </w:p>
        </w:tc>
        <w:tc>
          <w:tcPr>
            <w:tcW w:w="2260" w:type="dxa"/>
            <w:vAlign w:val="bottom"/>
            <w:shd w:val="clear" w:color="auto" w:fill="D0EBF2"/>
          </w:tcPr>
          <w:p>
            <w:pPr>
              <w:spacing w:after="0"/>
              <w:rPr>
                <w:sz w:val="17"/>
                <w:szCs w:val="17"/>
                <w:color w:val="auto"/>
              </w:rPr>
            </w:pPr>
          </w:p>
        </w:tc>
        <w:tc>
          <w:tcPr>
            <w:tcW w:w="640" w:type="dxa"/>
            <w:vAlign w:val="bottom"/>
            <w:tcBorders>
              <w:bottom w:val="single" w:sz="8" w:color="231F20"/>
            </w:tcBorders>
            <w:shd w:val="clear" w:color="auto" w:fill="D0EBF2"/>
          </w:tcPr>
          <w:p>
            <w:pPr>
              <w:jc w:val="right"/>
              <w:ind w:right="426"/>
              <w:spacing w:after="0" w:line="207" w:lineRule="exact"/>
              <w:rPr>
                <w:sz w:val="20"/>
                <w:szCs w:val="20"/>
                <w:color w:val="auto"/>
              </w:rPr>
            </w:pPr>
            <w:r>
              <w:rPr>
                <w:rFonts w:ascii="Arial" w:cs="Arial" w:eastAsia="Arial" w:hAnsi="Arial"/>
                <w:sz w:val="19"/>
                <w:szCs w:val="19"/>
                <w:color w:val="231F20"/>
                <w:w w:val="94"/>
              </w:rPr>
              <w:t>$</w:t>
            </w:r>
          </w:p>
        </w:tc>
        <w:tc>
          <w:tcPr>
            <w:tcW w:w="1120" w:type="dxa"/>
            <w:vAlign w:val="bottom"/>
            <w:tcBorders>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35,465</w:t>
            </w:r>
          </w:p>
        </w:tc>
        <w:tc>
          <w:tcPr>
            <w:tcW w:w="100" w:type="dxa"/>
            <w:vAlign w:val="bottom"/>
            <w:shd w:val="clear" w:color="auto" w:fill="D0EBF2"/>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135</w:t>
      </w:r>
    </w:p>
    <w:p>
      <w:pPr>
        <w:sectPr>
          <w:pgSz w:w="12240" w:h="15840" w:orient="portrait"/>
          <w:cols w:equalWidth="0" w:num="1">
            <w:col w:w="10200"/>
          </w:cols>
          <w:pgMar w:left="1020" w:top="1440" w:right="1020" w:bottom="572" w:gutter="0" w:footer="0" w:header="0"/>
          <w:type w:val="continuous"/>
        </w:sectPr>
      </w:pPr>
    </w:p>
    <w:bookmarkStart w:id="136" w:name="page137"/>
    <w:bookmarkEnd w:id="136"/>
    <w:p>
      <w:pPr>
        <w:spacing w:after="0" w:line="97" w:lineRule="exact"/>
        <w:rPr>
          <w:sz w:val="20"/>
          <w:szCs w:val="20"/>
          <w:color w:val="auto"/>
        </w:rPr>
      </w:pPr>
    </w:p>
    <w:p>
      <w:pPr>
        <w:ind w:right="200" w:firstLine="463"/>
        <w:spacing w:after="0" w:line="258" w:lineRule="auto"/>
        <w:rPr>
          <w:sz w:val="20"/>
          <w:szCs w:val="20"/>
          <w:color w:val="auto"/>
        </w:rPr>
      </w:pPr>
      <w:r>
        <w:rPr>
          <w:rFonts w:ascii="Arial" w:cs="Arial" w:eastAsia="Arial" w:hAnsi="Arial"/>
          <w:sz w:val="19"/>
          <w:szCs w:val="19"/>
          <w:color w:val="231F20"/>
        </w:rPr>
        <w:t>Goodwill arising from the acquisition of $20.7 million was attributable to the assembled workforce of StudyLink and the synergies expected to arise from the acquisition. No goodwill from this acquisition will be deductible for income tax purposes.</w:t>
      </w:r>
    </w:p>
    <w:p>
      <w:pPr>
        <w:spacing w:after="0" w:line="136" w:lineRule="exact"/>
        <w:rPr>
          <w:sz w:val="20"/>
          <w:szCs w:val="20"/>
          <w:color w:val="auto"/>
        </w:rPr>
      </w:pPr>
    </w:p>
    <w:p>
      <w:pPr>
        <w:ind w:right="680" w:firstLine="463"/>
        <w:spacing w:after="0" w:line="278" w:lineRule="auto"/>
        <w:rPr>
          <w:sz w:val="20"/>
          <w:szCs w:val="20"/>
          <w:color w:val="auto"/>
        </w:rPr>
      </w:pPr>
      <w:r>
        <w:rPr>
          <w:rFonts w:ascii="Arial" w:cs="Arial" w:eastAsia="Arial" w:hAnsi="Arial"/>
          <w:sz w:val="19"/>
          <w:szCs w:val="19"/>
          <w:color w:val="231F20"/>
        </w:rPr>
        <w:t>The following table reflects the fair values of the identified intangible assets of StudyLink and their respective weighted-average amortization periods.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0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280" w:type="dxa"/>
            <w:vAlign w:val="bottom"/>
            <w:vMerge w:val="restart"/>
            <w:shd w:val="clear" w:color="auto" w:fill="FDFDFC"/>
          </w:tcPr>
          <w:p>
            <w:pPr>
              <w:jc w:val="center"/>
              <w:ind w:right="74"/>
              <w:spacing w:after="0"/>
              <w:rPr>
                <w:sz w:val="20"/>
                <w:szCs w:val="20"/>
                <w:color w:val="auto"/>
              </w:rPr>
            </w:pPr>
            <w:r>
              <w:rPr>
                <w:rFonts w:ascii="Arial" w:cs="Arial" w:eastAsia="Arial" w:hAnsi="Arial"/>
                <w:sz w:val="15"/>
                <w:szCs w:val="15"/>
                <w:b w:val="1"/>
                <w:bCs w:val="1"/>
                <w:color w:val="231F20"/>
              </w:rPr>
              <w:t>Fair</w:t>
            </w:r>
          </w:p>
        </w:tc>
        <w:tc>
          <w:tcPr>
            <w:tcW w:w="220" w:type="dxa"/>
            <w:vAlign w:val="bottom"/>
            <w:shd w:val="clear" w:color="auto" w:fill="FDFDFC"/>
          </w:tcPr>
          <w:p>
            <w:pPr>
              <w:spacing w:after="0"/>
              <w:rPr>
                <w:sz w:val="14"/>
                <w:szCs w:val="14"/>
                <w:color w:val="auto"/>
              </w:rPr>
            </w:pPr>
          </w:p>
        </w:tc>
        <w:tc>
          <w:tcPr>
            <w:tcW w:w="1560" w:type="dxa"/>
            <w:vAlign w:val="bottom"/>
            <w:gridSpan w:val="2"/>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rPr>
              <w:t>Weighted-Average</w:t>
            </w:r>
          </w:p>
        </w:tc>
        <w:tc>
          <w:tcPr>
            <w:tcW w:w="0" w:type="dxa"/>
            <w:vAlign w:val="bottom"/>
          </w:tcPr>
          <w:p>
            <w:pPr>
              <w:spacing w:after="0"/>
              <w:rPr>
                <w:sz w:val="1"/>
                <w:szCs w:val="1"/>
                <w:color w:val="auto"/>
              </w:rPr>
            </w:pPr>
          </w:p>
        </w:tc>
      </w:tr>
      <w:tr>
        <w:trPr>
          <w:trHeight w:val="174"/>
        </w:trPr>
        <w:tc>
          <w:tcPr>
            <w:tcW w:w="700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280" w:type="dxa"/>
            <w:vAlign w:val="bottom"/>
            <w:vMerge w:val="continue"/>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560" w:type="dxa"/>
            <w:vAlign w:val="bottom"/>
            <w:gridSpan w:val="2"/>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rPr>
              <w:t>Amortization</w:t>
            </w:r>
          </w:p>
        </w:tc>
        <w:tc>
          <w:tcPr>
            <w:tcW w:w="0" w:type="dxa"/>
            <w:vAlign w:val="bottom"/>
          </w:tcPr>
          <w:p>
            <w:pPr>
              <w:spacing w:after="0"/>
              <w:rPr>
                <w:sz w:val="1"/>
                <w:szCs w:val="1"/>
                <w:color w:val="auto"/>
              </w:rPr>
            </w:pPr>
          </w:p>
        </w:tc>
      </w:tr>
      <w:tr>
        <w:trPr>
          <w:trHeight w:val="191"/>
        </w:trPr>
        <w:tc>
          <w:tcPr>
            <w:tcW w:w="70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280" w:type="dxa"/>
            <w:vAlign w:val="bottom"/>
            <w:shd w:val="clear" w:color="auto" w:fill="FDFDFC"/>
          </w:tcPr>
          <w:p>
            <w:pPr>
              <w:jc w:val="center"/>
              <w:ind w:right="74"/>
              <w:spacing w:after="0"/>
              <w:rPr>
                <w:sz w:val="20"/>
                <w:szCs w:val="20"/>
                <w:color w:val="auto"/>
              </w:rPr>
            </w:pPr>
            <w:r>
              <w:rPr>
                <w:rFonts w:ascii="Arial" w:cs="Arial" w:eastAsia="Arial" w:hAnsi="Arial"/>
                <w:sz w:val="15"/>
                <w:szCs w:val="15"/>
                <w:b w:val="1"/>
                <w:bCs w:val="1"/>
                <w:color w:val="231F20"/>
                <w:w w:val="99"/>
              </w:rPr>
              <w:t>Values</w:t>
            </w:r>
          </w:p>
        </w:tc>
        <w:tc>
          <w:tcPr>
            <w:tcW w:w="220" w:type="dxa"/>
            <w:vAlign w:val="bottom"/>
            <w:shd w:val="clear" w:color="auto" w:fill="FDFDFC"/>
          </w:tcPr>
          <w:p>
            <w:pPr>
              <w:spacing w:after="0"/>
              <w:rPr>
                <w:sz w:val="16"/>
                <w:szCs w:val="16"/>
                <w:color w:val="auto"/>
              </w:rPr>
            </w:pPr>
          </w:p>
        </w:tc>
        <w:tc>
          <w:tcPr>
            <w:tcW w:w="1560" w:type="dxa"/>
            <w:vAlign w:val="bottom"/>
            <w:gridSpan w:val="2"/>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w w:val="98"/>
              </w:rPr>
              <w:t>Periods</w:t>
            </w:r>
          </w:p>
        </w:tc>
        <w:tc>
          <w:tcPr>
            <w:tcW w:w="0" w:type="dxa"/>
            <w:vAlign w:val="bottom"/>
          </w:tcPr>
          <w:p>
            <w:pPr>
              <w:spacing w:after="0"/>
              <w:rPr>
                <w:sz w:val="1"/>
                <w:szCs w:val="1"/>
                <w:color w:val="auto"/>
              </w:rPr>
            </w:pPr>
          </w:p>
        </w:tc>
      </w:tr>
      <w:tr>
        <w:trPr>
          <w:trHeight w:val="163"/>
        </w:trPr>
        <w:tc>
          <w:tcPr>
            <w:tcW w:w="7000" w:type="dxa"/>
            <w:vAlign w:val="bottom"/>
            <w:tcBorders>
              <w:top w:val="single" w:sz="8" w:color="FDFDFC"/>
            </w:tcBorders>
            <w:shd w:val="clear" w:color="auto" w:fill="FDFDFC"/>
          </w:tcPr>
          <w:p>
            <w:pPr>
              <w:spacing w:after="0"/>
              <w:rPr>
                <w:sz w:val="14"/>
                <w:szCs w:val="14"/>
                <w:color w:val="auto"/>
              </w:rPr>
            </w:pPr>
          </w:p>
        </w:tc>
        <w:tc>
          <w:tcPr>
            <w:tcW w:w="140" w:type="dxa"/>
            <w:vAlign w:val="bottom"/>
            <w:tcBorders>
              <w:top w:val="single" w:sz="8" w:color="231F20"/>
            </w:tcBorders>
            <w:shd w:val="clear" w:color="auto" w:fill="FDFDFC"/>
          </w:tcPr>
          <w:p>
            <w:pPr>
              <w:spacing w:after="0"/>
              <w:rPr>
                <w:sz w:val="14"/>
                <w:szCs w:val="14"/>
                <w:color w:val="auto"/>
              </w:rPr>
            </w:pPr>
          </w:p>
        </w:tc>
        <w:tc>
          <w:tcPr>
            <w:tcW w:w="1280" w:type="dxa"/>
            <w:vAlign w:val="bottom"/>
            <w:tcBorders>
              <w:top w:val="single" w:sz="8" w:color="231F20"/>
            </w:tcBorders>
            <w:shd w:val="clear" w:color="auto" w:fill="FDFDFC"/>
          </w:tcPr>
          <w:p>
            <w:pPr>
              <w:jc w:val="center"/>
              <w:ind w:right="74"/>
              <w:spacing w:after="0" w:line="164" w:lineRule="exact"/>
              <w:rPr>
                <w:sz w:val="20"/>
                <w:szCs w:val="20"/>
                <w:color w:val="auto"/>
              </w:rPr>
            </w:pPr>
            <w:r>
              <w:rPr>
                <w:rFonts w:ascii="Arial" w:cs="Arial" w:eastAsia="Arial" w:hAnsi="Arial"/>
                <w:sz w:val="15"/>
                <w:szCs w:val="15"/>
                <w:b w:val="1"/>
                <w:bCs w:val="1"/>
                <w:color w:val="231F20"/>
              </w:rPr>
              <w:t>(in thousands)</w:t>
            </w:r>
          </w:p>
        </w:tc>
        <w:tc>
          <w:tcPr>
            <w:tcW w:w="220" w:type="dxa"/>
            <w:vAlign w:val="bottom"/>
            <w:tcBorders>
              <w:top w:val="single" w:sz="8" w:color="FDFDFC"/>
            </w:tcBorders>
            <w:shd w:val="clear" w:color="auto" w:fill="FDFDFC"/>
          </w:tcPr>
          <w:p>
            <w:pPr>
              <w:spacing w:after="0"/>
              <w:rPr>
                <w:sz w:val="14"/>
                <w:szCs w:val="14"/>
                <w:color w:val="auto"/>
              </w:rPr>
            </w:pPr>
          </w:p>
        </w:tc>
        <w:tc>
          <w:tcPr>
            <w:tcW w:w="1460" w:type="dxa"/>
            <w:vAlign w:val="bottom"/>
            <w:tcBorders>
              <w:top w:val="single" w:sz="8" w:color="231F20"/>
            </w:tcBorders>
            <w:shd w:val="clear" w:color="auto" w:fill="FDFDFC"/>
          </w:tcPr>
          <w:p>
            <w:pPr>
              <w:jc w:val="center"/>
              <w:spacing w:after="0" w:line="164" w:lineRule="exact"/>
              <w:rPr>
                <w:sz w:val="20"/>
                <w:szCs w:val="20"/>
                <w:color w:val="auto"/>
              </w:rPr>
            </w:pPr>
            <w:r>
              <w:rPr>
                <w:rFonts w:ascii="Arial" w:cs="Arial" w:eastAsia="Arial" w:hAnsi="Arial"/>
                <w:sz w:val="15"/>
                <w:szCs w:val="15"/>
                <w:b w:val="1"/>
                <w:bCs w:val="1"/>
                <w:color w:val="231F20"/>
              </w:rPr>
              <w:t>(years)</w:t>
            </w:r>
          </w:p>
        </w:tc>
        <w:tc>
          <w:tcPr>
            <w:tcW w:w="100" w:type="dxa"/>
            <w:vAlign w:val="bottom"/>
            <w:tcBorders>
              <w:top w:val="single" w:sz="8" w:color="FDFDFC"/>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00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Developed technology</w:t>
            </w:r>
          </w:p>
        </w:tc>
        <w:tc>
          <w:tcPr>
            <w:tcW w:w="14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w w:val="75"/>
              </w:rPr>
              <w:t>$</w:t>
            </w:r>
          </w:p>
        </w:tc>
        <w:tc>
          <w:tcPr>
            <w:tcW w:w="128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7,397</w:t>
            </w:r>
          </w:p>
        </w:tc>
        <w:tc>
          <w:tcPr>
            <w:tcW w:w="220" w:type="dxa"/>
            <w:vAlign w:val="bottom"/>
            <w:shd w:val="clear" w:color="auto" w:fill="D0EBF2"/>
          </w:tcPr>
          <w:p>
            <w:pPr>
              <w:spacing w:after="0"/>
              <w:rPr>
                <w:sz w:val="18"/>
                <w:szCs w:val="18"/>
                <w:color w:val="auto"/>
              </w:rPr>
            </w:pPr>
          </w:p>
        </w:tc>
        <w:tc>
          <w:tcPr>
            <w:tcW w:w="146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7</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0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Acquired relationships</w:t>
            </w:r>
          </w:p>
        </w:tc>
        <w:tc>
          <w:tcPr>
            <w:tcW w:w="140" w:type="dxa"/>
            <w:vAlign w:val="bottom"/>
            <w:shd w:val="clear" w:color="auto" w:fill="FDFDFC"/>
          </w:tcPr>
          <w:p>
            <w:pPr>
              <w:spacing w:after="0"/>
              <w:rPr>
                <w:sz w:val="18"/>
                <w:szCs w:val="18"/>
                <w:color w:val="auto"/>
              </w:rPr>
            </w:pPr>
          </w:p>
        </w:tc>
        <w:tc>
          <w:tcPr>
            <w:tcW w:w="12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12,027</w:t>
            </w:r>
          </w:p>
        </w:tc>
        <w:tc>
          <w:tcPr>
            <w:tcW w:w="1680" w:type="dxa"/>
            <w:vAlign w:val="bottom"/>
            <w:gridSpan w:val="2"/>
            <w:shd w:val="clear" w:color="auto" w:fill="FDFDFC"/>
          </w:tcPr>
          <w:p>
            <w:pPr>
              <w:jc w:val="right"/>
              <w:spacing w:after="0" w:line="217" w:lineRule="exact"/>
              <w:rPr>
                <w:sz w:val="20"/>
                <w:szCs w:val="20"/>
                <w:color w:val="auto"/>
              </w:rPr>
            </w:pPr>
            <w:r>
              <w:rPr>
                <w:rFonts w:ascii="Arial" w:cs="Arial" w:eastAsia="Arial" w:hAnsi="Arial"/>
                <w:sz w:val="19"/>
                <w:szCs w:val="19"/>
                <w:color w:val="231F20"/>
              </w:rPr>
              <w:t>14</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00" w:type="dxa"/>
            <w:vAlign w:val="bottom"/>
            <w:tcBorders>
              <w:bottom w:val="single" w:sz="8" w:color="D0EBF2"/>
            </w:tcBorders>
            <w:shd w:val="clear" w:color="auto" w:fill="D0EBF2"/>
          </w:tcPr>
          <w:p>
            <w:pPr>
              <w:spacing w:after="0" w:line="217" w:lineRule="exact"/>
              <w:rPr>
                <w:sz w:val="20"/>
                <w:szCs w:val="20"/>
                <w:color w:val="auto"/>
              </w:rPr>
            </w:pPr>
            <w:r>
              <w:rPr>
                <w:rFonts w:ascii="Arial" w:cs="Arial" w:eastAsia="Arial" w:hAnsi="Arial"/>
                <w:sz w:val="19"/>
                <w:szCs w:val="19"/>
                <w:color w:val="231F20"/>
              </w:rPr>
              <w:t>Trade Name/Trademark</w:t>
            </w:r>
          </w:p>
        </w:tc>
        <w:tc>
          <w:tcPr>
            <w:tcW w:w="140" w:type="dxa"/>
            <w:vAlign w:val="bottom"/>
            <w:tcBorders>
              <w:bottom w:val="single" w:sz="8" w:color="231F20"/>
            </w:tcBorders>
            <w:shd w:val="clear" w:color="auto" w:fill="D0EBF2"/>
          </w:tcPr>
          <w:p>
            <w:pPr>
              <w:spacing w:after="0"/>
              <w:rPr>
                <w:sz w:val="18"/>
                <w:szCs w:val="18"/>
                <w:color w:val="auto"/>
              </w:rPr>
            </w:pPr>
          </w:p>
        </w:tc>
        <w:tc>
          <w:tcPr>
            <w:tcW w:w="1280" w:type="dxa"/>
            <w:vAlign w:val="bottom"/>
            <w:tcBorders>
              <w:bottom w:val="single" w:sz="8" w:color="231F20"/>
            </w:tcBorders>
            <w:shd w:val="clear" w:color="auto" w:fill="D0EBF2"/>
          </w:tcPr>
          <w:p>
            <w:pPr>
              <w:jc w:val="right"/>
              <w:spacing w:after="0" w:line="217" w:lineRule="exact"/>
              <w:rPr>
                <w:sz w:val="20"/>
                <w:szCs w:val="20"/>
                <w:color w:val="auto"/>
              </w:rPr>
            </w:pPr>
            <w:r>
              <w:rPr>
                <w:rFonts w:ascii="Arial" w:cs="Arial" w:eastAsia="Arial" w:hAnsi="Arial"/>
                <w:sz w:val="19"/>
                <w:szCs w:val="19"/>
                <w:color w:val="231F20"/>
              </w:rPr>
              <w:t>129</w:t>
            </w:r>
          </w:p>
        </w:tc>
        <w:tc>
          <w:tcPr>
            <w:tcW w:w="1680" w:type="dxa"/>
            <w:vAlign w:val="bottom"/>
            <w:tcBorders>
              <w:bottom w:val="single" w:sz="8" w:color="D0EBF2"/>
            </w:tcBorders>
            <w:gridSpan w:val="2"/>
            <w:shd w:val="clear" w:color="auto" w:fill="D0EBF2"/>
          </w:tcPr>
          <w:p>
            <w:pPr>
              <w:jc w:val="right"/>
              <w:spacing w:after="0" w:line="217" w:lineRule="exact"/>
              <w:rPr>
                <w:sz w:val="20"/>
                <w:szCs w:val="20"/>
                <w:color w:val="auto"/>
              </w:rPr>
            </w:pPr>
            <w:r>
              <w:rPr>
                <w:rFonts w:ascii="Arial" w:cs="Arial" w:eastAsia="Arial" w:hAnsi="Arial"/>
                <w:sz w:val="19"/>
                <w:szCs w:val="19"/>
                <w:color w:val="231F20"/>
              </w:rPr>
              <w:t>2</w:t>
            </w:r>
          </w:p>
        </w:tc>
        <w:tc>
          <w:tcPr>
            <w:tcW w:w="100" w:type="dxa"/>
            <w:vAlign w:val="bottom"/>
            <w:tcBorders>
              <w:bottom w:val="single" w:sz="8" w:color="D0EBF2"/>
            </w:tcBorders>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00" w:type="dxa"/>
            <w:vAlign w:val="bottom"/>
            <w:shd w:val="clear" w:color="auto" w:fill="FDFDFC"/>
          </w:tcPr>
          <w:p>
            <w:pPr>
              <w:spacing w:after="0"/>
              <w:rPr>
                <w:sz w:val="17"/>
                <w:szCs w:val="17"/>
                <w:color w:val="auto"/>
              </w:rPr>
            </w:pPr>
          </w:p>
        </w:tc>
        <w:tc>
          <w:tcPr>
            <w:tcW w:w="140" w:type="dxa"/>
            <w:vAlign w:val="bottom"/>
            <w:tcBorders>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w w:val="75"/>
              </w:rPr>
              <w:t>$</w:t>
            </w:r>
          </w:p>
        </w:tc>
        <w:tc>
          <w:tcPr>
            <w:tcW w:w="1280" w:type="dxa"/>
            <w:vAlign w:val="bottom"/>
            <w:tcBorders>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rPr>
              <w:t>19,553</w:t>
            </w:r>
          </w:p>
        </w:tc>
        <w:tc>
          <w:tcPr>
            <w:tcW w:w="220" w:type="dxa"/>
            <w:vAlign w:val="bottom"/>
            <w:shd w:val="clear" w:color="auto" w:fill="FDFDFC"/>
          </w:tcPr>
          <w:p>
            <w:pPr>
              <w:spacing w:after="0"/>
              <w:rPr>
                <w:sz w:val="17"/>
                <w:szCs w:val="17"/>
                <w:color w:val="auto"/>
              </w:rPr>
            </w:pPr>
          </w:p>
        </w:tc>
        <w:tc>
          <w:tcPr>
            <w:tcW w:w="1460" w:type="dxa"/>
            <w:vAlign w:val="bottom"/>
            <w:shd w:val="clear" w:color="auto" w:fill="FDFDFC"/>
          </w:tcPr>
          <w:p>
            <w:pPr>
              <w:spacing w:after="0"/>
              <w:rPr>
                <w:sz w:val="17"/>
                <w:szCs w:val="17"/>
                <w:color w:val="auto"/>
              </w:rPr>
            </w:pPr>
          </w:p>
        </w:tc>
        <w:tc>
          <w:tcPr>
            <w:tcW w:w="100" w:type="dxa"/>
            <w:vAlign w:val="bottom"/>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20" w:firstLine="463"/>
        <w:spacing w:after="0" w:line="251" w:lineRule="auto"/>
        <w:rPr>
          <w:sz w:val="20"/>
          <w:szCs w:val="20"/>
          <w:color w:val="auto"/>
        </w:rPr>
      </w:pPr>
      <w:r>
        <w:rPr>
          <w:rFonts w:ascii="Arial" w:cs="Arial" w:eastAsia="Arial" w:hAnsi="Arial"/>
          <w:sz w:val="19"/>
          <w:szCs w:val="19"/>
          <w:color w:val="231F20"/>
        </w:rPr>
        <w:t>The results of StudyLink have been included in the consolidated financial statements since the date of the acquisition. StudyLink contributed $7.6 million and $1.4 million in platform revenue during the years ended December 31, 2024 and 2023. The Company has not disclosed net income or loss since the acquisition date as the business was fully integrated into the consolidated Company’s operations and therefore it was impracticable to determine this amount.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Unaudited Pro Forma Financial Information</w:t>
      </w:r>
    </w:p>
    <w:p>
      <w:pPr>
        <w:spacing w:after="0" w:line="188" w:lineRule="exact"/>
        <w:rPr>
          <w:sz w:val="20"/>
          <w:szCs w:val="20"/>
          <w:color w:val="auto"/>
        </w:rPr>
      </w:pPr>
    </w:p>
    <w:p>
      <w:pPr>
        <w:ind w:right="80" w:firstLine="463"/>
        <w:spacing w:after="0" w:line="245" w:lineRule="auto"/>
        <w:rPr>
          <w:sz w:val="20"/>
          <w:szCs w:val="20"/>
          <w:color w:val="auto"/>
        </w:rPr>
      </w:pPr>
      <w:r>
        <w:rPr>
          <w:rFonts w:ascii="Arial" w:cs="Arial" w:eastAsia="Arial" w:hAnsi="Arial"/>
          <w:sz w:val="19"/>
          <w:szCs w:val="19"/>
          <w:color w:val="231F20"/>
        </w:rPr>
        <w:t>The following unaudited pro forma financial information shows the results of the Company’s operations for the years ended December 31, 2023 and 2022 as if the acquisition had occurred on January 1, 2022.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StudyLink. The unaudited pro forma information reflects the effects of applying the Company’s accounting policies and certain pro forma adjustments to the combined historical financial information of the Company and StudyLink. The pro forma adjustments include:</w:t>
      </w:r>
    </w:p>
    <w:p>
      <w:pPr>
        <w:spacing w:after="0" w:line="85" w:lineRule="exact"/>
        <w:rPr>
          <w:sz w:val="20"/>
          <w:szCs w:val="20"/>
          <w:color w:val="auto"/>
        </w:rPr>
      </w:pPr>
    </w:p>
    <w:p>
      <w:pPr>
        <w:ind w:left="920" w:hanging="458"/>
        <w:spacing w:after="0"/>
        <w:tabs>
          <w:tab w:leader="none" w:pos="920" w:val="left"/>
        </w:tabs>
        <w:numPr>
          <w:ilvl w:val="0"/>
          <w:numId w:val="57"/>
        </w:numPr>
        <w:rPr>
          <w:rFonts w:ascii="Arial" w:cs="Arial" w:eastAsia="Arial" w:hAnsi="Arial"/>
          <w:sz w:val="19"/>
          <w:szCs w:val="19"/>
          <w:color w:val="231F20"/>
        </w:rPr>
      </w:pPr>
      <w:r>
        <w:rPr>
          <w:rFonts w:ascii="Arial" w:cs="Arial" w:eastAsia="Arial" w:hAnsi="Arial"/>
          <w:sz w:val="19"/>
          <w:szCs w:val="19"/>
          <w:color w:val="231F20"/>
        </w:rPr>
        <w:t>incremental amortization expense associated with the estimated fair value of identified intangible assets;</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57"/>
        </w:numPr>
        <w:rPr>
          <w:rFonts w:ascii="Arial" w:cs="Arial" w:eastAsia="Arial" w:hAnsi="Arial"/>
          <w:sz w:val="19"/>
          <w:szCs w:val="19"/>
          <w:color w:val="231F20"/>
        </w:rPr>
      </w:pPr>
      <w:r>
        <w:rPr>
          <w:rFonts w:ascii="Arial" w:cs="Arial" w:eastAsia="Arial" w:hAnsi="Arial"/>
          <w:sz w:val="19"/>
          <w:szCs w:val="19"/>
          <w:color w:val="231F20"/>
        </w:rPr>
        <w:t>incremental employee compensation expense for StudyLink employees;</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57"/>
        </w:numPr>
        <w:rPr>
          <w:rFonts w:ascii="Arial" w:cs="Arial" w:eastAsia="Arial" w:hAnsi="Arial"/>
          <w:sz w:val="19"/>
          <w:szCs w:val="19"/>
          <w:color w:val="231F20"/>
        </w:rPr>
      </w:pPr>
      <w:r>
        <w:rPr>
          <w:rFonts w:ascii="Arial" w:cs="Arial" w:eastAsia="Arial" w:hAnsi="Arial"/>
          <w:sz w:val="19"/>
          <w:szCs w:val="19"/>
          <w:color w:val="231F20"/>
        </w:rPr>
        <w:t>transaction costs; and</w:t>
      </w:r>
    </w:p>
    <w:p>
      <w:pPr>
        <w:spacing w:after="0" w:line="124" w:lineRule="exact"/>
        <w:rPr>
          <w:rFonts w:ascii="Arial" w:cs="Arial" w:eastAsia="Arial" w:hAnsi="Arial"/>
          <w:sz w:val="19"/>
          <w:szCs w:val="19"/>
          <w:color w:val="231F20"/>
        </w:rPr>
      </w:pPr>
    </w:p>
    <w:p>
      <w:pPr>
        <w:ind w:left="920" w:hanging="458"/>
        <w:spacing w:after="0"/>
        <w:tabs>
          <w:tab w:leader="none" w:pos="920" w:val="left"/>
        </w:tabs>
        <w:numPr>
          <w:ilvl w:val="0"/>
          <w:numId w:val="57"/>
        </w:numPr>
        <w:rPr>
          <w:rFonts w:ascii="Arial" w:cs="Arial" w:eastAsia="Arial" w:hAnsi="Arial"/>
          <w:sz w:val="19"/>
          <w:szCs w:val="19"/>
          <w:color w:val="231F20"/>
        </w:rPr>
      </w:pPr>
      <w:r>
        <w:rPr>
          <w:rFonts w:ascii="Arial" w:cs="Arial" w:eastAsia="Arial" w:hAnsi="Arial"/>
          <w:sz w:val="19"/>
          <w:szCs w:val="19"/>
          <w:color w:val="231F20"/>
        </w:rPr>
        <w:t>the estimated tax impact of the above items.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2700" w:type="dxa"/>
            <w:vAlign w:val="bottom"/>
            <w:gridSpan w:val="6"/>
            <w:shd w:val="clear" w:color="auto" w:fill="FDFDFC"/>
          </w:tcPr>
          <w:p>
            <w:pPr>
              <w:jc w:val="right"/>
              <w:ind w:right="364"/>
              <w:spacing w:after="0"/>
              <w:rPr>
                <w:sz w:val="20"/>
                <w:szCs w:val="20"/>
                <w:color w:val="auto"/>
              </w:rPr>
            </w:pPr>
            <w:r>
              <w:rPr>
                <w:rFonts w:ascii="Arial" w:cs="Arial" w:eastAsia="Arial" w:hAnsi="Arial"/>
                <w:sz w:val="15"/>
                <w:szCs w:val="15"/>
                <w:b w:val="1"/>
                <w:bCs w:val="1"/>
                <w:color w:val="231F20"/>
              </w:rPr>
              <w:t>Year Ended December 31, 2023</w:t>
            </w:r>
          </w:p>
        </w:tc>
        <w:tc>
          <w:tcPr>
            <w:tcW w:w="140" w:type="dxa"/>
            <w:vAlign w:val="bottom"/>
            <w:shd w:val="clear" w:color="auto" w:fill="FDFDFC"/>
          </w:tcPr>
          <w:p>
            <w:pPr>
              <w:spacing w:after="0"/>
              <w:rPr>
                <w:sz w:val="16"/>
                <w:szCs w:val="16"/>
                <w:color w:val="auto"/>
              </w:rPr>
            </w:pPr>
          </w:p>
        </w:tc>
        <w:tc>
          <w:tcPr>
            <w:tcW w:w="2580" w:type="dxa"/>
            <w:vAlign w:val="bottom"/>
            <w:gridSpan w:val="6"/>
            <w:shd w:val="clear" w:color="auto" w:fill="FDFDFC"/>
          </w:tcPr>
          <w:p>
            <w:pPr>
              <w:jc w:val="right"/>
              <w:ind w:right="300"/>
              <w:spacing w:after="0"/>
              <w:rPr>
                <w:sz w:val="20"/>
                <w:szCs w:val="20"/>
                <w:color w:val="auto"/>
              </w:rPr>
            </w:pPr>
            <w:r>
              <w:rPr>
                <w:rFonts w:ascii="Arial" w:cs="Arial" w:eastAsia="Arial" w:hAnsi="Arial"/>
                <w:sz w:val="15"/>
                <w:szCs w:val="15"/>
                <w:b w:val="1"/>
                <w:bCs w:val="1"/>
                <w:color w:val="231F20"/>
              </w:rPr>
              <w:t>Year Ended December 31, 2022</w:t>
            </w:r>
          </w:p>
        </w:tc>
      </w:tr>
      <w:tr>
        <w:trPr>
          <w:trHeight w:val="176"/>
        </w:trPr>
        <w:tc>
          <w:tcPr>
            <w:tcW w:w="4480" w:type="dxa"/>
            <w:vAlign w:val="bottom"/>
            <w:tcBorders>
              <w:top w:val="single" w:sz="8" w:color="FDFDFC"/>
              <w:bottom w:val="single" w:sz="8" w:color="FDFDFC"/>
            </w:tcBorders>
            <w:shd w:val="clear" w:color="auto" w:fill="FDFDFC"/>
          </w:tcPr>
          <w:p>
            <w:pPr>
              <w:spacing w:after="0"/>
              <w:rPr>
                <w:sz w:val="15"/>
                <w:szCs w:val="15"/>
                <w:color w:val="auto"/>
              </w:rPr>
            </w:pPr>
          </w:p>
        </w:tc>
        <w:tc>
          <w:tcPr>
            <w:tcW w:w="140" w:type="dxa"/>
            <w:vAlign w:val="bottom"/>
            <w:tcBorders>
              <w:top w:val="single" w:sz="8" w:color="FDFDFC"/>
              <w:bottom w:val="single" w:sz="8" w:color="FDFDFC"/>
            </w:tcBorders>
            <w:shd w:val="clear" w:color="auto" w:fill="FDFDFC"/>
          </w:tcPr>
          <w:p>
            <w:pPr>
              <w:spacing w:after="0"/>
              <w:rPr>
                <w:sz w:val="15"/>
                <w:szCs w:val="15"/>
                <w:color w:val="auto"/>
              </w:rPr>
            </w:pPr>
          </w:p>
        </w:tc>
        <w:tc>
          <w:tcPr>
            <w:tcW w:w="160" w:type="dxa"/>
            <w:vAlign w:val="bottom"/>
            <w:tcBorders>
              <w:top w:val="single" w:sz="8" w:color="231F20"/>
              <w:bottom w:val="single" w:sz="8" w:color="231F20"/>
            </w:tcBorders>
            <w:shd w:val="clear" w:color="auto" w:fill="FDFDFC"/>
          </w:tcPr>
          <w:p>
            <w:pPr>
              <w:spacing w:after="0"/>
              <w:rPr>
                <w:sz w:val="15"/>
                <w:szCs w:val="15"/>
                <w:color w:val="auto"/>
              </w:rPr>
            </w:pPr>
          </w:p>
        </w:tc>
        <w:tc>
          <w:tcPr>
            <w:tcW w:w="1040" w:type="dxa"/>
            <w:vAlign w:val="bottom"/>
            <w:tcBorders>
              <w:top w:val="single" w:sz="8" w:color="231F20"/>
              <w:bottom w:val="single" w:sz="8" w:color="231F20"/>
            </w:tcBorders>
            <w:shd w:val="clear" w:color="auto" w:fill="FDFDFC"/>
          </w:tcPr>
          <w:p>
            <w:pPr>
              <w:jc w:val="right"/>
              <w:ind w:right="295"/>
              <w:spacing w:after="0"/>
              <w:rPr>
                <w:sz w:val="20"/>
                <w:szCs w:val="20"/>
                <w:color w:val="auto"/>
              </w:rPr>
            </w:pPr>
            <w:r>
              <w:rPr>
                <w:rFonts w:ascii="Arial" w:cs="Arial" w:eastAsia="Arial" w:hAnsi="Arial"/>
                <w:sz w:val="15"/>
                <w:szCs w:val="15"/>
                <w:b w:val="1"/>
                <w:bCs w:val="1"/>
                <w:color w:val="231F20"/>
              </w:rPr>
              <w:t>Actual</w:t>
            </w:r>
          </w:p>
        </w:tc>
        <w:tc>
          <w:tcPr>
            <w:tcW w:w="100" w:type="dxa"/>
            <w:vAlign w:val="bottom"/>
            <w:tcBorders>
              <w:top w:val="single" w:sz="8" w:color="231F20"/>
              <w:bottom w:val="single" w:sz="8" w:color="FDFDFC"/>
            </w:tcBorders>
            <w:shd w:val="clear" w:color="auto" w:fill="FDFDFC"/>
          </w:tcPr>
          <w:p>
            <w:pPr>
              <w:spacing w:after="0"/>
              <w:rPr>
                <w:sz w:val="15"/>
                <w:szCs w:val="15"/>
                <w:color w:val="auto"/>
              </w:rPr>
            </w:pPr>
          </w:p>
        </w:tc>
        <w:tc>
          <w:tcPr>
            <w:tcW w:w="140" w:type="dxa"/>
            <w:vAlign w:val="bottom"/>
            <w:tcBorders>
              <w:top w:val="single" w:sz="8" w:color="231F20"/>
              <w:bottom w:val="single" w:sz="8" w:color="FDFDFC"/>
            </w:tcBorders>
            <w:shd w:val="clear" w:color="auto" w:fill="FDFDFC"/>
          </w:tcPr>
          <w:p>
            <w:pPr>
              <w:spacing w:after="0"/>
              <w:rPr>
                <w:sz w:val="15"/>
                <w:szCs w:val="15"/>
                <w:color w:val="auto"/>
              </w:rPr>
            </w:pPr>
          </w:p>
        </w:tc>
        <w:tc>
          <w:tcPr>
            <w:tcW w:w="160" w:type="dxa"/>
            <w:vAlign w:val="bottom"/>
            <w:tcBorders>
              <w:top w:val="single" w:sz="8" w:color="231F20"/>
              <w:bottom w:val="single" w:sz="8" w:color="231F20"/>
            </w:tcBorders>
            <w:shd w:val="clear" w:color="auto" w:fill="FDFDFC"/>
          </w:tcPr>
          <w:p>
            <w:pPr>
              <w:spacing w:after="0"/>
              <w:rPr>
                <w:sz w:val="15"/>
                <w:szCs w:val="15"/>
                <w:color w:val="auto"/>
              </w:rPr>
            </w:pPr>
          </w:p>
        </w:tc>
        <w:tc>
          <w:tcPr>
            <w:tcW w:w="1020" w:type="dxa"/>
            <w:vAlign w:val="bottom"/>
            <w:tcBorders>
              <w:top w:val="single" w:sz="8" w:color="231F20"/>
              <w:bottom w:val="single" w:sz="8" w:color="231F20"/>
            </w:tcBorders>
            <w:shd w:val="clear" w:color="auto" w:fill="FDFDFC"/>
          </w:tcPr>
          <w:p>
            <w:pPr>
              <w:jc w:val="right"/>
              <w:ind w:right="135"/>
              <w:spacing w:after="0"/>
              <w:rPr>
                <w:sz w:val="20"/>
                <w:szCs w:val="20"/>
                <w:color w:val="auto"/>
              </w:rPr>
            </w:pPr>
            <w:r>
              <w:rPr>
                <w:rFonts w:ascii="Arial" w:cs="Arial" w:eastAsia="Arial" w:hAnsi="Arial"/>
                <w:sz w:val="15"/>
                <w:szCs w:val="15"/>
                <w:b w:val="1"/>
                <w:bCs w:val="1"/>
                <w:color w:val="231F20"/>
              </w:rPr>
              <w:t>Pro Forma</w:t>
            </w:r>
          </w:p>
        </w:tc>
        <w:tc>
          <w:tcPr>
            <w:tcW w:w="240" w:type="dxa"/>
            <w:vAlign w:val="bottom"/>
            <w:tcBorders>
              <w:top w:val="single" w:sz="8" w:color="FDFDFC"/>
              <w:bottom w:val="single" w:sz="8" w:color="FDFDFC"/>
            </w:tcBorders>
            <w:shd w:val="clear" w:color="auto" w:fill="FDFDFC"/>
          </w:tcPr>
          <w:p>
            <w:pPr>
              <w:spacing w:after="0"/>
              <w:rPr>
                <w:sz w:val="15"/>
                <w:szCs w:val="15"/>
                <w:color w:val="auto"/>
              </w:rPr>
            </w:pPr>
          </w:p>
        </w:tc>
        <w:tc>
          <w:tcPr>
            <w:tcW w:w="140" w:type="dxa"/>
            <w:vAlign w:val="bottom"/>
            <w:tcBorders>
              <w:top w:val="single" w:sz="8" w:color="231F20"/>
              <w:bottom w:val="single" w:sz="8" w:color="231F20"/>
            </w:tcBorders>
            <w:shd w:val="clear" w:color="auto" w:fill="FDFDFC"/>
          </w:tcPr>
          <w:p>
            <w:pPr>
              <w:spacing w:after="0"/>
              <w:rPr>
                <w:sz w:val="15"/>
                <w:szCs w:val="15"/>
                <w:color w:val="auto"/>
              </w:rPr>
            </w:pPr>
          </w:p>
        </w:tc>
        <w:tc>
          <w:tcPr>
            <w:tcW w:w="1060" w:type="dxa"/>
            <w:vAlign w:val="bottom"/>
            <w:tcBorders>
              <w:top w:val="single" w:sz="8" w:color="231F20"/>
              <w:bottom w:val="single" w:sz="8" w:color="231F20"/>
            </w:tcBorders>
            <w:shd w:val="clear" w:color="auto" w:fill="FDFDFC"/>
          </w:tcPr>
          <w:p>
            <w:pPr>
              <w:jc w:val="right"/>
              <w:ind w:right="295"/>
              <w:spacing w:after="0"/>
              <w:rPr>
                <w:sz w:val="20"/>
                <w:szCs w:val="20"/>
                <w:color w:val="auto"/>
              </w:rPr>
            </w:pPr>
            <w:r>
              <w:rPr>
                <w:rFonts w:ascii="Arial" w:cs="Arial" w:eastAsia="Arial" w:hAnsi="Arial"/>
                <w:sz w:val="15"/>
                <w:szCs w:val="15"/>
                <w:b w:val="1"/>
                <w:bCs w:val="1"/>
                <w:color w:val="231F20"/>
              </w:rPr>
              <w:t>Actual</w:t>
            </w:r>
          </w:p>
        </w:tc>
        <w:tc>
          <w:tcPr>
            <w:tcW w:w="100" w:type="dxa"/>
            <w:vAlign w:val="bottom"/>
            <w:tcBorders>
              <w:top w:val="single" w:sz="8" w:color="231F20"/>
              <w:bottom w:val="single" w:sz="8" w:color="FDFDFC"/>
            </w:tcBorders>
            <w:shd w:val="clear" w:color="auto" w:fill="FDFDFC"/>
          </w:tcPr>
          <w:p>
            <w:pPr>
              <w:spacing w:after="0"/>
              <w:rPr>
                <w:sz w:val="15"/>
                <w:szCs w:val="15"/>
                <w:color w:val="auto"/>
              </w:rPr>
            </w:pPr>
          </w:p>
        </w:tc>
        <w:tc>
          <w:tcPr>
            <w:tcW w:w="140" w:type="dxa"/>
            <w:vAlign w:val="bottom"/>
            <w:tcBorders>
              <w:top w:val="single" w:sz="8" w:color="231F20"/>
              <w:bottom w:val="single" w:sz="8" w:color="FDFDFC"/>
            </w:tcBorders>
            <w:shd w:val="clear" w:color="auto" w:fill="FDFDFC"/>
          </w:tcPr>
          <w:p>
            <w:pPr>
              <w:spacing w:after="0"/>
              <w:rPr>
                <w:sz w:val="15"/>
                <w:szCs w:val="15"/>
                <w:color w:val="auto"/>
              </w:rPr>
            </w:pPr>
          </w:p>
        </w:tc>
        <w:tc>
          <w:tcPr>
            <w:tcW w:w="140" w:type="dxa"/>
            <w:vAlign w:val="bottom"/>
            <w:tcBorders>
              <w:top w:val="single" w:sz="8" w:color="231F20"/>
              <w:bottom w:val="single" w:sz="8" w:color="231F20"/>
            </w:tcBorders>
            <w:shd w:val="clear" w:color="auto" w:fill="FDFDFC"/>
          </w:tcPr>
          <w:p>
            <w:pPr>
              <w:spacing w:after="0"/>
              <w:rPr>
                <w:sz w:val="15"/>
                <w:szCs w:val="15"/>
                <w:color w:val="auto"/>
              </w:rPr>
            </w:pPr>
          </w:p>
        </w:tc>
        <w:tc>
          <w:tcPr>
            <w:tcW w:w="1040" w:type="dxa"/>
            <w:vAlign w:val="bottom"/>
            <w:tcBorders>
              <w:top w:val="single" w:sz="8" w:color="231F20"/>
              <w:bottom w:val="single" w:sz="8" w:color="231F20"/>
            </w:tcBorders>
            <w:shd w:val="clear" w:color="auto" w:fill="FDFDFC"/>
          </w:tcPr>
          <w:p>
            <w:pPr>
              <w:jc w:val="right"/>
              <w:ind w:right="132"/>
              <w:spacing w:after="0"/>
              <w:rPr>
                <w:sz w:val="20"/>
                <w:szCs w:val="20"/>
                <w:color w:val="auto"/>
              </w:rPr>
            </w:pPr>
            <w:r>
              <w:rPr>
                <w:rFonts w:ascii="Arial" w:cs="Arial" w:eastAsia="Arial" w:hAnsi="Arial"/>
                <w:sz w:val="15"/>
                <w:szCs w:val="15"/>
                <w:b w:val="1"/>
                <w:bCs w:val="1"/>
                <w:color w:val="231F20"/>
              </w:rPr>
              <w:t>Pro Forma</w:t>
            </w:r>
          </w:p>
        </w:tc>
        <w:tc>
          <w:tcPr>
            <w:tcW w:w="100" w:type="dxa"/>
            <w:vAlign w:val="bottom"/>
            <w:tcBorders>
              <w:top w:val="single" w:sz="8" w:color="FDFDFC"/>
              <w:bottom w:val="single" w:sz="8" w:color="FDFDFC"/>
            </w:tcBorders>
            <w:shd w:val="clear" w:color="auto" w:fill="FDFDFC"/>
          </w:tcPr>
          <w:p>
            <w:pPr>
              <w:spacing w:after="0"/>
              <w:rPr>
                <w:sz w:val="15"/>
                <w:szCs w:val="15"/>
                <w:color w:val="auto"/>
              </w:rPr>
            </w:pPr>
          </w:p>
        </w:tc>
      </w:tr>
      <w:tr>
        <w:trPr>
          <w:trHeight w:val="167"/>
        </w:trPr>
        <w:tc>
          <w:tcPr>
            <w:tcW w:w="448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60" w:type="dxa"/>
            <w:vAlign w:val="bottom"/>
            <w:shd w:val="clear" w:color="auto" w:fill="FDFDFC"/>
          </w:tcPr>
          <w:p>
            <w:pPr>
              <w:spacing w:after="0"/>
              <w:rPr>
                <w:sz w:val="14"/>
                <w:szCs w:val="14"/>
                <w:color w:val="auto"/>
              </w:rPr>
            </w:pPr>
          </w:p>
        </w:tc>
        <w:tc>
          <w:tcPr>
            <w:tcW w:w="104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60" w:type="dxa"/>
            <w:vAlign w:val="bottom"/>
            <w:shd w:val="clear" w:color="auto" w:fill="FDFDFC"/>
          </w:tcPr>
          <w:p>
            <w:pPr>
              <w:spacing w:after="0"/>
              <w:rPr>
                <w:sz w:val="14"/>
                <w:szCs w:val="14"/>
                <w:color w:val="auto"/>
              </w:rPr>
            </w:pPr>
          </w:p>
        </w:tc>
        <w:tc>
          <w:tcPr>
            <w:tcW w:w="1020" w:type="dxa"/>
            <w:vAlign w:val="bottom"/>
            <w:shd w:val="clear" w:color="auto" w:fill="FDFDFC"/>
          </w:tcPr>
          <w:p>
            <w:pPr>
              <w:jc w:val="right"/>
              <w:ind w:right="135"/>
              <w:spacing w:after="0" w:line="167" w:lineRule="exact"/>
              <w:rPr>
                <w:sz w:val="20"/>
                <w:szCs w:val="20"/>
                <w:color w:val="auto"/>
              </w:rPr>
            </w:pPr>
            <w:r>
              <w:rPr>
                <w:rFonts w:ascii="Arial" w:cs="Arial" w:eastAsia="Arial" w:hAnsi="Arial"/>
                <w:sz w:val="15"/>
                <w:szCs w:val="15"/>
                <w:b w:val="1"/>
                <w:bCs w:val="1"/>
                <w:color w:val="231F20"/>
              </w:rPr>
              <w:t>(in</w:t>
            </w:r>
          </w:p>
        </w:tc>
        <w:tc>
          <w:tcPr>
            <w:tcW w:w="1440" w:type="dxa"/>
            <w:vAlign w:val="bottom"/>
            <w:gridSpan w:val="3"/>
            <w:shd w:val="clear" w:color="auto" w:fill="FDFDFC"/>
          </w:tcPr>
          <w:p>
            <w:pPr>
              <w:jc w:val="center"/>
              <w:ind w:right="715"/>
              <w:spacing w:after="0" w:line="167" w:lineRule="exact"/>
              <w:rPr>
                <w:sz w:val="20"/>
                <w:szCs w:val="20"/>
                <w:color w:val="auto"/>
              </w:rPr>
            </w:pPr>
            <w:r>
              <w:rPr>
                <w:rFonts w:ascii="Arial" w:cs="Arial" w:eastAsia="Arial" w:hAnsi="Arial"/>
                <w:sz w:val="15"/>
                <w:szCs w:val="15"/>
                <w:b w:val="1"/>
                <w:bCs w:val="1"/>
                <w:color w:val="231F20"/>
                <w:w w:val="79"/>
              </w:rPr>
              <w:t>thousands)</w:t>
            </w:r>
          </w:p>
        </w:tc>
        <w:tc>
          <w:tcPr>
            <w:tcW w:w="10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04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r>
      <w:tr>
        <w:trPr>
          <w:trHeight w:val="230"/>
        </w:trPr>
        <w:tc>
          <w:tcPr>
            <w:tcW w:w="4480" w:type="dxa"/>
            <w:vAlign w:val="bottom"/>
            <w:shd w:val="clear" w:color="auto" w:fill="D0EBF2"/>
          </w:tcPr>
          <w:p>
            <w:pPr>
              <w:spacing w:after="0"/>
              <w:rPr>
                <w:sz w:val="20"/>
                <w:szCs w:val="20"/>
                <w:color w:val="auto"/>
              </w:rPr>
            </w:pPr>
            <w:r>
              <w:rPr>
                <w:rFonts w:ascii="Arial" w:cs="Arial" w:eastAsia="Arial" w:hAnsi="Arial"/>
                <w:sz w:val="19"/>
                <w:szCs w:val="19"/>
                <w:color w:val="231F20"/>
              </w:rPr>
              <w:t>Revenue</w:t>
            </w:r>
          </w:p>
        </w:tc>
        <w:tc>
          <w:tcPr>
            <w:tcW w:w="30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w:t>
            </w:r>
          </w:p>
        </w:tc>
        <w:tc>
          <w:tcPr>
            <w:tcW w:w="10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403,094</w:t>
            </w:r>
          </w:p>
        </w:tc>
        <w:tc>
          <w:tcPr>
            <w:tcW w:w="100" w:type="dxa"/>
            <w:vAlign w:val="bottom"/>
            <w:shd w:val="clear" w:color="auto" w:fill="D0EBF2"/>
          </w:tcPr>
          <w:p>
            <w:pPr>
              <w:spacing w:after="0"/>
              <w:rPr>
                <w:sz w:val="20"/>
                <w:szCs w:val="20"/>
                <w:color w:val="auto"/>
              </w:rPr>
            </w:pPr>
          </w:p>
        </w:tc>
        <w:tc>
          <w:tcPr>
            <w:tcW w:w="300" w:type="dxa"/>
            <w:vAlign w:val="bottom"/>
            <w:gridSpan w:val="2"/>
            <w:shd w:val="clear" w:color="auto" w:fill="D0EBF2"/>
          </w:tcPr>
          <w:p>
            <w:pPr>
              <w:jc w:val="right"/>
              <w:ind w:right="60"/>
              <w:spacing w:after="0"/>
              <w:rPr>
                <w:sz w:val="20"/>
                <w:szCs w:val="20"/>
                <w:color w:val="auto"/>
              </w:rPr>
            </w:pPr>
            <w:r>
              <w:rPr>
                <w:rFonts w:ascii="Arial" w:cs="Arial" w:eastAsia="Arial" w:hAnsi="Arial"/>
                <w:sz w:val="19"/>
                <w:szCs w:val="19"/>
                <w:color w:val="231F20"/>
              </w:rPr>
              <w:t>$</w:t>
            </w:r>
          </w:p>
        </w:tc>
        <w:tc>
          <w:tcPr>
            <w:tcW w:w="10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409,161</w:t>
            </w:r>
          </w:p>
        </w:tc>
        <w:tc>
          <w:tcPr>
            <w:tcW w:w="240" w:type="dxa"/>
            <w:vAlign w:val="bottom"/>
            <w:shd w:val="clear" w:color="auto" w:fill="D0EBF2"/>
          </w:tcPr>
          <w:p>
            <w:pPr>
              <w:spacing w:after="0"/>
              <w:rPr>
                <w:sz w:val="20"/>
                <w:szCs w:val="20"/>
                <w:color w:val="auto"/>
              </w:rPr>
            </w:pPr>
          </w:p>
        </w:tc>
        <w:tc>
          <w:tcPr>
            <w:tcW w:w="140" w:type="dxa"/>
            <w:vAlign w:val="bottom"/>
            <w:shd w:val="clear" w:color="auto" w:fill="D0EBF2"/>
          </w:tcPr>
          <w:p>
            <w:pPr>
              <w:jc w:val="center"/>
              <w:spacing w:after="0"/>
              <w:rPr>
                <w:sz w:val="20"/>
                <w:szCs w:val="20"/>
                <w:color w:val="auto"/>
              </w:rPr>
            </w:pPr>
            <w:r>
              <w:rPr>
                <w:rFonts w:ascii="Arial" w:cs="Arial" w:eastAsia="Arial" w:hAnsi="Arial"/>
                <w:sz w:val="19"/>
                <w:szCs w:val="19"/>
                <w:color w:val="231F20"/>
                <w:w w:val="94"/>
              </w:rPr>
              <w:t>$</w:t>
            </w:r>
          </w:p>
        </w:tc>
        <w:tc>
          <w:tcPr>
            <w:tcW w:w="10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289,375</w:t>
            </w:r>
          </w:p>
        </w:tc>
        <w:tc>
          <w:tcPr>
            <w:tcW w:w="100" w:type="dxa"/>
            <w:vAlign w:val="bottom"/>
            <w:shd w:val="clear" w:color="auto" w:fill="D0EBF2"/>
          </w:tcPr>
          <w:p>
            <w:pPr>
              <w:spacing w:after="0"/>
              <w:rPr>
                <w:sz w:val="20"/>
                <w:szCs w:val="20"/>
                <w:color w:val="auto"/>
              </w:rPr>
            </w:pPr>
          </w:p>
        </w:tc>
        <w:tc>
          <w:tcPr>
            <w:tcW w:w="28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w:t>
            </w:r>
          </w:p>
        </w:tc>
        <w:tc>
          <w:tcPr>
            <w:tcW w:w="10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295,325</w:t>
            </w:r>
          </w:p>
        </w:tc>
        <w:tc>
          <w:tcPr>
            <w:tcW w:w="100" w:type="dxa"/>
            <w:vAlign w:val="bottom"/>
            <w:shd w:val="clear" w:color="auto" w:fill="D0EBF2"/>
          </w:tcPr>
          <w:p>
            <w:pPr>
              <w:spacing w:after="0"/>
              <w:rPr>
                <w:sz w:val="20"/>
                <w:szCs w:val="20"/>
                <w:color w:val="auto"/>
              </w:rPr>
            </w:pPr>
          </w:p>
        </w:tc>
      </w:tr>
      <w:tr>
        <w:trPr>
          <w:trHeight w:val="230"/>
        </w:trPr>
        <w:tc>
          <w:tcPr>
            <w:tcW w:w="4480" w:type="dxa"/>
            <w:vAlign w:val="bottom"/>
            <w:shd w:val="clear" w:color="auto" w:fill="FDFDFC"/>
          </w:tcPr>
          <w:p>
            <w:pPr>
              <w:spacing w:after="0"/>
              <w:rPr>
                <w:sz w:val="20"/>
                <w:szCs w:val="20"/>
                <w:color w:val="auto"/>
              </w:rPr>
            </w:pPr>
            <w:r>
              <w:rPr>
                <w:rFonts w:ascii="Arial" w:cs="Arial" w:eastAsia="Arial" w:hAnsi="Arial"/>
                <w:sz w:val="19"/>
                <w:szCs w:val="19"/>
                <w:color w:val="231F20"/>
              </w:rPr>
              <w:t>Net loss</w:t>
            </w:r>
          </w:p>
        </w:tc>
        <w:tc>
          <w:tcPr>
            <w:tcW w:w="30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w:t>
            </w:r>
          </w:p>
        </w:tc>
        <w:tc>
          <w:tcPr>
            <w:tcW w:w="11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(8,566)</w:t>
            </w:r>
          </w:p>
        </w:tc>
        <w:tc>
          <w:tcPr>
            <w:tcW w:w="300" w:type="dxa"/>
            <w:vAlign w:val="bottom"/>
            <w:gridSpan w:val="2"/>
            <w:shd w:val="clear" w:color="auto" w:fill="FDFDFC"/>
          </w:tcPr>
          <w:p>
            <w:pPr>
              <w:jc w:val="right"/>
              <w:ind w:right="60"/>
              <w:spacing w:after="0"/>
              <w:rPr>
                <w:sz w:val="20"/>
                <w:szCs w:val="20"/>
                <w:color w:val="auto"/>
              </w:rPr>
            </w:pPr>
            <w:r>
              <w:rPr>
                <w:rFonts w:ascii="Arial" w:cs="Arial" w:eastAsia="Arial" w:hAnsi="Arial"/>
                <w:sz w:val="19"/>
                <w:szCs w:val="19"/>
                <w:color w:val="231F20"/>
              </w:rPr>
              <w:t>$</w:t>
            </w:r>
          </w:p>
        </w:tc>
        <w:tc>
          <w:tcPr>
            <w:tcW w:w="1260" w:type="dxa"/>
            <w:vAlign w:val="bottom"/>
            <w:gridSpan w:val="2"/>
            <w:shd w:val="clear" w:color="auto" w:fill="FDFDFC"/>
          </w:tcPr>
          <w:p>
            <w:pPr>
              <w:jc w:val="right"/>
              <w:ind w:right="104"/>
              <w:spacing w:after="0"/>
              <w:rPr>
                <w:sz w:val="20"/>
                <w:szCs w:val="20"/>
                <w:color w:val="auto"/>
              </w:rPr>
            </w:pPr>
            <w:r>
              <w:rPr>
                <w:rFonts w:ascii="Arial" w:cs="Arial" w:eastAsia="Arial" w:hAnsi="Arial"/>
                <w:sz w:val="19"/>
                <w:szCs w:val="19"/>
                <w:color w:val="231F20"/>
              </w:rPr>
              <w:t>(10,369)</w:t>
            </w:r>
          </w:p>
        </w:tc>
        <w:tc>
          <w:tcPr>
            <w:tcW w:w="140" w:type="dxa"/>
            <w:vAlign w:val="bottom"/>
            <w:shd w:val="clear" w:color="auto" w:fill="FDFDFC"/>
          </w:tcPr>
          <w:p>
            <w:pPr>
              <w:jc w:val="center"/>
              <w:spacing w:after="0"/>
              <w:rPr>
                <w:sz w:val="20"/>
                <w:szCs w:val="20"/>
                <w:color w:val="auto"/>
              </w:rPr>
            </w:pPr>
            <w:r>
              <w:rPr>
                <w:rFonts w:ascii="Arial" w:cs="Arial" w:eastAsia="Arial" w:hAnsi="Arial"/>
                <w:sz w:val="19"/>
                <w:szCs w:val="19"/>
                <w:color w:val="231F20"/>
                <w:w w:val="94"/>
              </w:rPr>
              <w:t>$</w:t>
            </w:r>
          </w:p>
        </w:tc>
        <w:tc>
          <w:tcPr>
            <w:tcW w:w="116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(39,347)</w:t>
            </w:r>
          </w:p>
        </w:tc>
        <w:tc>
          <w:tcPr>
            <w:tcW w:w="28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w:t>
            </w:r>
          </w:p>
        </w:tc>
        <w:tc>
          <w:tcPr>
            <w:tcW w:w="11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(41,824)</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Cohort Go</w:t>
      </w:r>
    </w:p>
    <w:p>
      <w:pPr>
        <w:spacing w:after="0" w:line="180" w:lineRule="exact"/>
        <w:rPr>
          <w:sz w:val="20"/>
          <w:szCs w:val="20"/>
          <w:color w:val="auto"/>
        </w:rPr>
      </w:pPr>
    </w:p>
    <w:p>
      <w:pPr>
        <w:ind w:firstLine="463"/>
        <w:spacing w:after="0" w:line="245" w:lineRule="auto"/>
        <w:rPr>
          <w:sz w:val="20"/>
          <w:szCs w:val="20"/>
          <w:color w:val="auto"/>
        </w:rPr>
      </w:pPr>
      <w:r>
        <w:rPr>
          <w:rFonts w:ascii="Arial" w:cs="Arial" w:eastAsia="Arial" w:hAnsi="Arial"/>
          <w:sz w:val="19"/>
          <w:szCs w:val="19"/>
          <w:color w:val="231F20"/>
        </w:rPr>
        <w:t>On July 13, 2022, Flywire acquired all of the issued and outstanding shares of Cohort Go, an Australian-based education payments provider that simplifies the student recruitment process by bringing together students, agents and essential student services such as health insurance into one platform. The acquisition of Cohort Go contributed to the Company's global expansion and accelerated the growth of Flywire's agent related revenue, in which Flywire partners with agents who refer students to the Company. The agent related revenue is reported as transaction revenue for Flywire, while the health insurance related revenue is reported as platform revenue. The acquisition of Cohort Go has been accounted for as a business combination.</w:t>
      </w:r>
    </w:p>
    <w:p>
      <w:pPr>
        <w:spacing w:after="0" w:line="148" w:lineRule="exact"/>
        <w:rPr>
          <w:sz w:val="20"/>
          <w:szCs w:val="20"/>
          <w:color w:val="auto"/>
        </w:rPr>
      </w:pPr>
    </w:p>
    <w:p>
      <w:pPr>
        <w:ind w:right="60" w:firstLine="463"/>
        <w:spacing w:after="0" w:line="251" w:lineRule="auto"/>
        <w:rPr>
          <w:sz w:val="20"/>
          <w:szCs w:val="20"/>
          <w:color w:val="auto"/>
        </w:rPr>
      </w:pPr>
      <w:r>
        <w:rPr>
          <w:rFonts w:ascii="Arial" w:cs="Arial" w:eastAsia="Arial" w:hAnsi="Arial"/>
          <w:sz w:val="19"/>
          <w:szCs w:val="19"/>
          <w:color w:val="231F20"/>
        </w:rPr>
        <w:t>Pursuant to the terms of the business combination agreement, the Company acquired Cohort Go for estimated total purchase consideration of $23.1 million, which consisted of $17.1 million in cash consideration, net of cash acquired, $4.3 million in shares of common stock and up to $2.2 million of contingent consideration, with an estimated fair value of $1.7 million on the acquisition date.</w:t>
      </w:r>
    </w:p>
    <w:p>
      <w:pPr>
        <w:spacing w:after="0" w:line="144" w:lineRule="exact"/>
        <w:rPr>
          <w:sz w:val="20"/>
          <w:szCs w:val="20"/>
          <w:color w:val="auto"/>
        </w:rPr>
      </w:pPr>
    </w:p>
    <w:p>
      <w:pPr>
        <w:ind w:right="20" w:firstLine="463"/>
        <w:spacing w:after="0" w:line="307" w:lineRule="auto"/>
        <w:rPr>
          <w:sz w:val="20"/>
          <w:szCs w:val="20"/>
          <w:color w:val="auto"/>
        </w:rPr>
      </w:pPr>
      <w:r>
        <w:rPr>
          <w:rFonts w:ascii="Arial" w:cs="Arial" w:eastAsia="Arial" w:hAnsi="Arial"/>
          <w:sz w:val="18"/>
          <w:szCs w:val="18"/>
          <w:color w:val="231F20"/>
        </w:rPr>
        <w:t>Contingent consideration, which totaled up to $1.7 million represented additional payments that Flywire was required to make, in the form of cash or shares of common stock at the Company's option, which were dependent upon Cohort</w:t>
      </w:r>
    </w:p>
    <w:p>
      <w:pPr>
        <w:sectPr>
          <w:pgSz w:w="12240" w:h="15840" w:orient="portrait"/>
          <w:cols w:equalWidth="0" w:num="1">
            <w:col w:w="10200"/>
          </w:cols>
          <w:pgMar w:left="1020" w:top="1440" w:right="1020" w:bottom="572"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136</w:t>
      </w:r>
    </w:p>
    <w:p>
      <w:pPr>
        <w:sectPr>
          <w:pgSz w:w="12240" w:h="15840" w:orient="portrait"/>
          <w:cols w:equalWidth="0" w:num="1">
            <w:col w:w="10200"/>
          </w:cols>
          <w:pgMar w:left="1020" w:top="1440" w:right="1020" w:bottom="572" w:gutter="0" w:footer="0" w:header="0"/>
          <w:type w:val="continuous"/>
        </w:sectPr>
      </w:pPr>
    </w:p>
    <w:bookmarkStart w:id="137" w:name="page138"/>
    <w:bookmarkEnd w:id="137"/>
    <w:p>
      <w:pPr>
        <w:spacing w:after="0" w:line="97"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231F20"/>
        </w:rPr>
        <w:t>Go's achievement of specific post-acquisition milestones and were subject to exchange rate fluctuation adjustment between the U.S. Dollar and Australian Dollar. During the years ended December 31, 2023 and 2022, the Company made a payment of contingent consideration of $1.7 million and $0.5 million, respectively, in the form of cash, based on Cohort Go's successful and timely achievement of the contracted milestones. No additional contingent consideration is due or payable with respect to the Cohort Go acquisition.</w:t>
      </w:r>
    </w:p>
    <w:p>
      <w:pPr>
        <w:spacing w:after="0" w:line="146" w:lineRule="exact"/>
        <w:rPr>
          <w:sz w:val="20"/>
          <w:szCs w:val="20"/>
          <w:color w:val="auto"/>
        </w:rPr>
      </w:pPr>
    </w:p>
    <w:p>
      <w:pPr>
        <w:ind w:right="280" w:firstLine="463"/>
        <w:spacing w:after="0" w:line="307" w:lineRule="auto"/>
        <w:rPr>
          <w:sz w:val="20"/>
          <w:szCs w:val="20"/>
          <w:color w:val="auto"/>
        </w:rPr>
      </w:pPr>
      <w:r>
        <w:rPr>
          <w:rFonts w:ascii="Arial" w:cs="Arial" w:eastAsia="Arial" w:hAnsi="Arial"/>
          <w:sz w:val="18"/>
          <w:szCs w:val="18"/>
          <w:color w:val="231F20"/>
        </w:rPr>
        <w:t>During the year ended December 31, 2022, the Company incurred $0.6 million in transaction costs, which are included in general and administrative expenses in the consolidated statements of operations and comprehensive loss.</w:t>
      </w:r>
    </w:p>
    <w:p>
      <w:pPr>
        <w:spacing w:after="0" w:line="94" w:lineRule="exact"/>
        <w:rPr>
          <w:sz w:val="20"/>
          <w:szCs w:val="20"/>
          <w:color w:val="auto"/>
        </w:rPr>
      </w:pPr>
    </w:p>
    <w:p>
      <w:pPr>
        <w:ind w:firstLine="463"/>
        <w:spacing w:after="0" w:line="245" w:lineRule="auto"/>
        <w:rPr>
          <w:sz w:val="20"/>
          <w:szCs w:val="20"/>
          <w:color w:val="auto"/>
        </w:rPr>
      </w:pPr>
      <w:r>
        <w:rPr>
          <w:rFonts w:ascii="Arial" w:cs="Arial" w:eastAsia="Arial" w:hAnsi="Arial"/>
          <w:sz w:val="19"/>
          <w:szCs w:val="19"/>
          <w:color w:val="231F20"/>
        </w:rPr>
        <w:t>The results of Cohort Go have been included in the consolidated financial statements since the date of the acquisition. Cohort Go contributed $14.5 million in transaction revenue and $9.3 million in platform revenue during the year ended December 31, 2024, $16.6 million in transaction revenue and $10.4 million in platform revenue during the year ended December 31, 2023 and $6.4 million in transaction revenue and $3.3 million in platform revenue during the year ended December 31, 2022. The Company has not disclosed net income or loss since the acquisition date as the business was fully integrated into the consolidated Company’s operations and therefore it was impracticable to determine this amount.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Unaudited Pro Forma Financial Information</w:t>
      </w:r>
    </w:p>
    <w:p>
      <w:pPr>
        <w:spacing w:after="0" w:line="188" w:lineRule="exact"/>
        <w:rPr>
          <w:sz w:val="20"/>
          <w:szCs w:val="20"/>
          <w:color w:val="auto"/>
        </w:rPr>
      </w:pPr>
    </w:p>
    <w:p>
      <w:pPr>
        <w:ind w:right="60" w:firstLine="463"/>
        <w:spacing w:after="0" w:line="244" w:lineRule="auto"/>
        <w:rPr>
          <w:sz w:val="20"/>
          <w:szCs w:val="20"/>
          <w:color w:val="auto"/>
        </w:rPr>
      </w:pPr>
      <w:r>
        <w:rPr>
          <w:rFonts w:ascii="Arial" w:cs="Arial" w:eastAsia="Arial" w:hAnsi="Arial"/>
          <w:sz w:val="19"/>
          <w:szCs w:val="19"/>
          <w:color w:val="231F20"/>
        </w:rPr>
        <w:t>The following unaudited pro forma financial information shows the results of the Company’s operations for the year ended December 31, 2022 as if the acquisition had occurred on January 1, 2021.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Cohort Go. The unaudited pro forma information reflects the effects of applying the Company’s accounting policies and a pro forma adjustment to the combined historical financial information of the Company and Cohort Go, which includes incremental amortization expense associated with the estimated fair value of identified intangible assets.</w:t>
      </w:r>
    </w:p>
    <w:p>
      <w:pPr>
        <w:spacing w:after="0" w:line="164" w:lineRule="exact"/>
        <w:rPr>
          <w:sz w:val="20"/>
          <w:szCs w:val="20"/>
          <w:color w:val="auto"/>
        </w:rPr>
      </w:pPr>
    </w:p>
    <w:p>
      <w:pPr>
        <w:ind w:left="7400"/>
        <w:spacing w:after="0"/>
        <w:rPr>
          <w:sz w:val="20"/>
          <w:szCs w:val="20"/>
          <w:color w:val="auto"/>
        </w:rPr>
      </w:pPr>
      <w:r>
        <w:rPr>
          <w:rFonts w:ascii="Arial" w:cs="Arial" w:eastAsia="Arial" w:hAnsi="Arial"/>
          <w:sz w:val="15"/>
          <w:szCs w:val="15"/>
          <w:b w:val="1"/>
          <w:bCs w:val="1"/>
          <w:color w:val="231F20"/>
        </w:rPr>
        <w:t>Year Ended 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-106680</wp:posOffset>
                </wp:positionV>
                <wp:extent cx="6477000" cy="11811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18110"/>
                        </a:xfrm>
                        <a:prstGeom prst="rect">
                          <a:avLst/>
                        </a:prstGeom>
                        <a:solidFill>
                          <a:srgbClr val="FDFDFC"/>
                        </a:solidFill>
                      </wps:spPr>
                      <wps:bodyPr/>
                    </wps:wsp>
                  </a:graphicData>
                </a:graphic>
              </wp:anchor>
            </w:drawing>
          </mc:Choice>
          <mc:Fallback>
            <w:pict>
              <v:rect id="Shape 61" o:spid="_x0000_s1086" style="position:absolute;margin-left:0pt;margin-top:-8.3999pt;width:510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-106680</wp:posOffset>
                </wp:positionV>
                <wp:extent cx="4334510" cy="24257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34510" cy="242570"/>
                        </a:xfrm>
                        <a:prstGeom prst="rect">
                          <a:avLst/>
                        </a:prstGeom>
                        <a:solidFill>
                          <a:srgbClr val="FDFDFC"/>
                        </a:solidFill>
                      </wps:spPr>
                      <wps:bodyPr/>
                    </wps:wsp>
                  </a:graphicData>
                </a:graphic>
              </wp:anchor>
            </w:drawing>
          </mc:Choice>
          <mc:Fallback>
            <w:pict>
              <v:rect id="Shape 62" o:spid="_x0000_s1087" style="position:absolute;margin-left:0pt;margin-top:-8.3999pt;width:341.3pt;height:19.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4334510</wp:posOffset>
                </wp:positionH>
                <wp:positionV relativeFrom="paragraph">
                  <wp:posOffset>11430</wp:posOffset>
                </wp:positionV>
                <wp:extent cx="83820" cy="12446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20" cy="124460"/>
                        </a:xfrm>
                        <a:prstGeom prst="rect">
                          <a:avLst/>
                        </a:prstGeom>
                        <a:solidFill>
                          <a:srgbClr val="FDFDFC"/>
                        </a:solidFill>
                      </wps:spPr>
                      <wps:bodyPr/>
                    </wps:wsp>
                  </a:graphicData>
                </a:graphic>
              </wp:anchor>
            </w:drawing>
          </mc:Choice>
          <mc:Fallback>
            <w:pict>
              <v:rect id="Shape 63" o:spid="_x0000_s1088" style="position:absolute;margin-left:341.3pt;margin-top:0.9pt;width:6.6pt;height: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6416040</wp:posOffset>
                </wp:positionH>
                <wp:positionV relativeFrom="paragraph">
                  <wp:posOffset>11430</wp:posOffset>
                </wp:positionV>
                <wp:extent cx="60960" cy="24320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 cy="243205"/>
                        </a:xfrm>
                        <a:prstGeom prst="rect">
                          <a:avLst/>
                        </a:prstGeom>
                        <a:solidFill>
                          <a:srgbClr val="FDFDFC"/>
                        </a:solidFill>
                      </wps:spPr>
                      <wps:bodyPr/>
                    </wps:wsp>
                  </a:graphicData>
                </a:graphic>
              </wp:anchor>
            </w:drawing>
          </mc:Choice>
          <mc:Fallback>
            <w:pict>
              <v:rect id="Shape 64" o:spid="_x0000_s1089" style="position:absolute;margin-left:505.2pt;margin-top:0.9pt;width:4.8pt;height:1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p>
      <w:pPr>
        <w:ind w:left="7460"/>
        <w:spacing w:after="0"/>
        <w:tabs>
          <w:tab w:leader="none" w:pos="8396" w:val="left"/>
        </w:tabs>
        <w:rPr>
          <w:sz w:val="20"/>
          <w:szCs w:val="20"/>
          <w:color w:val="auto"/>
        </w:rPr>
      </w:pPr>
      <w:r>
        <w:rPr>
          <w:rFonts w:ascii="Arial" w:cs="Arial" w:eastAsia="Arial" w:hAnsi="Arial"/>
          <w:sz w:val="15"/>
          <w:szCs w:val="15"/>
          <w:b w:val="1"/>
          <w:bCs w:val="1"/>
          <w:color w:val="231F20"/>
        </w:rPr>
        <w:t>Actual</w:t>
      </w:r>
      <w:r>
        <w:rPr>
          <w:sz w:val="20"/>
          <w:szCs w:val="20"/>
          <w:color w:val="auto"/>
        </w:rPr>
        <w:tab/>
      </w:r>
      <w:r>
        <w:rPr>
          <w:sz w:val="1"/>
          <w:szCs w:val="1"/>
          <w:color w:val="auto"/>
        </w:rPr>
        <w:drawing>
          <wp:inline distT="0" distB="0" distL="0" distR="0">
            <wp:extent cx="61595" cy="1244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8">
                      <a:extLst>
                        <a:ext uri="{28A0092B-C50C-407E-A947-70E740481C1C}"/>
                      </a:extLst>
                    </a:blip>
                    <a:srcRect/>
                    <a:stretch>
                      <a:fillRect/>
                    </a:stretch>
                  </pic:blipFill>
                  <pic:spPr bwMode="auto">
                    <a:xfrm>
                      <a:off x="0" y="0"/>
                      <a:ext cx="61595" cy="124460"/>
                    </a:xfrm>
                    <a:prstGeom prst="rect">
                      <a:avLst/>
                    </a:prstGeom>
                    <a:noFill/>
                    <a:ln>
                      <a:noFill/>
                    </a:ln>
                  </pic:spPr>
                </pic:pic>
              </a:graphicData>
            </a:graphic>
          </wp:inline>
        </w:drawing>
      </w:r>
      <w:r>
        <w:rPr>
          <w:rFonts w:ascii="Arial" w:cs="Arial" w:eastAsia="Arial" w:hAnsi="Arial"/>
          <w:sz w:val="15"/>
          <w:szCs w:val="15"/>
          <w:b w:val="1"/>
          <w:bCs w:val="1"/>
          <w:color w:val="231F20"/>
        </w:rPr>
        <w:t xml:space="preserve">      Pro Forma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4418330</wp:posOffset>
                </wp:positionH>
                <wp:positionV relativeFrom="paragraph">
                  <wp:posOffset>-130175</wp:posOffset>
                </wp:positionV>
                <wp:extent cx="925830" cy="11874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5830" cy="118745"/>
                        </a:xfrm>
                        <a:prstGeom prst="rect">
                          <a:avLst/>
                        </a:prstGeom>
                        <a:solidFill>
                          <a:srgbClr val="FDFDFC"/>
                        </a:solidFill>
                      </wps:spPr>
                      <wps:bodyPr/>
                    </wps:wsp>
                  </a:graphicData>
                </a:graphic>
              </wp:anchor>
            </w:drawing>
          </mc:Choice>
          <mc:Fallback>
            <w:pict>
              <v:rect id="Shape 66" o:spid="_x0000_s1091" style="position:absolute;margin-left:347.9pt;margin-top:-10.2499pt;width:72.9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5406390</wp:posOffset>
                </wp:positionH>
                <wp:positionV relativeFrom="paragraph">
                  <wp:posOffset>-130175</wp:posOffset>
                </wp:positionV>
                <wp:extent cx="1009650" cy="11874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9650" cy="118745"/>
                        </a:xfrm>
                        <a:prstGeom prst="rect">
                          <a:avLst/>
                        </a:prstGeom>
                        <a:solidFill>
                          <a:srgbClr val="FDFDFC"/>
                        </a:solidFill>
                      </wps:spPr>
                      <wps:bodyPr/>
                    </wps:wsp>
                  </a:graphicData>
                </a:graphic>
              </wp:anchor>
            </w:drawing>
          </mc:Choice>
          <mc:Fallback>
            <w:pict>
              <v:rect id="Shape 67" o:spid="_x0000_s1092" style="position:absolute;margin-left:425.7pt;margin-top:-10.2499pt;width:79.5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6416040" cy="11811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040" cy="118110"/>
                        </a:xfrm>
                        <a:prstGeom prst="rect">
                          <a:avLst/>
                        </a:prstGeom>
                        <a:solidFill>
                          <a:srgbClr val="FDFDFC"/>
                        </a:solidFill>
                      </wps:spPr>
                      <wps:bodyPr/>
                    </wps:wsp>
                  </a:graphicData>
                </a:graphic>
              </wp:anchor>
            </w:drawing>
          </mc:Choice>
          <mc:Fallback>
            <w:pict>
              <v:rect id="Shape 68" o:spid="_x0000_s1093" style="position:absolute;margin-left:0pt;margin-top:-0.8999pt;width:505.2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4418330</wp:posOffset>
                </wp:positionH>
                <wp:positionV relativeFrom="paragraph">
                  <wp:posOffset>-132715</wp:posOffset>
                </wp:positionV>
                <wp:extent cx="199771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7710"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9pt,-10.4499pt" to="505.2pt,-10.4499pt" o:allowincell="f" strokecolor="#231F20" strokeweight="0.472pt"/>
            </w:pict>
          </mc:Fallback>
        </mc:AlternateContent>
        <mc:AlternateContent>
          <mc:Choice Requires="wps">
            <w:drawing>
              <wp:anchor simplePos="0" relativeHeight="251657728" behindDoc="1" locked="0" layoutInCell="0" allowOverlap="1">
                <wp:simplePos x="0" y="0"/>
                <wp:positionH relativeFrom="column">
                  <wp:posOffset>4418330</wp:posOffset>
                </wp:positionH>
                <wp:positionV relativeFrom="paragraph">
                  <wp:posOffset>-8255</wp:posOffset>
                </wp:positionV>
                <wp:extent cx="92583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5830"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9pt,-0.6499pt" to="420.8pt,-0.6499pt" o:allowincell="f" strokecolor="#231F20" strokeweight="0.472pt"/>
            </w:pict>
          </mc:Fallback>
        </mc:AlternateContent>
        <mc:AlternateContent>
          <mc:Choice Requires="wps">
            <w:drawing>
              <wp:anchor simplePos="0" relativeHeight="251657728" behindDoc="1" locked="0" layoutInCell="0" allowOverlap="1">
                <wp:simplePos x="0" y="0"/>
                <wp:positionH relativeFrom="column">
                  <wp:posOffset>5490210</wp:posOffset>
                </wp:positionH>
                <wp:positionV relativeFrom="paragraph">
                  <wp:posOffset>-8255</wp:posOffset>
                </wp:positionV>
                <wp:extent cx="92583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5830"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3pt,-0.6499pt" to="505.2pt,-0.6499pt" o:allowincell="f" strokecolor="#231F20" strokeweight="0.472pt"/>
            </w:pict>
          </mc:Fallback>
        </mc:AlternateContent>
      </w:r>
    </w:p>
    <w:p>
      <w:pPr>
        <w:ind w:left="8000"/>
        <w:spacing w:after="0" w:line="234" w:lineRule="auto"/>
        <w:rPr>
          <w:sz w:val="20"/>
          <w:szCs w:val="20"/>
          <w:color w:val="auto"/>
        </w:rPr>
      </w:pPr>
      <w:r>
        <w:rPr>
          <w:rFonts w:ascii="Arial" w:cs="Arial" w:eastAsia="Arial" w:hAnsi="Arial"/>
          <w:sz w:val="15"/>
          <w:szCs w:val="15"/>
          <w:b w:val="1"/>
          <w:bCs w:val="1"/>
          <w:color w:val="231F20"/>
        </w:rPr>
        <w:t>(in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60" w:type="dxa"/>
            <w:vAlign w:val="bottom"/>
            <w:shd w:val="clear" w:color="auto" w:fill="D0EBF2"/>
          </w:tcPr>
          <w:p>
            <w:pPr>
              <w:spacing w:after="0"/>
              <w:rPr>
                <w:sz w:val="20"/>
                <w:szCs w:val="20"/>
                <w:color w:val="auto"/>
              </w:rPr>
            </w:pPr>
            <w:r>
              <w:rPr>
                <w:rFonts w:ascii="Arial" w:cs="Arial" w:eastAsia="Arial" w:hAnsi="Arial"/>
                <w:sz w:val="19"/>
                <w:szCs w:val="19"/>
                <w:color w:val="231F20"/>
              </w:rPr>
              <w:t>Revenue</w:t>
            </w:r>
          </w:p>
        </w:tc>
        <w:tc>
          <w:tcPr>
            <w:tcW w:w="3540" w:type="dxa"/>
            <w:vAlign w:val="bottom"/>
            <w:shd w:val="clear" w:color="auto" w:fill="D0EBF2"/>
          </w:tcPr>
          <w:p>
            <w:pPr>
              <w:jc w:val="right"/>
              <w:ind w:right="246"/>
              <w:spacing w:after="0"/>
              <w:rPr>
                <w:sz w:val="20"/>
                <w:szCs w:val="20"/>
                <w:color w:val="auto"/>
              </w:rPr>
            </w:pPr>
            <w:r>
              <w:rPr>
                <w:rFonts w:ascii="Arial" w:cs="Arial" w:eastAsia="Arial" w:hAnsi="Arial"/>
                <w:sz w:val="19"/>
                <w:szCs w:val="19"/>
                <w:color w:val="231F20"/>
              </w:rPr>
              <w:t>$</w:t>
            </w:r>
          </w:p>
        </w:tc>
        <w:tc>
          <w:tcPr>
            <w:tcW w:w="11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rPr>
              <w:t>289,375</w:t>
            </w:r>
          </w:p>
        </w:tc>
        <w:tc>
          <w:tcPr>
            <w:tcW w:w="520" w:type="dxa"/>
            <w:vAlign w:val="bottom"/>
            <w:shd w:val="clear" w:color="auto" w:fill="D0EBF2"/>
          </w:tcPr>
          <w:p>
            <w:pPr>
              <w:jc w:val="right"/>
              <w:ind w:right="226"/>
              <w:spacing w:after="0"/>
              <w:rPr>
                <w:sz w:val="20"/>
                <w:szCs w:val="20"/>
                <w:color w:val="auto"/>
              </w:rPr>
            </w:pPr>
            <w:r>
              <w:rPr>
                <w:rFonts w:ascii="Arial" w:cs="Arial" w:eastAsia="Arial" w:hAnsi="Arial"/>
                <w:sz w:val="19"/>
                <w:szCs w:val="19"/>
                <w:color w:val="231F20"/>
              </w:rPr>
              <w:t>$</w:t>
            </w:r>
          </w:p>
        </w:tc>
        <w:tc>
          <w:tcPr>
            <w:tcW w:w="1120" w:type="dxa"/>
            <w:vAlign w:val="bottom"/>
            <w:shd w:val="clear" w:color="auto" w:fill="D0EBF2"/>
          </w:tcPr>
          <w:p>
            <w:pPr>
              <w:jc w:val="right"/>
              <w:ind w:right="6"/>
              <w:spacing w:after="0"/>
              <w:rPr>
                <w:sz w:val="20"/>
                <w:szCs w:val="20"/>
                <w:color w:val="auto"/>
              </w:rPr>
            </w:pPr>
            <w:r>
              <w:rPr>
                <w:rFonts w:ascii="Arial" w:cs="Arial" w:eastAsia="Arial" w:hAnsi="Arial"/>
                <w:sz w:val="19"/>
                <w:szCs w:val="19"/>
                <w:color w:val="231F20"/>
              </w:rPr>
              <w:t>301,892</w:t>
            </w:r>
          </w:p>
        </w:tc>
      </w:tr>
      <w:tr>
        <w:trPr>
          <w:trHeight w:val="230"/>
        </w:trPr>
        <w:tc>
          <w:tcPr>
            <w:tcW w:w="3860" w:type="dxa"/>
            <w:vAlign w:val="bottom"/>
            <w:shd w:val="clear" w:color="auto" w:fill="FDFDFC"/>
          </w:tcPr>
          <w:p>
            <w:pPr>
              <w:spacing w:after="0"/>
              <w:rPr>
                <w:sz w:val="20"/>
                <w:szCs w:val="20"/>
                <w:color w:val="auto"/>
              </w:rPr>
            </w:pPr>
            <w:r>
              <w:rPr>
                <w:rFonts w:ascii="Arial" w:cs="Arial" w:eastAsia="Arial" w:hAnsi="Arial"/>
                <w:sz w:val="19"/>
                <w:szCs w:val="19"/>
                <w:color w:val="231F20"/>
              </w:rPr>
              <w:t>Net Loss</w:t>
            </w:r>
          </w:p>
        </w:tc>
        <w:tc>
          <w:tcPr>
            <w:tcW w:w="3540" w:type="dxa"/>
            <w:vAlign w:val="bottom"/>
            <w:shd w:val="clear" w:color="auto" w:fill="FDFDFC"/>
          </w:tcPr>
          <w:p>
            <w:pPr>
              <w:jc w:val="right"/>
              <w:ind w:right="246"/>
              <w:spacing w:after="0"/>
              <w:rPr>
                <w:sz w:val="20"/>
                <w:szCs w:val="20"/>
                <w:color w:val="auto"/>
              </w:rPr>
            </w:pPr>
            <w:r>
              <w:rPr>
                <w:rFonts w:ascii="Arial" w:cs="Arial" w:eastAsia="Arial" w:hAnsi="Arial"/>
                <w:sz w:val="19"/>
                <w:szCs w:val="19"/>
                <w:color w:val="231F20"/>
              </w:rPr>
              <w:t>$</w:t>
            </w:r>
          </w:p>
        </w:tc>
        <w:tc>
          <w:tcPr>
            <w:tcW w:w="11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(39,347)</w:t>
            </w:r>
          </w:p>
        </w:tc>
        <w:tc>
          <w:tcPr>
            <w:tcW w:w="520" w:type="dxa"/>
            <w:vAlign w:val="bottom"/>
            <w:shd w:val="clear" w:color="auto" w:fill="FDFDFC"/>
          </w:tcPr>
          <w:p>
            <w:pPr>
              <w:jc w:val="right"/>
              <w:ind w:right="226"/>
              <w:spacing w:after="0"/>
              <w:rPr>
                <w:sz w:val="20"/>
                <w:szCs w:val="20"/>
                <w:color w:val="auto"/>
              </w:rPr>
            </w:pPr>
            <w:r>
              <w:rPr>
                <w:rFonts w:ascii="Arial" w:cs="Arial" w:eastAsia="Arial" w:hAnsi="Arial"/>
                <w:sz w:val="19"/>
                <w:szCs w:val="19"/>
                <w:color w:val="231F20"/>
              </w:rPr>
              <w:t>$</w:t>
            </w:r>
          </w:p>
        </w:tc>
        <w:tc>
          <w:tcPr>
            <w:tcW w:w="11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(37,798)</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Note 10. Goodwill and Acquired Intangible Assets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Goodwill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The following table summarizes the changes in the carrying amount of goodwill for the years ended December 31,</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231F20"/>
        </w:rPr>
        <w:t>2024 and 2023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4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320" w:type="dxa"/>
            <w:vAlign w:val="bottom"/>
            <w:shd w:val="clear" w:color="auto" w:fill="FDFDFC"/>
          </w:tcPr>
          <w:p>
            <w:pPr>
              <w:spacing w:after="0"/>
              <w:rPr>
                <w:sz w:val="16"/>
                <w:szCs w:val="16"/>
                <w:color w:val="auto"/>
              </w:rPr>
            </w:pPr>
          </w:p>
        </w:tc>
        <w:tc>
          <w:tcPr>
            <w:tcW w:w="2880" w:type="dxa"/>
            <w:vAlign w:val="bottom"/>
            <w:gridSpan w:val="6"/>
            <w:shd w:val="clear" w:color="auto" w:fill="FDFDFC"/>
          </w:tcPr>
          <w:p>
            <w:pPr>
              <w:ind w:left="300"/>
              <w:spacing w:after="0"/>
              <w:rPr>
                <w:sz w:val="20"/>
                <w:szCs w:val="20"/>
                <w:color w:val="auto"/>
              </w:rPr>
            </w:pPr>
            <w:r>
              <w:rPr>
                <w:rFonts w:ascii="Arial" w:cs="Arial" w:eastAsia="Arial" w:hAnsi="Arial"/>
                <w:sz w:val="15"/>
                <w:szCs w:val="15"/>
                <w:b w:val="1"/>
                <w:bCs w:val="1"/>
                <w:color w:val="231F20"/>
              </w:rPr>
              <w:t>Year Ended December 31,</w:t>
            </w:r>
          </w:p>
        </w:tc>
      </w:tr>
      <w:tr>
        <w:trPr>
          <w:trHeight w:val="176"/>
        </w:trPr>
        <w:tc>
          <w:tcPr>
            <w:tcW w:w="6840" w:type="dxa"/>
            <w:vAlign w:val="bottom"/>
            <w:tcBorders>
              <w:top w:val="single" w:sz="8" w:color="FDFDFC"/>
              <w:bottom w:val="single" w:sz="8" w:color="D0EBF2"/>
            </w:tcBorders>
            <w:shd w:val="clear" w:color="auto" w:fill="FDFDFC"/>
          </w:tcPr>
          <w:p>
            <w:pPr>
              <w:spacing w:after="0"/>
              <w:rPr>
                <w:sz w:val="15"/>
                <w:szCs w:val="15"/>
                <w:color w:val="auto"/>
              </w:rPr>
            </w:pPr>
          </w:p>
        </w:tc>
        <w:tc>
          <w:tcPr>
            <w:tcW w:w="160" w:type="dxa"/>
            <w:vAlign w:val="bottom"/>
            <w:tcBorders>
              <w:top w:val="single" w:sz="8" w:color="FDFDFC"/>
              <w:bottom w:val="single" w:sz="8" w:color="D0EBF2"/>
            </w:tcBorders>
            <w:shd w:val="clear" w:color="auto" w:fill="FDFDFC"/>
          </w:tcPr>
          <w:p>
            <w:pPr>
              <w:spacing w:after="0"/>
              <w:rPr>
                <w:sz w:val="15"/>
                <w:szCs w:val="15"/>
                <w:color w:val="auto"/>
              </w:rPr>
            </w:pPr>
          </w:p>
        </w:tc>
        <w:tc>
          <w:tcPr>
            <w:tcW w:w="320" w:type="dxa"/>
            <w:vAlign w:val="bottom"/>
            <w:tcBorders>
              <w:top w:val="single" w:sz="8" w:color="231F20"/>
              <w:bottom w:val="single" w:sz="8" w:color="231F20"/>
            </w:tcBorders>
            <w:shd w:val="clear" w:color="auto" w:fill="FDFDFC"/>
          </w:tcPr>
          <w:p>
            <w:pPr>
              <w:spacing w:after="0"/>
              <w:rPr>
                <w:sz w:val="15"/>
                <w:szCs w:val="15"/>
                <w:color w:val="auto"/>
              </w:rPr>
            </w:pPr>
          </w:p>
        </w:tc>
        <w:tc>
          <w:tcPr>
            <w:tcW w:w="1100" w:type="dxa"/>
            <w:vAlign w:val="bottom"/>
            <w:tcBorders>
              <w:top w:val="single" w:sz="8" w:color="231F20"/>
              <w:bottom w:val="single" w:sz="8" w:color="231F20"/>
            </w:tcBorders>
            <w:shd w:val="clear" w:color="auto" w:fill="FDFDFC"/>
          </w:tcPr>
          <w:p>
            <w:pPr>
              <w:jc w:val="right"/>
              <w:ind w:right="472"/>
              <w:spacing w:after="0"/>
              <w:rPr>
                <w:sz w:val="20"/>
                <w:szCs w:val="20"/>
                <w:color w:val="auto"/>
              </w:rPr>
            </w:pPr>
            <w:r>
              <w:rPr>
                <w:rFonts w:ascii="Arial" w:cs="Arial" w:eastAsia="Arial" w:hAnsi="Arial"/>
                <w:sz w:val="15"/>
                <w:szCs w:val="15"/>
                <w:b w:val="1"/>
                <w:bCs w:val="1"/>
                <w:color w:val="231F20"/>
              </w:rPr>
              <w:t>2024</w:t>
            </w:r>
          </w:p>
        </w:tc>
        <w:tc>
          <w:tcPr>
            <w:tcW w:w="100" w:type="dxa"/>
            <w:vAlign w:val="bottom"/>
            <w:tcBorders>
              <w:top w:val="single" w:sz="8" w:color="231F20"/>
              <w:bottom w:val="single" w:sz="8" w:color="D0EBF2"/>
            </w:tcBorders>
            <w:shd w:val="clear" w:color="auto" w:fill="FDFDFC"/>
          </w:tcPr>
          <w:p>
            <w:pPr>
              <w:spacing w:after="0"/>
              <w:rPr>
                <w:sz w:val="15"/>
                <w:szCs w:val="15"/>
                <w:color w:val="auto"/>
              </w:rPr>
            </w:pPr>
          </w:p>
        </w:tc>
        <w:tc>
          <w:tcPr>
            <w:tcW w:w="160" w:type="dxa"/>
            <w:vAlign w:val="bottom"/>
            <w:tcBorders>
              <w:top w:val="single" w:sz="8" w:color="231F20"/>
              <w:bottom w:val="single" w:sz="8" w:color="D0EBF2"/>
            </w:tcBorders>
            <w:shd w:val="clear" w:color="auto" w:fill="FDFDFC"/>
          </w:tcPr>
          <w:p>
            <w:pPr>
              <w:spacing w:after="0"/>
              <w:rPr>
                <w:sz w:val="15"/>
                <w:szCs w:val="15"/>
                <w:color w:val="auto"/>
              </w:rPr>
            </w:pPr>
          </w:p>
        </w:tc>
        <w:tc>
          <w:tcPr>
            <w:tcW w:w="320" w:type="dxa"/>
            <w:vAlign w:val="bottom"/>
            <w:tcBorders>
              <w:top w:val="single" w:sz="8" w:color="231F20"/>
              <w:bottom w:val="single" w:sz="8" w:color="231F20"/>
            </w:tcBorders>
            <w:shd w:val="clear" w:color="auto" w:fill="FDFDFC"/>
          </w:tcPr>
          <w:p>
            <w:pPr>
              <w:spacing w:after="0"/>
              <w:rPr>
                <w:sz w:val="15"/>
                <w:szCs w:val="15"/>
                <w:color w:val="auto"/>
              </w:rPr>
            </w:pPr>
          </w:p>
        </w:tc>
        <w:tc>
          <w:tcPr>
            <w:tcW w:w="1100" w:type="dxa"/>
            <w:vAlign w:val="bottom"/>
            <w:tcBorders>
              <w:top w:val="single" w:sz="8" w:color="231F20"/>
              <w:bottom w:val="single" w:sz="8" w:color="231F20"/>
            </w:tcBorders>
            <w:shd w:val="clear" w:color="auto" w:fill="FDFDFC"/>
          </w:tcPr>
          <w:p>
            <w:pPr>
              <w:jc w:val="right"/>
              <w:ind w:right="449"/>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top w:val="single" w:sz="8" w:color="FDFDFC"/>
              <w:bottom w:val="single" w:sz="8" w:color="D0EBF2"/>
            </w:tcBorders>
            <w:shd w:val="clear" w:color="auto" w:fill="FDFDFC"/>
          </w:tcPr>
          <w:p>
            <w:pPr>
              <w:spacing w:after="0"/>
              <w:rPr>
                <w:sz w:val="15"/>
                <w:szCs w:val="15"/>
                <w:color w:val="auto"/>
              </w:rPr>
            </w:pPr>
          </w:p>
        </w:tc>
      </w:tr>
      <w:tr>
        <w:trPr>
          <w:trHeight w:val="220"/>
        </w:trPr>
        <w:tc>
          <w:tcPr>
            <w:tcW w:w="6840" w:type="dxa"/>
            <w:vAlign w:val="bottom"/>
            <w:shd w:val="clear" w:color="auto" w:fill="D0EBF2"/>
          </w:tcPr>
          <w:p>
            <w:pPr>
              <w:spacing w:after="0"/>
              <w:rPr>
                <w:sz w:val="20"/>
                <w:szCs w:val="20"/>
                <w:color w:val="auto"/>
              </w:rPr>
            </w:pPr>
            <w:r>
              <w:rPr>
                <w:rFonts w:ascii="Arial" w:cs="Arial" w:eastAsia="Arial" w:hAnsi="Arial"/>
                <w:sz w:val="19"/>
                <w:szCs w:val="19"/>
                <w:color w:val="231F20"/>
              </w:rPr>
              <w:t>Beginning balance</w:t>
            </w:r>
          </w:p>
        </w:tc>
        <w:tc>
          <w:tcPr>
            <w:tcW w:w="160" w:type="dxa"/>
            <w:vAlign w:val="bottom"/>
            <w:shd w:val="clear" w:color="auto" w:fill="D0EBF2"/>
          </w:tcPr>
          <w:p>
            <w:pPr>
              <w:spacing w:after="0"/>
              <w:rPr>
                <w:sz w:val="19"/>
                <w:szCs w:val="19"/>
                <w:color w:val="auto"/>
              </w:rPr>
            </w:pPr>
          </w:p>
        </w:tc>
        <w:tc>
          <w:tcPr>
            <w:tcW w:w="320" w:type="dxa"/>
            <w:vAlign w:val="bottom"/>
            <w:shd w:val="clear" w:color="auto" w:fill="D0EBF2"/>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121,646</w:t>
            </w:r>
          </w:p>
        </w:tc>
        <w:tc>
          <w:tcPr>
            <w:tcW w:w="100" w:type="dxa"/>
            <w:vAlign w:val="bottom"/>
            <w:shd w:val="clear" w:color="auto" w:fill="D0EBF2"/>
          </w:tcPr>
          <w:p>
            <w:pPr>
              <w:spacing w:after="0"/>
              <w:rPr>
                <w:sz w:val="19"/>
                <w:szCs w:val="19"/>
                <w:color w:val="auto"/>
              </w:rPr>
            </w:pPr>
          </w:p>
        </w:tc>
        <w:tc>
          <w:tcPr>
            <w:tcW w:w="160" w:type="dxa"/>
            <w:vAlign w:val="bottom"/>
            <w:shd w:val="clear" w:color="auto" w:fill="D0EBF2"/>
          </w:tcPr>
          <w:p>
            <w:pPr>
              <w:spacing w:after="0"/>
              <w:rPr>
                <w:sz w:val="19"/>
                <w:szCs w:val="19"/>
                <w:color w:val="auto"/>
              </w:rPr>
            </w:pPr>
          </w:p>
        </w:tc>
        <w:tc>
          <w:tcPr>
            <w:tcW w:w="320" w:type="dxa"/>
            <w:vAlign w:val="bottom"/>
            <w:shd w:val="clear" w:color="auto" w:fill="D0EBF2"/>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97,766</w:t>
            </w:r>
          </w:p>
        </w:tc>
        <w:tc>
          <w:tcPr>
            <w:tcW w:w="100" w:type="dxa"/>
            <w:vAlign w:val="bottom"/>
            <w:shd w:val="clear" w:color="auto" w:fill="D0EBF2"/>
          </w:tcPr>
          <w:p>
            <w:pPr>
              <w:spacing w:after="0"/>
              <w:rPr>
                <w:sz w:val="19"/>
                <w:szCs w:val="19"/>
                <w:color w:val="auto"/>
              </w:rPr>
            </w:pPr>
          </w:p>
        </w:tc>
      </w:tr>
      <w:tr>
        <w:trPr>
          <w:trHeight w:val="230"/>
        </w:trPr>
        <w:tc>
          <w:tcPr>
            <w:tcW w:w="6840" w:type="dxa"/>
            <w:vAlign w:val="bottom"/>
            <w:shd w:val="clear" w:color="auto" w:fill="FDFDFC"/>
          </w:tcPr>
          <w:p>
            <w:pPr>
              <w:spacing w:after="0"/>
              <w:rPr>
                <w:sz w:val="20"/>
                <w:szCs w:val="20"/>
                <w:color w:val="auto"/>
              </w:rPr>
            </w:pPr>
            <w:r>
              <w:rPr>
                <w:rFonts w:ascii="Arial" w:cs="Arial" w:eastAsia="Arial" w:hAnsi="Arial"/>
                <w:sz w:val="19"/>
                <w:szCs w:val="19"/>
                <w:color w:val="231F20"/>
              </w:rPr>
              <w:t>Goodwill related to acquisitions</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31,818</w:t>
            </w: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20,705</w:t>
            </w:r>
          </w:p>
        </w:tc>
        <w:tc>
          <w:tcPr>
            <w:tcW w:w="100" w:type="dxa"/>
            <w:vAlign w:val="bottom"/>
            <w:shd w:val="clear" w:color="auto" w:fill="FDFDFC"/>
          </w:tcPr>
          <w:p>
            <w:pPr>
              <w:spacing w:after="0"/>
              <w:rPr>
                <w:sz w:val="20"/>
                <w:szCs w:val="20"/>
                <w:color w:val="auto"/>
              </w:rPr>
            </w:pPr>
          </w:p>
        </w:tc>
      </w:tr>
      <w:tr>
        <w:trPr>
          <w:trHeight w:val="230"/>
        </w:trPr>
        <w:tc>
          <w:tcPr>
            <w:tcW w:w="6840" w:type="dxa"/>
            <w:vAlign w:val="bottom"/>
            <w:shd w:val="clear" w:color="auto" w:fill="D0EBF2"/>
          </w:tcPr>
          <w:p>
            <w:pPr>
              <w:spacing w:after="0"/>
              <w:rPr>
                <w:sz w:val="20"/>
                <w:szCs w:val="20"/>
                <w:color w:val="auto"/>
              </w:rPr>
            </w:pPr>
            <w:r>
              <w:rPr>
                <w:rFonts w:ascii="Arial" w:cs="Arial" w:eastAsia="Arial" w:hAnsi="Arial"/>
                <w:sz w:val="19"/>
                <w:szCs w:val="19"/>
                <w:color w:val="231F20"/>
              </w:rPr>
              <w:t>Foreign currency translation adjustment</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20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(3,906)</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3,175</w:t>
            </w:r>
          </w:p>
        </w:tc>
        <w:tc>
          <w:tcPr>
            <w:tcW w:w="100" w:type="dxa"/>
            <w:vAlign w:val="bottom"/>
            <w:shd w:val="clear" w:color="auto" w:fill="D0EBF2"/>
          </w:tcPr>
          <w:p>
            <w:pPr>
              <w:spacing w:after="0"/>
              <w:rPr>
                <w:sz w:val="20"/>
                <w:szCs w:val="20"/>
                <w:color w:val="auto"/>
              </w:rPr>
            </w:pPr>
          </w:p>
        </w:tc>
      </w:tr>
      <w:tr>
        <w:trPr>
          <w:trHeight w:val="220"/>
        </w:trPr>
        <w:tc>
          <w:tcPr>
            <w:tcW w:w="6840" w:type="dxa"/>
            <w:vAlign w:val="bottom"/>
            <w:tcBorders>
              <w:top w:val="single" w:sz="8" w:color="FDFDFC"/>
            </w:tcBorders>
            <w:shd w:val="clear" w:color="auto" w:fill="FDFDFC"/>
          </w:tcPr>
          <w:p>
            <w:pPr>
              <w:spacing w:after="0"/>
              <w:rPr>
                <w:sz w:val="20"/>
                <w:szCs w:val="20"/>
                <w:color w:val="auto"/>
              </w:rPr>
            </w:pPr>
            <w:r>
              <w:rPr>
                <w:rFonts w:ascii="Arial" w:cs="Arial" w:eastAsia="Arial" w:hAnsi="Arial"/>
                <w:sz w:val="19"/>
                <w:szCs w:val="19"/>
                <w:color w:val="231F20"/>
              </w:rPr>
              <w:t>Ending balance</w:t>
            </w:r>
          </w:p>
        </w:tc>
        <w:tc>
          <w:tcPr>
            <w:tcW w:w="160" w:type="dxa"/>
            <w:vAlign w:val="bottom"/>
            <w:tcBorders>
              <w:top w:val="single" w:sz="8" w:color="FDFDFC"/>
            </w:tcBorders>
            <w:shd w:val="clear" w:color="auto" w:fill="FDFDFC"/>
          </w:tcPr>
          <w:p>
            <w:pPr>
              <w:spacing w:after="0"/>
              <w:rPr>
                <w:sz w:val="19"/>
                <w:szCs w:val="19"/>
                <w:color w:val="auto"/>
              </w:rPr>
            </w:pPr>
          </w:p>
        </w:tc>
        <w:tc>
          <w:tcPr>
            <w:tcW w:w="320" w:type="dxa"/>
            <w:vAlign w:val="bottom"/>
            <w:tcBorders>
              <w:top w:val="single" w:sz="8" w:color="231F20"/>
              <w:bottom w:val="single" w:sz="8" w:color="231F20"/>
            </w:tcBorders>
            <w:shd w:val="clear" w:color="auto" w:fill="FDFDFC"/>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149,558</w:t>
            </w:r>
          </w:p>
        </w:tc>
        <w:tc>
          <w:tcPr>
            <w:tcW w:w="100" w:type="dxa"/>
            <w:vAlign w:val="bottom"/>
            <w:tcBorders>
              <w:top w:val="single" w:sz="8" w:color="FDFDFC"/>
            </w:tcBorders>
            <w:shd w:val="clear" w:color="auto" w:fill="FDFDFC"/>
          </w:tcPr>
          <w:p>
            <w:pPr>
              <w:spacing w:after="0"/>
              <w:rPr>
                <w:sz w:val="19"/>
                <w:szCs w:val="19"/>
                <w:color w:val="auto"/>
              </w:rPr>
            </w:pPr>
          </w:p>
        </w:tc>
        <w:tc>
          <w:tcPr>
            <w:tcW w:w="160" w:type="dxa"/>
            <w:vAlign w:val="bottom"/>
            <w:tcBorders>
              <w:top w:val="single" w:sz="8" w:color="FDFDFC"/>
            </w:tcBorders>
            <w:shd w:val="clear" w:color="auto" w:fill="FDFDFC"/>
          </w:tcPr>
          <w:p>
            <w:pPr>
              <w:spacing w:after="0"/>
              <w:rPr>
                <w:sz w:val="19"/>
                <w:szCs w:val="19"/>
                <w:color w:val="auto"/>
              </w:rPr>
            </w:pPr>
          </w:p>
        </w:tc>
        <w:tc>
          <w:tcPr>
            <w:tcW w:w="320" w:type="dxa"/>
            <w:vAlign w:val="bottom"/>
            <w:tcBorders>
              <w:top w:val="single" w:sz="8" w:color="231F20"/>
              <w:bottom w:val="single" w:sz="8" w:color="231F20"/>
            </w:tcBorders>
            <w:shd w:val="clear" w:color="auto" w:fill="FDFDFC"/>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121,646</w:t>
            </w:r>
          </w:p>
        </w:tc>
        <w:tc>
          <w:tcPr>
            <w:tcW w:w="100" w:type="dxa"/>
            <w:vAlign w:val="bottom"/>
            <w:tcBorders>
              <w:top w:val="single" w:sz="8" w:color="FDFDFC"/>
            </w:tcBorders>
            <w:shd w:val="clear" w:color="auto" w:fill="FDFDFC"/>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137</w:t>
      </w:r>
    </w:p>
    <w:p>
      <w:pPr>
        <w:sectPr>
          <w:pgSz w:w="12240" w:h="15840" w:orient="portrait"/>
          <w:cols w:equalWidth="0" w:num="1">
            <w:col w:w="10200"/>
          </w:cols>
          <w:pgMar w:left="1020" w:top="1440" w:right="1020" w:bottom="572" w:gutter="0" w:footer="0" w:header="0"/>
          <w:type w:val="continuous"/>
        </w:sectPr>
      </w:pPr>
    </w:p>
    <w:bookmarkStart w:id="138" w:name="page139"/>
    <w:bookmarkEnd w:id="138"/>
    <w:p>
      <w:pPr>
        <w:spacing w:after="0" w:line="101"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231F20"/>
        </w:rPr>
        <w:t>Acquired Intangible Assets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9"/>
          <w:szCs w:val="19"/>
          <w:color w:val="231F20"/>
        </w:rPr>
        <w:t>Acquired intangible assets subject to amortization consisted of the following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420" w:type="dxa"/>
            <w:vAlign w:val="bottom"/>
            <w:tcBorders>
              <w:bottom w:val="single" w:sz="8" w:color="FDFDFC"/>
            </w:tcBorders>
            <w:shd w:val="clear" w:color="auto" w:fill="FDFDFC"/>
          </w:tcPr>
          <w:p>
            <w:pPr>
              <w:spacing w:after="0"/>
              <w:rPr>
                <w:sz w:val="16"/>
                <w:szCs w:val="16"/>
                <w:color w:val="auto"/>
              </w:rPr>
            </w:pPr>
          </w:p>
        </w:tc>
        <w:tc>
          <w:tcPr>
            <w:tcW w:w="1720" w:type="dxa"/>
            <w:vAlign w:val="bottom"/>
            <w:tcBorders>
              <w:bottom w:val="single" w:sz="8" w:color="FDFDFC"/>
            </w:tcBorders>
            <w:shd w:val="clear" w:color="auto" w:fill="FDFDFC"/>
          </w:tcPr>
          <w:p>
            <w:pPr>
              <w:spacing w:after="0"/>
              <w:rPr>
                <w:sz w:val="16"/>
                <w:szCs w:val="16"/>
                <w:color w:val="auto"/>
              </w:rPr>
            </w:pPr>
          </w:p>
        </w:tc>
        <w:tc>
          <w:tcPr>
            <w:tcW w:w="120" w:type="dxa"/>
            <w:vAlign w:val="bottom"/>
            <w:tcBorders>
              <w:bottom w:val="single" w:sz="8" w:color="FDFDFC"/>
            </w:tcBorders>
            <w:shd w:val="clear" w:color="auto" w:fill="FDFDFC"/>
          </w:tcPr>
          <w:p>
            <w:pPr>
              <w:spacing w:after="0"/>
              <w:rPr>
                <w:sz w:val="16"/>
                <w:szCs w:val="16"/>
                <w:color w:val="auto"/>
              </w:rPr>
            </w:pPr>
          </w:p>
        </w:tc>
        <w:tc>
          <w:tcPr>
            <w:tcW w:w="160" w:type="dxa"/>
            <w:vAlign w:val="bottom"/>
            <w:tcBorders>
              <w:bottom w:val="single" w:sz="8" w:color="231F20"/>
            </w:tcBorders>
            <w:shd w:val="clear" w:color="auto" w:fill="FDFDFC"/>
          </w:tcPr>
          <w:p>
            <w:pPr>
              <w:spacing w:after="0"/>
              <w:rPr>
                <w:sz w:val="16"/>
                <w:szCs w:val="16"/>
                <w:color w:val="auto"/>
              </w:rPr>
            </w:pPr>
          </w:p>
        </w:tc>
        <w:tc>
          <w:tcPr>
            <w:tcW w:w="880" w:type="dxa"/>
            <w:vAlign w:val="bottom"/>
            <w:tcBorders>
              <w:bottom w:val="single" w:sz="8" w:color="231F20"/>
            </w:tcBorders>
            <w:shd w:val="clear" w:color="auto" w:fill="FDFDFC"/>
          </w:tcPr>
          <w:p>
            <w:pPr>
              <w:spacing w:after="0"/>
              <w:rPr>
                <w:sz w:val="16"/>
                <w:szCs w:val="16"/>
                <w:color w:val="auto"/>
              </w:rPr>
            </w:pPr>
          </w:p>
        </w:tc>
        <w:tc>
          <w:tcPr>
            <w:tcW w:w="1460" w:type="dxa"/>
            <w:vAlign w:val="bottom"/>
            <w:tcBorders>
              <w:bottom w:val="single" w:sz="8" w:color="231F20"/>
            </w:tcBorders>
            <w:gridSpan w:val="5"/>
            <w:shd w:val="clear" w:color="auto" w:fill="FDFDFC"/>
          </w:tcPr>
          <w:p>
            <w:pPr>
              <w:jc w:val="center"/>
              <w:spacing w:after="0"/>
              <w:rPr>
                <w:sz w:val="20"/>
                <w:szCs w:val="20"/>
                <w:color w:val="auto"/>
              </w:rPr>
            </w:pPr>
            <w:r>
              <w:rPr>
                <w:rFonts w:ascii="Arial" w:cs="Arial" w:eastAsia="Arial" w:hAnsi="Arial"/>
                <w:sz w:val="15"/>
                <w:szCs w:val="15"/>
                <w:b w:val="1"/>
                <w:bCs w:val="1"/>
                <w:color w:val="231F20"/>
              </w:rPr>
              <w:t>December 31, 2024</w:t>
            </w:r>
          </w:p>
        </w:tc>
        <w:tc>
          <w:tcPr>
            <w:tcW w:w="40" w:type="dxa"/>
            <w:vAlign w:val="bottom"/>
            <w:tcBorders>
              <w:bottom w:val="single" w:sz="8" w:color="231F20"/>
            </w:tcBorders>
            <w:shd w:val="clear" w:color="auto" w:fill="FDFDFC"/>
          </w:tcPr>
          <w:p>
            <w:pPr>
              <w:spacing w:after="0"/>
              <w:rPr>
                <w:sz w:val="16"/>
                <w:szCs w:val="16"/>
                <w:color w:val="auto"/>
              </w:rPr>
            </w:pPr>
          </w:p>
        </w:tc>
        <w:tc>
          <w:tcPr>
            <w:tcW w:w="160" w:type="dxa"/>
            <w:vAlign w:val="bottom"/>
            <w:tcBorders>
              <w:bottom w:val="single" w:sz="8" w:color="231F20"/>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c>
          <w:tcPr>
            <w:tcW w:w="200" w:type="dxa"/>
            <w:vAlign w:val="bottom"/>
            <w:tcBorders>
              <w:bottom w:val="single" w:sz="8" w:color="FDFDFC"/>
            </w:tcBorders>
            <w:shd w:val="clear" w:color="auto" w:fill="FDFDFC"/>
          </w:tcPr>
          <w:p>
            <w:pPr>
              <w:spacing w:after="0"/>
              <w:rPr>
                <w:sz w:val="16"/>
                <w:szCs w:val="16"/>
                <w:color w:val="auto"/>
              </w:rPr>
            </w:pPr>
          </w:p>
        </w:tc>
        <w:tc>
          <w:tcPr>
            <w:tcW w:w="1180" w:type="dxa"/>
            <w:vAlign w:val="bottom"/>
            <w:tcBorders>
              <w:bottom w:val="single" w:sz="8" w:color="FDFDFC"/>
            </w:tcBorders>
            <w:gridSpan w:val="2"/>
            <w:vMerge w:val="restart"/>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rPr>
              <w:t>Weighted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FDFDFC"/>
          </w:tcPr>
          <w:p>
            <w:pPr>
              <w:spacing w:after="0"/>
              <w:rPr>
                <w:sz w:val="13"/>
                <w:szCs w:val="13"/>
                <w:color w:val="auto"/>
              </w:rPr>
            </w:pPr>
          </w:p>
        </w:tc>
        <w:tc>
          <w:tcPr>
            <w:tcW w:w="17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60" w:type="dxa"/>
            <w:vAlign w:val="bottom"/>
            <w:shd w:val="clear" w:color="auto" w:fill="FDFDFC"/>
          </w:tcPr>
          <w:p>
            <w:pPr>
              <w:spacing w:after="0"/>
              <w:rPr>
                <w:sz w:val="13"/>
                <w:szCs w:val="13"/>
                <w:color w:val="auto"/>
              </w:rPr>
            </w:pPr>
          </w:p>
        </w:tc>
        <w:tc>
          <w:tcPr>
            <w:tcW w:w="880" w:type="dxa"/>
            <w:vAlign w:val="bottom"/>
            <w:shd w:val="clear" w:color="auto" w:fill="FDFDFC"/>
          </w:tcPr>
          <w:p>
            <w:pPr>
              <w:spacing w:after="0"/>
              <w:rPr>
                <w:sz w:val="13"/>
                <w:szCs w:val="13"/>
                <w:color w:val="auto"/>
              </w:rPr>
            </w:pPr>
          </w:p>
        </w:tc>
        <w:tc>
          <w:tcPr>
            <w:tcW w:w="220" w:type="dxa"/>
            <w:vAlign w:val="bottom"/>
            <w:shd w:val="clear" w:color="auto" w:fill="FDFDFC"/>
          </w:tcPr>
          <w:p>
            <w:pPr>
              <w:spacing w:after="0"/>
              <w:rPr>
                <w:sz w:val="13"/>
                <w:szCs w:val="13"/>
                <w:color w:val="auto"/>
              </w:rPr>
            </w:pPr>
          </w:p>
        </w:tc>
        <w:tc>
          <w:tcPr>
            <w:tcW w:w="260" w:type="dxa"/>
            <w:vAlign w:val="bottom"/>
            <w:shd w:val="clear" w:color="auto" w:fill="FDFDFC"/>
          </w:tcPr>
          <w:p>
            <w:pPr>
              <w:spacing w:after="0"/>
              <w:rPr>
                <w:sz w:val="13"/>
                <w:szCs w:val="13"/>
                <w:color w:val="auto"/>
              </w:rPr>
            </w:pPr>
          </w:p>
        </w:tc>
        <w:tc>
          <w:tcPr>
            <w:tcW w:w="80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40" w:type="dxa"/>
            <w:vAlign w:val="bottom"/>
            <w:shd w:val="clear" w:color="auto" w:fill="FDFDFC"/>
          </w:tcPr>
          <w:p>
            <w:pPr>
              <w:spacing w:after="0"/>
              <w:rPr>
                <w:sz w:val="13"/>
                <w:szCs w:val="13"/>
                <w:color w:val="auto"/>
              </w:rPr>
            </w:pPr>
          </w:p>
        </w:tc>
        <w:tc>
          <w:tcPr>
            <w:tcW w:w="160" w:type="dxa"/>
            <w:vAlign w:val="bottom"/>
            <w:shd w:val="clear" w:color="auto" w:fill="FDFDFC"/>
          </w:tcPr>
          <w:p>
            <w:pPr>
              <w:spacing w:after="0"/>
              <w:rPr>
                <w:sz w:val="13"/>
                <w:szCs w:val="13"/>
                <w:color w:val="auto"/>
              </w:rPr>
            </w:pPr>
          </w:p>
        </w:tc>
        <w:tc>
          <w:tcPr>
            <w:tcW w:w="860" w:type="dxa"/>
            <w:vAlign w:val="bottom"/>
            <w:shd w:val="clear" w:color="auto" w:fill="FDFDFC"/>
          </w:tcPr>
          <w:p>
            <w:pPr>
              <w:spacing w:after="0"/>
              <w:rPr>
                <w:sz w:val="13"/>
                <w:szCs w:val="13"/>
                <w:color w:val="auto"/>
              </w:rPr>
            </w:pPr>
          </w:p>
        </w:tc>
        <w:tc>
          <w:tcPr>
            <w:tcW w:w="200" w:type="dxa"/>
            <w:vAlign w:val="bottom"/>
            <w:shd w:val="clear" w:color="auto" w:fill="FDFDFC"/>
          </w:tcPr>
          <w:p>
            <w:pPr>
              <w:spacing w:after="0"/>
              <w:rPr>
                <w:sz w:val="13"/>
                <w:szCs w:val="13"/>
                <w:color w:val="auto"/>
              </w:rPr>
            </w:pPr>
          </w:p>
        </w:tc>
        <w:tc>
          <w:tcPr>
            <w:tcW w:w="1180" w:type="dxa"/>
            <w:vAlign w:val="bottom"/>
            <w:gridSpan w:val="2"/>
            <w:vMerge w:val="continue"/>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shd w:val="clear" w:color="auto" w:fill="FDFDFC"/>
          </w:tcPr>
          <w:p>
            <w:pPr>
              <w:spacing w:after="0"/>
              <w:rPr>
                <w:sz w:val="15"/>
                <w:szCs w:val="15"/>
                <w:color w:val="auto"/>
              </w:rPr>
            </w:pPr>
          </w:p>
        </w:tc>
        <w:tc>
          <w:tcPr>
            <w:tcW w:w="17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880" w:type="dxa"/>
            <w:vAlign w:val="bottom"/>
            <w:vMerge w:val="restart"/>
            <w:shd w:val="clear" w:color="auto" w:fill="FDFDFC"/>
          </w:tcPr>
          <w:p>
            <w:pPr>
              <w:jc w:val="center"/>
              <w:ind w:right="94"/>
              <w:spacing w:after="0"/>
              <w:rPr>
                <w:sz w:val="20"/>
                <w:szCs w:val="20"/>
                <w:color w:val="auto"/>
              </w:rPr>
            </w:pPr>
            <w:r>
              <w:rPr>
                <w:rFonts w:ascii="Arial" w:cs="Arial" w:eastAsia="Arial" w:hAnsi="Arial"/>
                <w:sz w:val="15"/>
                <w:szCs w:val="15"/>
                <w:b w:val="1"/>
                <w:bCs w:val="1"/>
                <w:color w:val="231F20"/>
                <w:w w:val="96"/>
              </w:rPr>
              <w:t>Gross</w:t>
            </w:r>
          </w:p>
        </w:tc>
        <w:tc>
          <w:tcPr>
            <w:tcW w:w="220" w:type="dxa"/>
            <w:vAlign w:val="bottom"/>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8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1180" w:type="dxa"/>
            <w:vAlign w:val="bottom"/>
            <w:gridSpan w:val="2"/>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shd w:val="clear" w:color="auto" w:fill="FDFDFC"/>
          </w:tcPr>
          <w:p>
            <w:pPr>
              <w:spacing w:after="0"/>
              <w:rPr>
                <w:sz w:val="15"/>
                <w:szCs w:val="15"/>
                <w:color w:val="auto"/>
              </w:rPr>
            </w:pPr>
          </w:p>
        </w:tc>
        <w:tc>
          <w:tcPr>
            <w:tcW w:w="17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880" w:type="dxa"/>
            <w:vAlign w:val="bottom"/>
            <w:vMerge w:val="continue"/>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060" w:type="dxa"/>
            <w:vAlign w:val="bottom"/>
            <w:gridSpan w:val="2"/>
            <w:vMerge w:val="restart"/>
            <w:shd w:val="clear" w:color="auto" w:fill="FDFDFC"/>
          </w:tcPr>
          <w:p>
            <w:pPr>
              <w:jc w:val="center"/>
              <w:spacing w:after="0"/>
              <w:rPr>
                <w:sz w:val="20"/>
                <w:szCs w:val="20"/>
                <w:color w:val="auto"/>
              </w:rPr>
            </w:pPr>
            <w:r>
              <w:rPr>
                <w:rFonts w:ascii="Arial" w:cs="Arial" w:eastAsia="Arial" w:hAnsi="Arial"/>
                <w:sz w:val="15"/>
                <w:szCs w:val="15"/>
                <w:b w:val="1"/>
                <w:bCs w:val="1"/>
                <w:color w:val="231F20"/>
              </w:rPr>
              <w:t>Accumulated</w:t>
            </w:r>
          </w:p>
        </w:tc>
        <w:tc>
          <w:tcPr>
            <w:tcW w:w="1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1020" w:type="dxa"/>
            <w:vAlign w:val="bottom"/>
            <w:gridSpan w:val="2"/>
            <w:vMerge w:val="restart"/>
            <w:shd w:val="clear" w:color="auto" w:fill="FDFDFC"/>
          </w:tcPr>
          <w:p>
            <w:pPr>
              <w:jc w:val="right"/>
              <w:spacing w:after="0"/>
              <w:rPr>
                <w:sz w:val="20"/>
                <w:szCs w:val="20"/>
                <w:color w:val="auto"/>
              </w:rPr>
            </w:pPr>
            <w:r>
              <w:rPr>
                <w:rFonts w:ascii="Arial" w:cs="Arial" w:eastAsia="Arial" w:hAnsi="Arial"/>
                <w:sz w:val="15"/>
                <w:szCs w:val="15"/>
                <w:b w:val="1"/>
                <w:bCs w:val="1"/>
                <w:color w:val="231F20"/>
              </w:rPr>
              <w:t>Net Carrying</w:t>
            </w:r>
          </w:p>
        </w:tc>
        <w:tc>
          <w:tcPr>
            <w:tcW w:w="200" w:type="dxa"/>
            <w:vAlign w:val="bottom"/>
            <w:shd w:val="clear" w:color="auto" w:fill="FDFDFC"/>
          </w:tcPr>
          <w:p>
            <w:pPr>
              <w:spacing w:after="0"/>
              <w:rPr>
                <w:sz w:val="15"/>
                <w:szCs w:val="15"/>
                <w:color w:val="auto"/>
              </w:rPr>
            </w:pPr>
          </w:p>
        </w:tc>
        <w:tc>
          <w:tcPr>
            <w:tcW w:w="1180" w:type="dxa"/>
            <w:vAlign w:val="bottom"/>
            <w:gridSpan w:val="2"/>
            <w:shd w:val="clear" w:color="auto" w:fill="FDFDFC"/>
          </w:tcPr>
          <w:p>
            <w:pPr>
              <w:jc w:val="center"/>
              <w:ind w:right="120"/>
              <w:spacing w:after="0"/>
              <w:rPr>
                <w:sz w:val="20"/>
                <w:szCs w:val="20"/>
                <w:color w:val="auto"/>
              </w:rPr>
            </w:pPr>
            <w:r>
              <w:rPr>
                <w:rFonts w:ascii="Arial" w:cs="Arial" w:eastAsia="Arial" w:hAnsi="Arial"/>
                <w:sz w:val="15"/>
                <w:szCs w:val="15"/>
                <w:b w:val="1"/>
                <w:bCs w:val="1"/>
                <w:color w:val="231F20"/>
              </w:rPr>
              <w:t>Remaining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shd w:val="clear" w:color="auto" w:fill="FDFDFC"/>
          </w:tcPr>
          <w:p>
            <w:pPr>
              <w:spacing w:after="0"/>
              <w:rPr>
                <w:sz w:val="15"/>
                <w:szCs w:val="15"/>
                <w:color w:val="auto"/>
              </w:rPr>
            </w:pPr>
          </w:p>
        </w:tc>
        <w:tc>
          <w:tcPr>
            <w:tcW w:w="17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880" w:type="dxa"/>
            <w:vAlign w:val="bottom"/>
            <w:shd w:val="clear" w:color="auto" w:fill="FDFDFC"/>
          </w:tcPr>
          <w:p>
            <w:pPr>
              <w:jc w:val="center"/>
              <w:ind w:right="94"/>
              <w:spacing w:after="0"/>
              <w:rPr>
                <w:sz w:val="20"/>
                <w:szCs w:val="20"/>
                <w:color w:val="auto"/>
              </w:rPr>
            </w:pPr>
            <w:r>
              <w:rPr>
                <w:rFonts w:ascii="Arial" w:cs="Arial" w:eastAsia="Arial" w:hAnsi="Arial"/>
                <w:sz w:val="15"/>
                <w:szCs w:val="15"/>
                <w:b w:val="1"/>
                <w:bCs w:val="1"/>
                <w:color w:val="231F20"/>
              </w:rPr>
              <w:t>Carrying</w:t>
            </w:r>
          </w:p>
        </w:tc>
        <w:tc>
          <w:tcPr>
            <w:tcW w:w="220" w:type="dxa"/>
            <w:vAlign w:val="bottom"/>
            <w:shd w:val="clear" w:color="auto" w:fill="FDFDFC"/>
          </w:tcPr>
          <w:p>
            <w:pPr>
              <w:spacing w:after="0"/>
              <w:rPr>
                <w:sz w:val="15"/>
                <w:szCs w:val="15"/>
                <w:color w:val="auto"/>
              </w:rPr>
            </w:pPr>
          </w:p>
        </w:tc>
        <w:tc>
          <w:tcPr>
            <w:tcW w:w="1060" w:type="dxa"/>
            <w:vAlign w:val="bottom"/>
            <w:gridSpan w:val="2"/>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1020" w:type="dxa"/>
            <w:vAlign w:val="bottom"/>
            <w:gridSpan w:val="2"/>
            <w:vMerge w:val="continue"/>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1180" w:type="dxa"/>
            <w:vAlign w:val="bottom"/>
            <w:gridSpan w:val="2"/>
            <w:shd w:val="clear" w:color="auto" w:fill="FDFDFC"/>
          </w:tcPr>
          <w:p>
            <w:pPr>
              <w:jc w:val="center"/>
              <w:ind w:right="120"/>
              <w:spacing w:after="0"/>
              <w:rPr>
                <w:sz w:val="20"/>
                <w:szCs w:val="20"/>
                <w:color w:val="auto"/>
              </w:rPr>
            </w:pPr>
            <w:r>
              <w:rPr>
                <w:rFonts w:ascii="Arial" w:cs="Arial" w:eastAsia="Arial" w:hAnsi="Arial"/>
                <w:sz w:val="15"/>
                <w:szCs w:val="15"/>
                <w:b w:val="1"/>
                <w:bCs w:val="1"/>
                <w:color w:val="231F20"/>
                <w:w w:val="97"/>
              </w:rPr>
              <w:t>Life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20" w:type="dxa"/>
            <w:vAlign w:val="bottom"/>
            <w:shd w:val="clear" w:color="auto" w:fill="FDFDFC"/>
          </w:tcPr>
          <w:p>
            <w:pPr>
              <w:spacing w:after="0"/>
              <w:rPr>
                <w:sz w:val="16"/>
                <w:szCs w:val="16"/>
                <w:color w:val="auto"/>
              </w:rPr>
            </w:pPr>
          </w:p>
        </w:tc>
        <w:tc>
          <w:tcPr>
            <w:tcW w:w="17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880" w:type="dxa"/>
            <w:vAlign w:val="bottom"/>
            <w:shd w:val="clear" w:color="auto" w:fill="FDFDFC"/>
          </w:tcPr>
          <w:p>
            <w:pPr>
              <w:jc w:val="center"/>
              <w:ind w:right="94"/>
              <w:spacing w:after="0"/>
              <w:rPr>
                <w:sz w:val="20"/>
                <w:szCs w:val="20"/>
                <w:color w:val="auto"/>
              </w:rPr>
            </w:pPr>
            <w:r>
              <w:rPr>
                <w:rFonts w:ascii="Arial" w:cs="Arial" w:eastAsia="Arial" w:hAnsi="Arial"/>
                <w:sz w:val="15"/>
                <w:szCs w:val="15"/>
                <w:b w:val="1"/>
                <w:bCs w:val="1"/>
                <w:color w:val="231F20"/>
              </w:rPr>
              <w:t>Value*</w:t>
            </w:r>
          </w:p>
        </w:tc>
        <w:tc>
          <w:tcPr>
            <w:tcW w:w="220" w:type="dxa"/>
            <w:vAlign w:val="bottom"/>
            <w:shd w:val="clear" w:color="auto" w:fill="FDFDFC"/>
          </w:tcPr>
          <w:p>
            <w:pPr>
              <w:spacing w:after="0"/>
              <w:rPr>
                <w:sz w:val="16"/>
                <w:szCs w:val="16"/>
                <w:color w:val="auto"/>
              </w:rPr>
            </w:pPr>
          </w:p>
        </w:tc>
        <w:tc>
          <w:tcPr>
            <w:tcW w:w="1060" w:type="dxa"/>
            <w:vAlign w:val="bottom"/>
            <w:gridSpan w:val="2"/>
            <w:shd w:val="clear" w:color="auto" w:fill="FDFDFC"/>
          </w:tcPr>
          <w:p>
            <w:pPr>
              <w:spacing w:after="0"/>
              <w:rPr>
                <w:sz w:val="20"/>
                <w:szCs w:val="20"/>
                <w:color w:val="auto"/>
              </w:rPr>
            </w:pPr>
            <w:r>
              <w:rPr>
                <w:rFonts w:ascii="Arial" w:cs="Arial" w:eastAsia="Arial" w:hAnsi="Arial"/>
                <w:sz w:val="15"/>
                <w:szCs w:val="15"/>
                <w:b w:val="1"/>
                <w:bCs w:val="1"/>
                <w:color w:val="231F20"/>
              </w:rPr>
              <w:t>Amortization**</w:t>
            </w:r>
          </w:p>
        </w:tc>
        <w:tc>
          <w:tcPr>
            <w:tcW w:w="1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4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860" w:type="dxa"/>
            <w:vAlign w:val="bottom"/>
            <w:shd w:val="clear" w:color="auto" w:fill="FDFDFC"/>
          </w:tcPr>
          <w:p>
            <w:pPr>
              <w:jc w:val="right"/>
              <w:ind w:right="149"/>
              <w:spacing w:after="0"/>
              <w:rPr>
                <w:sz w:val="20"/>
                <w:szCs w:val="20"/>
                <w:color w:val="auto"/>
              </w:rPr>
            </w:pPr>
            <w:r>
              <w:rPr>
                <w:rFonts w:ascii="Arial" w:cs="Arial" w:eastAsia="Arial" w:hAnsi="Arial"/>
                <w:sz w:val="15"/>
                <w:szCs w:val="15"/>
                <w:b w:val="1"/>
                <w:bCs w:val="1"/>
                <w:color w:val="231F20"/>
              </w:rPr>
              <w:t>Amount</w:t>
            </w:r>
          </w:p>
        </w:tc>
        <w:tc>
          <w:tcPr>
            <w:tcW w:w="200" w:type="dxa"/>
            <w:vAlign w:val="bottom"/>
            <w:shd w:val="clear" w:color="auto" w:fill="FDFDFC"/>
          </w:tcPr>
          <w:p>
            <w:pPr>
              <w:spacing w:after="0"/>
              <w:rPr>
                <w:sz w:val="16"/>
                <w:szCs w:val="16"/>
                <w:color w:val="auto"/>
              </w:rPr>
            </w:pPr>
          </w:p>
        </w:tc>
        <w:tc>
          <w:tcPr>
            <w:tcW w:w="1180" w:type="dxa"/>
            <w:vAlign w:val="bottom"/>
            <w:gridSpan w:val="2"/>
            <w:shd w:val="clear" w:color="auto" w:fill="FDFDFC"/>
          </w:tcPr>
          <w:p>
            <w:pPr>
              <w:jc w:val="center"/>
              <w:ind w:right="120"/>
              <w:spacing w:after="0"/>
              <w:rPr>
                <w:sz w:val="20"/>
                <w:szCs w:val="20"/>
                <w:color w:val="auto"/>
              </w:rPr>
            </w:pPr>
            <w:r>
              <w:rPr>
                <w:rFonts w:ascii="Arial" w:cs="Arial" w:eastAsia="Arial" w:hAnsi="Arial"/>
                <w:sz w:val="15"/>
                <w:szCs w:val="15"/>
                <w:b w:val="1"/>
                <w:bCs w:val="1"/>
                <w:color w:val="231F20"/>
                <w:w w:val="98"/>
              </w:rPr>
              <w:t>(Years)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tcBorders>
              <w:top w:val="single" w:sz="8" w:color="D0EBF2"/>
            </w:tcBorders>
            <w:gridSpan w:val="2"/>
            <w:shd w:val="clear" w:color="auto" w:fill="D0EBF2"/>
          </w:tcPr>
          <w:p>
            <w:pPr>
              <w:spacing w:after="0"/>
              <w:rPr>
                <w:sz w:val="20"/>
                <w:szCs w:val="20"/>
                <w:color w:val="auto"/>
              </w:rPr>
            </w:pPr>
            <w:r>
              <w:rPr>
                <w:rFonts w:ascii="Arial" w:cs="Arial" w:eastAsia="Arial" w:hAnsi="Arial"/>
                <w:sz w:val="19"/>
                <w:szCs w:val="19"/>
                <w:color w:val="231F20"/>
              </w:rPr>
              <w:t>Developed Technology</w:t>
            </w:r>
          </w:p>
        </w:tc>
        <w:tc>
          <w:tcPr>
            <w:tcW w:w="120" w:type="dxa"/>
            <w:vAlign w:val="bottom"/>
            <w:tcBorders>
              <w:top w:val="single" w:sz="8" w:color="D0EBF2"/>
            </w:tcBorders>
            <w:shd w:val="clear" w:color="auto" w:fill="D0EBF2"/>
          </w:tcPr>
          <w:p>
            <w:pPr>
              <w:spacing w:after="0"/>
              <w:rPr>
                <w:sz w:val="19"/>
                <w:szCs w:val="19"/>
                <w:color w:val="auto"/>
              </w:rPr>
            </w:pPr>
          </w:p>
        </w:tc>
        <w:tc>
          <w:tcPr>
            <w:tcW w:w="16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75"/>
                <w:shd w:val="clear" w:color="auto" w:fill="D0EBF2"/>
              </w:rPr>
              <w:t>$</w:t>
            </w:r>
          </w:p>
        </w:tc>
        <w:tc>
          <w:tcPr>
            <w:tcW w:w="88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45,546</w:t>
            </w:r>
          </w:p>
        </w:tc>
        <w:tc>
          <w:tcPr>
            <w:tcW w:w="220" w:type="dxa"/>
            <w:vAlign w:val="bottom"/>
            <w:tcBorders>
              <w:top w:val="single" w:sz="8" w:color="D0EBF2"/>
            </w:tcBorders>
            <w:shd w:val="clear" w:color="auto" w:fill="D0EBF2"/>
          </w:tcPr>
          <w:p>
            <w:pPr>
              <w:spacing w:after="0"/>
              <w:rPr>
                <w:sz w:val="19"/>
                <w:szCs w:val="19"/>
                <w:color w:val="auto"/>
              </w:rPr>
            </w:pPr>
          </w:p>
        </w:tc>
        <w:tc>
          <w:tcPr>
            <w:tcW w:w="260" w:type="dxa"/>
            <w:vAlign w:val="bottom"/>
            <w:tcBorders>
              <w:top w:val="single" w:sz="8" w:color="231F20"/>
            </w:tcBorders>
            <w:shd w:val="clear" w:color="auto" w:fill="D0EBF2"/>
          </w:tcPr>
          <w:p>
            <w:pPr>
              <w:spacing w:after="0"/>
              <w:rPr>
                <w:sz w:val="20"/>
                <w:szCs w:val="20"/>
                <w:color w:val="auto"/>
              </w:rPr>
            </w:pPr>
            <w:r>
              <w:rPr>
                <w:rFonts w:ascii="Arial" w:cs="Arial" w:eastAsia="Arial" w:hAnsi="Arial"/>
                <w:sz w:val="19"/>
                <w:szCs w:val="19"/>
                <w:color w:val="231F20"/>
                <w:shd w:val="clear" w:color="auto" w:fill="D0EBF2"/>
              </w:rPr>
              <w:t>$</w:t>
            </w:r>
          </w:p>
        </w:tc>
        <w:tc>
          <w:tcPr>
            <w:tcW w:w="80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(26,312</w:t>
            </w:r>
          </w:p>
        </w:tc>
        <w:tc>
          <w:tcPr>
            <w:tcW w:w="100" w:type="dxa"/>
            <w:vAlign w:val="bottom"/>
            <w:tcBorders>
              <w:top w:val="single" w:sz="8" w:color="D0EBF2"/>
            </w:tcBorders>
            <w:shd w:val="clear" w:color="auto" w:fill="D0EBF2"/>
          </w:tcPr>
          <w:p>
            <w:pPr>
              <w:jc w:val="right"/>
              <w:spacing w:after="0"/>
              <w:rPr>
                <w:sz w:val="20"/>
                <w:szCs w:val="20"/>
                <w:color w:val="auto"/>
              </w:rPr>
            </w:pPr>
            <w:r>
              <w:rPr>
                <w:rFonts w:ascii="Arial" w:cs="Arial" w:eastAsia="Arial" w:hAnsi="Arial"/>
                <w:sz w:val="16"/>
                <w:szCs w:val="16"/>
                <w:color w:val="231F20"/>
                <w:w w:val="74"/>
              </w:rPr>
              <w:t>)</w:t>
            </w:r>
          </w:p>
        </w:tc>
        <w:tc>
          <w:tcPr>
            <w:tcW w:w="80" w:type="dxa"/>
            <w:vAlign w:val="bottom"/>
            <w:tcBorders>
              <w:top w:val="single" w:sz="8" w:color="D0EBF2"/>
            </w:tcBorders>
            <w:shd w:val="clear" w:color="auto" w:fill="D0EBF2"/>
          </w:tcPr>
          <w:p>
            <w:pPr>
              <w:spacing w:after="0"/>
              <w:rPr>
                <w:sz w:val="19"/>
                <w:szCs w:val="19"/>
                <w:color w:val="auto"/>
              </w:rPr>
            </w:pPr>
          </w:p>
        </w:tc>
        <w:tc>
          <w:tcPr>
            <w:tcW w:w="40" w:type="dxa"/>
            <w:vAlign w:val="bottom"/>
            <w:tcBorders>
              <w:top w:val="single" w:sz="8" w:color="D0EBF2"/>
            </w:tcBorders>
            <w:shd w:val="clear" w:color="auto" w:fill="D0EBF2"/>
          </w:tcPr>
          <w:p>
            <w:pPr>
              <w:spacing w:after="0"/>
              <w:rPr>
                <w:sz w:val="19"/>
                <w:szCs w:val="19"/>
                <w:color w:val="auto"/>
              </w:rPr>
            </w:pPr>
          </w:p>
        </w:tc>
        <w:tc>
          <w:tcPr>
            <w:tcW w:w="16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75"/>
                <w:shd w:val="clear" w:color="auto" w:fill="D0EBF2"/>
              </w:rPr>
              <w:t>$</w:t>
            </w:r>
          </w:p>
        </w:tc>
        <w:tc>
          <w:tcPr>
            <w:tcW w:w="86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19,234</w:t>
            </w:r>
          </w:p>
        </w:tc>
        <w:tc>
          <w:tcPr>
            <w:tcW w:w="200" w:type="dxa"/>
            <w:vAlign w:val="bottom"/>
            <w:tcBorders>
              <w:top w:val="single" w:sz="8" w:color="D0EBF2"/>
            </w:tcBorders>
            <w:shd w:val="clear" w:color="auto" w:fill="D0EBF2"/>
          </w:tcPr>
          <w:p>
            <w:pPr>
              <w:spacing w:after="0"/>
              <w:rPr>
                <w:sz w:val="19"/>
                <w:szCs w:val="19"/>
                <w:color w:val="auto"/>
              </w:rPr>
            </w:pPr>
          </w:p>
        </w:tc>
        <w:tc>
          <w:tcPr>
            <w:tcW w:w="108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4.90</w:t>
            </w:r>
          </w:p>
        </w:tc>
        <w:tc>
          <w:tcPr>
            <w:tcW w:w="10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shd w:val="clear" w:color="auto" w:fill="FDFDFC"/>
          </w:tcPr>
          <w:p>
            <w:pPr>
              <w:spacing w:after="0"/>
              <w:rPr>
                <w:sz w:val="20"/>
                <w:szCs w:val="20"/>
                <w:color w:val="auto"/>
              </w:rPr>
            </w:pPr>
            <w:r>
              <w:rPr>
                <w:rFonts w:ascii="Arial" w:cs="Arial" w:eastAsia="Arial" w:hAnsi="Arial"/>
                <w:sz w:val="19"/>
                <w:szCs w:val="19"/>
                <w:color w:val="231F20"/>
              </w:rPr>
              <w:t>Acquired Relationships</w:t>
            </w:r>
          </w:p>
        </w:tc>
        <w:tc>
          <w:tcPr>
            <w:tcW w:w="1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120,119</w:t>
            </w:r>
          </w:p>
        </w:tc>
        <w:tc>
          <w:tcPr>
            <w:tcW w:w="22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8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(21,104)</w:t>
            </w:r>
          </w:p>
        </w:tc>
        <w:tc>
          <w:tcPr>
            <w:tcW w:w="10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4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8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99,015</w:t>
            </w:r>
          </w:p>
        </w:tc>
        <w:tc>
          <w:tcPr>
            <w:tcW w:w="20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10.12</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2"/>
            <w:shd w:val="clear" w:color="auto" w:fill="D0EBF2"/>
          </w:tcPr>
          <w:p>
            <w:pPr>
              <w:spacing w:after="0"/>
              <w:rPr>
                <w:sz w:val="20"/>
                <w:szCs w:val="20"/>
                <w:color w:val="auto"/>
              </w:rPr>
            </w:pPr>
            <w:r>
              <w:rPr>
                <w:rFonts w:ascii="Arial" w:cs="Arial" w:eastAsia="Arial" w:hAnsi="Arial"/>
                <w:sz w:val="19"/>
                <w:szCs w:val="19"/>
                <w:color w:val="231F20"/>
              </w:rPr>
              <w:t>Trade Name/Trademark</w:t>
            </w:r>
          </w:p>
        </w:tc>
        <w:tc>
          <w:tcPr>
            <w:tcW w:w="120" w:type="dxa"/>
            <w:vAlign w:val="bottom"/>
            <w:shd w:val="clear" w:color="auto" w:fill="D0EBF2"/>
          </w:tcPr>
          <w:p>
            <w:pPr>
              <w:spacing w:after="0"/>
              <w:rPr>
                <w:sz w:val="21"/>
                <w:szCs w:val="21"/>
                <w:color w:val="auto"/>
              </w:rPr>
            </w:pPr>
          </w:p>
        </w:tc>
        <w:tc>
          <w:tcPr>
            <w:tcW w:w="160" w:type="dxa"/>
            <w:vAlign w:val="bottom"/>
            <w:shd w:val="clear" w:color="auto" w:fill="D0EBF2"/>
          </w:tcPr>
          <w:p>
            <w:pPr>
              <w:spacing w:after="0"/>
              <w:rPr>
                <w:sz w:val="21"/>
                <w:szCs w:val="21"/>
                <w:color w:val="auto"/>
              </w:rPr>
            </w:pPr>
          </w:p>
        </w:tc>
        <w:tc>
          <w:tcPr>
            <w:tcW w:w="8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524</w:t>
            </w:r>
          </w:p>
        </w:tc>
        <w:tc>
          <w:tcPr>
            <w:tcW w:w="220" w:type="dxa"/>
            <w:vAlign w:val="bottom"/>
            <w:shd w:val="clear" w:color="auto" w:fill="D0EBF2"/>
          </w:tcPr>
          <w:p>
            <w:pPr>
              <w:spacing w:after="0"/>
              <w:rPr>
                <w:sz w:val="21"/>
                <w:szCs w:val="21"/>
                <w:color w:val="auto"/>
              </w:rPr>
            </w:pPr>
          </w:p>
        </w:tc>
        <w:tc>
          <w:tcPr>
            <w:tcW w:w="260" w:type="dxa"/>
            <w:vAlign w:val="bottom"/>
            <w:shd w:val="clear" w:color="auto" w:fill="D0EBF2"/>
          </w:tcPr>
          <w:p>
            <w:pPr>
              <w:spacing w:after="0"/>
              <w:rPr>
                <w:sz w:val="21"/>
                <w:szCs w:val="21"/>
                <w:color w:val="auto"/>
              </w:rPr>
            </w:pPr>
          </w:p>
        </w:tc>
        <w:tc>
          <w:tcPr>
            <w:tcW w:w="900" w:type="dxa"/>
            <w:vAlign w:val="bottom"/>
            <w:gridSpan w:val="2"/>
            <w:shd w:val="clear" w:color="auto" w:fill="D0EBF2"/>
          </w:tcPr>
          <w:p>
            <w:pPr>
              <w:jc w:val="right"/>
              <w:spacing w:after="0"/>
              <w:rPr>
                <w:sz w:val="20"/>
                <w:szCs w:val="20"/>
                <w:color w:val="auto"/>
              </w:rPr>
            </w:pPr>
            <w:r>
              <w:rPr>
                <w:rFonts w:ascii="Arial" w:cs="Arial" w:eastAsia="Arial" w:hAnsi="Arial"/>
                <w:sz w:val="19"/>
                <w:szCs w:val="19"/>
                <w:color w:val="231F20"/>
              </w:rPr>
              <w:t>(89)</w:t>
            </w:r>
          </w:p>
        </w:tc>
        <w:tc>
          <w:tcPr>
            <w:tcW w:w="80" w:type="dxa"/>
            <w:vAlign w:val="bottom"/>
            <w:shd w:val="clear" w:color="auto" w:fill="D0EBF2"/>
          </w:tcPr>
          <w:p>
            <w:pPr>
              <w:spacing w:after="0"/>
              <w:rPr>
                <w:sz w:val="21"/>
                <w:szCs w:val="21"/>
                <w:color w:val="auto"/>
              </w:rPr>
            </w:pPr>
          </w:p>
        </w:tc>
        <w:tc>
          <w:tcPr>
            <w:tcW w:w="40" w:type="dxa"/>
            <w:vAlign w:val="bottom"/>
            <w:shd w:val="clear" w:color="auto" w:fill="D0EBF2"/>
          </w:tcPr>
          <w:p>
            <w:pPr>
              <w:spacing w:after="0"/>
              <w:rPr>
                <w:sz w:val="21"/>
                <w:szCs w:val="21"/>
                <w:color w:val="auto"/>
              </w:rPr>
            </w:pPr>
          </w:p>
        </w:tc>
        <w:tc>
          <w:tcPr>
            <w:tcW w:w="160" w:type="dxa"/>
            <w:vAlign w:val="bottom"/>
            <w:shd w:val="clear" w:color="auto" w:fill="D0EBF2"/>
          </w:tcPr>
          <w:p>
            <w:pPr>
              <w:spacing w:after="0"/>
              <w:rPr>
                <w:sz w:val="21"/>
                <w:szCs w:val="21"/>
                <w:color w:val="auto"/>
              </w:rPr>
            </w:pPr>
          </w:p>
        </w:tc>
        <w:tc>
          <w:tcPr>
            <w:tcW w:w="8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435</w:t>
            </w:r>
          </w:p>
        </w:tc>
        <w:tc>
          <w:tcPr>
            <w:tcW w:w="1280" w:type="dxa"/>
            <w:vAlign w:val="bottom"/>
            <w:gridSpan w:val="2"/>
            <w:shd w:val="clear" w:color="auto" w:fill="D0EBF2"/>
          </w:tcPr>
          <w:p>
            <w:pPr>
              <w:jc w:val="right"/>
              <w:spacing w:after="0"/>
              <w:rPr>
                <w:sz w:val="20"/>
                <w:szCs w:val="20"/>
                <w:color w:val="auto"/>
              </w:rPr>
            </w:pPr>
            <w:r>
              <w:rPr>
                <w:rFonts w:ascii="Arial" w:cs="Arial" w:eastAsia="Arial" w:hAnsi="Arial"/>
                <w:sz w:val="19"/>
                <w:szCs w:val="19"/>
                <w:color w:val="231F20"/>
              </w:rPr>
              <w:t>3.30</w:t>
            </w:r>
          </w:p>
        </w:tc>
        <w:tc>
          <w:tcPr>
            <w:tcW w:w="100" w:type="dxa"/>
            <w:vAlign w:val="bottom"/>
            <w:shd w:val="clear" w:color="auto" w:fill="D0EBF2"/>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20" w:type="dxa"/>
            <w:vAlign w:val="bottom"/>
            <w:tcBorders>
              <w:top w:val="single" w:sz="8" w:color="D0EBF2"/>
            </w:tcBorders>
            <w:shd w:val="clear" w:color="auto" w:fill="FDFDFC"/>
          </w:tcPr>
          <w:p>
            <w:pPr>
              <w:spacing w:after="0"/>
              <w:rPr>
                <w:sz w:val="17"/>
                <w:szCs w:val="17"/>
                <w:color w:val="auto"/>
              </w:rPr>
            </w:pPr>
          </w:p>
        </w:tc>
        <w:tc>
          <w:tcPr>
            <w:tcW w:w="1720" w:type="dxa"/>
            <w:vAlign w:val="bottom"/>
            <w:tcBorders>
              <w:top w:val="single" w:sz="8" w:color="D0EBF2"/>
            </w:tcBorders>
            <w:shd w:val="clear" w:color="auto" w:fill="FDFDFC"/>
          </w:tcPr>
          <w:p>
            <w:pPr>
              <w:spacing w:after="0"/>
              <w:rPr>
                <w:sz w:val="17"/>
                <w:szCs w:val="17"/>
                <w:color w:val="auto"/>
              </w:rPr>
            </w:pPr>
          </w:p>
        </w:tc>
        <w:tc>
          <w:tcPr>
            <w:tcW w:w="120" w:type="dxa"/>
            <w:vAlign w:val="bottom"/>
            <w:tcBorders>
              <w:top w:val="single" w:sz="8" w:color="D0EBF2"/>
            </w:tcBorders>
            <w:shd w:val="clear" w:color="auto" w:fill="FDFDFC"/>
          </w:tcPr>
          <w:p>
            <w:pPr>
              <w:spacing w:after="0"/>
              <w:rPr>
                <w:sz w:val="17"/>
                <w:szCs w:val="17"/>
                <w:color w:val="auto"/>
              </w:rPr>
            </w:pPr>
          </w:p>
        </w:tc>
        <w:tc>
          <w:tcPr>
            <w:tcW w:w="16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highlight w:val="white"/>
                <w:w w:val="75"/>
              </w:rPr>
              <w:t>$</w:t>
            </w:r>
          </w:p>
        </w:tc>
        <w:tc>
          <w:tcPr>
            <w:tcW w:w="88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highlight w:val="white"/>
              </w:rPr>
              <w:t>166,189</w:t>
            </w:r>
          </w:p>
        </w:tc>
        <w:tc>
          <w:tcPr>
            <w:tcW w:w="220" w:type="dxa"/>
            <w:vAlign w:val="bottom"/>
            <w:tcBorders>
              <w:top w:val="single" w:sz="8" w:color="D0EBF2"/>
            </w:tcBorders>
            <w:shd w:val="clear" w:color="auto" w:fill="FDFDFC"/>
          </w:tcPr>
          <w:p>
            <w:pPr>
              <w:spacing w:after="0"/>
              <w:rPr>
                <w:sz w:val="17"/>
                <w:szCs w:val="17"/>
                <w:color w:val="auto"/>
              </w:rPr>
            </w:pPr>
          </w:p>
        </w:tc>
        <w:tc>
          <w:tcPr>
            <w:tcW w:w="260" w:type="dxa"/>
            <w:vAlign w:val="bottom"/>
            <w:tcBorders>
              <w:top w:val="single" w:sz="8" w:color="231F20"/>
              <w:bottom w:val="single" w:sz="8" w:color="231F20"/>
            </w:tcBorders>
            <w:shd w:val="clear" w:color="auto" w:fill="FDFDFC"/>
          </w:tcPr>
          <w:p>
            <w:pPr>
              <w:spacing w:after="0" w:line="200" w:lineRule="exact"/>
              <w:rPr>
                <w:sz w:val="20"/>
                <w:szCs w:val="20"/>
                <w:color w:val="auto"/>
              </w:rPr>
            </w:pPr>
            <w:r>
              <w:rPr>
                <w:rFonts w:ascii="Arial" w:cs="Arial" w:eastAsia="Arial" w:hAnsi="Arial"/>
                <w:sz w:val="19"/>
                <w:szCs w:val="19"/>
                <w:color w:val="231F20"/>
              </w:rPr>
              <w:t>$</w:t>
            </w:r>
          </w:p>
        </w:tc>
        <w:tc>
          <w:tcPr>
            <w:tcW w:w="80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rPr>
              <w:t>(47,505</w:t>
            </w:r>
          </w:p>
        </w:tc>
        <w:tc>
          <w:tcPr>
            <w:tcW w:w="100" w:type="dxa"/>
            <w:vAlign w:val="bottom"/>
            <w:tcBorders>
              <w:top w:val="single" w:sz="8" w:color="D0EBF2"/>
            </w:tcBorders>
            <w:shd w:val="clear" w:color="auto" w:fill="FDFDFC"/>
          </w:tcPr>
          <w:p>
            <w:pPr>
              <w:jc w:val="right"/>
              <w:spacing w:after="0"/>
              <w:rPr>
                <w:sz w:val="20"/>
                <w:szCs w:val="20"/>
                <w:color w:val="auto"/>
              </w:rPr>
            </w:pPr>
            <w:r>
              <w:rPr>
                <w:rFonts w:ascii="Arial" w:cs="Arial" w:eastAsia="Arial" w:hAnsi="Arial"/>
                <w:sz w:val="16"/>
                <w:szCs w:val="16"/>
                <w:color w:val="231F20"/>
                <w:w w:val="74"/>
              </w:rPr>
              <w:t>)</w:t>
            </w:r>
          </w:p>
        </w:tc>
        <w:tc>
          <w:tcPr>
            <w:tcW w:w="80" w:type="dxa"/>
            <w:vAlign w:val="bottom"/>
            <w:tcBorders>
              <w:top w:val="single" w:sz="8" w:color="D0EBF2"/>
            </w:tcBorders>
            <w:shd w:val="clear" w:color="auto" w:fill="FDFDFC"/>
          </w:tcPr>
          <w:p>
            <w:pPr>
              <w:spacing w:after="0"/>
              <w:rPr>
                <w:sz w:val="17"/>
                <w:szCs w:val="17"/>
                <w:color w:val="auto"/>
              </w:rPr>
            </w:pPr>
          </w:p>
        </w:tc>
        <w:tc>
          <w:tcPr>
            <w:tcW w:w="40" w:type="dxa"/>
            <w:vAlign w:val="bottom"/>
            <w:tcBorders>
              <w:top w:val="single" w:sz="8" w:color="D0EBF2"/>
            </w:tcBorders>
            <w:shd w:val="clear" w:color="auto" w:fill="FDFDFC"/>
          </w:tcPr>
          <w:p>
            <w:pPr>
              <w:spacing w:after="0"/>
              <w:rPr>
                <w:sz w:val="17"/>
                <w:szCs w:val="17"/>
                <w:color w:val="auto"/>
              </w:rPr>
            </w:pPr>
          </w:p>
        </w:tc>
        <w:tc>
          <w:tcPr>
            <w:tcW w:w="16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highlight w:val="white"/>
                <w:w w:val="75"/>
              </w:rPr>
              <w:t>$</w:t>
            </w:r>
          </w:p>
        </w:tc>
        <w:tc>
          <w:tcPr>
            <w:tcW w:w="86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highlight w:val="white"/>
              </w:rPr>
              <w:t>118,684</w:t>
            </w:r>
          </w:p>
        </w:tc>
        <w:tc>
          <w:tcPr>
            <w:tcW w:w="200" w:type="dxa"/>
            <w:vAlign w:val="bottom"/>
            <w:tcBorders>
              <w:top w:val="single" w:sz="8" w:color="D0EBF2"/>
            </w:tcBorders>
            <w:shd w:val="clear" w:color="auto" w:fill="FDFDFC"/>
          </w:tcPr>
          <w:p>
            <w:pPr>
              <w:spacing w:after="0"/>
              <w:rPr>
                <w:sz w:val="17"/>
                <w:szCs w:val="17"/>
                <w:color w:val="auto"/>
              </w:rPr>
            </w:pPr>
          </w:p>
        </w:tc>
        <w:tc>
          <w:tcPr>
            <w:tcW w:w="1080" w:type="dxa"/>
            <w:vAlign w:val="bottom"/>
            <w:tcBorders>
              <w:top w:val="single" w:sz="8" w:color="D0EBF2"/>
            </w:tcBorders>
            <w:shd w:val="clear" w:color="auto" w:fill="FDFDFC"/>
          </w:tcPr>
          <w:p>
            <w:pPr>
              <w:spacing w:after="0"/>
              <w:rPr>
                <w:sz w:val="17"/>
                <w:szCs w:val="17"/>
                <w:color w:val="auto"/>
              </w:rPr>
            </w:pPr>
          </w:p>
        </w:tc>
        <w:tc>
          <w:tcPr>
            <w:tcW w:w="100" w:type="dxa"/>
            <w:vAlign w:val="bottom"/>
            <w:tcBorders>
              <w:top w:val="single" w:sz="8" w:color="D0EBF2"/>
            </w:tcBorders>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Borders>
              <w:bottom w:val="single" w:sz="8" w:color="231F20"/>
            </w:tcBorders>
          </w:tcPr>
          <w:p>
            <w:pPr>
              <w:spacing w:after="0"/>
              <w:rPr>
                <w:sz w:val="9"/>
                <w:szCs w:val="9"/>
                <w:color w:val="auto"/>
              </w:rPr>
            </w:pPr>
          </w:p>
        </w:tc>
        <w:tc>
          <w:tcPr>
            <w:tcW w:w="3420" w:type="dxa"/>
            <w:vAlign w:val="bottom"/>
            <w:tcBorders>
              <w:bottom w:val="single" w:sz="8" w:color="231F20"/>
            </w:tcBorders>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20" w:hanging="91"/>
        <w:spacing w:after="0"/>
        <w:tabs>
          <w:tab w:leader="none" w:pos="220" w:val="left"/>
        </w:tabs>
        <w:numPr>
          <w:ilvl w:val="0"/>
          <w:numId w:val="58"/>
        </w:numPr>
        <w:rPr>
          <w:rFonts w:ascii="Arial" w:cs="Arial" w:eastAsia="Arial" w:hAnsi="Arial"/>
          <w:sz w:val="15"/>
          <w:szCs w:val="15"/>
          <w:color w:val="231F20"/>
        </w:rPr>
      </w:pPr>
      <w:r>
        <w:rPr>
          <w:rFonts w:ascii="Arial" w:cs="Arial" w:eastAsia="Arial" w:hAnsi="Arial"/>
          <w:sz w:val="15"/>
          <w:szCs w:val="15"/>
          <w:color w:val="231F20"/>
        </w:rPr>
        <w:t>Includes $(4,394) thousand of foreign currency translation adjustments.</w:t>
      </w:r>
    </w:p>
    <w:p>
      <w:pPr>
        <w:spacing w:after="0" w:line="21" w:lineRule="exact"/>
        <w:rPr>
          <w:rFonts w:ascii="Arial" w:cs="Arial" w:eastAsia="Arial" w:hAnsi="Arial"/>
          <w:sz w:val="15"/>
          <w:szCs w:val="15"/>
          <w:color w:val="231F20"/>
        </w:rPr>
      </w:pPr>
    </w:p>
    <w:p>
      <w:pPr>
        <w:ind w:left="280" w:hanging="151"/>
        <w:spacing w:after="0"/>
        <w:tabs>
          <w:tab w:leader="none" w:pos="280" w:val="left"/>
        </w:tabs>
        <w:numPr>
          <w:ilvl w:val="0"/>
          <w:numId w:val="59"/>
        </w:numPr>
        <w:rPr>
          <w:rFonts w:ascii="Arial" w:cs="Arial" w:eastAsia="Arial" w:hAnsi="Arial"/>
          <w:sz w:val="15"/>
          <w:szCs w:val="15"/>
          <w:color w:val="231F20"/>
        </w:rPr>
      </w:pPr>
      <w:r>
        <w:rPr>
          <w:rFonts w:ascii="Arial" w:cs="Arial" w:eastAsia="Arial" w:hAnsi="Arial"/>
          <w:sz w:val="15"/>
          <w:szCs w:val="15"/>
          <w:color w:val="231F20"/>
        </w:rPr>
        <w:t>Includes $410 thousand of foreign currency translation adjustments.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20" w:type="dxa"/>
            <w:vAlign w:val="bottom"/>
            <w:tcBorders>
              <w:bottom w:val="single" w:sz="8" w:color="FDFDFC"/>
            </w:tcBorders>
            <w:shd w:val="clear" w:color="auto" w:fill="FDFDFC"/>
          </w:tcPr>
          <w:p>
            <w:pPr>
              <w:spacing w:after="0"/>
              <w:rPr>
                <w:sz w:val="15"/>
                <w:szCs w:val="15"/>
                <w:color w:val="auto"/>
              </w:rPr>
            </w:pPr>
          </w:p>
        </w:tc>
        <w:tc>
          <w:tcPr>
            <w:tcW w:w="1720" w:type="dxa"/>
            <w:vAlign w:val="bottom"/>
            <w:tcBorders>
              <w:bottom w:val="single" w:sz="8" w:color="FDFDFC"/>
            </w:tcBorders>
            <w:shd w:val="clear" w:color="auto" w:fill="FDFDFC"/>
          </w:tcPr>
          <w:p>
            <w:pPr>
              <w:spacing w:after="0"/>
              <w:rPr>
                <w:sz w:val="15"/>
                <w:szCs w:val="15"/>
                <w:color w:val="auto"/>
              </w:rPr>
            </w:pPr>
          </w:p>
        </w:tc>
        <w:tc>
          <w:tcPr>
            <w:tcW w:w="120" w:type="dxa"/>
            <w:vAlign w:val="bottom"/>
            <w:tcBorders>
              <w:bottom w:val="single" w:sz="8" w:color="FDFDFC"/>
            </w:tcBorders>
            <w:shd w:val="clear" w:color="auto" w:fill="FDFDFC"/>
          </w:tcPr>
          <w:p>
            <w:pPr>
              <w:spacing w:after="0"/>
              <w:rPr>
                <w:sz w:val="15"/>
                <w:szCs w:val="15"/>
                <w:color w:val="auto"/>
              </w:rPr>
            </w:pPr>
          </w:p>
        </w:tc>
        <w:tc>
          <w:tcPr>
            <w:tcW w:w="160" w:type="dxa"/>
            <w:vAlign w:val="bottom"/>
            <w:tcBorders>
              <w:bottom w:val="single" w:sz="8" w:color="231F20"/>
            </w:tcBorders>
            <w:shd w:val="clear" w:color="auto" w:fill="FDFDFC"/>
          </w:tcPr>
          <w:p>
            <w:pPr>
              <w:spacing w:after="0"/>
              <w:rPr>
                <w:sz w:val="15"/>
                <w:szCs w:val="15"/>
                <w:color w:val="auto"/>
              </w:rPr>
            </w:pPr>
          </w:p>
        </w:tc>
        <w:tc>
          <w:tcPr>
            <w:tcW w:w="880" w:type="dxa"/>
            <w:vAlign w:val="bottom"/>
            <w:tcBorders>
              <w:bottom w:val="single" w:sz="8" w:color="231F20"/>
            </w:tcBorders>
            <w:shd w:val="clear" w:color="auto" w:fill="FDFDFC"/>
          </w:tcPr>
          <w:p>
            <w:pPr>
              <w:spacing w:after="0"/>
              <w:rPr>
                <w:sz w:val="15"/>
                <w:szCs w:val="15"/>
                <w:color w:val="auto"/>
              </w:rPr>
            </w:pPr>
          </w:p>
        </w:tc>
        <w:tc>
          <w:tcPr>
            <w:tcW w:w="1460" w:type="dxa"/>
            <w:vAlign w:val="bottom"/>
            <w:tcBorders>
              <w:bottom w:val="single" w:sz="8" w:color="231F20"/>
            </w:tcBorders>
            <w:gridSpan w:val="6"/>
            <w:shd w:val="clear" w:color="auto" w:fill="FDFDFC"/>
          </w:tcPr>
          <w:p>
            <w:pPr>
              <w:jc w:val="center"/>
              <w:spacing w:after="0"/>
              <w:rPr>
                <w:sz w:val="20"/>
                <w:szCs w:val="20"/>
                <w:color w:val="auto"/>
              </w:rPr>
            </w:pPr>
            <w:r>
              <w:rPr>
                <w:rFonts w:ascii="Arial" w:cs="Arial" w:eastAsia="Arial" w:hAnsi="Arial"/>
                <w:sz w:val="15"/>
                <w:szCs w:val="15"/>
                <w:b w:val="1"/>
                <w:bCs w:val="1"/>
                <w:color w:val="231F20"/>
              </w:rPr>
              <w:t>December 31, 2023</w:t>
            </w:r>
          </w:p>
        </w:tc>
        <w:tc>
          <w:tcPr>
            <w:tcW w:w="40" w:type="dxa"/>
            <w:vAlign w:val="bottom"/>
            <w:tcBorders>
              <w:bottom w:val="single" w:sz="8" w:color="231F20"/>
            </w:tcBorders>
            <w:shd w:val="clear" w:color="auto" w:fill="FDFDFC"/>
          </w:tcPr>
          <w:p>
            <w:pPr>
              <w:spacing w:after="0"/>
              <w:rPr>
                <w:sz w:val="15"/>
                <w:szCs w:val="15"/>
                <w:color w:val="auto"/>
              </w:rPr>
            </w:pPr>
          </w:p>
        </w:tc>
        <w:tc>
          <w:tcPr>
            <w:tcW w:w="160" w:type="dxa"/>
            <w:vAlign w:val="bottom"/>
            <w:tcBorders>
              <w:bottom w:val="single" w:sz="8" w:color="231F20"/>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spacing w:after="0"/>
              <w:rPr>
                <w:sz w:val="15"/>
                <w:szCs w:val="15"/>
                <w:color w:val="auto"/>
              </w:rPr>
            </w:pPr>
          </w:p>
        </w:tc>
        <w:tc>
          <w:tcPr>
            <w:tcW w:w="200" w:type="dxa"/>
            <w:vAlign w:val="bottom"/>
            <w:tcBorders>
              <w:bottom w:val="single" w:sz="8" w:color="FDFDFC"/>
            </w:tcBorders>
            <w:shd w:val="clear" w:color="auto" w:fill="FDFDFC"/>
          </w:tcPr>
          <w:p>
            <w:pPr>
              <w:spacing w:after="0"/>
              <w:rPr>
                <w:sz w:val="15"/>
                <w:szCs w:val="15"/>
                <w:color w:val="auto"/>
              </w:rPr>
            </w:pPr>
          </w:p>
        </w:tc>
        <w:tc>
          <w:tcPr>
            <w:tcW w:w="1180" w:type="dxa"/>
            <w:vAlign w:val="bottom"/>
            <w:tcBorders>
              <w:bottom w:val="single" w:sz="8" w:color="FDFDFC"/>
            </w:tcBorders>
            <w:gridSpan w:val="2"/>
            <w:vMerge w:val="restart"/>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rPr>
              <w:t>Weighted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20" w:type="dxa"/>
            <w:vAlign w:val="bottom"/>
            <w:shd w:val="clear" w:color="auto" w:fill="FDFDFC"/>
          </w:tcPr>
          <w:p>
            <w:pPr>
              <w:spacing w:after="0"/>
              <w:rPr>
                <w:sz w:val="12"/>
                <w:szCs w:val="12"/>
                <w:color w:val="auto"/>
              </w:rPr>
            </w:pPr>
          </w:p>
        </w:tc>
        <w:tc>
          <w:tcPr>
            <w:tcW w:w="172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160" w:type="dxa"/>
            <w:vAlign w:val="bottom"/>
            <w:shd w:val="clear" w:color="auto" w:fill="FDFDFC"/>
          </w:tcPr>
          <w:p>
            <w:pPr>
              <w:spacing w:after="0"/>
              <w:rPr>
                <w:sz w:val="12"/>
                <w:szCs w:val="12"/>
                <w:color w:val="auto"/>
              </w:rPr>
            </w:pPr>
          </w:p>
        </w:tc>
        <w:tc>
          <w:tcPr>
            <w:tcW w:w="88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260" w:type="dxa"/>
            <w:vAlign w:val="bottom"/>
            <w:shd w:val="clear" w:color="auto" w:fill="FDFDFC"/>
          </w:tcPr>
          <w:p>
            <w:pPr>
              <w:spacing w:after="0"/>
              <w:rPr>
                <w:sz w:val="12"/>
                <w:szCs w:val="12"/>
                <w:color w:val="auto"/>
              </w:rPr>
            </w:pPr>
          </w:p>
        </w:tc>
        <w:tc>
          <w:tcPr>
            <w:tcW w:w="78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40" w:type="dxa"/>
            <w:vAlign w:val="bottom"/>
            <w:shd w:val="clear" w:color="auto" w:fill="FDFDFC"/>
          </w:tcPr>
          <w:p>
            <w:pPr>
              <w:spacing w:after="0"/>
              <w:rPr>
                <w:sz w:val="12"/>
                <w:szCs w:val="12"/>
                <w:color w:val="auto"/>
              </w:rPr>
            </w:pPr>
          </w:p>
        </w:tc>
        <w:tc>
          <w:tcPr>
            <w:tcW w:w="160" w:type="dxa"/>
            <w:vAlign w:val="bottom"/>
            <w:shd w:val="clear" w:color="auto" w:fill="FDFDFC"/>
          </w:tcPr>
          <w:p>
            <w:pPr>
              <w:spacing w:after="0"/>
              <w:rPr>
                <w:sz w:val="12"/>
                <w:szCs w:val="12"/>
                <w:color w:val="auto"/>
              </w:rPr>
            </w:pPr>
          </w:p>
        </w:tc>
        <w:tc>
          <w:tcPr>
            <w:tcW w:w="860" w:type="dxa"/>
            <w:vAlign w:val="bottom"/>
            <w:shd w:val="clear" w:color="auto" w:fill="FDFDFC"/>
          </w:tcPr>
          <w:p>
            <w:pPr>
              <w:spacing w:after="0"/>
              <w:rPr>
                <w:sz w:val="12"/>
                <w:szCs w:val="12"/>
                <w:color w:val="auto"/>
              </w:rPr>
            </w:pPr>
          </w:p>
        </w:tc>
        <w:tc>
          <w:tcPr>
            <w:tcW w:w="200" w:type="dxa"/>
            <w:vAlign w:val="bottom"/>
            <w:shd w:val="clear" w:color="auto" w:fill="FDFDFC"/>
          </w:tcPr>
          <w:p>
            <w:pPr>
              <w:spacing w:after="0"/>
              <w:rPr>
                <w:sz w:val="12"/>
                <w:szCs w:val="12"/>
                <w:color w:val="auto"/>
              </w:rPr>
            </w:pPr>
          </w:p>
        </w:tc>
        <w:tc>
          <w:tcPr>
            <w:tcW w:w="1180" w:type="dxa"/>
            <w:vAlign w:val="bottom"/>
            <w:gridSpan w:val="2"/>
            <w:vMerge w:val="continue"/>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shd w:val="clear" w:color="auto" w:fill="FDFDFC"/>
          </w:tcPr>
          <w:p>
            <w:pPr>
              <w:spacing w:after="0"/>
              <w:rPr>
                <w:sz w:val="15"/>
                <w:szCs w:val="15"/>
                <w:color w:val="auto"/>
              </w:rPr>
            </w:pPr>
          </w:p>
        </w:tc>
        <w:tc>
          <w:tcPr>
            <w:tcW w:w="17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8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7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1180" w:type="dxa"/>
            <w:vAlign w:val="bottom"/>
            <w:gridSpan w:val="2"/>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shd w:val="clear" w:color="auto" w:fill="FDFDFC"/>
          </w:tcPr>
          <w:p>
            <w:pPr>
              <w:spacing w:after="0"/>
              <w:rPr>
                <w:sz w:val="15"/>
                <w:szCs w:val="15"/>
                <w:color w:val="auto"/>
              </w:rPr>
            </w:pPr>
          </w:p>
        </w:tc>
        <w:tc>
          <w:tcPr>
            <w:tcW w:w="17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880" w:type="dxa"/>
            <w:vAlign w:val="bottom"/>
            <w:shd w:val="clear" w:color="auto" w:fill="FDFDFC"/>
          </w:tcPr>
          <w:p>
            <w:pPr>
              <w:jc w:val="center"/>
              <w:ind w:right="74"/>
              <w:spacing w:after="0"/>
              <w:rPr>
                <w:sz w:val="20"/>
                <w:szCs w:val="20"/>
                <w:color w:val="auto"/>
              </w:rPr>
            </w:pPr>
            <w:r>
              <w:rPr>
                <w:rFonts w:ascii="Arial" w:cs="Arial" w:eastAsia="Arial" w:hAnsi="Arial"/>
                <w:sz w:val="15"/>
                <w:szCs w:val="15"/>
                <w:b w:val="1"/>
                <w:bCs w:val="1"/>
                <w:color w:val="231F20"/>
              </w:rPr>
              <w:t>Gross</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7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1180" w:type="dxa"/>
            <w:vAlign w:val="bottom"/>
            <w:gridSpan w:val="2"/>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w w:val="99"/>
              </w:rPr>
              <w:t>Remaining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shd w:val="clear" w:color="auto" w:fill="FDFDFC"/>
          </w:tcPr>
          <w:p>
            <w:pPr>
              <w:spacing w:after="0"/>
              <w:rPr>
                <w:sz w:val="15"/>
                <w:szCs w:val="15"/>
                <w:color w:val="auto"/>
              </w:rPr>
            </w:pPr>
          </w:p>
        </w:tc>
        <w:tc>
          <w:tcPr>
            <w:tcW w:w="17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880" w:type="dxa"/>
            <w:vAlign w:val="bottom"/>
            <w:shd w:val="clear" w:color="auto" w:fill="FDFDFC"/>
          </w:tcPr>
          <w:p>
            <w:pPr>
              <w:jc w:val="center"/>
              <w:ind w:right="74"/>
              <w:spacing w:after="0"/>
              <w:rPr>
                <w:sz w:val="20"/>
                <w:szCs w:val="20"/>
                <w:color w:val="auto"/>
              </w:rPr>
            </w:pPr>
            <w:r>
              <w:rPr>
                <w:rFonts w:ascii="Arial" w:cs="Arial" w:eastAsia="Arial" w:hAnsi="Arial"/>
                <w:sz w:val="15"/>
                <w:szCs w:val="15"/>
                <w:b w:val="1"/>
                <w:bCs w:val="1"/>
                <w:color w:val="231F20"/>
              </w:rPr>
              <w:t>Carrying</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40" w:type="dxa"/>
            <w:vAlign w:val="bottom"/>
            <w:gridSpan w:val="2"/>
            <w:shd w:val="clear" w:color="auto" w:fill="FDFDFC"/>
          </w:tcPr>
          <w:p>
            <w:pPr>
              <w:jc w:val="center"/>
              <w:spacing w:after="0"/>
              <w:rPr>
                <w:sz w:val="20"/>
                <w:szCs w:val="20"/>
                <w:color w:val="auto"/>
              </w:rPr>
            </w:pPr>
            <w:r>
              <w:rPr>
                <w:rFonts w:ascii="Arial" w:cs="Arial" w:eastAsia="Arial" w:hAnsi="Arial"/>
                <w:sz w:val="15"/>
                <w:szCs w:val="15"/>
                <w:b w:val="1"/>
                <w:bCs w:val="1"/>
                <w:color w:val="231F20"/>
                <w:w w:val="99"/>
              </w:rPr>
              <w:t>Accumulated</w:t>
            </w: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1020" w:type="dxa"/>
            <w:vAlign w:val="bottom"/>
            <w:gridSpan w:val="2"/>
            <w:shd w:val="clear" w:color="auto" w:fill="FDFDFC"/>
          </w:tcPr>
          <w:p>
            <w:pPr>
              <w:jc w:val="right"/>
              <w:spacing w:after="0"/>
              <w:rPr>
                <w:sz w:val="20"/>
                <w:szCs w:val="20"/>
                <w:color w:val="auto"/>
              </w:rPr>
            </w:pPr>
            <w:r>
              <w:rPr>
                <w:rFonts w:ascii="Arial" w:cs="Arial" w:eastAsia="Arial" w:hAnsi="Arial"/>
                <w:sz w:val="15"/>
                <w:szCs w:val="15"/>
                <w:b w:val="1"/>
                <w:bCs w:val="1"/>
                <w:color w:val="231F20"/>
              </w:rPr>
              <w:t>Net Carrying</w:t>
            </w:r>
          </w:p>
        </w:tc>
        <w:tc>
          <w:tcPr>
            <w:tcW w:w="200" w:type="dxa"/>
            <w:vAlign w:val="bottom"/>
            <w:shd w:val="clear" w:color="auto" w:fill="FDFDFC"/>
          </w:tcPr>
          <w:p>
            <w:pPr>
              <w:spacing w:after="0"/>
              <w:rPr>
                <w:sz w:val="15"/>
                <w:szCs w:val="15"/>
                <w:color w:val="auto"/>
              </w:rPr>
            </w:pPr>
          </w:p>
        </w:tc>
        <w:tc>
          <w:tcPr>
            <w:tcW w:w="1180" w:type="dxa"/>
            <w:vAlign w:val="bottom"/>
            <w:gridSpan w:val="2"/>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rPr>
              <w:t>Life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20" w:type="dxa"/>
            <w:vAlign w:val="bottom"/>
            <w:shd w:val="clear" w:color="auto" w:fill="FDFDFC"/>
          </w:tcPr>
          <w:p>
            <w:pPr>
              <w:spacing w:after="0"/>
              <w:rPr>
                <w:sz w:val="16"/>
                <w:szCs w:val="16"/>
                <w:color w:val="auto"/>
              </w:rPr>
            </w:pPr>
          </w:p>
        </w:tc>
        <w:tc>
          <w:tcPr>
            <w:tcW w:w="17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880" w:type="dxa"/>
            <w:vAlign w:val="bottom"/>
            <w:shd w:val="clear" w:color="auto" w:fill="FDFDFC"/>
          </w:tcPr>
          <w:p>
            <w:pPr>
              <w:jc w:val="center"/>
              <w:ind w:right="74"/>
              <w:spacing w:after="0"/>
              <w:rPr>
                <w:sz w:val="20"/>
                <w:szCs w:val="20"/>
                <w:color w:val="auto"/>
              </w:rPr>
            </w:pPr>
            <w:r>
              <w:rPr>
                <w:rFonts w:ascii="Arial" w:cs="Arial" w:eastAsia="Arial" w:hAnsi="Arial"/>
                <w:sz w:val="15"/>
                <w:szCs w:val="15"/>
                <w:b w:val="1"/>
                <w:bCs w:val="1"/>
                <w:color w:val="231F20"/>
              </w:rPr>
              <w:t>Value*</w:t>
            </w:r>
          </w:p>
        </w:tc>
        <w:tc>
          <w:tcPr>
            <w:tcW w:w="10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40" w:type="dxa"/>
            <w:vAlign w:val="bottom"/>
            <w:gridSpan w:val="2"/>
            <w:shd w:val="clear" w:color="auto" w:fill="FDFDFC"/>
          </w:tcPr>
          <w:p>
            <w:pPr>
              <w:spacing w:after="0"/>
              <w:rPr>
                <w:sz w:val="20"/>
                <w:szCs w:val="20"/>
                <w:color w:val="auto"/>
              </w:rPr>
            </w:pPr>
            <w:r>
              <w:rPr>
                <w:rFonts w:ascii="Arial" w:cs="Arial" w:eastAsia="Arial" w:hAnsi="Arial"/>
                <w:sz w:val="15"/>
                <w:szCs w:val="15"/>
                <w:b w:val="1"/>
                <w:bCs w:val="1"/>
                <w:color w:val="231F20"/>
                <w:w w:val="98"/>
              </w:rPr>
              <w:t>Amortization**</w:t>
            </w: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4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860" w:type="dxa"/>
            <w:vAlign w:val="bottom"/>
            <w:shd w:val="clear" w:color="auto" w:fill="FDFDFC"/>
          </w:tcPr>
          <w:p>
            <w:pPr>
              <w:jc w:val="right"/>
              <w:ind w:right="149"/>
              <w:spacing w:after="0"/>
              <w:rPr>
                <w:sz w:val="20"/>
                <w:szCs w:val="20"/>
                <w:color w:val="auto"/>
              </w:rPr>
            </w:pPr>
            <w:r>
              <w:rPr>
                <w:rFonts w:ascii="Arial" w:cs="Arial" w:eastAsia="Arial" w:hAnsi="Arial"/>
                <w:sz w:val="15"/>
                <w:szCs w:val="15"/>
                <w:b w:val="1"/>
                <w:bCs w:val="1"/>
                <w:color w:val="231F20"/>
              </w:rPr>
              <w:t>Amount</w:t>
            </w:r>
          </w:p>
        </w:tc>
        <w:tc>
          <w:tcPr>
            <w:tcW w:w="200" w:type="dxa"/>
            <w:vAlign w:val="bottom"/>
            <w:shd w:val="clear" w:color="auto" w:fill="FDFDFC"/>
          </w:tcPr>
          <w:p>
            <w:pPr>
              <w:spacing w:after="0"/>
              <w:rPr>
                <w:sz w:val="16"/>
                <w:szCs w:val="16"/>
                <w:color w:val="auto"/>
              </w:rPr>
            </w:pPr>
          </w:p>
        </w:tc>
        <w:tc>
          <w:tcPr>
            <w:tcW w:w="1180" w:type="dxa"/>
            <w:vAlign w:val="bottom"/>
            <w:gridSpan w:val="2"/>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rPr>
              <w:t>(Years)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40" w:type="dxa"/>
            <w:vAlign w:val="bottom"/>
            <w:tcBorders>
              <w:top w:val="single" w:sz="8" w:color="D0EBF2"/>
            </w:tcBorders>
            <w:gridSpan w:val="2"/>
            <w:shd w:val="clear" w:color="auto" w:fill="D0EBF2"/>
          </w:tcPr>
          <w:p>
            <w:pPr>
              <w:spacing w:after="0" w:line="207" w:lineRule="exact"/>
              <w:rPr>
                <w:sz w:val="20"/>
                <w:szCs w:val="20"/>
                <w:color w:val="auto"/>
              </w:rPr>
            </w:pPr>
            <w:r>
              <w:rPr>
                <w:rFonts w:ascii="Arial" w:cs="Arial" w:eastAsia="Arial" w:hAnsi="Arial"/>
                <w:sz w:val="19"/>
                <w:szCs w:val="19"/>
                <w:color w:val="231F20"/>
              </w:rPr>
              <w:t>Developed Technology</w:t>
            </w:r>
          </w:p>
        </w:tc>
        <w:tc>
          <w:tcPr>
            <w:tcW w:w="120" w:type="dxa"/>
            <w:vAlign w:val="bottom"/>
            <w:tcBorders>
              <w:top w:val="single" w:sz="8" w:color="D0EBF2"/>
            </w:tcBorders>
            <w:shd w:val="clear" w:color="auto" w:fill="D0EBF2"/>
          </w:tcPr>
          <w:p>
            <w:pPr>
              <w:spacing w:after="0"/>
              <w:rPr>
                <w:sz w:val="17"/>
                <w:szCs w:val="17"/>
                <w:color w:val="auto"/>
              </w:rPr>
            </w:pPr>
          </w:p>
        </w:tc>
        <w:tc>
          <w:tcPr>
            <w:tcW w:w="16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w w:val="75"/>
                <w:shd w:val="clear" w:color="auto" w:fill="D0EBF2"/>
              </w:rPr>
              <w:t>$</w:t>
            </w:r>
          </w:p>
        </w:tc>
        <w:tc>
          <w:tcPr>
            <w:tcW w:w="88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shd w:val="clear" w:color="auto" w:fill="D0EBF2"/>
              </w:rPr>
              <w:t>39,624</w:t>
            </w:r>
          </w:p>
        </w:tc>
        <w:tc>
          <w:tcPr>
            <w:tcW w:w="100" w:type="dxa"/>
            <w:vAlign w:val="bottom"/>
            <w:tcBorders>
              <w:top w:val="single" w:sz="8" w:color="D0EBF2"/>
            </w:tcBorders>
            <w:shd w:val="clear" w:color="auto" w:fill="D0EBF2"/>
          </w:tcPr>
          <w:p>
            <w:pPr>
              <w:spacing w:after="0"/>
              <w:rPr>
                <w:sz w:val="17"/>
                <w:szCs w:val="17"/>
                <w:color w:val="auto"/>
              </w:rPr>
            </w:pPr>
          </w:p>
        </w:tc>
        <w:tc>
          <w:tcPr>
            <w:tcW w:w="120" w:type="dxa"/>
            <w:vAlign w:val="bottom"/>
            <w:tcBorders>
              <w:top w:val="single" w:sz="8" w:color="D0EBF2"/>
            </w:tcBorders>
            <w:shd w:val="clear" w:color="auto" w:fill="D0EBF2"/>
          </w:tcPr>
          <w:p>
            <w:pPr>
              <w:spacing w:after="0"/>
              <w:rPr>
                <w:sz w:val="17"/>
                <w:szCs w:val="17"/>
                <w:color w:val="auto"/>
              </w:rPr>
            </w:pPr>
          </w:p>
        </w:tc>
        <w:tc>
          <w:tcPr>
            <w:tcW w:w="260" w:type="dxa"/>
            <w:vAlign w:val="bottom"/>
            <w:tcBorders>
              <w:top w:val="single" w:sz="8" w:color="231F20"/>
            </w:tcBorders>
            <w:shd w:val="clear" w:color="auto" w:fill="D0EBF2"/>
          </w:tcPr>
          <w:p>
            <w:pPr>
              <w:spacing w:after="0" w:line="207" w:lineRule="exact"/>
              <w:rPr>
                <w:sz w:val="20"/>
                <w:szCs w:val="20"/>
                <w:color w:val="auto"/>
              </w:rPr>
            </w:pPr>
            <w:r>
              <w:rPr>
                <w:rFonts w:ascii="Arial" w:cs="Arial" w:eastAsia="Arial" w:hAnsi="Arial"/>
                <w:sz w:val="19"/>
                <w:szCs w:val="19"/>
                <w:color w:val="231F20"/>
                <w:shd w:val="clear" w:color="auto" w:fill="D0EBF2"/>
              </w:rPr>
              <w:t>$</w:t>
            </w:r>
          </w:p>
        </w:tc>
        <w:tc>
          <w:tcPr>
            <w:tcW w:w="78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shd w:val="clear" w:color="auto" w:fill="D0EBF2"/>
              </w:rPr>
              <w:t>(21,446</w:t>
            </w:r>
          </w:p>
        </w:tc>
        <w:tc>
          <w:tcPr>
            <w:tcW w:w="100" w:type="dxa"/>
            <w:vAlign w:val="bottom"/>
            <w:tcBorders>
              <w:top w:val="single" w:sz="8" w:color="D0EBF2"/>
            </w:tcBorders>
            <w:shd w:val="clear" w:color="auto" w:fill="D0EBF2"/>
          </w:tcPr>
          <w:p>
            <w:pPr>
              <w:jc w:val="right"/>
              <w:spacing w:after="0"/>
              <w:rPr>
                <w:sz w:val="20"/>
                <w:szCs w:val="20"/>
                <w:color w:val="auto"/>
              </w:rPr>
            </w:pPr>
            <w:r>
              <w:rPr>
                <w:rFonts w:ascii="Arial" w:cs="Arial" w:eastAsia="Arial" w:hAnsi="Arial"/>
                <w:sz w:val="16"/>
                <w:szCs w:val="16"/>
                <w:color w:val="231F20"/>
                <w:w w:val="74"/>
              </w:rPr>
              <w:t>)</w:t>
            </w:r>
          </w:p>
        </w:tc>
        <w:tc>
          <w:tcPr>
            <w:tcW w:w="100" w:type="dxa"/>
            <w:vAlign w:val="bottom"/>
            <w:tcBorders>
              <w:top w:val="single" w:sz="8" w:color="D0EBF2"/>
            </w:tcBorders>
            <w:shd w:val="clear" w:color="auto" w:fill="D0EBF2"/>
          </w:tcPr>
          <w:p>
            <w:pPr>
              <w:spacing w:after="0"/>
              <w:rPr>
                <w:sz w:val="17"/>
                <w:szCs w:val="17"/>
                <w:color w:val="auto"/>
              </w:rPr>
            </w:pPr>
          </w:p>
        </w:tc>
        <w:tc>
          <w:tcPr>
            <w:tcW w:w="40" w:type="dxa"/>
            <w:vAlign w:val="bottom"/>
            <w:tcBorders>
              <w:top w:val="single" w:sz="8" w:color="D0EBF2"/>
            </w:tcBorders>
            <w:shd w:val="clear" w:color="auto" w:fill="D0EBF2"/>
          </w:tcPr>
          <w:p>
            <w:pPr>
              <w:spacing w:after="0"/>
              <w:rPr>
                <w:sz w:val="17"/>
                <w:szCs w:val="17"/>
                <w:color w:val="auto"/>
              </w:rPr>
            </w:pPr>
          </w:p>
        </w:tc>
        <w:tc>
          <w:tcPr>
            <w:tcW w:w="16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w w:val="75"/>
                <w:shd w:val="clear" w:color="auto" w:fill="D0EBF2"/>
              </w:rPr>
              <w:t>$</w:t>
            </w:r>
          </w:p>
        </w:tc>
        <w:tc>
          <w:tcPr>
            <w:tcW w:w="86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shd w:val="clear" w:color="auto" w:fill="D0EBF2"/>
              </w:rPr>
              <w:t>18,178</w:t>
            </w:r>
          </w:p>
        </w:tc>
        <w:tc>
          <w:tcPr>
            <w:tcW w:w="200" w:type="dxa"/>
            <w:vAlign w:val="bottom"/>
            <w:tcBorders>
              <w:top w:val="single" w:sz="8" w:color="D0EBF2"/>
            </w:tcBorders>
            <w:shd w:val="clear" w:color="auto" w:fill="D0EBF2"/>
          </w:tcPr>
          <w:p>
            <w:pPr>
              <w:spacing w:after="0"/>
              <w:rPr>
                <w:sz w:val="17"/>
                <w:szCs w:val="17"/>
                <w:color w:val="auto"/>
              </w:rPr>
            </w:pPr>
          </w:p>
        </w:tc>
        <w:tc>
          <w:tcPr>
            <w:tcW w:w="108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4.71</w:t>
            </w:r>
          </w:p>
        </w:tc>
        <w:tc>
          <w:tcPr>
            <w:tcW w:w="100" w:type="dxa"/>
            <w:vAlign w:val="bottom"/>
            <w:tcBorders>
              <w:top w:val="single" w:sz="8" w:color="D0EBF2"/>
            </w:tcBorders>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gridSpan w:val="2"/>
            <w:shd w:val="clear" w:color="auto" w:fill="FDFDFC"/>
          </w:tcPr>
          <w:p>
            <w:pPr>
              <w:spacing w:after="0" w:line="217" w:lineRule="exact"/>
              <w:rPr>
                <w:sz w:val="20"/>
                <w:szCs w:val="20"/>
                <w:color w:val="auto"/>
              </w:rPr>
            </w:pPr>
            <w:r>
              <w:rPr>
                <w:rFonts w:ascii="Arial" w:cs="Arial" w:eastAsia="Arial" w:hAnsi="Arial"/>
                <w:sz w:val="19"/>
                <w:szCs w:val="19"/>
                <w:color w:val="231F20"/>
              </w:rPr>
              <w:t>Acquired Relationships</w:t>
            </w:r>
          </w:p>
        </w:tc>
        <w:tc>
          <w:tcPr>
            <w:tcW w:w="12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104,007</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7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(14,143)</w:t>
            </w:r>
          </w:p>
        </w:tc>
        <w:tc>
          <w:tcPr>
            <w:tcW w:w="1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6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89,864</w:t>
            </w:r>
          </w:p>
        </w:tc>
        <w:tc>
          <w:tcPr>
            <w:tcW w:w="200" w:type="dxa"/>
            <w:vAlign w:val="bottom"/>
            <w:shd w:val="clear" w:color="auto" w:fill="FDFDFC"/>
          </w:tcPr>
          <w:p>
            <w:pPr>
              <w:spacing w:after="0"/>
              <w:rPr>
                <w:sz w:val="18"/>
                <w:szCs w:val="18"/>
                <w:color w:val="auto"/>
              </w:rPr>
            </w:pPr>
          </w:p>
        </w:tc>
        <w:tc>
          <w:tcPr>
            <w:tcW w:w="108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11.04</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gridSpan w:val="2"/>
            <w:shd w:val="clear" w:color="auto" w:fill="D0EBF2"/>
          </w:tcPr>
          <w:p>
            <w:pPr>
              <w:spacing w:after="0" w:line="217" w:lineRule="exact"/>
              <w:rPr>
                <w:sz w:val="20"/>
                <w:szCs w:val="20"/>
                <w:color w:val="auto"/>
              </w:rPr>
            </w:pPr>
            <w:r>
              <w:rPr>
                <w:rFonts w:ascii="Arial" w:cs="Arial" w:eastAsia="Arial" w:hAnsi="Arial"/>
                <w:sz w:val="19"/>
                <w:szCs w:val="19"/>
                <w:color w:val="231F20"/>
              </w:rPr>
              <w:t>Trade Name/Trademark</w:t>
            </w:r>
          </w:p>
        </w:tc>
        <w:tc>
          <w:tcPr>
            <w:tcW w:w="12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88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136</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80" w:type="dxa"/>
            <w:vAlign w:val="bottom"/>
            <w:gridSpan w:val="3"/>
            <w:shd w:val="clear" w:color="auto" w:fill="D0EBF2"/>
          </w:tcPr>
          <w:p>
            <w:pPr>
              <w:jc w:val="right"/>
              <w:ind w:right="200"/>
              <w:spacing w:after="0" w:line="217" w:lineRule="exact"/>
              <w:rPr>
                <w:sz w:val="20"/>
                <w:szCs w:val="20"/>
                <w:color w:val="auto"/>
              </w:rPr>
            </w:pPr>
            <w:r>
              <w:rPr>
                <w:rFonts w:ascii="Arial" w:cs="Arial" w:eastAsia="Arial" w:hAnsi="Arial"/>
                <w:sz w:val="19"/>
                <w:szCs w:val="19"/>
                <w:color w:val="231F20"/>
              </w:rPr>
              <w:t>—</w:t>
            </w:r>
          </w:p>
        </w:tc>
        <w:tc>
          <w:tcPr>
            <w:tcW w:w="4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860" w:type="dxa"/>
            <w:vAlign w:val="bottom"/>
            <w:shd w:val="clear" w:color="auto" w:fill="D0EBF2"/>
          </w:tcPr>
          <w:p>
            <w:pPr>
              <w:jc w:val="right"/>
              <w:spacing w:after="0" w:line="217" w:lineRule="exact"/>
              <w:rPr>
                <w:sz w:val="20"/>
                <w:szCs w:val="20"/>
                <w:color w:val="auto"/>
              </w:rPr>
            </w:pPr>
            <w:r>
              <w:rPr>
                <w:rFonts w:ascii="Arial" w:cs="Arial" w:eastAsia="Arial" w:hAnsi="Arial"/>
                <w:sz w:val="19"/>
                <w:szCs w:val="19"/>
                <w:color w:val="231F20"/>
              </w:rPr>
              <w:t>136</w:t>
            </w:r>
          </w:p>
        </w:tc>
        <w:tc>
          <w:tcPr>
            <w:tcW w:w="1280" w:type="dxa"/>
            <w:vAlign w:val="bottom"/>
            <w:gridSpan w:val="2"/>
            <w:shd w:val="clear" w:color="auto" w:fill="D0EBF2"/>
          </w:tcPr>
          <w:p>
            <w:pPr>
              <w:jc w:val="right"/>
              <w:spacing w:after="0" w:line="217" w:lineRule="exact"/>
              <w:rPr>
                <w:sz w:val="20"/>
                <w:szCs w:val="20"/>
                <w:color w:val="auto"/>
              </w:rPr>
            </w:pPr>
            <w:r>
              <w:rPr>
                <w:rFonts w:ascii="Arial" w:cs="Arial" w:eastAsia="Arial" w:hAnsi="Arial"/>
                <w:sz w:val="19"/>
                <w:szCs w:val="19"/>
                <w:color w:val="231F20"/>
              </w:rPr>
              <w:t>1.83</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20" w:type="dxa"/>
            <w:vAlign w:val="bottom"/>
            <w:tcBorders>
              <w:top w:val="single" w:sz="8" w:color="FDFDFC"/>
            </w:tcBorders>
            <w:shd w:val="clear" w:color="auto" w:fill="FDFDFC"/>
          </w:tcPr>
          <w:p>
            <w:pPr>
              <w:spacing w:after="0"/>
              <w:rPr>
                <w:sz w:val="17"/>
                <w:szCs w:val="17"/>
                <w:color w:val="auto"/>
              </w:rPr>
            </w:pPr>
          </w:p>
        </w:tc>
        <w:tc>
          <w:tcPr>
            <w:tcW w:w="1720" w:type="dxa"/>
            <w:vAlign w:val="bottom"/>
            <w:tcBorders>
              <w:top w:val="single" w:sz="8" w:color="FDFDFC"/>
            </w:tcBorders>
            <w:shd w:val="clear" w:color="auto" w:fill="FDFDFC"/>
          </w:tcPr>
          <w:p>
            <w:pPr>
              <w:spacing w:after="0"/>
              <w:rPr>
                <w:sz w:val="17"/>
                <w:szCs w:val="17"/>
                <w:color w:val="auto"/>
              </w:rPr>
            </w:pPr>
          </w:p>
        </w:tc>
        <w:tc>
          <w:tcPr>
            <w:tcW w:w="120" w:type="dxa"/>
            <w:vAlign w:val="bottom"/>
            <w:tcBorders>
              <w:top w:val="single" w:sz="8" w:color="FDFDFC"/>
            </w:tcBorders>
            <w:shd w:val="clear" w:color="auto" w:fill="FDFDFC"/>
          </w:tcPr>
          <w:p>
            <w:pPr>
              <w:spacing w:after="0"/>
              <w:rPr>
                <w:sz w:val="17"/>
                <w:szCs w:val="17"/>
                <w:color w:val="auto"/>
              </w:rPr>
            </w:pPr>
          </w:p>
        </w:tc>
        <w:tc>
          <w:tcPr>
            <w:tcW w:w="16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highlight w:val="white"/>
                <w:w w:val="75"/>
              </w:rPr>
              <w:t>$</w:t>
            </w:r>
          </w:p>
        </w:tc>
        <w:tc>
          <w:tcPr>
            <w:tcW w:w="88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highlight w:val="white"/>
              </w:rPr>
              <w:t>143,767</w:t>
            </w:r>
          </w:p>
        </w:tc>
        <w:tc>
          <w:tcPr>
            <w:tcW w:w="220" w:type="dxa"/>
            <w:vAlign w:val="bottom"/>
            <w:tcBorders>
              <w:top w:val="single" w:sz="8" w:color="FDFDFC"/>
            </w:tcBorders>
            <w:gridSpan w:val="2"/>
            <w:shd w:val="clear" w:color="auto" w:fill="FDFDFC"/>
          </w:tcPr>
          <w:p>
            <w:pPr>
              <w:spacing w:after="0"/>
              <w:rPr>
                <w:sz w:val="17"/>
                <w:szCs w:val="17"/>
                <w:color w:val="auto"/>
              </w:rPr>
            </w:pPr>
          </w:p>
        </w:tc>
        <w:tc>
          <w:tcPr>
            <w:tcW w:w="260" w:type="dxa"/>
            <w:vAlign w:val="bottom"/>
            <w:tcBorders>
              <w:top w:val="single" w:sz="8" w:color="231F20"/>
              <w:bottom w:val="single" w:sz="8" w:color="231F20"/>
            </w:tcBorders>
            <w:shd w:val="clear" w:color="auto" w:fill="FDFDFC"/>
          </w:tcPr>
          <w:p>
            <w:pPr>
              <w:spacing w:after="0" w:line="206" w:lineRule="exact"/>
              <w:rPr>
                <w:sz w:val="20"/>
                <w:szCs w:val="20"/>
                <w:color w:val="auto"/>
              </w:rPr>
            </w:pPr>
            <w:r>
              <w:rPr>
                <w:rFonts w:ascii="Arial" w:cs="Arial" w:eastAsia="Arial" w:hAnsi="Arial"/>
                <w:sz w:val="19"/>
                <w:szCs w:val="19"/>
                <w:color w:val="231F20"/>
                <w:highlight w:val="white"/>
              </w:rPr>
              <w:t>$</w:t>
            </w:r>
          </w:p>
        </w:tc>
        <w:tc>
          <w:tcPr>
            <w:tcW w:w="78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highlight w:val="white"/>
              </w:rPr>
              <w:t>(35,589</w:t>
            </w:r>
          </w:p>
        </w:tc>
        <w:tc>
          <w:tcPr>
            <w:tcW w:w="100" w:type="dxa"/>
            <w:vAlign w:val="bottom"/>
            <w:tcBorders>
              <w:top w:val="single" w:sz="8" w:color="FDFDFC"/>
            </w:tcBorders>
            <w:shd w:val="clear" w:color="auto" w:fill="FDFDFC"/>
          </w:tcPr>
          <w:p>
            <w:pPr>
              <w:jc w:val="right"/>
              <w:spacing w:after="0"/>
              <w:rPr>
                <w:sz w:val="20"/>
                <w:szCs w:val="20"/>
                <w:color w:val="auto"/>
              </w:rPr>
            </w:pPr>
            <w:r>
              <w:rPr>
                <w:rFonts w:ascii="Arial" w:cs="Arial" w:eastAsia="Arial" w:hAnsi="Arial"/>
                <w:sz w:val="16"/>
                <w:szCs w:val="16"/>
                <w:color w:val="231F20"/>
                <w:w w:val="74"/>
              </w:rPr>
              <w:t>)</w:t>
            </w:r>
          </w:p>
        </w:tc>
        <w:tc>
          <w:tcPr>
            <w:tcW w:w="100" w:type="dxa"/>
            <w:vAlign w:val="bottom"/>
            <w:tcBorders>
              <w:top w:val="single" w:sz="8" w:color="FDFDFC"/>
            </w:tcBorders>
            <w:shd w:val="clear" w:color="auto" w:fill="FDFDFC"/>
          </w:tcPr>
          <w:p>
            <w:pPr>
              <w:spacing w:after="0"/>
              <w:rPr>
                <w:sz w:val="17"/>
                <w:szCs w:val="17"/>
                <w:color w:val="auto"/>
              </w:rPr>
            </w:pPr>
          </w:p>
        </w:tc>
        <w:tc>
          <w:tcPr>
            <w:tcW w:w="40" w:type="dxa"/>
            <w:vAlign w:val="bottom"/>
            <w:tcBorders>
              <w:top w:val="single" w:sz="8" w:color="FDFDFC"/>
            </w:tcBorders>
            <w:shd w:val="clear" w:color="auto" w:fill="FDFDFC"/>
          </w:tcPr>
          <w:p>
            <w:pPr>
              <w:spacing w:after="0"/>
              <w:rPr>
                <w:sz w:val="17"/>
                <w:szCs w:val="17"/>
                <w:color w:val="auto"/>
              </w:rPr>
            </w:pPr>
          </w:p>
        </w:tc>
        <w:tc>
          <w:tcPr>
            <w:tcW w:w="16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highlight w:val="white"/>
                <w:w w:val="75"/>
              </w:rPr>
              <w:t>$</w:t>
            </w:r>
          </w:p>
        </w:tc>
        <w:tc>
          <w:tcPr>
            <w:tcW w:w="86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highlight w:val="white"/>
              </w:rPr>
              <w:t>108,178</w:t>
            </w:r>
          </w:p>
        </w:tc>
        <w:tc>
          <w:tcPr>
            <w:tcW w:w="200" w:type="dxa"/>
            <w:vAlign w:val="bottom"/>
            <w:tcBorders>
              <w:top w:val="single" w:sz="8" w:color="FDFDFC"/>
            </w:tcBorders>
            <w:shd w:val="clear" w:color="auto" w:fill="FDFDFC"/>
          </w:tcPr>
          <w:p>
            <w:pPr>
              <w:spacing w:after="0"/>
              <w:rPr>
                <w:sz w:val="17"/>
                <w:szCs w:val="17"/>
                <w:color w:val="auto"/>
              </w:rPr>
            </w:pPr>
          </w:p>
        </w:tc>
        <w:tc>
          <w:tcPr>
            <w:tcW w:w="1080" w:type="dxa"/>
            <w:vAlign w:val="bottom"/>
            <w:tcBorders>
              <w:top w:val="single" w:sz="8" w:color="FDFDFC"/>
            </w:tcBorders>
            <w:shd w:val="clear" w:color="auto" w:fill="FDFDFC"/>
          </w:tcPr>
          <w:p>
            <w:pPr>
              <w:spacing w:after="0"/>
              <w:rPr>
                <w:sz w:val="17"/>
                <w:szCs w:val="17"/>
                <w:color w:val="auto"/>
              </w:rPr>
            </w:pPr>
          </w:p>
        </w:tc>
        <w:tc>
          <w:tcPr>
            <w:tcW w:w="100" w:type="dxa"/>
            <w:vAlign w:val="bottom"/>
            <w:tcBorders>
              <w:top w:val="single" w:sz="8" w:color="FDFDFC"/>
            </w:tcBorders>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Borders>
              <w:bottom w:val="single" w:sz="8" w:color="231F20"/>
            </w:tcBorders>
          </w:tcPr>
          <w:p>
            <w:pPr>
              <w:spacing w:after="0"/>
              <w:rPr>
                <w:sz w:val="9"/>
                <w:szCs w:val="9"/>
                <w:color w:val="auto"/>
              </w:rPr>
            </w:pPr>
          </w:p>
        </w:tc>
        <w:tc>
          <w:tcPr>
            <w:tcW w:w="3420" w:type="dxa"/>
            <w:vAlign w:val="bottom"/>
            <w:tcBorders>
              <w:bottom w:val="single" w:sz="8" w:color="231F20"/>
            </w:tcBorders>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20" w:hanging="91"/>
        <w:spacing w:after="0"/>
        <w:tabs>
          <w:tab w:leader="none" w:pos="220" w:val="left"/>
        </w:tabs>
        <w:numPr>
          <w:ilvl w:val="0"/>
          <w:numId w:val="60"/>
        </w:numPr>
        <w:rPr>
          <w:rFonts w:ascii="Arial" w:cs="Arial" w:eastAsia="Arial" w:hAnsi="Arial"/>
          <w:sz w:val="15"/>
          <w:szCs w:val="15"/>
          <w:color w:val="231F20"/>
        </w:rPr>
      </w:pPr>
      <w:r>
        <w:rPr>
          <w:rFonts w:ascii="Arial" w:cs="Arial" w:eastAsia="Arial" w:hAnsi="Arial"/>
          <w:sz w:val="15"/>
          <w:szCs w:val="15"/>
          <w:color w:val="231F20"/>
        </w:rPr>
        <w:t>Includes $(750) thousand of foreign currency translation adjustments.</w:t>
      </w:r>
    </w:p>
    <w:p>
      <w:pPr>
        <w:spacing w:after="0" w:line="21" w:lineRule="exact"/>
        <w:rPr>
          <w:rFonts w:ascii="Arial" w:cs="Arial" w:eastAsia="Arial" w:hAnsi="Arial"/>
          <w:sz w:val="15"/>
          <w:szCs w:val="15"/>
          <w:color w:val="231F20"/>
        </w:rPr>
      </w:pPr>
    </w:p>
    <w:p>
      <w:pPr>
        <w:ind w:left="280" w:hanging="151"/>
        <w:spacing w:after="0"/>
        <w:tabs>
          <w:tab w:leader="none" w:pos="280" w:val="left"/>
        </w:tabs>
        <w:numPr>
          <w:ilvl w:val="0"/>
          <w:numId w:val="61"/>
        </w:numPr>
        <w:rPr>
          <w:rFonts w:ascii="Arial" w:cs="Arial" w:eastAsia="Arial" w:hAnsi="Arial"/>
          <w:sz w:val="15"/>
          <w:szCs w:val="15"/>
          <w:color w:val="231F20"/>
        </w:rPr>
      </w:pPr>
      <w:r>
        <w:rPr>
          <w:rFonts w:ascii="Arial" w:cs="Arial" w:eastAsia="Arial" w:hAnsi="Arial"/>
          <w:sz w:val="15"/>
          <w:szCs w:val="15"/>
          <w:color w:val="231F20"/>
        </w:rPr>
        <w:t>Includes $(41) thousand of foreign currency translation adjustments.</w:t>
      </w:r>
    </w:p>
    <w:p>
      <w:pPr>
        <w:spacing w:after="0" w:line="167" w:lineRule="exact"/>
        <w:rPr>
          <w:sz w:val="20"/>
          <w:szCs w:val="20"/>
          <w:color w:val="auto"/>
        </w:rPr>
      </w:pPr>
    </w:p>
    <w:p>
      <w:pPr>
        <w:ind w:left="20" w:right="140" w:firstLine="463"/>
        <w:spacing w:after="0" w:line="278" w:lineRule="auto"/>
        <w:rPr>
          <w:sz w:val="20"/>
          <w:szCs w:val="20"/>
          <w:color w:val="auto"/>
        </w:rPr>
      </w:pPr>
      <w:r>
        <w:rPr>
          <w:rFonts w:ascii="Arial" w:cs="Arial" w:eastAsia="Arial" w:hAnsi="Arial"/>
          <w:sz w:val="19"/>
          <w:szCs w:val="19"/>
          <w:color w:val="231F20"/>
        </w:rPr>
        <w:t>Amortization expense for the years ended December 31, 2024, 2023 and 2022 was $12.3 million, $11.5 million and $9.1 million, respectively.</w:t>
      </w:r>
    </w:p>
    <w:p>
      <w:pPr>
        <w:spacing w:after="0" w:line="117" w:lineRule="exact"/>
        <w:rPr>
          <w:sz w:val="20"/>
          <w:szCs w:val="20"/>
          <w:color w:val="auto"/>
        </w:rPr>
      </w:pPr>
    </w:p>
    <w:p>
      <w:pPr>
        <w:ind w:left="20" w:right="200" w:firstLine="463"/>
        <w:spacing w:after="0" w:line="278" w:lineRule="auto"/>
        <w:rPr>
          <w:sz w:val="20"/>
          <w:szCs w:val="20"/>
          <w:color w:val="auto"/>
        </w:rPr>
      </w:pPr>
      <w:r>
        <w:rPr>
          <w:rFonts w:ascii="Arial" w:cs="Arial" w:eastAsia="Arial" w:hAnsi="Arial"/>
          <w:sz w:val="19"/>
          <w:szCs w:val="19"/>
          <w:color w:val="231F20"/>
        </w:rPr>
        <w:t>As of December 31, 2024, the estimated annual amortization expense of intangible assets for each of the next five years and thereafter is expected to be as follows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620" w:type="dxa"/>
            <w:vAlign w:val="bottom"/>
            <w:shd w:val="clear" w:color="auto" w:fill="FDFDFC"/>
          </w:tcPr>
          <w:p>
            <w:pPr>
              <w:spacing w:after="0"/>
              <w:rPr>
                <w:sz w:val="15"/>
                <w:szCs w:val="15"/>
                <w:color w:val="auto"/>
              </w:rPr>
            </w:pPr>
          </w:p>
        </w:tc>
        <w:tc>
          <w:tcPr>
            <w:tcW w:w="3760" w:type="dxa"/>
            <w:vAlign w:val="bottom"/>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1560" w:type="dxa"/>
            <w:vAlign w:val="bottom"/>
            <w:gridSpan w:val="2"/>
            <w:shd w:val="clear" w:color="auto" w:fill="FDFDFC"/>
          </w:tcPr>
          <w:p>
            <w:pPr>
              <w:jc w:val="center"/>
              <w:ind w:right="360"/>
              <w:spacing w:after="0"/>
              <w:rPr>
                <w:sz w:val="20"/>
                <w:szCs w:val="20"/>
                <w:color w:val="auto"/>
              </w:rPr>
            </w:pPr>
            <w:r>
              <w:rPr>
                <w:rFonts w:ascii="Arial" w:cs="Arial" w:eastAsia="Arial" w:hAnsi="Arial"/>
                <w:sz w:val="15"/>
                <w:szCs w:val="15"/>
                <w:b w:val="1"/>
                <w:bCs w:val="1"/>
                <w:color w:val="231F20"/>
              </w:rPr>
              <w:t>Estimated</w:t>
            </w:r>
          </w:p>
        </w:tc>
      </w:tr>
      <w:tr>
        <w:trPr>
          <w:trHeight w:val="174"/>
        </w:trPr>
        <w:tc>
          <w:tcPr>
            <w:tcW w:w="4620" w:type="dxa"/>
            <w:vAlign w:val="bottom"/>
            <w:shd w:val="clear" w:color="auto" w:fill="FDFDFC"/>
          </w:tcPr>
          <w:p>
            <w:pPr>
              <w:spacing w:after="0"/>
              <w:rPr>
                <w:sz w:val="15"/>
                <w:szCs w:val="15"/>
                <w:color w:val="auto"/>
              </w:rPr>
            </w:pPr>
          </w:p>
        </w:tc>
        <w:tc>
          <w:tcPr>
            <w:tcW w:w="3760" w:type="dxa"/>
            <w:vAlign w:val="bottom"/>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1560" w:type="dxa"/>
            <w:vAlign w:val="bottom"/>
            <w:gridSpan w:val="2"/>
            <w:shd w:val="clear" w:color="auto" w:fill="FDFDFC"/>
          </w:tcPr>
          <w:p>
            <w:pPr>
              <w:jc w:val="center"/>
              <w:ind w:right="360"/>
              <w:spacing w:after="0"/>
              <w:rPr>
                <w:sz w:val="20"/>
                <w:szCs w:val="20"/>
                <w:color w:val="auto"/>
              </w:rPr>
            </w:pPr>
            <w:r>
              <w:rPr>
                <w:rFonts w:ascii="Arial" w:cs="Arial" w:eastAsia="Arial" w:hAnsi="Arial"/>
                <w:sz w:val="15"/>
                <w:szCs w:val="15"/>
                <w:b w:val="1"/>
                <w:bCs w:val="1"/>
                <w:color w:val="231F20"/>
              </w:rPr>
              <w:t>Amortization</w:t>
            </w:r>
          </w:p>
        </w:tc>
      </w:tr>
      <w:tr>
        <w:trPr>
          <w:trHeight w:val="191"/>
        </w:trPr>
        <w:tc>
          <w:tcPr>
            <w:tcW w:w="4620" w:type="dxa"/>
            <w:vAlign w:val="bottom"/>
            <w:shd w:val="clear" w:color="auto" w:fill="FDFDFC"/>
          </w:tcPr>
          <w:p>
            <w:pPr>
              <w:spacing w:after="0"/>
              <w:rPr>
                <w:sz w:val="16"/>
                <w:szCs w:val="16"/>
                <w:color w:val="auto"/>
              </w:rPr>
            </w:pPr>
          </w:p>
        </w:tc>
        <w:tc>
          <w:tcPr>
            <w:tcW w:w="3760" w:type="dxa"/>
            <w:vAlign w:val="bottom"/>
            <w:shd w:val="clear" w:color="auto" w:fill="FDFDFC"/>
          </w:tcPr>
          <w:p>
            <w:pPr>
              <w:spacing w:after="0"/>
              <w:rPr>
                <w:sz w:val="16"/>
                <w:szCs w:val="16"/>
                <w:color w:val="auto"/>
              </w:rPr>
            </w:pPr>
          </w:p>
        </w:tc>
        <w:tc>
          <w:tcPr>
            <w:tcW w:w="260" w:type="dxa"/>
            <w:vAlign w:val="bottom"/>
            <w:shd w:val="clear" w:color="auto" w:fill="FDFDFC"/>
          </w:tcPr>
          <w:p>
            <w:pPr>
              <w:spacing w:after="0"/>
              <w:rPr>
                <w:sz w:val="16"/>
                <w:szCs w:val="16"/>
                <w:color w:val="auto"/>
              </w:rPr>
            </w:pPr>
          </w:p>
        </w:tc>
        <w:tc>
          <w:tcPr>
            <w:tcW w:w="1560" w:type="dxa"/>
            <w:vAlign w:val="bottom"/>
            <w:gridSpan w:val="2"/>
            <w:shd w:val="clear" w:color="auto" w:fill="FDFDFC"/>
          </w:tcPr>
          <w:p>
            <w:pPr>
              <w:jc w:val="center"/>
              <w:ind w:right="380"/>
              <w:spacing w:after="0"/>
              <w:rPr>
                <w:sz w:val="20"/>
                <w:szCs w:val="20"/>
                <w:color w:val="auto"/>
              </w:rPr>
            </w:pPr>
            <w:r>
              <w:rPr>
                <w:rFonts w:ascii="Arial" w:cs="Arial" w:eastAsia="Arial" w:hAnsi="Arial"/>
                <w:sz w:val="15"/>
                <w:szCs w:val="15"/>
                <w:b w:val="1"/>
                <w:bCs w:val="1"/>
                <w:color w:val="231F20"/>
              </w:rPr>
              <w:t>Expense</w:t>
            </w:r>
          </w:p>
        </w:tc>
      </w:tr>
      <w:tr>
        <w:trPr>
          <w:trHeight w:val="220"/>
        </w:trPr>
        <w:tc>
          <w:tcPr>
            <w:tcW w:w="4620" w:type="dxa"/>
            <w:vAlign w:val="bottom"/>
            <w:tcBorders>
              <w:top w:val="single" w:sz="8" w:color="D0EBF2"/>
            </w:tcBorders>
            <w:shd w:val="clear" w:color="auto" w:fill="D0EBF2"/>
          </w:tcPr>
          <w:p>
            <w:pPr>
              <w:spacing w:after="0"/>
              <w:rPr>
                <w:sz w:val="20"/>
                <w:szCs w:val="20"/>
                <w:color w:val="auto"/>
              </w:rPr>
            </w:pPr>
            <w:r>
              <w:rPr>
                <w:rFonts w:ascii="Arial" w:cs="Arial" w:eastAsia="Arial" w:hAnsi="Arial"/>
                <w:sz w:val="19"/>
                <w:szCs w:val="19"/>
                <w:color w:val="231F20"/>
              </w:rPr>
              <w:t>2025</w:t>
            </w:r>
          </w:p>
        </w:tc>
        <w:tc>
          <w:tcPr>
            <w:tcW w:w="3760" w:type="dxa"/>
            <w:vAlign w:val="bottom"/>
            <w:tcBorders>
              <w:top w:val="single" w:sz="8" w:color="D0EBF2"/>
            </w:tcBorders>
            <w:shd w:val="clear" w:color="auto" w:fill="D0EBF2"/>
          </w:tcPr>
          <w:p>
            <w:pPr>
              <w:spacing w:after="0"/>
              <w:rPr>
                <w:sz w:val="19"/>
                <w:szCs w:val="19"/>
                <w:color w:val="auto"/>
              </w:rPr>
            </w:pPr>
          </w:p>
        </w:tc>
        <w:tc>
          <w:tcPr>
            <w:tcW w:w="260" w:type="dxa"/>
            <w:vAlign w:val="bottom"/>
            <w:tcBorders>
              <w:top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146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13,424</w:t>
            </w:r>
          </w:p>
        </w:tc>
        <w:tc>
          <w:tcPr>
            <w:tcW w:w="100" w:type="dxa"/>
            <w:vAlign w:val="bottom"/>
            <w:tcBorders>
              <w:top w:val="single" w:sz="8" w:color="D0EBF2"/>
            </w:tcBorders>
            <w:shd w:val="clear" w:color="auto" w:fill="D0EBF2"/>
          </w:tcPr>
          <w:p>
            <w:pPr>
              <w:spacing w:after="0"/>
              <w:rPr>
                <w:sz w:val="19"/>
                <w:szCs w:val="19"/>
                <w:color w:val="auto"/>
              </w:rPr>
            </w:pPr>
          </w:p>
        </w:tc>
      </w:tr>
      <w:tr>
        <w:trPr>
          <w:trHeight w:val="230"/>
        </w:trPr>
        <w:tc>
          <w:tcPr>
            <w:tcW w:w="4620" w:type="dxa"/>
            <w:vAlign w:val="bottom"/>
            <w:shd w:val="clear" w:color="auto" w:fill="FDFDFC"/>
          </w:tcPr>
          <w:p>
            <w:pPr>
              <w:spacing w:after="0"/>
              <w:rPr>
                <w:sz w:val="20"/>
                <w:szCs w:val="20"/>
                <w:color w:val="auto"/>
              </w:rPr>
            </w:pPr>
            <w:r>
              <w:rPr>
                <w:rFonts w:ascii="Arial" w:cs="Arial" w:eastAsia="Arial" w:hAnsi="Arial"/>
                <w:sz w:val="19"/>
                <w:szCs w:val="19"/>
                <w:color w:val="231F20"/>
              </w:rPr>
              <w:t>2026</w:t>
            </w:r>
          </w:p>
        </w:tc>
        <w:tc>
          <w:tcPr>
            <w:tcW w:w="376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13,473</w:t>
            </w:r>
          </w:p>
        </w:tc>
        <w:tc>
          <w:tcPr>
            <w:tcW w:w="100" w:type="dxa"/>
            <w:vAlign w:val="bottom"/>
            <w:shd w:val="clear" w:color="auto" w:fill="FDFDFC"/>
          </w:tcPr>
          <w:p>
            <w:pPr>
              <w:spacing w:after="0"/>
              <w:rPr>
                <w:sz w:val="20"/>
                <w:szCs w:val="20"/>
                <w:color w:val="auto"/>
              </w:rPr>
            </w:pPr>
          </w:p>
        </w:tc>
      </w:tr>
      <w:tr>
        <w:trPr>
          <w:trHeight w:val="230"/>
        </w:trPr>
        <w:tc>
          <w:tcPr>
            <w:tcW w:w="4620" w:type="dxa"/>
            <w:vAlign w:val="bottom"/>
            <w:shd w:val="clear" w:color="auto" w:fill="D0EBF2"/>
          </w:tcPr>
          <w:p>
            <w:pPr>
              <w:spacing w:after="0"/>
              <w:rPr>
                <w:sz w:val="20"/>
                <w:szCs w:val="20"/>
                <w:color w:val="auto"/>
              </w:rPr>
            </w:pPr>
            <w:r>
              <w:rPr>
                <w:rFonts w:ascii="Arial" w:cs="Arial" w:eastAsia="Arial" w:hAnsi="Arial"/>
                <w:sz w:val="19"/>
                <w:szCs w:val="19"/>
                <w:color w:val="231F20"/>
              </w:rPr>
              <w:t>2027</w:t>
            </w:r>
          </w:p>
        </w:tc>
        <w:tc>
          <w:tcPr>
            <w:tcW w:w="376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13,323</w:t>
            </w:r>
          </w:p>
        </w:tc>
        <w:tc>
          <w:tcPr>
            <w:tcW w:w="100" w:type="dxa"/>
            <w:vAlign w:val="bottom"/>
            <w:shd w:val="clear" w:color="auto" w:fill="D0EBF2"/>
          </w:tcPr>
          <w:p>
            <w:pPr>
              <w:spacing w:after="0"/>
              <w:rPr>
                <w:sz w:val="20"/>
                <w:szCs w:val="20"/>
                <w:color w:val="auto"/>
              </w:rPr>
            </w:pPr>
          </w:p>
        </w:tc>
      </w:tr>
      <w:tr>
        <w:trPr>
          <w:trHeight w:val="230"/>
        </w:trPr>
        <w:tc>
          <w:tcPr>
            <w:tcW w:w="4620" w:type="dxa"/>
            <w:vAlign w:val="bottom"/>
            <w:shd w:val="clear" w:color="auto" w:fill="FDFDFC"/>
          </w:tcPr>
          <w:p>
            <w:pPr>
              <w:spacing w:after="0"/>
              <w:rPr>
                <w:sz w:val="20"/>
                <w:szCs w:val="20"/>
                <w:color w:val="auto"/>
              </w:rPr>
            </w:pPr>
            <w:r>
              <w:rPr>
                <w:rFonts w:ascii="Arial" w:cs="Arial" w:eastAsia="Arial" w:hAnsi="Arial"/>
                <w:sz w:val="19"/>
                <w:szCs w:val="19"/>
                <w:color w:val="231F20"/>
              </w:rPr>
              <w:t>2028</w:t>
            </w:r>
          </w:p>
        </w:tc>
        <w:tc>
          <w:tcPr>
            <w:tcW w:w="376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13,119</w:t>
            </w:r>
          </w:p>
        </w:tc>
        <w:tc>
          <w:tcPr>
            <w:tcW w:w="100" w:type="dxa"/>
            <w:vAlign w:val="bottom"/>
            <w:shd w:val="clear" w:color="auto" w:fill="FDFDFC"/>
          </w:tcPr>
          <w:p>
            <w:pPr>
              <w:spacing w:after="0"/>
              <w:rPr>
                <w:sz w:val="20"/>
                <w:szCs w:val="20"/>
                <w:color w:val="auto"/>
              </w:rPr>
            </w:pPr>
          </w:p>
        </w:tc>
      </w:tr>
      <w:tr>
        <w:trPr>
          <w:trHeight w:val="230"/>
        </w:trPr>
        <w:tc>
          <w:tcPr>
            <w:tcW w:w="4620" w:type="dxa"/>
            <w:vAlign w:val="bottom"/>
            <w:shd w:val="clear" w:color="auto" w:fill="D0EBF2"/>
          </w:tcPr>
          <w:p>
            <w:pPr>
              <w:spacing w:after="0"/>
              <w:rPr>
                <w:sz w:val="20"/>
                <w:szCs w:val="20"/>
                <w:color w:val="auto"/>
              </w:rPr>
            </w:pPr>
            <w:r>
              <w:rPr>
                <w:rFonts w:ascii="Arial" w:cs="Arial" w:eastAsia="Arial" w:hAnsi="Arial"/>
                <w:sz w:val="19"/>
                <w:szCs w:val="19"/>
                <w:color w:val="231F20"/>
              </w:rPr>
              <w:t>2029</w:t>
            </w:r>
          </w:p>
        </w:tc>
        <w:tc>
          <w:tcPr>
            <w:tcW w:w="376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12,251</w:t>
            </w:r>
          </w:p>
        </w:tc>
        <w:tc>
          <w:tcPr>
            <w:tcW w:w="100" w:type="dxa"/>
            <w:vAlign w:val="bottom"/>
            <w:shd w:val="clear" w:color="auto" w:fill="D0EBF2"/>
          </w:tcPr>
          <w:p>
            <w:pPr>
              <w:spacing w:after="0"/>
              <w:rPr>
                <w:sz w:val="20"/>
                <w:szCs w:val="20"/>
                <w:color w:val="auto"/>
              </w:rPr>
            </w:pPr>
          </w:p>
        </w:tc>
      </w:tr>
      <w:tr>
        <w:trPr>
          <w:trHeight w:val="230"/>
        </w:trPr>
        <w:tc>
          <w:tcPr>
            <w:tcW w:w="462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9"/>
                <w:szCs w:val="19"/>
                <w:color w:val="231F20"/>
              </w:rPr>
              <w:t>Thereafter</w:t>
            </w:r>
          </w:p>
        </w:tc>
        <w:tc>
          <w:tcPr>
            <w:tcW w:w="3760" w:type="dxa"/>
            <w:vAlign w:val="bottom"/>
            <w:tcBorders>
              <w:bottom w:val="single" w:sz="8" w:color="D0EBF2"/>
            </w:tcBorders>
            <w:shd w:val="clear" w:color="auto" w:fill="FDFDFC"/>
          </w:tcPr>
          <w:p>
            <w:pPr>
              <w:spacing w:after="0"/>
              <w:rPr>
                <w:sz w:val="20"/>
                <w:szCs w:val="20"/>
                <w:color w:val="auto"/>
              </w:rPr>
            </w:pPr>
          </w:p>
        </w:tc>
        <w:tc>
          <w:tcPr>
            <w:tcW w:w="260" w:type="dxa"/>
            <w:vAlign w:val="bottom"/>
            <w:tcBorders>
              <w:bottom w:val="single" w:sz="8" w:color="231F20"/>
            </w:tcBorders>
            <w:shd w:val="clear" w:color="auto" w:fill="FDFDFC"/>
          </w:tcPr>
          <w:p>
            <w:pPr>
              <w:spacing w:after="0"/>
              <w:rPr>
                <w:sz w:val="20"/>
                <w:szCs w:val="20"/>
                <w:color w:val="auto"/>
              </w:rPr>
            </w:pPr>
          </w:p>
        </w:tc>
        <w:tc>
          <w:tcPr>
            <w:tcW w:w="146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53,094</w:t>
            </w:r>
          </w:p>
        </w:tc>
        <w:tc>
          <w:tcPr>
            <w:tcW w:w="100" w:type="dxa"/>
            <w:vAlign w:val="bottom"/>
            <w:tcBorders>
              <w:bottom w:val="single" w:sz="8" w:color="D0EBF2"/>
            </w:tcBorders>
            <w:shd w:val="clear" w:color="auto" w:fill="FDFDFC"/>
          </w:tcPr>
          <w:p>
            <w:pPr>
              <w:spacing w:after="0"/>
              <w:rPr>
                <w:sz w:val="20"/>
                <w:szCs w:val="20"/>
                <w:color w:val="auto"/>
              </w:rPr>
            </w:pPr>
          </w:p>
        </w:tc>
      </w:tr>
      <w:tr>
        <w:trPr>
          <w:trHeight w:val="220"/>
        </w:trPr>
        <w:tc>
          <w:tcPr>
            <w:tcW w:w="4620" w:type="dxa"/>
            <w:vAlign w:val="bottom"/>
            <w:shd w:val="clear" w:color="auto" w:fill="D0EBF2"/>
          </w:tcPr>
          <w:p>
            <w:pPr>
              <w:spacing w:after="0"/>
              <w:rPr>
                <w:sz w:val="19"/>
                <w:szCs w:val="19"/>
                <w:color w:val="auto"/>
              </w:rPr>
            </w:pPr>
          </w:p>
        </w:tc>
        <w:tc>
          <w:tcPr>
            <w:tcW w:w="3760" w:type="dxa"/>
            <w:vAlign w:val="bottom"/>
            <w:shd w:val="clear" w:color="auto" w:fill="D0EBF2"/>
          </w:tcPr>
          <w:p>
            <w:pPr>
              <w:spacing w:after="0"/>
              <w:rPr>
                <w:sz w:val="19"/>
                <w:szCs w:val="19"/>
                <w:color w:val="auto"/>
              </w:rPr>
            </w:pPr>
          </w:p>
        </w:tc>
        <w:tc>
          <w:tcPr>
            <w:tcW w:w="26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146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118,684</w:t>
            </w:r>
          </w:p>
        </w:tc>
        <w:tc>
          <w:tcPr>
            <w:tcW w:w="100" w:type="dxa"/>
            <w:vAlign w:val="bottom"/>
            <w:shd w:val="clear" w:color="auto" w:fill="D0EBF2"/>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4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231F20"/>
        </w:rPr>
        <w:t>Note 11. Debt</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231F20"/>
        </w:rPr>
        <w:t>2024 Revolving Credit Facility</w:t>
      </w:r>
    </w:p>
    <w:p>
      <w:pPr>
        <w:spacing w:after="0" w:line="184" w:lineRule="exact"/>
        <w:rPr>
          <w:sz w:val="20"/>
          <w:szCs w:val="20"/>
          <w:color w:val="auto"/>
        </w:rPr>
      </w:pPr>
    </w:p>
    <w:p>
      <w:pPr>
        <w:ind w:left="20" w:right="60" w:firstLine="463"/>
        <w:spacing w:after="0" w:line="245" w:lineRule="auto"/>
        <w:rPr>
          <w:sz w:val="20"/>
          <w:szCs w:val="20"/>
          <w:color w:val="auto"/>
        </w:rPr>
      </w:pPr>
      <w:r>
        <w:rPr>
          <w:rFonts w:ascii="Arial" w:cs="Arial" w:eastAsia="Arial" w:hAnsi="Arial"/>
          <w:sz w:val="19"/>
          <w:szCs w:val="19"/>
          <w:color w:val="231F20"/>
        </w:rPr>
        <w:t>On February 23, 2024, the Company entered into a five-year senior secured 2024 Revolving Credit Facility with four banks for a total commitment of $125.0 million. The 2024 Revolving Credit Facility provides for an incremental facility in an amount equal to $50.0 million plus 100% of Consolidated Adjusted EBITDA based on the most recent consolidated financial information. In addition, the 2024 Revolving Credit Facility includes a $10.0 million letter of credit sub-facility and a $5.0 million swingline sub-facility, with available borrowings under the 2024 Revolving Credit Facility reduced by the amount of any letters of credit and swingline borrowings outstanding from time to time. The 2024 Revolving Credit Facility is guaranteed by Flywire’s current and future material domestic subsidiaries.</w:t>
      </w:r>
    </w:p>
    <w:p>
      <w:pPr>
        <w:sectPr>
          <w:pgSz w:w="12240" w:h="15840" w:orient="portrait"/>
          <w:cols w:equalWidth="0" w:num="1">
            <w:col w:w="10220"/>
          </w:cols>
          <w:pgMar w:left="1000" w:top="1440" w:right="1020" w:bottom="572"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138</w:t>
      </w:r>
    </w:p>
    <w:p>
      <w:pPr>
        <w:sectPr>
          <w:pgSz w:w="12240" w:h="15840" w:orient="portrait"/>
          <w:cols w:equalWidth="0" w:num="1">
            <w:col w:w="10220"/>
          </w:cols>
          <w:pgMar w:left="1000" w:top="1440" w:right="1020" w:bottom="572" w:gutter="0" w:footer="0" w:header="0"/>
          <w:type w:val="continuous"/>
        </w:sectPr>
      </w:pPr>
    </w:p>
    <w:bookmarkStart w:id="139" w:name="page140"/>
    <w:bookmarkEnd w:id="139"/>
    <w:p>
      <w:pPr>
        <w:spacing w:after="0" w:line="97" w:lineRule="exact"/>
        <w:rPr>
          <w:sz w:val="20"/>
          <w:szCs w:val="20"/>
          <w:color w:val="auto"/>
        </w:rPr>
      </w:pPr>
    </w:p>
    <w:p>
      <w:pPr>
        <w:jc w:val="both"/>
        <w:ind w:right="280" w:firstLine="463"/>
        <w:spacing w:after="0" w:line="279" w:lineRule="auto"/>
        <w:rPr>
          <w:sz w:val="20"/>
          <w:szCs w:val="20"/>
          <w:color w:val="auto"/>
        </w:rPr>
      </w:pPr>
      <w:r>
        <w:rPr>
          <w:rFonts w:ascii="Arial" w:cs="Arial" w:eastAsia="Arial" w:hAnsi="Arial"/>
          <w:sz w:val="18"/>
          <w:szCs w:val="18"/>
          <w:color w:val="231F20"/>
        </w:rPr>
        <w:t>The 2024 Revolving Credit Facility replaced the three-year senior secured 2021 Revolving Credit Facility of $50.0 million entered into in July 2021, under which $50.0 million was available to Flywire as of December 31, 2023. Three of the lenders under the 2024 Revolving Credit Facility were existing lenders under the 2021 Revolving Credit Facility.</w:t>
      </w:r>
    </w:p>
    <w:p>
      <w:pPr>
        <w:spacing w:after="0" w:line="119" w:lineRule="exact"/>
        <w:rPr>
          <w:sz w:val="20"/>
          <w:szCs w:val="20"/>
          <w:color w:val="auto"/>
        </w:rPr>
      </w:pPr>
    </w:p>
    <w:p>
      <w:pPr>
        <w:ind w:right="80" w:firstLine="463"/>
        <w:spacing w:after="0" w:line="245" w:lineRule="auto"/>
        <w:rPr>
          <w:sz w:val="20"/>
          <w:szCs w:val="20"/>
          <w:color w:val="auto"/>
        </w:rPr>
      </w:pPr>
      <w:r>
        <w:rPr>
          <w:rFonts w:ascii="Arial" w:cs="Arial" w:eastAsia="Arial" w:hAnsi="Arial"/>
          <w:sz w:val="19"/>
          <w:szCs w:val="19"/>
          <w:color w:val="231F20"/>
        </w:rPr>
        <w:t>In connection with the 2024 Revolving Credit Facility, the Company incurred debt issuance costs of $0.8 million. Debt issuance costs related to the 2024 Revolving Credit Facility are amortized on a straight-line basis over the contractual term of the agreement and are presented as a component of other assets on the Company's consolidated balance sheets. Debt issuance costs of $0.1 million related to the 2021 Revolving Credit Facility will continue to be amortized on a straight-line basis over the contractual term of the new agreement and are presented as a component of other assets on the Company's consolidated balance sheets. The exchange of the 2021 Revolving Credit Facility with the 2024 Revolving Credit Facility from the same lenders was accounted for as a modification.</w:t>
      </w:r>
    </w:p>
    <w:p>
      <w:pPr>
        <w:spacing w:after="0" w:line="148" w:lineRule="exact"/>
        <w:rPr>
          <w:sz w:val="20"/>
          <w:szCs w:val="20"/>
          <w:color w:val="auto"/>
        </w:rPr>
      </w:pPr>
    </w:p>
    <w:p>
      <w:pPr>
        <w:ind w:right="280" w:firstLine="463"/>
        <w:spacing w:after="0" w:line="278" w:lineRule="auto"/>
        <w:rPr>
          <w:sz w:val="20"/>
          <w:szCs w:val="20"/>
          <w:color w:val="auto"/>
        </w:rPr>
      </w:pPr>
      <w:r>
        <w:rPr>
          <w:rFonts w:ascii="Arial" w:cs="Arial" w:eastAsia="Arial" w:hAnsi="Arial"/>
          <w:sz w:val="19"/>
          <w:szCs w:val="19"/>
          <w:color w:val="231F20"/>
        </w:rPr>
        <w:t>The 2024 Revolving Credit Facility consists of Alternate Base Rate (ABR) borrowings or Term Secured Overnight Financing Rate (SOFR) borrowings, at the Company’s option.</w:t>
      </w:r>
    </w:p>
    <w:p>
      <w:pPr>
        <w:spacing w:after="0" w:line="117" w:lineRule="exact"/>
        <w:rPr>
          <w:sz w:val="20"/>
          <w:szCs w:val="20"/>
          <w:color w:val="auto"/>
        </w:rPr>
      </w:pPr>
    </w:p>
    <w:p>
      <w:pPr>
        <w:ind w:firstLine="463"/>
        <w:spacing w:after="0" w:line="244" w:lineRule="auto"/>
        <w:rPr>
          <w:sz w:val="20"/>
          <w:szCs w:val="20"/>
          <w:color w:val="auto"/>
        </w:rPr>
      </w:pPr>
      <w:r>
        <w:rPr>
          <w:rFonts w:ascii="Arial" w:cs="Arial" w:eastAsia="Arial" w:hAnsi="Arial"/>
          <w:sz w:val="19"/>
          <w:szCs w:val="19"/>
          <w:color w:val="231F20"/>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the Company’s consolidated total net leverage ratio as of the most recent consolidated financial information and ranges from 1.0% to 2.5%. The 2024 Revolving Credit Facility incurs a commitment fee ranging from 0.25% to 0.35% based upon the Company’s consolidated total net leverage ratio as of the most recent consolidated financial information assessed on the average available commitment.</w:t>
      </w:r>
    </w:p>
    <w:p>
      <w:pPr>
        <w:spacing w:after="0" w:line="150" w:lineRule="exact"/>
        <w:rPr>
          <w:sz w:val="20"/>
          <w:szCs w:val="20"/>
          <w:color w:val="auto"/>
        </w:rPr>
      </w:pPr>
    </w:p>
    <w:p>
      <w:pPr>
        <w:ind w:right="20" w:firstLine="463"/>
        <w:spacing w:after="0" w:line="243" w:lineRule="auto"/>
        <w:rPr>
          <w:sz w:val="20"/>
          <w:szCs w:val="20"/>
          <w:color w:val="auto"/>
        </w:rPr>
      </w:pPr>
      <w:r>
        <w:rPr>
          <w:rFonts w:ascii="Arial" w:cs="Arial" w:eastAsia="Arial" w:hAnsi="Arial"/>
          <w:sz w:val="19"/>
          <w:szCs w:val="19"/>
          <w:color w:val="231F20"/>
        </w:rPr>
        <w:t>The 2024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2024 Revolving Credit Facility becoming immediately due and payable and termination of the commitments. The Company was in compliance with all covenants associated with the 2024 Revolving Credit Facility as of December 31, 2024.</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2021 Revolving Credit Facility</w:t>
      </w:r>
    </w:p>
    <w:p>
      <w:pPr>
        <w:spacing w:after="0" w:line="184" w:lineRule="exact"/>
        <w:rPr>
          <w:sz w:val="20"/>
          <w:szCs w:val="20"/>
          <w:color w:val="auto"/>
        </w:rPr>
      </w:pPr>
    </w:p>
    <w:p>
      <w:pPr>
        <w:ind w:right="60" w:firstLine="463"/>
        <w:spacing w:after="0" w:line="248" w:lineRule="auto"/>
        <w:rPr>
          <w:sz w:val="20"/>
          <w:szCs w:val="20"/>
          <w:color w:val="auto"/>
        </w:rPr>
      </w:pPr>
      <w:r>
        <w:rPr>
          <w:rFonts w:ascii="Arial" w:cs="Arial" w:eastAsia="Arial" w:hAnsi="Arial"/>
          <w:sz w:val="19"/>
          <w:szCs w:val="19"/>
          <w:color w:val="231F20"/>
        </w:rPr>
        <w:t>On July 29, 2021, the Company entered into the 2021 Revolving Credit Facility with three banks for a total commitment of $50.0 million. The 2021 Revolving Credit Facility included a $5.0 million letter of credit sub-facility and a $5.0 million swingline sub-facility, with available borrowings under the 2021 Revolving Credit Facility reduced by the amount of any letters of credit and swingline borrowings outstanding from time to time. The 2021 Revolving Credit Facility was guaranteed by Flywire’s material domestic subsidiaries.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The 2021 Revolving Credit Facility consisted of ABR loans or Eurodollar Borrowings, at the Company’s option.</w:t>
      </w:r>
    </w:p>
    <w:p>
      <w:pPr>
        <w:spacing w:after="0" w:line="188" w:lineRule="exact"/>
        <w:rPr>
          <w:sz w:val="20"/>
          <w:szCs w:val="20"/>
          <w:color w:val="auto"/>
        </w:rPr>
      </w:pPr>
    </w:p>
    <w:p>
      <w:pPr>
        <w:jc w:val="both"/>
        <w:ind w:right="220" w:firstLine="463"/>
        <w:spacing w:after="0" w:line="307" w:lineRule="auto"/>
        <w:rPr>
          <w:sz w:val="20"/>
          <w:szCs w:val="20"/>
          <w:color w:val="auto"/>
        </w:rPr>
      </w:pPr>
      <w:r>
        <w:rPr>
          <w:rFonts w:ascii="Arial" w:cs="Arial" w:eastAsia="Arial" w:hAnsi="Arial"/>
          <w:sz w:val="18"/>
          <w:szCs w:val="18"/>
          <w:color w:val="231F20"/>
        </w:rPr>
        <w:t>On June 23, 2023, the Company executed the First Amendment to the 2021 Revolving Credit Facility to transition determination of the interest rate from the LIBOR benchmark rate to the SOFR benchmark rate effective June 30, 2023.</w:t>
      </w:r>
    </w:p>
    <w:p>
      <w:pPr>
        <w:spacing w:after="0" w:line="94" w:lineRule="exact"/>
        <w:rPr>
          <w:sz w:val="20"/>
          <w:szCs w:val="20"/>
          <w:color w:val="auto"/>
        </w:rPr>
      </w:pPr>
    </w:p>
    <w:p>
      <w:pPr>
        <w:ind w:right="540" w:firstLine="515"/>
        <w:spacing w:after="0" w:line="278" w:lineRule="auto"/>
        <w:rPr>
          <w:sz w:val="20"/>
          <w:szCs w:val="20"/>
          <w:color w:val="auto"/>
        </w:rPr>
      </w:pPr>
      <w:r>
        <w:rPr>
          <w:rFonts w:ascii="Arial" w:cs="Arial" w:eastAsia="Arial" w:hAnsi="Arial"/>
          <w:sz w:val="19"/>
          <w:szCs w:val="19"/>
          <w:color w:val="231F20"/>
        </w:rPr>
        <w:t>As of December 31, 2024 and 2023, there was no outstanding indebtedness under the 2024 Revolving Credit Facility or the 2021 Revolving Credit Facility.</w:t>
      </w:r>
    </w:p>
    <w:p>
      <w:pPr>
        <w:spacing w:after="0" w:line="117" w:lineRule="exact"/>
        <w:rPr>
          <w:sz w:val="20"/>
          <w:szCs w:val="20"/>
          <w:color w:val="auto"/>
        </w:rPr>
      </w:pPr>
    </w:p>
    <w:p>
      <w:pPr>
        <w:ind w:right="100" w:firstLine="463"/>
        <w:spacing w:after="0" w:line="258" w:lineRule="auto"/>
        <w:rPr>
          <w:sz w:val="20"/>
          <w:szCs w:val="20"/>
          <w:color w:val="auto"/>
        </w:rPr>
      </w:pPr>
      <w:r>
        <w:rPr>
          <w:rFonts w:ascii="Arial" w:cs="Arial" w:eastAsia="Arial" w:hAnsi="Arial"/>
          <w:sz w:val="19"/>
          <w:szCs w:val="19"/>
          <w:color w:val="231F20"/>
        </w:rPr>
        <w:t>Interest expense for the years ended December 31, 2024, 2023 and 2022 was $0.5 million, $0.4 million and $1.2 million, respectively. Included in interest expense for the years ended December 31, 2024, 2023 and 2022 is $0.2 million, $0.3 million and $0.3 million of amortization of debt issuance costs,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Letter of Credit</w:t>
      </w:r>
    </w:p>
    <w:p>
      <w:pPr>
        <w:spacing w:after="0" w:line="184" w:lineRule="exact"/>
        <w:rPr>
          <w:sz w:val="20"/>
          <w:szCs w:val="20"/>
          <w:color w:val="auto"/>
        </w:rPr>
      </w:pPr>
    </w:p>
    <w:p>
      <w:pPr>
        <w:ind w:right="220" w:firstLine="463"/>
        <w:spacing w:after="0" w:line="258" w:lineRule="auto"/>
        <w:rPr>
          <w:sz w:val="20"/>
          <w:szCs w:val="20"/>
          <w:color w:val="auto"/>
        </w:rPr>
      </w:pPr>
      <w:r>
        <w:rPr>
          <w:rFonts w:ascii="Arial" w:cs="Arial" w:eastAsia="Arial" w:hAnsi="Arial"/>
          <w:sz w:val="19"/>
          <w:szCs w:val="19"/>
          <w:color w:val="231F20"/>
        </w:rPr>
        <w:t>As of December 31, 2024 and 2023, the Company had an outstanding and unused letter of credit in the amount of approximately $2.5 million and $0.7 million, respectively, for the purpose of protecting a third-party service provider against default on payroll payments. The letter of credit may be terminated at any time by the Company upon notice.</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139</w:t>
      </w:r>
    </w:p>
    <w:p>
      <w:pPr>
        <w:sectPr>
          <w:pgSz w:w="12240" w:h="15840" w:orient="portrait"/>
          <w:cols w:equalWidth="0" w:num="1">
            <w:col w:w="10200"/>
          </w:cols>
          <w:pgMar w:left="1020" w:top="1440" w:right="1020" w:bottom="572" w:gutter="0" w:footer="0" w:header="0"/>
          <w:type w:val="continuous"/>
        </w:sectPr>
      </w:pPr>
    </w:p>
    <w:bookmarkStart w:id="140" w:name="page141"/>
    <w:bookmarkEnd w:id="140"/>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Note 12. Stockholders’ Equity</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Preferred Stock</w:t>
      </w:r>
    </w:p>
    <w:p>
      <w:pPr>
        <w:spacing w:after="0" w:line="184" w:lineRule="exact"/>
        <w:rPr>
          <w:sz w:val="20"/>
          <w:szCs w:val="20"/>
          <w:color w:val="auto"/>
        </w:rPr>
      </w:pPr>
    </w:p>
    <w:p>
      <w:pPr>
        <w:ind w:right="100" w:firstLine="463"/>
        <w:spacing w:after="0" w:line="258" w:lineRule="auto"/>
        <w:rPr>
          <w:sz w:val="20"/>
          <w:szCs w:val="20"/>
          <w:color w:val="auto"/>
        </w:rPr>
      </w:pPr>
      <w:r>
        <w:rPr>
          <w:rFonts w:ascii="Arial" w:cs="Arial" w:eastAsia="Arial" w:hAnsi="Arial"/>
          <w:sz w:val="19"/>
          <w:szCs w:val="19"/>
          <w:color w:val="231F20"/>
        </w:rPr>
        <w:t>The Company’s current amended and restated certificate of incorporation, which was filed on May 28, 2021, authorizes the issuance of 10,000,000 shares of undesignated preferred stock with a par value of $0.0001 per share with rights and preferences, including voting rights, designated from time to time by the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Common Stock</w:t>
      </w:r>
    </w:p>
    <w:p>
      <w:pPr>
        <w:spacing w:after="0" w:line="184" w:lineRule="exact"/>
        <w:rPr>
          <w:sz w:val="20"/>
          <w:szCs w:val="20"/>
          <w:color w:val="auto"/>
        </w:rPr>
      </w:pPr>
    </w:p>
    <w:p>
      <w:pPr>
        <w:ind w:firstLine="463"/>
        <w:spacing w:after="0" w:line="245" w:lineRule="auto"/>
        <w:rPr>
          <w:sz w:val="20"/>
          <w:szCs w:val="20"/>
          <w:color w:val="auto"/>
        </w:rPr>
      </w:pPr>
      <w:r>
        <w:rPr>
          <w:rFonts w:ascii="Arial" w:cs="Arial" w:eastAsia="Arial" w:hAnsi="Arial"/>
          <w:sz w:val="19"/>
          <w:szCs w:val="19"/>
          <w:color w:val="231F20"/>
        </w:rPr>
        <w:t>The Company’s current amended and restated certificate of incorporation authorizes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 As of December 31, 2024 and 2023, no cash dividends have been declared or paid.</w:t>
      </w:r>
    </w:p>
    <w:p>
      <w:pPr>
        <w:spacing w:after="0" w:line="148" w:lineRule="exact"/>
        <w:rPr>
          <w:sz w:val="20"/>
          <w:szCs w:val="20"/>
          <w:color w:val="auto"/>
        </w:rPr>
      </w:pPr>
    </w:p>
    <w:p>
      <w:pPr>
        <w:ind w:right="120" w:firstLine="463"/>
        <w:spacing w:after="0" w:line="261" w:lineRule="auto"/>
        <w:rPr>
          <w:sz w:val="20"/>
          <w:szCs w:val="20"/>
          <w:color w:val="auto"/>
        </w:rPr>
      </w:pPr>
      <w:r>
        <w:rPr>
          <w:rFonts w:ascii="Arial" w:cs="Arial" w:eastAsia="Arial" w:hAnsi="Arial"/>
          <w:sz w:val="18"/>
          <w:szCs w:val="18"/>
          <w:color w:val="231F20"/>
        </w:rPr>
        <w:t>Holders of the Company's voting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w:t>
      </w:r>
    </w:p>
    <w:p>
      <w:pPr>
        <w:ind w:right="20"/>
        <w:spacing w:after="0"/>
        <w:tabs>
          <w:tab w:leader="none" w:pos="262" w:val="left"/>
        </w:tabs>
        <w:numPr>
          <w:ilvl w:val="0"/>
          <w:numId w:val="62"/>
        </w:numPr>
        <w:rPr>
          <w:rFonts w:ascii="Arial" w:cs="Arial" w:eastAsia="Arial" w:hAnsi="Arial"/>
          <w:sz w:val="19"/>
          <w:szCs w:val="19"/>
          <w:color w:val="231F20"/>
        </w:rPr>
      </w:pPr>
      <w:r>
        <w:rPr>
          <w:rFonts w:ascii="Arial" w:cs="Arial" w:eastAsia="Arial" w:hAnsi="Arial"/>
          <w:sz w:val="19"/>
          <w:szCs w:val="19"/>
          <w:color w:val="231F20"/>
        </w:rPr>
        <w:t>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Share Repurchase Program</w:t>
      </w:r>
    </w:p>
    <w:p>
      <w:pPr>
        <w:spacing w:after="0" w:line="184" w:lineRule="exact"/>
        <w:rPr>
          <w:sz w:val="20"/>
          <w:szCs w:val="20"/>
          <w:color w:val="auto"/>
        </w:rPr>
      </w:pPr>
    </w:p>
    <w:p>
      <w:pPr>
        <w:ind w:right="500" w:firstLine="463"/>
        <w:spacing w:after="0" w:line="258" w:lineRule="auto"/>
        <w:rPr>
          <w:sz w:val="20"/>
          <w:szCs w:val="20"/>
          <w:color w:val="auto"/>
        </w:rPr>
      </w:pPr>
      <w:r>
        <w:rPr>
          <w:rFonts w:ascii="Arial" w:cs="Arial" w:eastAsia="Arial" w:hAnsi="Arial"/>
          <w:sz w:val="19"/>
          <w:szCs w:val="19"/>
          <w:color w:val="231F20"/>
        </w:rPr>
        <w:t>On August 6, 2024, the Company announced a share repurchase program of up to $150 million of outstanding voting and non-voting common stock for an indefinite period as part of the Company’s capital deployment strategy (Repurchase Program).</w:t>
      </w:r>
    </w:p>
    <w:p>
      <w:pPr>
        <w:spacing w:after="0" w:line="136"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Repurchases under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and may be modified, suspended or terminated at any time without notice at the Company’s discretion.</w:t>
      </w:r>
    </w:p>
    <w:p>
      <w:pPr>
        <w:spacing w:after="0" w:line="149" w:lineRule="exact"/>
        <w:rPr>
          <w:sz w:val="20"/>
          <w:szCs w:val="20"/>
          <w:color w:val="auto"/>
        </w:rPr>
      </w:pPr>
    </w:p>
    <w:p>
      <w:pPr>
        <w:ind w:right="40" w:firstLine="463"/>
        <w:spacing w:after="0" w:line="251" w:lineRule="auto"/>
        <w:rPr>
          <w:sz w:val="20"/>
          <w:szCs w:val="20"/>
          <w:color w:val="auto"/>
        </w:rPr>
      </w:pPr>
      <w:r>
        <w:rPr>
          <w:rFonts w:ascii="Arial" w:cs="Arial" w:eastAsia="Arial" w:hAnsi="Arial"/>
          <w:sz w:val="19"/>
          <w:szCs w:val="19"/>
          <w:color w:val="231F20"/>
        </w:rPr>
        <w:t>During the year ended December 31, 2024, the Company repurchased 2,386,856 shares of its common stock for an aggregate amount, including commissions and accrued excise tax, of $45.6 million under the Repurchase Program. The repurchased shares are currently being held as treasury stock. As of December 31, 2024, approximately $104.9 million of the originally authorized amount under the Repurchase Program remained available for future repurchases.</w:t>
      </w:r>
    </w:p>
    <w:p>
      <w:pPr>
        <w:spacing w:after="0" w:line="144" w:lineRule="exact"/>
        <w:rPr>
          <w:sz w:val="20"/>
          <w:szCs w:val="20"/>
          <w:color w:val="auto"/>
        </w:rPr>
      </w:pPr>
    </w:p>
    <w:p>
      <w:pPr>
        <w:ind w:right="160" w:firstLine="463"/>
        <w:spacing w:after="0" w:line="270" w:lineRule="auto"/>
        <w:rPr>
          <w:sz w:val="20"/>
          <w:szCs w:val="20"/>
          <w:color w:val="auto"/>
        </w:rPr>
      </w:pPr>
      <w:r>
        <w:rPr>
          <w:rFonts w:ascii="Arial" w:cs="Arial" w:eastAsia="Arial" w:hAnsi="Arial"/>
          <w:sz w:val="18"/>
          <w:szCs w:val="18"/>
          <w:color w:val="231F20"/>
        </w:rPr>
        <w:t>All of the Company’s repurchases are subject to a one percent excise tax enacted by the Inflation Reduction Act of 2022 (the IRA). The amount of share repurchases subject to the excise tax are reduced by the fair market value of any shares issued during the taxable year. For the year ended December 31, 2024, the Company accrued $0.5 million of related excise tax pursuant to the IRA which is included in the cost of treasury stock on our consolidated balance sheet.</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Treasury Stock</w:t>
      </w:r>
    </w:p>
    <w:p>
      <w:pPr>
        <w:spacing w:after="0" w:line="184" w:lineRule="exact"/>
        <w:rPr>
          <w:sz w:val="20"/>
          <w:szCs w:val="20"/>
          <w:color w:val="auto"/>
        </w:rPr>
      </w:pPr>
    </w:p>
    <w:p>
      <w:pPr>
        <w:ind w:right="100" w:firstLine="463"/>
        <w:spacing w:after="0" w:line="307" w:lineRule="auto"/>
        <w:rPr>
          <w:sz w:val="20"/>
          <w:szCs w:val="20"/>
          <w:color w:val="auto"/>
        </w:rPr>
      </w:pPr>
      <w:r>
        <w:rPr>
          <w:rFonts w:ascii="Arial" w:cs="Arial" w:eastAsia="Arial" w:hAnsi="Arial"/>
          <w:sz w:val="18"/>
          <w:szCs w:val="18"/>
          <w:color w:val="231F20"/>
        </w:rPr>
        <w:t>The Company may issue treasury stock to cover the exercise of stock options and vesting of restricted stock units related to equity incentive plans. The Company issued 30,927 and 2,677 treasury shares at an average cost of $0.32 per</w:t>
      </w:r>
    </w:p>
    <w:p>
      <w:pPr>
        <w:sectPr>
          <w:pgSz w:w="12240" w:h="15840" w:orient="portrait"/>
          <w:cols w:equalWidth="0" w:num="1">
            <w:col w:w="10180"/>
          </w:cols>
          <w:pgMar w:left="1020" w:top="1440" w:right="1040" w:bottom="572"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140</w:t>
      </w:r>
    </w:p>
    <w:p>
      <w:pPr>
        <w:sectPr>
          <w:pgSz w:w="12240" w:h="15840" w:orient="portrait"/>
          <w:cols w:equalWidth="0" w:num="1">
            <w:col w:w="10180"/>
          </w:cols>
          <w:pgMar w:left="1020" w:top="1440" w:right="1040" w:bottom="572" w:gutter="0" w:footer="0" w:header="0"/>
          <w:type w:val="continuous"/>
        </w:sectPr>
      </w:pPr>
    </w:p>
    <w:bookmarkStart w:id="141" w:name="page142"/>
    <w:bookmarkEnd w:id="141"/>
    <w:p>
      <w:pPr>
        <w:spacing w:after="0" w:line="97" w:lineRule="exact"/>
        <w:rPr>
          <w:sz w:val="20"/>
          <w:szCs w:val="20"/>
          <w:color w:val="auto"/>
        </w:rPr>
      </w:pPr>
    </w:p>
    <w:p>
      <w:pPr>
        <w:ind w:right="180"/>
        <w:spacing w:after="0" w:line="278" w:lineRule="auto"/>
        <w:rPr>
          <w:sz w:val="20"/>
          <w:szCs w:val="20"/>
          <w:color w:val="auto"/>
        </w:rPr>
      </w:pPr>
      <w:r>
        <w:rPr>
          <w:rFonts w:ascii="Arial" w:cs="Arial" w:eastAsia="Arial" w:hAnsi="Arial"/>
          <w:sz w:val="19"/>
          <w:szCs w:val="19"/>
          <w:color w:val="231F20"/>
        </w:rPr>
        <w:t>share during the year ended December 31, 2024 and 2023, respectively. The Company intends to issue treasury shares as long as an adequate number of those shares is available.</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Comprehensive Loss</w:t>
      </w:r>
    </w:p>
    <w:p>
      <w:pPr>
        <w:spacing w:after="0" w:line="184" w:lineRule="exact"/>
        <w:rPr>
          <w:sz w:val="20"/>
          <w:szCs w:val="20"/>
          <w:color w:val="auto"/>
        </w:rPr>
      </w:pPr>
    </w:p>
    <w:p>
      <w:pPr>
        <w:ind w:right="20" w:firstLine="463"/>
        <w:spacing w:after="0" w:line="251" w:lineRule="auto"/>
        <w:rPr>
          <w:sz w:val="20"/>
          <w:szCs w:val="20"/>
          <w:color w:val="auto"/>
        </w:rPr>
      </w:pPr>
      <w:r>
        <w:rPr>
          <w:rFonts w:ascii="Arial" w:cs="Arial" w:eastAsia="Arial" w:hAnsi="Arial"/>
          <w:sz w:val="19"/>
          <w:szCs w:val="19"/>
          <w:color w:val="231F20"/>
        </w:rPr>
        <w:t>Comprehensive loss includes all changes in equity during the period and is comprised of net income (loss) and other comprehensive income (loss). Accumulated other comprehensive (loss) income (AOCI) reported on the Company's consolidated balance sheets for the year ended December 31, 2024 consists of foreign currency translation adjustment and the unrealized gains and losses, net of applicable taxes, on available-for-sale debt securities.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The following table summarizes the changes in AOCI for the year ended December 31, 2024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0" w:type="dxa"/>
            <w:vAlign w:val="bottom"/>
            <w:shd w:val="clear" w:color="auto" w:fill="FDFDFC"/>
          </w:tcPr>
          <w:p>
            <w:pPr>
              <w:spacing w:after="0"/>
              <w:rPr>
                <w:sz w:val="14"/>
                <w:szCs w:val="14"/>
                <w:color w:val="auto"/>
              </w:rPr>
            </w:pPr>
          </w:p>
        </w:tc>
        <w:tc>
          <w:tcPr>
            <w:tcW w:w="180" w:type="dxa"/>
            <w:vAlign w:val="bottom"/>
            <w:shd w:val="clear" w:color="auto" w:fill="FDFDFC"/>
          </w:tcPr>
          <w:p>
            <w:pPr>
              <w:spacing w:after="0"/>
              <w:rPr>
                <w:sz w:val="14"/>
                <w:szCs w:val="14"/>
                <w:color w:val="auto"/>
              </w:rPr>
            </w:pPr>
          </w:p>
        </w:tc>
        <w:tc>
          <w:tcPr>
            <w:tcW w:w="1420" w:type="dxa"/>
            <w:vAlign w:val="bottom"/>
            <w:gridSpan w:val="2"/>
            <w:shd w:val="clear" w:color="auto" w:fill="FDFDFC"/>
          </w:tcPr>
          <w:p>
            <w:pPr>
              <w:jc w:val="center"/>
              <w:spacing w:after="0"/>
              <w:rPr>
                <w:sz w:val="20"/>
                <w:szCs w:val="20"/>
                <w:color w:val="auto"/>
              </w:rPr>
            </w:pPr>
            <w:r>
              <w:rPr>
                <w:rFonts w:ascii="Arial" w:cs="Arial" w:eastAsia="Arial" w:hAnsi="Arial"/>
                <w:sz w:val="15"/>
                <w:szCs w:val="15"/>
                <w:b w:val="1"/>
                <w:bCs w:val="1"/>
                <w:color w:val="231F20"/>
              </w:rPr>
              <w:t>Unrealized Gains</w:t>
            </w:r>
          </w:p>
        </w:tc>
        <w:tc>
          <w:tcPr>
            <w:tcW w:w="1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620" w:type="dxa"/>
            <w:vAlign w:val="bottom"/>
            <w:gridSpan w:val="3"/>
            <w:vMerge w:val="restart"/>
            <w:shd w:val="clear" w:color="auto" w:fill="FDFDFC"/>
          </w:tcPr>
          <w:p>
            <w:pPr>
              <w:jc w:val="center"/>
              <w:ind w:right="200"/>
              <w:spacing w:after="0"/>
              <w:rPr>
                <w:sz w:val="20"/>
                <w:szCs w:val="20"/>
                <w:color w:val="auto"/>
              </w:rPr>
            </w:pPr>
            <w:r>
              <w:rPr>
                <w:rFonts w:ascii="Arial" w:cs="Arial" w:eastAsia="Arial" w:hAnsi="Arial"/>
                <w:sz w:val="15"/>
                <w:szCs w:val="15"/>
                <w:b w:val="1"/>
                <w:bCs w:val="1"/>
                <w:color w:val="231F20"/>
              </w:rPr>
              <w:t>Foreign Currency</w:t>
            </w:r>
          </w:p>
        </w:tc>
        <w:tc>
          <w:tcPr>
            <w:tcW w:w="160" w:type="dxa"/>
            <w:vAlign w:val="bottom"/>
            <w:shd w:val="clear" w:color="auto" w:fill="FDFDFC"/>
          </w:tcPr>
          <w:p>
            <w:pPr>
              <w:spacing w:after="0"/>
              <w:rPr>
                <w:sz w:val="14"/>
                <w:szCs w:val="14"/>
                <w:color w:val="auto"/>
              </w:rPr>
            </w:pPr>
          </w:p>
        </w:tc>
        <w:tc>
          <w:tcPr>
            <w:tcW w:w="1380" w:type="dxa"/>
            <w:vAlign w:val="bottom"/>
            <w:gridSpan w:val="2"/>
            <w:vMerge w:val="restart"/>
            <w:shd w:val="clear" w:color="auto" w:fill="FDFDFC"/>
          </w:tcPr>
          <w:p>
            <w:pPr>
              <w:jc w:val="center"/>
              <w:ind w:right="260"/>
              <w:spacing w:after="0"/>
              <w:rPr>
                <w:sz w:val="20"/>
                <w:szCs w:val="20"/>
                <w:color w:val="auto"/>
              </w:rPr>
            </w:pPr>
            <w:r>
              <w:rPr>
                <w:rFonts w:ascii="Arial" w:cs="Arial" w:eastAsia="Arial" w:hAnsi="Arial"/>
                <w:sz w:val="15"/>
                <w:szCs w:val="15"/>
                <w:b w:val="1"/>
                <w:bCs w:val="1"/>
                <w:color w:val="231F20"/>
              </w:rPr>
              <w:t>Estimated Tax</w:t>
            </w:r>
          </w:p>
        </w:tc>
        <w:tc>
          <w:tcPr>
            <w:tcW w:w="100" w:type="dxa"/>
            <w:vAlign w:val="bottom"/>
            <w:shd w:val="clear" w:color="auto" w:fill="FDFDFC"/>
          </w:tcPr>
          <w:p>
            <w:pPr>
              <w:spacing w:after="0"/>
              <w:rPr>
                <w:sz w:val="14"/>
                <w:szCs w:val="14"/>
                <w:color w:val="auto"/>
              </w:rPr>
            </w:pPr>
          </w:p>
        </w:tc>
        <w:tc>
          <w:tcPr>
            <w:tcW w:w="320" w:type="dxa"/>
            <w:vAlign w:val="bottom"/>
            <w:shd w:val="clear" w:color="auto" w:fill="FDFDFC"/>
          </w:tcPr>
          <w:p>
            <w:pPr>
              <w:spacing w:after="0"/>
              <w:rPr>
                <w:sz w:val="14"/>
                <w:szCs w:val="14"/>
                <w:color w:val="auto"/>
              </w:rPr>
            </w:pPr>
          </w:p>
        </w:tc>
        <w:tc>
          <w:tcPr>
            <w:tcW w:w="11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320" w:type="dxa"/>
            <w:vAlign w:val="bottom"/>
            <w:shd w:val="clear" w:color="auto" w:fill="FDFDFC"/>
          </w:tcPr>
          <w:p>
            <w:pPr>
              <w:jc w:val="center"/>
              <w:ind w:right="33"/>
              <w:spacing w:after="0"/>
              <w:rPr>
                <w:sz w:val="20"/>
                <w:szCs w:val="20"/>
                <w:color w:val="auto"/>
              </w:rPr>
            </w:pPr>
            <w:r>
              <w:rPr>
                <w:rFonts w:ascii="Arial" w:cs="Arial" w:eastAsia="Arial" w:hAnsi="Arial"/>
                <w:sz w:val="15"/>
                <w:szCs w:val="15"/>
                <w:b w:val="1"/>
                <w:bCs w:val="1"/>
                <w:color w:val="231F20"/>
              </w:rPr>
              <w:t>on Available-for-</w:t>
            </w: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20" w:type="dxa"/>
            <w:vAlign w:val="bottom"/>
            <w:gridSpan w:val="3"/>
            <w:vMerge w:val="continue"/>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1380" w:type="dxa"/>
            <w:vAlign w:val="bottom"/>
            <w:gridSpan w:val="2"/>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320" w:type="dxa"/>
            <w:vAlign w:val="bottom"/>
            <w:shd w:val="clear" w:color="auto" w:fill="FDFDFC"/>
          </w:tcPr>
          <w:p>
            <w:pPr>
              <w:spacing w:after="0"/>
              <w:rPr>
                <w:sz w:val="15"/>
                <w:szCs w:val="15"/>
                <w:color w:val="auto"/>
              </w:rPr>
            </w:pPr>
          </w:p>
        </w:tc>
        <w:tc>
          <w:tcPr>
            <w:tcW w:w="1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320" w:type="dxa"/>
            <w:vAlign w:val="bottom"/>
            <w:shd w:val="clear" w:color="auto" w:fill="FDFDFC"/>
          </w:tcPr>
          <w:p>
            <w:pPr>
              <w:jc w:val="center"/>
              <w:ind w:right="33"/>
              <w:spacing w:after="0"/>
              <w:rPr>
                <w:sz w:val="20"/>
                <w:szCs w:val="20"/>
                <w:color w:val="auto"/>
              </w:rPr>
            </w:pPr>
            <w:r>
              <w:rPr>
                <w:rFonts w:ascii="Arial" w:cs="Arial" w:eastAsia="Arial" w:hAnsi="Arial"/>
                <w:sz w:val="15"/>
                <w:szCs w:val="15"/>
                <w:b w:val="1"/>
                <w:bCs w:val="1"/>
                <w:color w:val="231F20"/>
              </w:rPr>
              <w:t>sale Debt</w:t>
            </w: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1420" w:type="dxa"/>
            <w:vAlign w:val="bottom"/>
            <w:gridSpan w:val="2"/>
            <w:shd w:val="clear" w:color="auto" w:fill="FDFDFC"/>
          </w:tcPr>
          <w:p>
            <w:pPr>
              <w:jc w:val="center"/>
              <w:ind w:right="400"/>
              <w:spacing w:after="0"/>
              <w:rPr>
                <w:sz w:val="20"/>
                <w:szCs w:val="20"/>
                <w:color w:val="auto"/>
              </w:rPr>
            </w:pPr>
            <w:r>
              <w:rPr>
                <w:rFonts w:ascii="Arial" w:cs="Arial" w:eastAsia="Arial" w:hAnsi="Arial"/>
                <w:sz w:val="15"/>
                <w:szCs w:val="15"/>
                <w:b w:val="1"/>
                <w:bCs w:val="1"/>
                <w:color w:val="231F20"/>
              </w:rPr>
              <w:t>Translation</w:t>
            </w:r>
          </w:p>
        </w:tc>
        <w:tc>
          <w:tcPr>
            <w:tcW w:w="160" w:type="dxa"/>
            <w:vAlign w:val="bottom"/>
            <w:shd w:val="clear" w:color="auto" w:fill="FDFDFC"/>
          </w:tcPr>
          <w:p>
            <w:pPr>
              <w:spacing w:after="0"/>
              <w:rPr>
                <w:sz w:val="15"/>
                <w:szCs w:val="15"/>
                <w:color w:val="auto"/>
              </w:rPr>
            </w:pPr>
          </w:p>
        </w:tc>
        <w:tc>
          <w:tcPr>
            <w:tcW w:w="1380" w:type="dxa"/>
            <w:vAlign w:val="bottom"/>
            <w:gridSpan w:val="2"/>
            <w:shd w:val="clear" w:color="auto" w:fill="FDFDFC"/>
          </w:tcPr>
          <w:p>
            <w:pPr>
              <w:jc w:val="center"/>
              <w:ind w:right="260"/>
              <w:spacing w:after="0"/>
              <w:rPr>
                <w:sz w:val="20"/>
                <w:szCs w:val="20"/>
                <w:color w:val="auto"/>
              </w:rPr>
            </w:pPr>
            <w:r>
              <w:rPr>
                <w:rFonts w:ascii="Arial" w:cs="Arial" w:eastAsia="Arial" w:hAnsi="Arial"/>
                <w:sz w:val="15"/>
                <w:szCs w:val="15"/>
                <w:b w:val="1"/>
                <w:bCs w:val="1"/>
                <w:color w:val="231F20"/>
              </w:rPr>
              <w:t>(Expense)</w:t>
            </w:r>
          </w:p>
        </w:tc>
        <w:tc>
          <w:tcPr>
            <w:tcW w:w="100" w:type="dxa"/>
            <w:vAlign w:val="bottom"/>
            <w:shd w:val="clear" w:color="auto" w:fill="FDFDFC"/>
          </w:tcPr>
          <w:p>
            <w:pPr>
              <w:spacing w:after="0"/>
              <w:rPr>
                <w:sz w:val="15"/>
                <w:szCs w:val="15"/>
                <w:color w:val="auto"/>
              </w:rPr>
            </w:pPr>
          </w:p>
        </w:tc>
        <w:tc>
          <w:tcPr>
            <w:tcW w:w="320" w:type="dxa"/>
            <w:vAlign w:val="bottom"/>
            <w:shd w:val="clear" w:color="auto" w:fill="FDFDFC"/>
          </w:tcPr>
          <w:p>
            <w:pPr>
              <w:spacing w:after="0"/>
              <w:rPr>
                <w:sz w:val="15"/>
                <w:szCs w:val="15"/>
                <w:color w:val="auto"/>
              </w:rPr>
            </w:pPr>
          </w:p>
        </w:tc>
        <w:tc>
          <w:tcPr>
            <w:tcW w:w="1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320" w:type="dxa"/>
            <w:vAlign w:val="bottom"/>
            <w:shd w:val="clear" w:color="auto" w:fill="FDFDFC"/>
          </w:tcPr>
          <w:p>
            <w:pPr>
              <w:jc w:val="center"/>
              <w:ind w:right="33"/>
              <w:spacing w:after="0"/>
              <w:rPr>
                <w:sz w:val="20"/>
                <w:szCs w:val="20"/>
                <w:color w:val="auto"/>
              </w:rPr>
            </w:pPr>
            <w:r>
              <w:rPr>
                <w:rFonts w:ascii="Arial" w:cs="Arial" w:eastAsia="Arial" w:hAnsi="Arial"/>
                <w:sz w:val="15"/>
                <w:szCs w:val="15"/>
                <w:b w:val="1"/>
                <w:bCs w:val="1"/>
                <w:color w:val="231F20"/>
              </w:rPr>
              <w:t>Securities, net</w:t>
            </w: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1420" w:type="dxa"/>
            <w:vAlign w:val="bottom"/>
            <w:gridSpan w:val="2"/>
            <w:shd w:val="clear" w:color="auto" w:fill="FDFDFC"/>
          </w:tcPr>
          <w:p>
            <w:pPr>
              <w:jc w:val="center"/>
              <w:ind w:right="400"/>
              <w:spacing w:after="0"/>
              <w:rPr>
                <w:sz w:val="20"/>
                <w:szCs w:val="20"/>
                <w:color w:val="auto"/>
              </w:rPr>
            </w:pPr>
            <w:r>
              <w:rPr>
                <w:rFonts w:ascii="Arial" w:cs="Arial" w:eastAsia="Arial" w:hAnsi="Arial"/>
                <w:sz w:val="15"/>
                <w:szCs w:val="15"/>
                <w:b w:val="1"/>
                <w:bCs w:val="1"/>
                <w:color w:val="231F20"/>
                <w:w w:val="99"/>
              </w:rPr>
              <w:t>Adjustment</w:t>
            </w:r>
          </w:p>
        </w:tc>
        <w:tc>
          <w:tcPr>
            <w:tcW w:w="160" w:type="dxa"/>
            <w:vAlign w:val="bottom"/>
            <w:shd w:val="clear" w:color="auto" w:fill="FDFDFC"/>
          </w:tcPr>
          <w:p>
            <w:pPr>
              <w:spacing w:after="0"/>
              <w:rPr>
                <w:sz w:val="16"/>
                <w:szCs w:val="16"/>
                <w:color w:val="auto"/>
              </w:rPr>
            </w:pPr>
          </w:p>
        </w:tc>
        <w:tc>
          <w:tcPr>
            <w:tcW w:w="1380" w:type="dxa"/>
            <w:vAlign w:val="bottom"/>
            <w:gridSpan w:val="2"/>
            <w:shd w:val="clear" w:color="auto" w:fill="FDFDFC"/>
          </w:tcPr>
          <w:p>
            <w:pPr>
              <w:jc w:val="center"/>
              <w:ind w:right="260"/>
              <w:spacing w:after="0"/>
              <w:rPr>
                <w:sz w:val="20"/>
                <w:szCs w:val="20"/>
                <w:color w:val="auto"/>
              </w:rPr>
            </w:pPr>
            <w:r>
              <w:rPr>
                <w:rFonts w:ascii="Arial" w:cs="Arial" w:eastAsia="Arial" w:hAnsi="Arial"/>
                <w:sz w:val="15"/>
                <w:szCs w:val="15"/>
                <w:b w:val="1"/>
                <w:bCs w:val="1"/>
                <w:color w:val="231F20"/>
              </w:rPr>
              <w:t>Benefit</w:t>
            </w:r>
          </w:p>
        </w:tc>
        <w:tc>
          <w:tcPr>
            <w:tcW w:w="100" w:type="dxa"/>
            <w:vAlign w:val="bottom"/>
            <w:shd w:val="clear" w:color="auto" w:fill="FDFDFC"/>
          </w:tcPr>
          <w:p>
            <w:pPr>
              <w:spacing w:after="0"/>
              <w:rPr>
                <w:sz w:val="16"/>
                <w:szCs w:val="16"/>
                <w:color w:val="auto"/>
              </w:rPr>
            </w:pPr>
          </w:p>
        </w:tc>
        <w:tc>
          <w:tcPr>
            <w:tcW w:w="320" w:type="dxa"/>
            <w:vAlign w:val="bottom"/>
            <w:shd w:val="clear" w:color="auto" w:fill="FDFDFC"/>
          </w:tcPr>
          <w:p>
            <w:pPr>
              <w:spacing w:after="0"/>
              <w:rPr>
                <w:sz w:val="16"/>
                <w:szCs w:val="16"/>
                <w:color w:val="auto"/>
              </w:rPr>
            </w:pPr>
          </w:p>
        </w:tc>
        <w:tc>
          <w:tcPr>
            <w:tcW w:w="1220" w:type="dxa"/>
            <w:vAlign w:val="bottom"/>
            <w:gridSpan w:val="2"/>
            <w:shd w:val="clear" w:color="auto" w:fill="FDFDFC"/>
          </w:tcPr>
          <w:p>
            <w:pPr>
              <w:jc w:val="right"/>
              <w:ind w:right="640"/>
              <w:spacing w:after="0"/>
              <w:rPr>
                <w:sz w:val="20"/>
                <w:szCs w:val="20"/>
                <w:color w:val="auto"/>
              </w:rPr>
            </w:pPr>
            <w:r>
              <w:rPr>
                <w:rFonts w:ascii="Arial" w:cs="Arial" w:eastAsia="Arial" w:hAnsi="Arial"/>
                <w:sz w:val="15"/>
                <w:szCs w:val="15"/>
                <w:b w:val="1"/>
                <w:bCs w:val="1"/>
                <w:color w:val="231F20"/>
              </w:rPr>
              <w:t>Total</w:t>
            </w:r>
          </w:p>
        </w:tc>
        <w:tc>
          <w:tcPr>
            <w:tcW w:w="0" w:type="dxa"/>
            <w:vAlign w:val="bottom"/>
          </w:tcPr>
          <w:p>
            <w:pPr>
              <w:spacing w:after="0"/>
              <w:rPr>
                <w:sz w:val="1"/>
                <w:szCs w:val="1"/>
                <w:color w:val="auto"/>
              </w:rPr>
            </w:pPr>
          </w:p>
        </w:tc>
      </w:tr>
      <w:tr>
        <w:trPr>
          <w:trHeight w:val="207"/>
        </w:trPr>
        <w:tc>
          <w:tcPr>
            <w:tcW w:w="3600" w:type="dxa"/>
            <w:vAlign w:val="bottom"/>
            <w:tcBorders>
              <w:top w:val="single" w:sz="8" w:color="D0EBF2"/>
            </w:tcBorders>
            <w:shd w:val="clear" w:color="auto" w:fill="D0EBF2"/>
          </w:tcPr>
          <w:p>
            <w:pPr>
              <w:spacing w:after="0" w:line="207" w:lineRule="exact"/>
              <w:rPr>
                <w:sz w:val="20"/>
                <w:szCs w:val="20"/>
                <w:color w:val="auto"/>
              </w:rPr>
            </w:pPr>
            <w:r>
              <w:rPr>
                <w:rFonts w:ascii="Arial" w:cs="Arial" w:eastAsia="Arial" w:hAnsi="Arial"/>
                <w:sz w:val="19"/>
                <w:szCs w:val="19"/>
                <w:color w:val="231F20"/>
              </w:rPr>
              <w:t>Beginning balance</w:t>
            </w:r>
          </w:p>
        </w:tc>
        <w:tc>
          <w:tcPr>
            <w:tcW w:w="18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w w:val="75"/>
              </w:rPr>
              <w:t>$</w:t>
            </w:r>
          </w:p>
        </w:tc>
        <w:tc>
          <w:tcPr>
            <w:tcW w:w="132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w:t>
            </w:r>
          </w:p>
        </w:tc>
        <w:tc>
          <w:tcPr>
            <w:tcW w:w="100" w:type="dxa"/>
            <w:vAlign w:val="bottom"/>
            <w:tcBorders>
              <w:top w:val="single" w:sz="8" w:color="D0EBF2"/>
            </w:tcBorders>
            <w:shd w:val="clear" w:color="auto" w:fill="D0EBF2"/>
          </w:tcPr>
          <w:p>
            <w:pPr>
              <w:spacing w:after="0"/>
              <w:rPr>
                <w:sz w:val="17"/>
                <w:szCs w:val="17"/>
                <w:color w:val="auto"/>
              </w:rPr>
            </w:pPr>
          </w:p>
        </w:tc>
        <w:tc>
          <w:tcPr>
            <w:tcW w:w="300" w:type="dxa"/>
            <w:vAlign w:val="bottom"/>
            <w:tcBorders>
              <w:top w:val="single" w:sz="8" w:color="231F20"/>
            </w:tcBorders>
            <w:gridSpan w:val="2"/>
            <w:shd w:val="clear" w:color="auto" w:fill="D0EBF2"/>
          </w:tcPr>
          <w:p>
            <w:pPr>
              <w:jc w:val="right"/>
              <w:ind w:right="15"/>
              <w:spacing w:after="0" w:line="207" w:lineRule="exact"/>
              <w:rPr>
                <w:sz w:val="20"/>
                <w:szCs w:val="20"/>
                <w:color w:val="auto"/>
              </w:rPr>
            </w:pPr>
            <w:r>
              <w:rPr>
                <w:rFonts w:ascii="Arial" w:cs="Arial" w:eastAsia="Arial" w:hAnsi="Arial"/>
                <w:sz w:val="19"/>
                <w:szCs w:val="19"/>
                <w:color w:val="231F20"/>
              </w:rPr>
              <w:t>$</w:t>
            </w:r>
          </w:p>
        </w:tc>
        <w:tc>
          <w:tcPr>
            <w:tcW w:w="122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1,320</w:t>
            </w:r>
          </w:p>
        </w:tc>
        <w:tc>
          <w:tcPr>
            <w:tcW w:w="200" w:type="dxa"/>
            <w:vAlign w:val="bottom"/>
            <w:tcBorders>
              <w:top w:val="single" w:sz="8" w:color="D0EBF2"/>
            </w:tcBorders>
            <w:shd w:val="clear" w:color="auto" w:fill="D0EBF2"/>
          </w:tcPr>
          <w:p>
            <w:pPr>
              <w:spacing w:after="0"/>
              <w:rPr>
                <w:sz w:val="17"/>
                <w:szCs w:val="17"/>
                <w:color w:val="auto"/>
              </w:rPr>
            </w:pPr>
          </w:p>
        </w:tc>
        <w:tc>
          <w:tcPr>
            <w:tcW w:w="16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w w:val="94"/>
              </w:rPr>
              <w:t>$</w:t>
            </w:r>
          </w:p>
        </w:tc>
        <w:tc>
          <w:tcPr>
            <w:tcW w:w="1280" w:type="dxa"/>
            <w:vAlign w:val="bottom"/>
            <w:tcBorders>
              <w:top w:val="single" w:sz="8" w:color="231F20"/>
            </w:tcBorders>
            <w:shd w:val="clear" w:color="auto" w:fill="D0EBF2"/>
          </w:tcPr>
          <w:p>
            <w:pPr>
              <w:ind w:left="1080"/>
              <w:spacing w:after="0" w:line="207" w:lineRule="exact"/>
              <w:rPr>
                <w:sz w:val="20"/>
                <w:szCs w:val="20"/>
                <w:color w:val="auto"/>
              </w:rPr>
            </w:pPr>
            <w:r>
              <w:rPr>
                <w:rFonts w:ascii="Arial" w:cs="Arial" w:eastAsia="Arial" w:hAnsi="Arial"/>
                <w:sz w:val="19"/>
                <w:szCs w:val="19"/>
                <w:color w:val="231F20"/>
                <w:w w:val="94"/>
              </w:rPr>
              <w:t>—</w:t>
            </w:r>
          </w:p>
        </w:tc>
        <w:tc>
          <w:tcPr>
            <w:tcW w:w="10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D0EBF2"/>
            </w:tcBorders>
            <w:shd w:val="clear" w:color="auto" w:fill="D0EBF2"/>
          </w:tcPr>
          <w:p>
            <w:pPr>
              <w:spacing w:after="0"/>
              <w:rPr>
                <w:sz w:val="17"/>
                <w:szCs w:val="17"/>
                <w:color w:val="auto"/>
              </w:rPr>
            </w:pPr>
          </w:p>
        </w:tc>
        <w:tc>
          <w:tcPr>
            <w:tcW w:w="320" w:type="dxa"/>
            <w:vAlign w:val="bottom"/>
            <w:tcBorders>
              <w:top w:val="single" w:sz="8" w:color="231F20"/>
            </w:tcBorders>
            <w:shd w:val="clear" w:color="auto" w:fill="D0EBF2"/>
          </w:tcPr>
          <w:p>
            <w:pPr>
              <w:jc w:val="right"/>
              <w:ind w:right="126"/>
              <w:spacing w:after="0" w:line="207" w:lineRule="exact"/>
              <w:rPr>
                <w:sz w:val="20"/>
                <w:szCs w:val="20"/>
                <w:color w:val="auto"/>
              </w:rPr>
            </w:pPr>
            <w:r>
              <w:rPr>
                <w:rFonts w:ascii="Arial" w:cs="Arial" w:eastAsia="Arial" w:hAnsi="Arial"/>
                <w:sz w:val="19"/>
                <w:szCs w:val="19"/>
                <w:color w:val="231F20"/>
                <w:w w:val="75"/>
              </w:rPr>
              <w:t>$</w:t>
            </w:r>
          </w:p>
        </w:tc>
        <w:tc>
          <w:tcPr>
            <w:tcW w:w="1120" w:type="dxa"/>
            <w:vAlign w:val="bottom"/>
            <w:tcBorders>
              <w:top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1,320</w:t>
            </w:r>
          </w:p>
        </w:tc>
        <w:tc>
          <w:tcPr>
            <w:tcW w:w="100" w:type="dxa"/>
            <w:vAlign w:val="bottom"/>
            <w:tcBorders>
              <w:top w:val="single" w:sz="8" w:color="D0EBF2"/>
            </w:tcBorders>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00" w:type="dxa"/>
            <w:vAlign w:val="bottom"/>
            <w:shd w:val="clear" w:color="auto" w:fill="FDFDFC"/>
          </w:tcPr>
          <w:p>
            <w:pPr>
              <w:spacing w:after="0" w:line="200" w:lineRule="exact"/>
              <w:rPr>
                <w:sz w:val="20"/>
                <w:szCs w:val="20"/>
                <w:color w:val="auto"/>
              </w:rPr>
            </w:pPr>
            <w:r>
              <w:rPr>
                <w:rFonts w:ascii="Arial" w:cs="Arial" w:eastAsia="Arial" w:hAnsi="Arial"/>
                <w:sz w:val="19"/>
                <w:szCs w:val="19"/>
                <w:color w:val="231F20"/>
              </w:rPr>
              <w:t>Other comprehensive income</w:t>
            </w:r>
          </w:p>
        </w:tc>
        <w:tc>
          <w:tcPr>
            <w:tcW w:w="180" w:type="dxa"/>
            <w:vAlign w:val="bottom"/>
            <w:shd w:val="clear" w:color="auto" w:fill="FDFDFC"/>
          </w:tcPr>
          <w:p>
            <w:pPr>
              <w:spacing w:after="0"/>
              <w:rPr>
                <w:sz w:val="17"/>
                <w:szCs w:val="17"/>
                <w:color w:val="auto"/>
              </w:rPr>
            </w:pPr>
          </w:p>
        </w:tc>
        <w:tc>
          <w:tcPr>
            <w:tcW w:w="100" w:type="dxa"/>
            <w:vAlign w:val="bottom"/>
            <w:shd w:val="clear" w:color="auto" w:fill="FDFDFC"/>
          </w:tcPr>
          <w:p>
            <w:pPr>
              <w:spacing w:after="0"/>
              <w:rPr>
                <w:sz w:val="17"/>
                <w:szCs w:val="17"/>
                <w:color w:val="auto"/>
              </w:rPr>
            </w:pPr>
          </w:p>
        </w:tc>
        <w:tc>
          <w:tcPr>
            <w:tcW w:w="132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208</w:t>
            </w:r>
          </w:p>
        </w:tc>
        <w:tc>
          <w:tcPr>
            <w:tcW w:w="100" w:type="dxa"/>
            <w:vAlign w:val="bottom"/>
            <w:shd w:val="clear" w:color="auto" w:fill="FDFDFC"/>
          </w:tcPr>
          <w:p>
            <w:pPr>
              <w:spacing w:after="0"/>
              <w:rPr>
                <w:sz w:val="17"/>
                <w:szCs w:val="17"/>
                <w:color w:val="auto"/>
              </w:rPr>
            </w:pPr>
          </w:p>
        </w:tc>
        <w:tc>
          <w:tcPr>
            <w:tcW w:w="100" w:type="dxa"/>
            <w:vAlign w:val="bottom"/>
            <w:shd w:val="clear" w:color="auto" w:fill="FDFDFC"/>
          </w:tcPr>
          <w:p>
            <w:pPr>
              <w:spacing w:after="0"/>
              <w:rPr>
                <w:sz w:val="17"/>
                <w:szCs w:val="17"/>
                <w:color w:val="auto"/>
              </w:rPr>
            </w:pPr>
          </w:p>
        </w:tc>
        <w:tc>
          <w:tcPr>
            <w:tcW w:w="200" w:type="dxa"/>
            <w:vAlign w:val="bottom"/>
            <w:shd w:val="clear" w:color="auto" w:fill="FDFDFC"/>
          </w:tcPr>
          <w:p>
            <w:pPr>
              <w:spacing w:after="0"/>
              <w:rPr>
                <w:sz w:val="17"/>
                <w:szCs w:val="17"/>
                <w:color w:val="auto"/>
              </w:rPr>
            </w:pPr>
          </w:p>
        </w:tc>
        <w:tc>
          <w:tcPr>
            <w:tcW w:w="1420" w:type="dxa"/>
            <w:vAlign w:val="bottom"/>
            <w:gridSpan w:val="2"/>
            <w:vMerge w:val="restart"/>
            <w:shd w:val="clear" w:color="auto" w:fill="FDFDFC"/>
          </w:tcPr>
          <w:p>
            <w:pPr>
              <w:jc w:val="right"/>
              <w:ind w:right="140"/>
              <w:spacing w:after="0"/>
              <w:rPr>
                <w:sz w:val="20"/>
                <w:szCs w:val="20"/>
                <w:color w:val="auto"/>
              </w:rPr>
            </w:pPr>
            <w:r>
              <w:rPr>
                <w:rFonts w:ascii="Arial" w:cs="Arial" w:eastAsia="Arial" w:hAnsi="Arial"/>
                <w:sz w:val="19"/>
                <w:szCs w:val="19"/>
                <w:color w:val="231F20"/>
              </w:rPr>
              <w:t>(3,594)</w:t>
            </w:r>
          </w:p>
        </w:tc>
        <w:tc>
          <w:tcPr>
            <w:tcW w:w="160" w:type="dxa"/>
            <w:vAlign w:val="bottom"/>
            <w:shd w:val="clear" w:color="auto" w:fill="FDFDFC"/>
          </w:tcPr>
          <w:p>
            <w:pPr>
              <w:spacing w:after="0"/>
              <w:rPr>
                <w:sz w:val="17"/>
                <w:szCs w:val="17"/>
                <w:color w:val="auto"/>
              </w:rPr>
            </w:pPr>
          </w:p>
        </w:tc>
        <w:tc>
          <w:tcPr>
            <w:tcW w:w="1380" w:type="dxa"/>
            <w:vAlign w:val="bottom"/>
            <w:gridSpan w:val="2"/>
            <w:vMerge w:val="restart"/>
            <w:shd w:val="clear" w:color="auto" w:fill="FDFDFC"/>
          </w:tcPr>
          <w:p>
            <w:pPr>
              <w:ind w:left="1080"/>
              <w:spacing w:after="0"/>
              <w:rPr>
                <w:sz w:val="20"/>
                <w:szCs w:val="20"/>
                <w:color w:val="auto"/>
              </w:rPr>
            </w:pPr>
            <w:r>
              <w:rPr>
                <w:rFonts w:ascii="Arial" w:cs="Arial" w:eastAsia="Arial" w:hAnsi="Arial"/>
                <w:sz w:val="19"/>
                <w:szCs w:val="19"/>
                <w:color w:val="231F20"/>
              </w:rPr>
              <w:t>—</w:t>
            </w:r>
          </w:p>
        </w:tc>
        <w:tc>
          <w:tcPr>
            <w:tcW w:w="100" w:type="dxa"/>
            <w:vAlign w:val="bottom"/>
            <w:shd w:val="clear" w:color="auto" w:fill="FDFDFC"/>
          </w:tcPr>
          <w:p>
            <w:pPr>
              <w:spacing w:after="0"/>
              <w:rPr>
                <w:sz w:val="17"/>
                <w:szCs w:val="17"/>
                <w:color w:val="auto"/>
              </w:rPr>
            </w:pPr>
          </w:p>
        </w:tc>
        <w:tc>
          <w:tcPr>
            <w:tcW w:w="320" w:type="dxa"/>
            <w:vAlign w:val="bottom"/>
            <w:shd w:val="clear" w:color="auto" w:fill="FDFDFC"/>
          </w:tcPr>
          <w:p>
            <w:pPr>
              <w:spacing w:after="0"/>
              <w:rPr>
                <w:sz w:val="17"/>
                <w:szCs w:val="17"/>
                <w:color w:val="auto"/>
              </w:rPr>
            </w:pPr>
          </w:p>
        </w:tc>
        <w:tc>
          <w:tcPr>
            <w:tcW w:w="1220" w:type="dxa"/>
            <w:vAlign w:val="bottom"/>
            <w:gridSpan w:val="2"/>
            <w:vMerge w:val="restart"/>
            <w:shd w:val="clear" w:color="auto" w:fill="FDFDFC"/>
          </w:tcPr>
          <w:p>
            <w:pPr>
              <w:jc w:val="right"/>
              <w:ind w:right="40"/>
              <w:spacing w:after="0"/>
              <w:rPr>
                <w:sz w:val="20"/>
                <w:szCs w:val="20"/>
                <w:color w:val="auto"/>
              </w:rPr>
            </w:pPr>
            <w:r>
              <w:rPr>
                <w:rFonts w:ascii="Arial" w:cs="Arial" w:eastAsia="Arial" w:hAnsi="Arial"/>
                <w:sz w:val="19"/>
                <w:szCs w:val="19"/>
                <w:color w:val="231F20"/>
              </w:rPr>
              <w:t>(3,386)</w:t>
            </w:r>
          </w:p>
        </w:tc>
        <w:tc>
          <w:tcPr>
            <w:tcW w:w="0" w:type="dxa"/>
            <w:vAlign w:val="bottom"/>
          </w:tcPr>
          <w:p>
            <w:pPr>
              <w:spacing w:after="0"/>
              <w:rPr>
                <w:sz w:val="1"/>
                <w:szCs w:val="1"/>
                <w:color w:val="auto"/>
              </w:rPr>
            </w:pPr>
          </w:p>
        </w:tc>
      </w:tr>
      <w:tr>
        <w:trPr>
          <w:trHeight w:val="235"/>
        </w:trPr>
        <w:tc>
          <w:tcPr>
            <w:tcW w:w="3600" w:type="dxa"/>
            <w:vAlign w:val="bottom"/>
            <w:shd w:val="clear" w:color="auto" w:fill="FDFDFC"/>
          </w:tcPr>
          <w:p>
            <w:pPr>
              <w:ind w:left="160"/>
              <w:spacing w:after="0"/>
              <w:rPr>
                <w:sz w:val="20"/>
                <w:szCs w:val="20"/>
                <w:color w:val="auto"/>
              </w:rPr>
            </w:pPr>
            <w:r>
              <w:rPr>
                <w:rFonts w:ascii="Arial" w:cs="Arial" w:eastAsia="Arial" w:hAnsi="Arial"/>
                <w:sz w:val="19"/>
                <w:szCs w:val="19"/>
                <w:color w:val="231F20"/>
              </w:rPr>
              <w:t>(loss) before reclassifications</w:t>
            </w:r>
          </w:p>
        </w:tc>
        <w:tc>
          <w:tcPr>
            <w:tcW w:w="18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320" w:type="dxa"/>
            <w:vAlign w:val="bottom"/>
            <w:vMerge w:val="continue"/>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420" w:type="dxa"/>
            <w:vAlign w:val="bottom"/>
            <w:gridSpan w:val="2"/>
            <w:vMerge w:val="continue"/>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1380" w:type="dxa"/>
            <w:vAlign w:val="bottom"/>
            <w:gridSpan w:val="2"/>
            <w:vMerge w:val="continue"/>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220" w:type="dxa"/>
            <w:vAlign w:val="bottom"/>
            <w:gridSpan w:val="2"/>
            <w:vMerge w:val="continue"/>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600" w:type="dxa"/>
            <w:vAlign w:val="bottom"/>
            <w:shd w:val="clear" w:color="auto" w:fill="D0EBF2"/>
          </w:tcPr>
          <w:p>
            <w:pPr>
              <w:ind w:left="140"/>
              <w:spacing w:after="0" w:line="200" w:lineRule="exact"/>
              <w:rPr>
                <w:sz w:val="20"/>
                <w:szCs w:val="20"/>
                <w:color w:val="auto"/>
              </w:rPr>
            </w:pPr>
            <w:r>
              <w:rPr>
                <w:rFonts w:ascii="Arial" w:cs="Arial" w:eastAsia="Arial" w:hAnsi="Arial"/>
                <w:sz w:val="19"/>
                <w:szCs w:val="19"/>
                <w:color w:val="231F20"/>
              </w:rPr>
              <w:t>Less: Amount of gain (loss) reclassified</w:t>
            </w:r>
          </w:p>
        </w:tc>
        <w:tc>
          <w:tcPr>
            <w:tcW w:w="18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32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10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200" w:type="dxa"/>
            <w:vAlign w:val="bottom"/>
            <w:shd w:val="clear" w:color="auto" w:fill="D0EBF2"/>
          </w:tcPr>
          <w:p>
            <w:pPr>
              <w:spacing w:after="0"/>
              <w:rPr>
                <w:sz w:val="17"/>
                <w:szCs w:val="17"/>
                <w:color w:val="auto"/>
              </w:rPr>
            </w:pPr>
          </w:p>
        </w:tc>
        <w:tc>
          <w:tcPr>
            <w:tcW w:w="1420" w:type="dxa"/>
            <w:vAlign w:val="bottom"/>
            <w:gridSpan w:val="2"/>
            <w:vMerge w:val="restart"/>
            <w:shd w:val="clear" w:color="auto" w:fill="D0EBF2"/>
          </w:tcPr>
          <w:p>
            <w:pPr>
              <w:jc w:val="right"/>
              <w:ind w:right="200"/>
              <w:spacing w:after="0"/>
              <w:rPr>
                <w:sz w:val="20"/>
                <w:szCs w:val="20"/>
                <w:color w:val="auto"/>
              </w:rPr>
            </w:pPr>
            <w:r>
              <w:rPr>
                <w:rFonts w:ascii="Arial" w:cs="Arial" w:eastAsia="Arial" w:hAnsi="Arial"/>
                <w:sz w:val="19"/>
                <w:szCs w:val="19"/>
                <w:color w:val="231F20"/>
              </w:rPr>
              <w:t>—</w:t>
            </w:r>
          </w:p>
        </w:tc>
        <w:tc>
          <w:tcPr>
            <w:tcW w:w="160" w:type="dxa"/>
            <w:vAlign w:val="bottom"/>
            <w:shd w:val="clear" w:color="auto" w:fill="D0EBF2"/>
          </w:tcPr>
          <w:p>
            <w:pPr>
              <w:spacing w:after="0"/>
              <w:rPr>
                <w:sz w:val="17"/>
                <w:szCs w:val="17"/>
                <w:color w:val="auto"/>
              </w:rPr>
            </w:pPr>
          </w:p>
        </w:tc>
        <w:tc>
          <w:tcPr>
            <w:tcW w:w="1380" w:type="dxa"/>
            <w:vAlign w:val="bottom"/>
            <w:gridSpan w:val="2"/>
            <w:vMerge w:val="restart"/>
            <w:shd w:val="clear" w:color="auto" w:fill="D0EBF2"/>
          </w:tcPr>
          <w:p>
            <w:pPr>
              <w:ind w:left="1080"/>
              <w:spacing w:after="0"/>
              <w:rPr>
                <w:sz w:val="20"/>
                <w:szCs w:val="20"/>
                <w:color w:val="auto"/>
              </w:rPr>
            </w:pPr>
            <w:r>
              <w:rPr>
                <w:rFonts w:ascii="Arial" w:cs="Arial" w:eastAsia="Arial" w:hAnsi="Arial"/>
                <w:sz w:val="19"/>
                <w:szCs w:val="19"/>
                <w:color w:val="231F20"/>
              </w:rPr>
              <w:t>—</w:t>
            </w:r>
          </w:p>
        </w:tc>
        <w:tc>
          <w:tcPr>
            <w:tcW w:w="100" w:type="dxa"/>
            <w:vAlign w:val="bottom"/>
            <w:shd w:val="clear" w:color="auto" w:fill="D0EBF2"/>
          </w:tcPr>
          <w:p>
            <w:pPr>
              <w:spacing w:after="0"/>
              <w:rPr>
                <w:sz w:val="17"/>
                <w:szCs w:val="17"/>
                <w:color w:val="auto"/>
              </w:rPr>
            </w:pPr>
          </w:p>
        </w:tc>
        <w:tc>
          <w:tcPr>
            <w:tcW w:w="320" w:type="dxa"/>
            <w:vAlign w:val="bottom"/>
            <w:shd w:val="clear" w:color="auto" w:fill="D0EBF2"/>
          </w:tcPr>
          <w:p>
            <w:pPr>
              <w:spacing w:after="0"/>
              <w:rPr>
                <w:sz w:val="17"/>
                <w:szCs w:val="17"/>
                <w:color w:val="auto"/>
              </w:rPr>
            </w:pPr>
          </w:p>
        </w:tc>
        <w:tc>
          <w:tcPr>
            <w:tcW w:w="1220" w:type="dxa"/>
            <w:vAlign w:val="bottom"/>
            <w:gridSpan w:val="2"/>
            <w:vMerge w:val="restart"/>
            <w:shd w:val="clear" w:color="auto" w:fill="D0EBF2"/>
          </w:tcPr>
          <w:p>
            <w:pPr>
              <w:jc w:val="right"/>
              <w:ind w:right="100"/>
              <w:spacing w:after="0"/>
              <w:rPr>
                <w:sz w:val="20"/>
                <w:szCs w:val="20"/>
                <w:color w:val="auto"/>
              </w:rPr>
            </w:pPr>
            <w:r>
              <w:rPr>
                <w:rFonts w:ascii="Arial" w:cs="Arial" w:eastAsia="Arial" w:hAnsi="Arial"/>
                <w:sz w:val="19"/>
                <w:szCs w:val="19"/>
                <w:color w:val="231F20"/>
              </w:rPr>
              <w:t>—</w:t>
            </w:r>
          </w:p>
        </w:tc>
        <w:tc>
          <w:tcPr>
            <w:tcW w:w="0" w:type="dxa"/>
            <w:vAlign w:val="bottom"/>
          </w:tcPr>
          <w:p>
            <w:pPr>
              <w:spacing w:after="0"/>
              <w:rPr>
                <w:sz w:val="1"/>
                <w:szCs w:val="1"/>
                <w:color w:val="auto"/>
              </w:rPr>
            </w:pPr>
          </w:p>
        </w:tc>
      </w:tr>
      <w:tr>
        <w:trPr>
          <w:trHeight w:val="255"/>
        </w:trPr>
        <w:tc>
          <w:tcPr>
            <w:tcW w:w="3600" w:type="dxa"/>
            <w:vAlign w:val="bottom"/>
            <w:shd w:val="clear" w:color="auto" w:fill="D0EBF2"/>
          </w:tcPr>
          <w:p>
            <w:pPr>
              <w:ind w:left="280"/>
              <w:spacing w:after="0"/>
              <w:rPr>
                <w:sz w:val="20"/>
                <w:szCs w:val="20"/>
                <w:color w:val="auto"/>
              </w:rPr>
            </w:pPr>
            <w:r>
              <w:rPr>
                <w:rFonts w:ascii="Arial" w:cs="Arial" w:eastAsia="Arial" w:hAnsi="Arial"/>
                <w:sz w:val="19"/>
                <w:szCs w:val="19"/>
                <w:color w:val="231F20"/>
              </w:rPr>
              <w:t>from AOCI</w:t>
            </w:r>
          </w:p>
        </w:tc>
        <w:tc>
          <w:tcPr>
            <w:tcW w:w="180" w:type="dxa"/>
            <w:vAlign w:val="bottom"/>
            <w:shd w:val="clear" w:color="auto" w:fill="D0EBF2"/>
          </w:tcPr>
          <w:p>
            <w:pPr>
              <w:spacing w:after="0"/>
              <w:rPr>
                <w:sz w:val="22"/>
                <w:szCs w:val="22"/>
                <w:color w:val="auto"/>
              </w:rPr>
            </w:pPr>
          </w:p>
        </w:tc>
        <w:tc>
          <w:tcPr>
            <w:tcW w:w="100" w:type="dxa"/>
            <w:vAlign w:val="bottom"/>
            <w:shd w:val="clear" w:color="auto" w:fill="D0EBF2"/>
          </w:tcPr>
          <w:p>
            <w:pPr>
              <w:spacing w:after="0"/>
              <w:rPr>
                <w:sz w:val="22"/>
                <w:szCs w:val="22"/>
                <w:color w:val="auto"/>
              </w:rPr>
            </w:pPr>
          </w:p>
        </w:tc>
        <w:tc>
          <w:tcPr>
            <w:tcW w:w="1320" w:type="dxa"/>
            <w:vAlign w:val="bottom"/>
            <w:vMerge w:val="continue"/>
            <w:shd w:val="clear" w:color="auto" w:fill="D0EBF2"/>
          </w:tcPr>
          <w:p>
            <w:pPr>
              <w:spacing w:after="0"/>
              <w:rPr>
                <w:sz w:val="22"/>
                <w:szCs w:val="22"/>
                <w:color w:val="auto"/>
              </w:rPr>
            </w:pPr>
          </w:p>
        </w:tc>
        <w:tc>
          <w:tcPr>
            <w:tcW w:w="100" w:type="dxa"/>
            <w:vAlign w:val="bottom"/>
            <w:shd w:val="clear" w:color="auto" w:fill="D0EBF2"/>
          </w:tcPr>
          <w:p>
            <w:pPr>
              <w:spacing w:after="0"/>
              <w:rPr>
                <w:sz w:val="22"/>
                <w:szCs w:val="22"/>
                <w:color w:val="auto"/>
              </w:rPr>
            </w:pPr>
          </w:p>
        </w:tc>
        <w:tc>
          <w:tcPr>
            <w:tcW w:w="100" w:type="dxa"/>
            <w:vAlign w:val="bottom"/>
            <w:shd w:val="clear" w:color="auto" w:fill="D0EBF2"/>
          </w:tcPr>
          <w:p>
            <w:pPr>
              <w:spacing w:after="0"/>
              <w:rPr>
                <w:sz w:val="22"/>
                <w:szCs w:val="22"/>
                <w:color w:val="auto"/>
              </w:rPr>
            </w:pPr>
          </w:p>
        </w:tc>
        <w:tc>
          <w:tcPr>
            <w:tcW w:w="200" w:type="dxa"/>
            <w:vAlign w:val="bottom"/>
            <w:shd w:val="clear" w:color="auto" w:fill="D0EBF2"/>
          </w:tcPr>
          <w:p>
            <w:pPr>
              <w:spacing w:after="0"/>
              <w:rPr>
                <w:sz w:val="22"/>
                <w:szCs w:val="22"/>
                <w:color w:val="auto"/>
              </w:rPr>
            </w:pPr>
          </w:p>
        </w:tc>
        <w:tc>
          <w:tcPr>
            <w:tcW w:w="1420" w:type="dxa"/>
            <w:vAlign w:val="bottom"/>
            <w:gridSpan w:val="2"/>
            <w:vMerge w:val="continue"/>
            <w:shd w:val="clear" w:color="auto" w:fill="D0EBF2"/>
          </w:tcPr>
          <w:p>
            <w:pPr>
              <w:spacing w:after="0"/>
              <w:rPr>
                <w:sz w:val="22"/>
                <w:szCs w:val="22"/>
                <w:color w:val="auto"/>
              </w:rPr>
            </w:pPr>
          </w:p>
        </w:tc>
        <w:tc>
          <w:tcPr>
            <w:tcW w:w="160" w:type="dxa"/>
            <w:vAlign w:val="bottom"/>
            <w:shd w:val="clear" w:color="auto" w:fill="D0EBF2"/>
          </w:tcPr>
          <w:p>
            <w:pPr>
              <w:spacing w:after="0"/>
              <w:rPr>
                <w:sz w:val="22"/>
                <w:szCs w:val="22"/>
                <w:color w:val="auto"/>
              </w:rPr>
            </w:pPr>
          </w:p>
        </w:tc>
        <w:tc>
          <w:tcPr>
            <w:tcW w:w="1380" w:type="dxa"/>
            <w:vAlign w:val="bottom"/>
            <w:gridSpan w:val="2"/>
            <w:vMerge w:val="continue"/>
            <w:shd w:val="clear" w:color="auto" w:fill="D0EBF2"/>
          </w:tcPr>
          <w:p>
            <w:pPr>
              <w:spacing w:after="0"/>
              <w:rPr>
                <w:sz w:val="22"/>
                <w:szCs w:val="22"/>
                <w:color w:val="auto"/>
              </w:rPr>
            </w:pPr>
          </w:p>
        </w:tc>
        <w:tc>
          <w:tcPr>
            <w:tcW w:w="100" w:type="dxa"/>
            <w:vAlign w:val="bottom"/>
            <w:shd w:val="clear" w:color="auto" w:fill="D0EBF2"/>
          </w:tcPr>
          <w:p>
            <w:pPr>
              <w:spacing w:after="0"/>
              <w:rPr>
                <w:sz w:val="22"/>
                <w:szCs w:val="22"/>
                <w:color w:val="auto"/>
              </w:rPr>
            </w:pPr>
          </w:p>
        </w:tc>
        <w:tc>
          <w:tcPr>
            <w:tcW w:w="320" w:type="dxa"/>
            <w:vAlign w:val="bottom"/>
            <w:shd w:val="clear" w:color="auto" w:fill="D0EBF2"/>
          </w:tcPr>
          <w:p>
            <w:pPr>
              <w:spacing w:after="0"/>
              <w:rPr>
                <w:sz w:val="22"/>
                <w:szCs w:val="22"/>
                <w:color w:val="auto"/>
              </w:rPr>
            </w:pPr>
          </w:p>
        </w:tc>
        <w:tc>
          <w:tcPr>
            <w:tcW w:w="1220" w:type="dxa"/>
            <w:vAlign w:val="bottom"/>
            <w:gridSpan w:val="2"/>
            <w:vMerge w:val="continue"/>
            <w:shd w:val="clear" w:color="auto" w:fill="D0EBF2"/>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600" w:type="dxa"/>
            <w:vAlign w:val="bottom"/>
            <w:tcBorders>
              <w:top w:val="single" w:sz="8" w:color="D0EBF2"/>
            </w:tcBorders>
            <w:shd w:val="clear" w:color="auto" w:fill="FDFDFC"/>
          </w:tcPr>
          <w:p>
            <w:pPr>
              <w:spacing w:after="0" w:line="169" w:lineRule="exact"/>
              <w:rPr>
                <w:sz w:val="20"/>
                <w:szCs w:val="20"/>
                <w:color w:val="auto"/>
              </w:rPr>
            </w:pPr>
            <w:r>
              <w:rPr>
                <w:rFonts w:ascii="Arial" w:cs="Arial" w:eastAsia="Arial" w:hAnsi="Arial"/>
                <w:sz w:val="19"/>
                <w:szCs w:val="19"/>
                <w:color w:val="231F20"/>
              </w:rPr>
              <w:t>Net current period other comprehensive</w:t>
            </w:r>
          </w:p>
        </w:tc>
        <w:tc>
          <w:tcPr>
            <w:tcW w:w="180" w:type="dxa"/>
            <w:vAlign w:val="bottom"/>
            <w:tcBorders>
              <w:top w:val="single" w:sz="8" w:color="D0EBF2"/>
            </w:tcBorders>
            <w:shd w:val="clear" w:color="auto" w:fill="FDFDFC"/>
          </w:tcPr>
          <w:p>
            <w:pPr>
              <w:spacing w:after="0"/>
              <w:rPr>
                <w:sz w:val="14"/>
                <w:szCs w:val="14"/>
                <w:color w:val="auto"/>
              </w:rPr>
            </w:pPr>
          </w:p>
        </w:tc>
        <w:tc>
          <w:tcPr>
            <w:tcW w:w="100" w:type="dxa"/>
            <w:vAlign w:val="bottom"/>
            <w:tcBorders>
              <w:top w:val="single" w:sz="8" w:color="231F20"/>
            </w:tcBorders>
            <w:shd w:val="clear" w:color="auto" w:fill="FDFDFC"/>
          </w:tcPr>
          <w:p>
            <w:pPr>
              <w:spacing w:after="0"/>
              <w:rPr>
                <w:sz w:val="14"/>
                <w:szCs w:val="14"/>
                <w:color w:val="auto"/>
              </w:rPr>
            </w:pPr>
          </w:p>
        </w:tc>
        <w:tc>
          <w:tcPr>
            <w:tcW w:w="1320" w:type="dxa"/>
            <w:vAlign w:val="bottom"/>
            <w:tcBorders>
              <w:top w:val="single" w:sz="8" w:color="231F20"/>
            </w:tcBorders>
            <w:vMerge w:val="restart"/>
            <w:shd w:val="clear" w:color="auto" w:fill="FDFDFC"/>
          </w:tcPr>
          <w:p>
            <w:pPr>
              <w:jc w:val="right"/>
              <w:spacing w:after="0"/>
              <w:rPr>
                <w:sz w:val="20"/>
                <w:szCs w:val="20"/>
                <w:color w:val="auto"/>
              </w:rPr>
            </w:pPr>
            <w:r>
              <w:rPr>
                <w:rFonts w:ascii="Arial" w:cs="Arial" w:eastAsia="Arial" w:hAnsi="Arial"/>
                <w:sz w:val="19"/>
                <w:szCs w:val="19"/>
                <w:color w:val="231F20"/>
              </w:rPr>
              <w:t>208</w:t>
            </w:r>
          </w:p>
        </w:tc>
        <w:tc>
          <w:tcPr>
            <w:tcW w:w="100" w:type="dxa"/>
            <w:vAlign w:val="bottom"/>
            <w:tcBorders>
              <w:top w:val="single" w:sz="8" w:color="D0EBF2"/>
            </w:tcBorders>
            <w:shd w:val="clear" w:color="auto" w:fill="FDFDFC"/>
          </w:tcPr>
          <w:p>
            <w:pPr>
              <w:spacing w:after="0"/>
              <w:rPr>
                <w:sz w:val="14"/>
                <w:szCs w:val="14"/>
                <w:color w:val="auto"/>
              </w:rPr>
            </w:pPr>
          </w:p>
        </w:tc>
        <w:tc>
          <w:tcPr>
            <w:tcW w:w="100" w:type="dxa"/>
            <w:vAlign w:val="bottom"/>
            <w:tcBorders>
              <w:top w:val="single" w:sz="8" w:color="D0EBF2"/>
            </w:tcBorders>
            <w:shd w:val="clear" w:color="auto" w:fill="FDFDFC"/>
          </w:tcPr>
          <w:p>
            <w:pPr>
              <w:spacing w:after="0"/>
              <w:rPr>
                <w:sz w:val="14"/>
                <w:szCs w:val="14"/>
                <w:color w:val="auto"/>
              </w:rPr>
            </w:pPr>
          </w:p>
        </w:tc>
        <w:tc>
          <w:tcPr>
            <w:tcW w:w="200" w:type="dxa"/>
            <w:vAlign w:val="bottom"/>
            <w:tcBorders>
              <w:top w:val="single" w:sz="8" w:color="231F20"/>
            </w:tcBorders>
            <w:shd w:val="clear" w:color="auto" w:fill="FDFDFC"/>
          </w:tcPr>
          <w:p>
            <w:pPr>
              <w:spacing w:after="0"/>
              <w:rPr>
                <w:sz w:val="14"/>
                <w:szCs w:val="14"/>
                <w:color w:val="auto"/>
              </w:rPr>
            </w:pPr>
          </w:p>
        </w:tc>
        <w:tc>
          <w:tcPr>
            <w:tcW w:w="1220" w:type="dxa"/>
            <w:vAlign w:val="bottom"/>
            <w:tcBorders>
              <w:top w:val="single" w:sz="8" w:color="231F20"/>
            </w:tcBorders>
            <w:vMerge w:val="restart"/>
            <w:shd w:val="clear" w:color="auto" w:fill="FDFDFC"/>
          </w:tcPr>
          <w:p>
            <w:pPr>
              <w:jc w:val="right"/>
              <w:spacing w:after="0"/>
              <w:rPr>
                <w:sz w:val="20"/>
                <w:szCs w:val="20"/>
                <w:color w:val="auto"/>
              </w:rPr>
            </w:pPr>
            <w:r>
              <w:rPr>
                <w:rFonts w:ascii="Arial" w:cs="Arial" w:eastAsia="Arial" w:hAnsi="Arial"/>
                <w:sz w:val="19"/>
                <w:szCs w:val="19"/>
                <w:color w:val="231F20"/>
              </w:rPr>
              <w:t>(3,594)</w:t>
            </w:r>
          </w:p>
        </w:tc>
        <w:tc>
          <w:tcPr>
            <w:tcW w:w="200" w:type="dxa"/>
            <w:vAlign w:val="bottom"/>
            <w:tcBorders>
              <w:top w:val="single" w:sz="8" w:color="D0EBF2"/>
            </w:tcBorders>
            <w:shd w:val="clear" w:color="auto" w:fill="FDFDFC"/>
          </w:tcPr>
          <w:p>
            <w:pPr>
              <w:spacing w:after="0"/>
              <w:rPr>
                <w:sz w:val="14"/>
                <w:szCs w:val="14"/>
                <w:color w:val="auto"/>
              </w:rPr>
            </w:pPr>
          </w:p>
        </w:tc>
        <w:tc>
          <w:tcPr>
            <w:tcW w:w="160" w:type="dxa"/>
            <w:vAlign w:val="bottom"/>
            <w:tcBorders>
              <w:top w:val="single" w:sz="8" w:color="231F20"/>
            </w:tcBorders>
            <w:shd w:val="clear" w:color="auto" w:fill="FDFDFC"/>
          </w:tcPr>
          <w:p>
            <w:pPr>
              <w:spacing w:after="0"/>
              <w:rPr>
                <w:sz w:val="14"/>
                <w:szCs w:val="14"/>
                <w:color w:val="auto"/>
              </w:rPr>
            </w:pPr>
          </w:p>
        </w:tc>
        <w:tc>
          <w:tcPr>
            <w:tcW w:w="1280" w:type="dxa"/>
            <w:vAlign w:val="bottom"/>
            <w:tcBorders>
              <w:top w:val="single" w:sz="8" w:color="231F20"/>
            </w:tcBorders>
            <w:vMerge w:val="restart"/>
            <w:shd w:val="clear" w:color="auto" w:fill="FDFDFC"/>
          </w:tcPr>
          <w:p>
            <w:pPr>
              <w:ind w:left="1080"/>
              <w:spacing w:after="0"/>
              <w:rPr>
                <w:sz w:val="20"/>
                <w:szCs w:val="20"/>
                <w:color w:val="auto"/>
              </w:rPr>
            </w:pPr>
            <w:r>
              <w:rPr>
                <w:rFonts w:ascii="Arial" w:cs="Arial" w:eastAsia="Arial" w:hAnsi="Arial"/>
                <w:sz w:val="19"/>
                <w:szCs w:val="19"/>
                <w:color w:val="231F20"/>
                <w:w w:val="94"/>
              </w:rPr>
              <w:t>—</w:t>
            </w:r>
          </w:p>
        </w:tc>
        <w:tc>
          <w:tcPr>
            <w:tcW w:w="100" w:type="dxa"/>
            <w:vAlign w:val="bottom"/>
            <w:tcBorders>
              <w:top w:val="single" w:sz="8" w:color="D0EBF2"/>
            </w:tcBorders>
            <w:shd w:val="clear" w:color="auto" w:fill="FDFDFC"/>
          </w:tcPr>
          <w:p>
            <w:pPr>
              <w:spacing w:after="0"/>
              <w:rPr>
                <w:sz w:val="14"/>
                <w:szCs w:val="14"/>
                <w:color w:val="auto"/>
              </w:rPr>
            </w:pPr>
          </w:p>
        </w:tc>
        <w:tc>
          <w:tcPr>
            <w:tcW w:w="100" w:type="dxa"/>
            <w:vAlign w:val="bottom"/>
            <w:tcBorders>
              <w:top w:val="single" w:sz="8" w:color="D0EBF2"/>
            </w:tcBorders>
            <w:shd w:val="clear" w:color="auto" w:fill="FDFDFC"/>
          </w:tcPr>
          <w:p>
            <w:pPr>
              <w:spacing w:after="0"/>
              <w:rPr>
                <w:sz w:val="14"/>
                <w:szCs w:val="14"/>
                <w:color w:val="auto"/>
              </w:rPr>
            </w:pPr>
          </w:p>
        </w:tc>
        <w:tc>
          <w:tcPr>
            <w:tcW w:w="320" w:type="dxa"/>
            <w:vAlign w:val="bottom"/>
            <w:tcBorders>
              <w:top w:val="single" w:sz="8" w:color="231F20"/>
            </w:tcBorders>
            <w:shd w:val="clear" w:color="auto" w:fill="FDFDFC"/>
          </w:tcPr>
          <w:p>
            <w:pPr>
              <w:spacing w:after="0"/>
              <w:rPr>
                <w:sz w:val="14"/>
                <w:szCs w:val="14"/>
                <w:color w:val="auto"/>
              </w:rPr>
            </w:pPr>
          </w:p>
        </w:tc>
        <w:tc>
          <w:tcPr>
            <w:tcW w:w="1120" w:type="dxa"/>
            <w:vAlign w:val="bottom"/>
            <w:tcBorders>
              <w:top w:val="single" w:sz="8" w:color="231F20"/>
            </w:tcBorders>
            <w:vMerge w:val="restart"/>
            <w:shd w:val="clear" w:color="auto" w:fill="FDFDFC"/>
          </w:tcPr>
          <w:p>
            <w:pPr>
              <w:jc w:val="right"/>
              <w:spacing w:after="0"/>
              <w:rPr>
                <w:sz w:val="20"/>
                <w:szCs w:val="20"/>
                <w:color w:val="auto"/>
              </w:rPr>
            </w:pPr>
            <w:r>
              <w:rPr>
                <w:rFonts w:ascii="Arial" w:cs="Arial" w:eastAsia="Arial" w:hAnsi="Arial"/>
                <w:sz w:val="19"/>
                <w:szCs w:val="19"/>
                <w:color w:val="231F20"/>
              </w:rPr>
              <w:t>(3,386)</w:t>
            </w:r>
          </w:p>
        </w:tc>
        <w:tc>
          <w:tcPr>
            <w:tcW w:w="100" w:type="dxa"/>
            <w:vAlign w:val="bottom"/>
            <w:tcBorders>
              <w:top w:val="single" w:sz="8" w:color="D0EBF2"/>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600" w:type="dxa"/>
            <w:vAlign w:val="bottom"/>
            <w:tcBorders>
              <w:bottom w:val="single" w:sz="8" w:color="D0EBF2"/>
            </w:tcBorders>
            <w:shd w:val="clear" w:color="auto" w:fill="FDFDFC"/>
          </w:tcPr>
          <w:p>
            <w:pPr>
              <w:ind w:left="160"/>
              <w:spacing w:after="0"/>
              <w:rPr>
                <w:sz w:val="20"/>
                <w:szCs w:val="20"/>
                <w:color w:val="auto"/>
              </w:rPr>
            </w:pPr>
            <w:r>
              <w:rPr>
                <w:rFonts w:ascii="Arial" w:cs="Arial" w:eastAsia="Arial" w:hAnsi="Arial"/>
                <w:sz w:val="19"/>
                <w:szCs w:val="19"/>
                <w:color w:val="231F20"/>
              </w:rPr>
              <w:t>income (loss)</w:t>
            </w:r>
          </w:p>
        </w:tc>
        <w:tc>
          <w:tcPr>
            <w:tcW w:w="180" w:type="dxa"/>
            <w:vAlign w:val="bottom"/>
            <w:tcBorders>
              <w:bottom w:val="single" w:sz="8" w:color="D0EBF2"/>
            </w:tcBorders>
            <w:shd w:val="clear" w:color="auto" w:fill="FDFDFC"/>
          </w:tcPr>
          <w:p>
            <w:pPr>
              <w:spacing w:after="0"/>
              <w:rPr>
                <w:sz w:val="20"/>
                <w:szCs w:val="20"/>
                <w:color w:val="auto"/>
              </w:rPr>
            </w:pPr>
          </w:p>
        </w:tc>
        <w:tc>
          <w:tcPr>
            <w:tcW w:w="100" w:type="dxa"/>
            <w:vAlign w:val="bottom"/>
            <w:tcBorders>
              <w:bottom w:val="single" w:sz="8" w:color="231F20"/>
            </w:tcBorders>
            <w:shd w:val="clear" w:color="auto" w:fill="FDFDFC"/>
          </w:tcPr>
          <w:p>
            <w:pPr>
              <w:spacing w:after="0"/>
              <w:rPr>
                <w:sz w:val="20"/>
                <w:szCs w:val="20"/>
                <w:color w:val="auto"/>
              </w:rPr>
            </w:pPr>
          </w:p>
        </w:tc>
        <w:tc>
          <w:tcPr>
            <w:tcW w:w="1320" w:type="dxa"/>
            <w:vAlign w:val="bottom"/>
            <w:tcBorders>
              <w:bottom w:val="single" w:sz="8" w:color="231F20"/>
            </w:tcBorders>
            <w:vMerge w:val="continue"/>
            <w:shd w:val="clear" w:color="auto" w:fill="FDFDFC"/>
          </w:tcPr>
          <w:p>
            <w:pPr>
              <w:spacing w:after="0"/>
              <w:rPr>
                <w:sz w:val="20"/>
                <w:szCs w:val="20"/>
                <w:color w:val="auto"/>
              </w:rPr>
            </w:pPr>
          </w:p>
        </w:tc>
        <w:tc>
          <w:tcPr>
            <w:tcW w:w="100" w:type="dxa"/>
            <w:vAlign w:val="bottom"/>
            <w:tcBorders>
              <w:bottom w:val="single" w:sz="8" w:color="D0EBF2"/>
            </w:tcBorders>
            <w:shd w:val="clear" w:color="auto" w:fill="FDFDFC"/>
          </w:tcPr>
          <w:p>
            <w:pPr>
              <w:spacing w:after="0"/>
              <w:rPr>
                <w:sz w:val="20"/>
                <w:szCs w:val="20"/>
                <w:color w:val="auto"/>
              </w:rPr>
            </w:pPr>
          </w:p>
        </w:tc>
        <w:tc>
          <w:tcPr>
            <w:tcW w:w="100" w:type="dxa"/>
            <w:vAlign w:val="bottom"/>
            <w:tcBorders>
              <w:bottom w:val="single" w:sz="8" w:color="D0EBF2"/>
            </w:tcBorders>
            <w:shd w:val="clear" w:color="auto" w:fill="FDFDFC"/>
          </w:tcPr>
          <w:p>
            <w:pPr>
              <w:spacing w:after="0"/>
              <w:rPr>
                <w:sz w:val="20"/>
                <w:szCs w:val="20"/>
                <w:color w:val="auto"/>
              </w:rPr>
            </w:pPr>
          </w:p>
        </w:tc>
        <w:tc>
          <w:tcPr>
            <w:tcW w:w="200" w:type="dxa"/>
            <w:vAlign w:val="bottom"/>
            <w:tcBorders>
              <w:bottom w:val="single" w:sz="8" w:color="231F20"/>
            </w:tcBorders>
            <w:shd w:val="clear" w:color="auto" w:fill="FDFDFC"/>
          </w:tcPr>
          <w:p>
            <w:pPr>
              <w:spacing w:after="0"/>
              <w:rPr>
                <w:sz w:val="20"/>
                <w:szCs w:val="20"/>
                <w:color w:val="auto"/>
              </w:rPr>
            </w:pPr>
          </w:p>
        </w:tc>
        <w:tc>
          <w:tcPr>
            <w:tcW w:w="1220" w:type="dxa"/>
            <w:vAlign w:val="bottom"/>
            <w:tcBorders>
              <w:bottom w:val="single" w:sz="8" w:color="231F20"/>
            </w:tcBorders>
            <w:vMerge w:val="continue"/>
            <w:shd w:val="clear" w:color="auto" w:fill="FDFDFC"/>
          </w:tcPr>
          <w:p>
            <w:pPr>
              <w:spacing w:after="0"/>
              <w:rPr>
                <w:sz w:val="20"/>
                <w:szCs w:val="20"/>
                <w:color w:val="auto"/>
              </w:rPr>
            </w:pPr>
          </w:p>
        </w:tc>
        <w:tc>
          <w:tcPr>
            <w:tcW w:w="200" w:type="dxa"/>
            <w:vAlign w:val="bottom"/>
            <w:tcBorders>
              <w:bottom w:val="single" w:sz="8" w:color="D0EBF2"/>
            </w:tcBorders>
            <w:shd w:val="clear" w:color="auto" w:fill="FDFDFC"/>
          </w:tcPr>
          <w:p>
            <w:pPr>
              <w:spacing w:after="0"/>
              <w:rPr>
                <w:sz w:val="20"/>
                <w:szCs w:val="20"/>
                <w:color w:val="auto"/>
              </w:rPr>
            </w:pPr>
          </w:p>
        </w:tc>
        <w:tc>
          <w:tcPr>
            <w:tcW w:w="160" w:type="dxa"/>
            <w:vAlign w:val="bottom"/>
            <w:tcBorders>
              <w:bottom w:val="single" w:sz="8" w:color="231F20"/>
            </w:tcBorders>
            <w:shd w:val="clear" w:color="auto" w:fill="FDFDFC"/>
          </w:tcPr>
          <w:p>
            <w:pPr>
              <w:spacing w:after="0"/>
              <w:rPr>
                <w:sz w:val="20"/>
                <w:szCs w:val="20"/>
                <w:color w:val="auto"/>
              </w:rPr>
            </w:pPr>
          </w:p>
        </w:tc>
        <w:tc>
          <w:tcPr>
            <w:tcW w:w="1280" w:type="dxa"/>
            <w:vAlign w:val="bottom"/>
            <w:tcBorders>
              <w:bottom w:val="single" w:sz="8" w:color="231F20"/>
            </w:tcBorders>
            <w:vMerge w:val="continue"/>
            <w:shd w:val="clear" w:color="auto" w:fill="FDFDFC"/>
          </w:tcPr>
          <w:p>
            <w:pPr>
              <w:spacing w:after="0"/>
              <w:rPr>
                <w:sz w:val="20"/>
                <w:szCs w:val="20"/>
                <w:color w:val="auto"/>
              </w:rPr>
            </w:pPr>
          </w:p>
        </w:tc>
        <w:tc>
          <w:tcPr>
            <w:tcW w:w="100" w:type="dxa"/>
            <w:vAlign w:val="bottom"/>
            <w:tcBorders>
              <w:bottom w:val="single" w:sz="8" w:color="D0EBF2"/>
            </w:tcBorders>
            <w:shd w:val="clear" w:color="auto" w:fill="FDFDFC"/>
          </w:tcPr>
          <w:p>
            <w:pPr>
              <w:spacing w:after="0"/>
              <w:rPr>
                <w:sz w:val="20"/>
                <w:szCs w:val="20"/>
                <w:color w:val="auto"/>
              </w:rPr>
            </w:pPr>
          </w:p>
        </w:tc>
        <w:tc>
          <w:tcPr>
            <w:tcW w:w="100" w:type="dxa"/>
            <w:vAlign w:val="bottom"/>
            <w:tcBorders>
              <w:bottom w:val="single" w:sz="8" w:color="D0EBF2"/>
            </w:tcBorders>
            <w:shd w:val="clear" w:color="auto" w:fill="FDFDFC"/>
          </w:tcPr>
          <w:p>
            <w:pPr>
              <w:spacing w:after="0"/>
              <w:rPr>
                <w:sz w:val="20"/>
                <w:szCs w:val="20"/>
                <w:color w:val="auto"/>
              </w:rPr>
            </w:pPr>
          </w:p>
        </w:tc>
        <w:tc>
          <w:tcPr>
            <w:tcW w:w="320" w:type="dxa"/>
            <w:vAlign w:val="bottom"/>
            <w:tcBorders>
              <w:bottom w:val="single" w:sz="8" w:color="231F20"/>
            </w:tcBorders>
            <w:shd w:val="clear" w:color="auto" w:fill="FDFDFC"/>
          </w:tcPr>
          <w:p>
            <w:pPr>
              <w:spacing w:after="0"/>
              <w:rPr>
                <w:sz w:val="20"/>
                <w:szCs w:val="20"/>
                <w:color w:val="auto"/>
              </w:rPr>
            </w:pPr>
          </w:p>
        </w:tc>
        <w:tc>
          <w:tcPr>
            <w:tcW w:w="1120" w:type="dxa"/>
            <w:vAlign w:val="bottom"/>
            <w:tcBorders>
              <w:bottom w:val="single" w:sz="8" w:color="231F20"/>
            </w:tcBorders>
            <w:vMerge w:val="continue"/>
            <w:shd w:val="clear" w:color="auto" w:fill="FDFDFC"/>
          </w:tcPr>
          <w:p>
            <w:pPr>
              <w:spacing w:after="0"/>
              <w:rPr>
                <w:sz w:val="20"/>
                <w:szCs w:val="20"/>
                <w:color w:val="auto"/>
              </w:rPr>
            </w:pPr>
          </w:p>
        </w:tc>
        <w:tc>
          <w:tcPr>
            <w:tcW w:w="10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600" w:type="dxa"/>
            <w:vAlign w:val="bottom"/>
            <w:shd w:val="clear" w:color="auto" w:fill="D0EBF2"/>
          </w:tcPr>
          <w:p>
            <w:pPr>
              <w:spacing w:after="0" w:line="207" w:lineRule="exact"/>
              <w:rPr>
                <w:sz w:val="20"/>
                <w:szCs w:val="20"/>
                <w:color w:val="auto"/>
              </w:rPr>
            </w:pPr>
            <w:r>
              <w:rPr>
                <w:rFonts w:ascii="Arial" w:cs="Arial" w:eastAsia="Arial" w:hAnsi="Arial"/>
                <w:sz w:val="19"/>
                <w:szCs w:val="19"/>
                <w:color w:val="231F20"/>
              </w:rPr>
              <w:t>Ending balance</w:t>
            </w:r>
          </w:p>
        </w:tc>
        <w:tc>
          <w:tcPr>
            <w:tcW w:w="180" w:type="dxa"/>
            <w:vAlign w:val="bottom"/>
            <w:shd w:val="clear" w:color="auto" w:fill="D0EBF2"/>
          </w:tcPr>
          <w:p>
            <w:pPr>
              <w:spacing w:after="0"/>
              <w:rPr>
                <w:sz w:val="17"/>
                <w:szCs w:val="17"/>
                <w:color w:val="auto"/>
              </w:rPr>
            </w:pPr>
          </w:p>
        </w:tc>
        <w:tc>
          <w:tcPr>
            <w:tcW w:w="100" w:type="dxa"/>
            <w:vAlign w:val="bottom"/>
            <w:tcBorders>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w w:val="75"/>
              </w:rPr>
              <w:t>$</w:t>
            </w:r>
          </w:p>
        </w:tc>
        <w:tc>
          <w:tcPr>
            <w:tcW w:w="1320" w:type="dxa"/>
            <w:vAlign w:val="bottom"/>
            <w:tcBorders>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208</w:t>
            </w:r>
          </w:p>
        </w:tc>
        <w:tc>
          <w:tcPr>
            <w:tcW w:w="10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200" w:type="dxa"/>
            <w:vAlign w:val="bottom"/>
            <w:tcBorders>
              <w:bottom w:val="single" w:sz="8" w:color="231F20"/>
            </w:tcBorders>
            <w:shd w:val="clear" w:color="auto" w:fill="D0EBF2"/>
          </w:tcPr>
          <w:p>
            <w:pPr>
              <w:jc w:val="right"/>
              <w:ind w:right="15"/>
              <w:spacing w:after="0" w:line="207" w:lineRule="exact"/>
              <w:rPr>
                <w:sz w:val="20"/>
                <w:szCs w:val="20"/>
                <w:color w:val="auto"/>
              </w:rPr>
            </w:pPr>
            <w:r>
              <w:rPr>
                <w:rFonts w:ascii="Arial" w:cs="Arial" w:eastAsia="Arial" w:hAnsi="Arial"/>
                <w:sz w:val="19"/>
                <w:szCs w:val="19"/>
                <w:color w:val="231F20"/>
                <w:w w:val="75"/>
              </w:rPr>
              <w:t>$</w:t>
            </w:r>
          </w:p>
        </w:tc>
        <w:tc>
          <w:tcPr>
            <w:tcW w:w="1220" w:type="dxa"/>
            <w:vAlign w:val="bottom"/>
            <w:tcBorders>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(2,274)</w:t>
            </w:r>
          </w:p>
        </w:tc>
        <w:tc>
          <w:tcPr>
            <w:tcW w:w="200" w:type="dxa"/>
            <w:vAlign w:val="bottom"/>
            <w:shd w:val="clear" w:color="auto" w:fill="D0EBF2"/>
          </w:tcPr>
          <w:p>
            <w:pPr>
              <w:spacing w:after="0"/>
              <w:rPr>
                <w:sz w:val="17"/>
                <w:szCs w:val="17"/>
                <w:color w:val="auto"/>
              </w:rPr>
            </w:pPr>
          </w:p>
        </w:tc>
        <w:tc>
          <w:tcPr>
            <w:tcW w:w="160" w:type="dxa"/>
            <w:vAlign w:val="bottom"/>
            <w:tcBorders>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w w:val="94"/>
              </w:rPr>
              <w:t>$</w:t>
            </w:r>
          </w:p>
        </w:tc>
        <w:tc>
          <w:tcPr>
            <w:tcW w:w="1280" w:type="dxa"/>
            <w:vAlign w:val="bottom"/>
            <w:tcBorders>
              <w:bottom w:val="single" w:sz="8" w:color="231F20"/>
            </w:tcBorders>
            <w:shd w:val="clear" w:color="auto" w:fill="D0EBF2"/>
          </w:tcPr>
          <w:p>
            <w:pPr>
              <w:ind w:left="1080"/>
              <w:spacing w:after="0" w:line="207" w:lineRule="exact"/>
              <w:rPr>
                <w:sz w:val="20"/>
                <w:szCs w:val="20"/>
                <w:color w:val="auto"/>
              </w:rPr>
            </w:pPr>
            <w:r>
              <w:rPr>
                <w:rFonts w:ascii="Arial" w:cs="Arial" w:eastAsia="Arial" w:hAnsi="Arial"/>
                <w:sz w:val="19"/>
                <w:szCs w:val="19"/>
                <w:color w:val="231F20"/>
                <w:w w:val="94"/>
              </w:rPr>
              <w:t>—</w:t>
            </w:r>
          </w:p>
        </w:tc>
        <w:tc>
          <w:tcPr>
            <w:tcW w:w="10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320" w:type="dxa"/>
            <w:vAlign w:val="bottom"/>
            <w:tcBorders>
              <w:bottom w:val="single" w:sz="8" w:color="231F20"/>
            </w:tcBorders>
            <w:shd w:val="clear" w:color="auto" w:fill="D0EBF2"/>
          </w:tcPr>
          <w:p>
            <w:pPr>
              <w:jc w:val="right"/>
              <w:ind w:right="126"/>
              <w:spacing w:after="0" w:line="207" w:lineRule="exact"/>
              <w:rPr>
                <w:sz w:val="20"/>
                <w:szCs w:val="20"/>
                <w:color w:val="auto"/>
              </w:rPr>
            </w:pPr>
            <w:r>
              <w:rPr>
                <w:rFonts w:ascii="Arial" w:cs="Arial" w:eastAsia="Arial" w:hAnsi="Arial"/>
                <w:sz w:val="19"/>
                <w:szCs w:val="19"/>
                <w:color w:val="231F20"/>
                <w:w w:val="75"/>
              </w:rPr>
              <w:t>$</w:t>
            </w:r>
          </w:p>
        </w:tc>
        <w:tc>
          <w:tcPr>
            <w:tcW w:w="1120" w:type="dxa"/>
            <w:vAlign w:val="bottom"/>
            <w:tcBorders>
              <w:bottom w:val="single" w:sz="8" w:color="231F20"/>
            </w:tcBorders>
            <w:shd w:val="clear" w:color="auto" w:fill="D0EBF2"/>
          </w:tcPr>
          <w:p>
            <w:pPr>
              <w:jc w:val="right"/>
              <w:spacing w:after="0" w:line="207" w:lineRule="exact"/>
              <w:rPr>
                <w:sz w:val="20"/>
                <w:szCs w:val="20"/>
                <w:color w:val="auto"/>
              </w:rPr>
            </w:pPr>
            <w:r>
              <w:rPr>
                <w:rFonts w:ascii="Arial" w:cs="Arial" w:eastAsia="Arial" w:hAnsi="Arial"/>
                <w:sz w:val="19"/>
                <w:szCs w:val="19"/>
                <w:color w:val="231F20"/>
              </w:rPr>
              <w:t>(2,066)</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20" w:firstLine="463"/>
        <w:spacing w:after="0" w:line="258" w:lineRule="auto"/>
        <w:rPr>
          <w:sz w:val="20"/>
          <w:szCs w:val="20"/>
          <w:color w:val="auto"/>
        </w:rPr>
      </w:pPr>
      <w:r>
        <w:rPr>
          <w:rFonts w:ascii="Arial" w:cs="Arial" w:eastAsia="Arial" w:hAnsi="Arial"/>
          <w:sz w:val="19"/>
          <w:szCs w:val="19"/>
          <w:color w:val="231F20"/>
        </w:rPr>
        <w:t>Changes in AOCI for the year ended December 31, 2023 and 2022 consisted of foreign currency translation adjustment only. Refer to the Company's consolidated statements of stockholders’ equity for the changes in AOCI for the years ended December 31, 2023 and 2022.</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Reserved Shares of Common Stock for Future Issuance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As of December 31, 2024, the Company had reserved shares of common stock for future issuance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shd w:val="clear" w:color="auto" w:fill="D0EBF2"/>
          </w:tcPr>
          <w:p>
            <w:pPr>
              <w:spacing w:after="0"/>
              <w:rPr>
                <w:sz w:val="20"/>
                <w:szCs w:val="20"/>
                <w:color w:val="auto"/>
              </w:rPr>
            </w:pPr>
            <w:r>
              <w:rPr>
                <w:rFonts w:ascii="Arial" w:cs="Arial" w:eastAsia="Arial" w:hAnsi="Arial"/>
                <w:sz w:val="19"/>
                <w:szCs w:val="19"/>
                <w:color w:val="231F20"/>
              </w:rPr>
              <w:t>Issued and outstanding stock options</w:t>
            </w:r>
          </w:p>
        </w:tc>
        <w:tc>
          <w:tcPr>
            <w:tcW w:w="32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6,199,369</w:t>
            </w:r>
          </w:p>
        </w:tc>
        <w:tc>
          <w:tcPr>
            <w:tcW w:w="100" w:type="dxa"/>
            <w:vAlign w:val="bottom"/>
            <w:shd w:val="clear" w:color="auto" w:fill="D0EBF2"/>
          </w:tcPr>
          <w:p>
            <w:pPr>
              <w:spacing w:after="0"/>
              <w:rPr>
                <w:sz w:val="20"/>
                <w:szCs w:val="20"/>
                <w:color w:val="auto"/>
              </w:rPr>
            </w:pPr>
          </w:p>
        </w:tc>
      </w:tr>
      <w:tr>
        <w:trPr>
          <w:trHeight w:val="230"/>
        </w:trPr>
        <w:tc>
          <w:tcPr>
            <w:tcW w:w="6860" w:type="dxa"/>
            <w:vAlign w:val="bottom"/>
            <w:shd w:val="clear" w:color="auto" w:fill="FDFDFC"/>
          </w:tcPr>
          <w:p>
            <w:pPr>
              <w:spacing w:after="0"/>
              <w:rPr>
                <w:sz w:val="20"/>
                <w:szCs w:val="20"/>
                <w:color w:val="auto"/>
              </w:rPr>
            </w:pPr>
            <w:r>
              <w:rPr>
                <w:rFonts w:ascii="Arial" w:cs="Arial" w:eastAsia="Arial" w:hAnsi="Arial"/>
                <w:sz w:val="19"/>
                <w:szCs w:val="19"/>
                <w:color w:val="231F20"/>
              </w:rPr>
              <w:t>Issued and outstanding restricted stock units</w:t>
            </w:r>
          </w:p>
        </w:tc>
        <w:tc>
          <w:tcPr>
            <w:tcW w:w="32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6,016,838</w:t>
            </w:r>
          </w:p>
        </w:tc>
        <w:tc>
          <w:tcPr>
            <w:tcW w:w="100" w:type="dxa"/>
            <w:vAlign w:val="bottom"/>
            <w:shd w:val="clear" w:color="auto" w:fill="FDFDFC"/>
          </w:tcPr>
          <w:p>
            <w:pPr>
              <w:spacing w:after="0"/>
              <w:rPr>
                <w:sz w:val="20"/>
                <w:szCs w:val="20"/>
                <w:color w:val="auto"/>
              </w:rPr>
            </w:pPr>
          </w:p>
        </w:tc>
      </w:tr>
      <w:tr>
        <w:trPr>
          <w:trHeight w:val="230"/>
        </w:trPr>
        <w:tc>
          <w:tcPr>
            <w:tcW w:w="6860" w:type="dxa"/>
            <w:vAlign w:val="bottom"/>
            <w:shd w:val="clear" w:color="auto" w:fill="D0EBF2"/>
          </w:tcPr>
          <w:p>
            <w:pPr>
              <w:spacing w:after="0"/>
              <w:rPr>
                <w:sz w:val="20"/>
                <w:szCs w:val="20"/>
                <w:color w:val="auto"/>
              </w:rPr>
            </w:pPr>
            <w:r>
              <w:rPr>
                <w:rFonts w:ascii="Arial" w:cs="Arial" w:eastAsia="Arial" w:hAnsi="Arial"/>
                <w:sz w:val="19"/>
                <w:szCs w:val="19"/>
                <w:color w:val="231F20"/>
              </w:rPr>
              <w:t>Available for issuance under the 2021 Equity Incentive Plan</w:t>
            </w:r>
          </w:p>
        </w:tc>
        <w:tc>
          <w:tcPr>
            <w:tcW w:w="32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17,135,599</w:t>
            </w:r>
          </w:p>
        </w:tc>
        <w:tc>
          <w:tcPr>
            <w:tcW w:w="100" w:type="dxa"/>
            <w:vAlign w:val="bottom"/>
            <w:shd w:val="clear" w:color="auto" w:fill="D0EBF2"/>
          </w:tcPr>
          <w:p>
            <w:pPr>
              <w:spacing w:after="0"/>
              <w:rPr>
                <w:sz w:val="20"/>
                <w:szCs w:val="20"/>
                <w:color w:val="auto"/>
              </w:rPr>
            </w:pPr>
          </w:p>
        </w:tc>
      </w:tr>
      <w:tr>
        <w:trPr>
          <w:trHeight w:val="230"/>
        </w:trPr>
        <w:tc>
          <w:tcPr>
            <w:tcW w:w="6860" w:type="dxa"/>
            <w:vAlign w:val="bottom"/>
            <w:shd w:val="clear" w:color="auto" w:fill="FDFDFC"/>
          </w:tcPr>
          <w:p>
            <w:pPr>
              <w:spacing w:after="0"/>
              <w:rPr>
                <w:sz w:val="20"/>
                <w:szCs w:val="20"/>
                <w:color w:val="auto"/>
              </w:rPr>
            </w:pPr>
            <w:r>
              <w:rPr>
                <w:rFonts w:ascii="Arial" w:cs="Arial" w:eastAsia="Arial" w:hAnsi="Arial"/>
                <w:sz w:val="19"/>
                <w:szCs w:val="19"/>
                <w:color w:val="231F20"/>
              </w:rPr>
              <w:t>Available for issuance under Employee Stock Purchase Plan</w:t>
            </w:r>
          </w:p>
        </w:tc>
        <w:tc>
          <w:tcPr>
            <w:tcW w:w="32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4,598,941</w:t>
            </w:r>
          </w:p>
        </w:tc>
        <w:tc>
          <w:tcPr>
            <w:tcW w:w="100" w:type="dxa"/>
            <w:vAlign w:val="bottom"/>
            <w:shd w:val="clear" w:color="auto" w:fill="FDFDFC"/>
          </w:tcPr>
          <w:p>
            <w:pPr>
              <w:spacing w:after="0"/>
              <w:rPr>
                <w:sz w:val="20"/>
                <w:szCs w:val="20"/>
                <w:color w:val="auto"/>
              </w:rPr>
            </w:pPr>
          </w:p>
        </w:tc>
      </w:tr>
      <w:tr>
        <w:trPr>
          <w:trHeight w:val="230"/>
        </w:trPr>
        <w:tc>
          <w:tcPr>
            <w:tcW w:w="6860" w:type="dxa"/>
            <w:vAlign w:val="bottom"/>
            <w:shd w:val="clear" w:color="auto" w:fill="D0EBF2"/>
          </w:tcPr>
          <w:p>
            <w:pPr>
              <w:spacing w:after="0"/>
              <w:rPr>
                <w:sz w:val="20"/>
                <w:szCs w:val="20"/>
                <w:color w:val="auto"/>
              </w:rPr>
            </w:pPr>
            <w:r>
              <w:rPr>
                <w:rFonts w:ascii="Arial" w:cs="Arial" w:eastAsia="Arial" w:hAnsi="Arial"/>
                <w:sz w:val="19"/>
                <w:szCs w:val="19"/>
                <w:color w:val="231F20"/>
              </w:rPr>
              <w:t>Committed to settling employee retention</w:t>
            </w:r>
          </w:p>
        </w:tc>
        <w:tc>
          <w:tcPr>
            <w:tcW w:w="32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41,998</w:t>
            </w:r>
          </w:p>
        </w:tc>
        <w:tc>
          <w:tcPr>
            <w:tcW w:w="100" w:type="dxa"/>
            <w:vAlign w:val="bottom"/>
            <w:shd w:val="clear" w:color="auto" w:fill="D0EBF2"/>
          </w:tcPr>
          <w:p>
            <w:pPr>
              <w:spacing w:after="0"/>
              <w:rPr>
                <w:sz w:val="20"/>
                <w:szCs w:val="20"/>
                <w:color w:val="auto"/>
              </w:rPr>
            </w:pPr>
          </w:p>
        </w:tc>
      </w:tr>
      <w:tr>
        <w:trPr>
          <w:trHeight w:val="230"/>
        </w:trPr>
        <w:tc>
          <w:tcPr>
            <w:tcW w:w="6860" w:type="dxa"/>
            <w:vAlign w:val="bottom"/>
            <w:tcBorders>
              <w:bottom w:val="single" w:sz="8" w:color="FDFDFC"/>
            </w:tcBorders>
            <w:shd w:val="clear" w:color="auto" w:fill="FDFDFC"/>
          </w:tcPr>
          <w:p>
            <w:pPr>
              <w:spacing w:after="0"/>
              <w:rPr>
                <w:sz w:val="20"/>
                <w:szCs w:val="20"/>
                <w:color w:val="auto"/>
              </w:rPr>
            </w:pPr>
            <w:r>
              <w:rPr>
                <w:rFonts w:ascii="Arial" w:cs="Arial" w:eastAsia="Arial" w:hAnsi="Arial"/>
                <w:sz w:val="19"/>
                <w:szCs w:val="19"/>
                <w:color w:val="231F20"/>
              </w:rPr>
              <w:t>Available for conversion of non-voting common stock</w:t>
            </w:r>
          </w:p>
        </w:tc>
        <w:tc>
          <w:tcPr>
            <w:tcW w:w="32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1,873,320</w:t>
            </w:r>
          </w:p>
        </w:tc>
        <w:tc>
          <w:tcPr>
            <w:tcW w:w="100" w:type="dxa"/>
            <w:vAlign w:val="bottom"/>
            <w:tcBorders>
              <w:bottom w:val="single" w:sz="8" w:color="FDFDFC"/>
            </w:tcBorders>
            <w:shd w:val="clear" w:color="auto" w:fill="FDFDFC"/>
          </w:tcPr>
          <w:p>
            <w:pPr>
              <w:spacing w:after="0"/>
              <w:rPr>
                <w:sz w:val="20"/>
                <w:szCs w:val="20"/>
                <w:color w:val="auto"/>
              </w:rPr>
            </w:pPr>
          </w:p>
        </w:tc>
      </w:tr>
      <w:tr>
        <w:trPr>
          <w:trHeight w:val="220"/>
        </w:trPr>
        <w:tc>
          <w:tcPr>
            <w:tcW w:w="6860" w:type="dxa"/>
            <w:vAlign w:val="bottom"/>
            <w:shd w:val="clear" w:color="auto" w:fill="FDFDFC"/>
          </w:tcPr>
          <w:p>
            <w:pPr>
              <w:spacing w:after="0"/>
              <w:rPr>
                <w:sz w:val="19"/>
                <w:szCs w:val="19"/>
                <w:color w:val="auto"/>
              </w:rPr>
            </w:pPr>
          </w:p>
        </w:tc>
        <w:tc>
          <w:tcPr>
            <w:tcW w:w="32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35,866,065</w:t>
            </w:r>
          </w:p>
        </w:tc>
        <w:tc>
          <w:tcPr>
            <w:tcW w:w="100" w:type="dxa"/>
            <w:vAlign w:val="bottom"/>
            <w:shd w:val="clear" w:color="auto" w:fill="FDFDFC"/>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2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Note 13. Stock-Based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Equity Incentive Plan</w:t>
      </w:r>
    </w:p>
    <w:p>
      <w:pPr>
        <w:spacing w:after="0" w:line="184" w:lineRule="exact"/>
        <w:rPr>
          <w:sz w:val="20"/>
          <w:szCs w:val="20"/>
          <w:color w:val="auto"/>
        </w:rPr>
      </w:pPr>
    </w:p>
    <w:p>
      <w:pPr>
        <w:ind w:right="520" w:firstLine="463"/>
        <w:spacing w:after="0" w:line="278" w:lineRule="auto"/>
        <w:rPr>
          <w:sz w:val="20"/>
          <w:szCs w:val="20"/>
          <w:color w:val="auto"/>
        </w:rPr>
      </w:pPr>
      <w:r>
        <w:rPr>
          <w:rFonts w:ascii="Arial" w:cs="Arial" w:eastAsia="Arial" w:hAnsi="Arial"/>
          <w:sz w:val="19"/>
          <w:szCs w:val="19"/>
          <w:color w:val="231F20"/>
        </w:rPr>
        <w:t>In April 2021, the Company’s board of directors adopted, and in May 2021 its stockholders approved, the 2021 Equity Incentive Plan (the 2021 Plan).</w:t>
      </w:r>
    </w:p>
    <w:p>
      <w:pPr>
        <w:spacing w:after="0" w:line="117" w:lineRule="exact"/>
        <w:rPr>
          <w:sz w:val="20"/>
          <w:szCs w:val="20"/>
          <w:color w:val="auto"/>
        </w:rPr>
      </w:pPr>
    </w:p>
    <w:p>
      <w:pPr>
        <w:ind w:firstLine="463"/>
        <w:spacing w:after="0" w:line="246" w:lineRule="auto"/>
        <w:rPr>
          <w:sz w:val="20"/>
          <w:szCs w:val="20"/>
          <w:color w:val="auto"/>
        </w:rPr>
      </w:pPr>
      <w:r>
        <w:rPr>
          <w:rFonts w:ascii="Arial" w:cs="Arial" w:eastAsia="Arial" w:hAnsi="Arial"/>
          <w:sz w:val="19"/>
          <w:szCs w:val="19"/>
          <w:color w:val="231F20"/>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as further discussed below,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spacing w:after="0" w:line="148" w:lineRule="exact"/>
        <w:rPr>
          <w:sz w:val="20"/>
          <w:szCs w:val="20"/>
          <w:color w:val="auto"/>
        </w:rPr>
      </w:pPr>
    </w:p>
    <w:p>
      <w:pPr>
        <w:ind w:right="40" w:firstLine="463"/>
        <w:spacing w:after="0" w:line="270" w:lineRule="auto"/>
        <w:rPr>
          <w:sz w:val="20"/>
          <w:szCs w:val="20"/>
          <w:color w:val="auto"/>
        </w:rPr>
      </w:pPr>
      <w:r>
        <w:rPr>
          <w:rFonts w:ascii="Arial" w:cs="Arial" w:eastAsia="Arial" w:hAnsi="Arial"/>
          <w:sz w:val="18"/>
          <w:szCs w:val="18"/>
          <w:color w:val="231F20"/>
        </w:rPr>
        <w:t>The 2021 Plan provides for the grant of incentive stock options, nonqualified stock options, stock appreciation rights, restricted stock awards, restricted stock units, performance awards and other forms of equity compensation (collectively, equity awards). A total of 26,116,754 shares of the Company’s common stock have been reserved for issuance under the 2021 Plan in addition to (i) any annual automatic evergreen increases in the number of shares of common stock reserved</w:t>
      </w:r>
    </w:p>
    <w:p>
      <w:pPr>
        <w:sectPr>
          <w:pgSz w:w="12240" w:h="15840" w:orient="portrait"/>
          <w:cols w:equalWidth="0" w:num="1">
            <w:col w:w="10200"/>
          </w:cols>
          <w:pgMar w:left="1020" w:top="1440" w:right="1020" w:bottom="572"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141</w:t>
      </w:r>
    </w:p>
    <w:p>
      <w:pPr>
        <w:sectPr>
          <w:pgSz w:w="12240" w:h="15840" w:orient="portrait"/>
          <w:cols w:equalWidth="0" w:num="1">
            <w:col w:w="10200"/>
          </w:cols>
          <w:pgMar w:left="1020" w:top="1440" w:right="1020" w:bottom="572" w:gutter="0" w:footer="0" w:header="0"/>
          <w:type w:val="continuous"/>
        </w:sectPr>
      </w:pPr>
    </w:p>
    <w:bookmarkStart w:id="142" w:name="page143"/>
    <w:bookmarkEnd w:id="142"/>
    <w:p>
      <w:pPr>
        <w:spacing w:after="0" w:line="97" w:lineRule="exact"/>
        <w:rPr>
          <w:sz w:val="20"/>
          <w:szCs w:val="20"/>
          <w:color w:val="auto"/>
        </w:rPr>
      </w:pPr>
    </w:p>
    <w:p>
      <w:pPr>
        <w:ind w:right="160"/>
        <w:spacing w:after="0" w:line="258" w:lineRule="auto"/>
        <w:rPr>
          <w:sz w:val="20"/>
          <w:szCs w:val="20"/>
          <w:color w:val="auto"/>
        </w:rPr>
      </w:pPr>
      <w:r>
        <w:rPr>
          <w:rFonts w:ascii="Arial" w:cs="Arial" w:eastAsia="Arial" w:hAnsi="Arial"/>
          <w:sz w:val="19"/>
          <w:szCs w:val="19"/>
          <w:color w:val="231F20"/>
        </w:rPr>
        <w:t>for issuance under the 2021 Plan and (ii) upon the expiration, forfeiture, cancellation, or reacquisition of any stock-based awards granted under the 2009 Plan or 2018 Plan, an equal number of shares of common stock will become available under the 2021 Plan.</w:t>
      </w:r>
    </w:p>
    <w:p>
      <w:pPr>
        <w:spacing w:after="0" w:line="136" w:lineRule="exact"/>
        <w:rPr>
          <w:sz w:val="20"/>
          <w:szCs w:val="20"/>
          <w:color w:val="auto"/>
        </w:rPr>
      </w:pPr>
    </w:p>
    <w:p>
      <w:pPr>
        <w:ind w:right="300" w:firstLine="463"/>
        <w:spacing w:after="0" w:line="278" w:lineRule="auto"/>
        <w:rPr>
          <w:sz w:val="20"/>
          <w:szCs w:val="20"/>
          <w:color w:val="auto"/>
        </w:rPr>
      </w:pPr>
      <w:r>
        <w:rPr>
          <w:rFonts w:ascii="Arial" w:cs="Arial" w:eastAsia="Arial" w:hAnsi="Arial"/>
          <w:sz w:val="19"/>
          <w:szCs w:val="19"/>
          <w:color w:val="231F20"/>
        </w:rPr>
        <w:t>As of December 31, 2024, a total of 17,135,599 shares of the Company's common stock were available for future issuance under the 2021 Plan.</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Stock Options</w:t>
      </w:r>
    </w:p>
    <w:p>
      <w:pPr>
        <w:spacing w:after="0" w:line="184" w:lineRule="exact"/>
        <w:rPr>
          <w:sz w:val="20"/>
          <w:szCs w:val="20"/>
          <w:color w:val="auto"/>
        </w:rPr>
      </w:pPr>
    </w:p>
    <w:p>
      <w:pPr>
        <w:ind w:right="40" w:firstLine="463"/>
        <w:spacing w:after="0" w:line="258" w:lineRule="auto"/>
        <w:rPr>
          <w:sz w:val="20"/>
          <w:szCs w:val="20"/>
          <w:color w:val="auto"/>
        </w:rPr>
      </w:pPr>
      <w:r>
        <w:rPr>
          <w:rFonts w:ascii="Arial" w:cs="Arial" w:eastAsia="Arial" w:hAnsi="Arial"/>
          <w:sz w:val="19"/>
          <w:szCs w:val="19"/>
          <w:color w:val="231F20"/>
        </w:rPr>
        <w:t>Stock options granted under the 2009 Plan, 2018 Plan and the 2021 Plan generally vest based on continued service over four years and expire within ten years from the date of grant. Any options that are canceled or forfeited before expiration become available for future grants.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The following table summarizes the stock option activity since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20" w:type="dxa"/>
            <w:vAlign w:val="bottom"/>
            <w:shd w:val="clear" w:color="auto" w:fill="FDFDFC"/>
          </w:tcPr>
          <w:p>
            <w:pPr>
              <w:spacing w:after="0"/>
              <w:rPr>
                <w:sz w:val="14"/>
                <w:szCs w:val="14"/>
                <w:color w:val="auto"/>
              </w:rPr>
            </w:pPr>
          </w:p>
        </w:tc>
        <w:tc>
          <w:tcPr>
            <w:tcW w:w="108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900" w:type="dxa"/>
            <w:vAlign w:val="bottom"/>
            <w:vMerge w:val="restart"/>
            <w:shd w:val="clear" w:color="auto" w:fill="FDFDFC"/>
          </w:tcPr>
          <w:p>
            <w:pPr>
              <w:jc w:val="center"/>
              <w:ind w:right="33"/>
              <w:spacing w:after="0"/>
              <w:rPr>
                <w:sz w:val="20"/>
                <w:szCs w:val="20"/>
                <w:color w:val="auto"/>
              </w:rPr>
            </w:pPr>
            <w:r>
              <w:rPr>
                <w:rFonts w:ascii="Arial" w:cs="Arial" w:eastAsia="Arial" w:hAnsi="Arial"/>
                <w:sz w:val="15"/>
                <w:szCs w:val="15"/>
                <w:b w:val="1"/>
                <w:bCs w:val="1"/>
                <w:color w:val="231F20"/>
              </w:rPr>
              <w:t>Weighted-</w:t>
            </w:r>
          </w:p>
        </w:tc>
        <w:tc>
          <w:tcPr>
            <w:tcW w:w="220" w:type="dxa"/>
            <w:vAlign w:val="bottom"/>
            <w:shd w:val="clear" w:color="auto" w:fill="FDFDFC"/>
          </w:tcPr>
          <w:p>
            <w:pPr>
              <w:spacing w:after="0"/>
              <w:rPr>
                <w:sz w:val="14"/>
                <w:szCs w:val="14"/>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rPr>
              <w:t>Weighted-</w:t>
            </w:r>
          </w:p>
        </w:tc>
        <w:tc>
          <w:tcPr>
            <w:tcW w:w="22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1020" w:type="dxa"/>
            <w:vAlign w:val="bottom"/>
            <w:gridSpan w:val="2"/>
            <w:vMerge w:val="restart"/>
            <w:shd w:val="clear" w:color="auto" w:fill="FDFDFC"/>
          </w:tcPr>
          <w:p>
            <w:pPr>
              <w:jc w:val="center"/>
              <w:ind w:right="240"/>
              <w:spacing w:after="0"/>
              <w:rPr>
                <w:sz w:val="20"/>
                <w:szCs w:val="20"/>
                <w:color w:val="auto"/>
              </w:rPr>
            </w:pPr>
            <w:r>
              <w:rPr>
                <w:rFonts w:ascii="Arial" w:cs="Arial" w:eastAsia="Arial" w:hAnsi="Arial"/>
                <w:sz w:val="15"/>
                <w:szCs w:val="15"/>
                <w:b w:val="1"/>
                <w:bCs w:val="1"/>
                <w:color w:val="231F20"/>
                <w:w w:val="99"/>
              </w:rPr>
              <w:t>Aggregate</w:t>
            </w:r>
          </w:p>
        </w:tc>
        <w:tc>
          <w:tcPr>
            <w:tcW w:w="0" w:type="dxa"/>
            <w:vAlign w:val="bottom"/>
          </w:tcPr>
          <w:p>
            <w:pPr>
              <w:spacing w:after="0"/>
              <w:rPr>
                <w:sz w:val="1"/>
                <w:szCs w:val="1"/>
                <w:color w:val="auto"/>
              </w:rPr>
            </w:pPr>
          </w:p>
        </w:tc>
      </w:tr>
      <w:tr>
        <w:trPr>
          <w:trHeight w:val="174"/>
        </w:trPr>
        <w:tc>
          <w:tcPr>
            <w:tcW w:w="5220" w:type="dxa"/>
            <w:vAlign w:val="bottom"/>
            <w:shd w:val="clear" w:color="auto" w:fill="FDFDFC"/>
          </w:tcPr>
          <w:p>
            <w:pPr>
              <w:spacing w:after="0"/>
              <w:rPr>
                <w:sz w:val="15"/>
                <w:szCs w:val="15"/>
                <w:color w:val="auto"/>
              </w:rPr>
            </w:pPr>
          </w:p>
        </w:tc>
        <w:tc>
          <w:tcPr>
            <w:tcW w:w="108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900" w:type="dxa"/>
            <w:vAlign w:val="bottom"/>
            <w:vMerge w:val="continue"/>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rPr>
              <w:t>Average</w:t>
            </w:r>
          </w:p>
        </w:tc>
        <w:tc>
          <w:tcPr>
            <w:tcW w:w="2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20" w:type="dxa"/>
            <w:vAlign w:val="bottom"/>
            <w:gridSpan w:val="2"/>
            <w:vMerge w:val="continue"/>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20" w:type="dxa"/>
            <w:vAlign w:val="bottom"/>
            <w:shd w:val="clear" w:color="auto" w:fill="FDFDFC"/>
          </w:tcPr>
          <w:p>
            <w:pPr>
              <w:spacing w:after="0"/>
              <w:rPr>
                <w:sz w:val="15"/>
                <w:szCs w:val="15"/>
                <w:color w:val="auto"/>
              </w:rPr>
            </w:pPr>
          </w:p>
        </w:tc>
        <w:tc>
          <w:tcPr>
            <w:tcW w:w="108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900" w:type="dxa"/>
            <w:vAlign w:val="bottom"/>
            <w:shd w:val="clear" w:color="auto" w:fill="FDFDFC"/>
          </w:tcPr>
          <w:p>
            <w:pPr>
              <w:jc w:val="center"/>
              <w:ind w:right="33"/>
              <w:spacing w:after="0"/>
              <w:rPr>
                <w:sz w:val="20"/>
                <w:szCs w:val="20"/>
                <w:color w:val="auto"/>
              </w:rPr>
            </w:pPr>
            <w:r>
              <w:rPr>
                <w:rFonts w:ascii="Arial" w:cs="Arial" w:eastAsia="Arial" w:hAnsi="Arial"/>
                <w:sz w:val="15"/>
                <w:szCs w:val="15"/>
                <w:b w:val="1"/>
                <w:bCs w:val="1"/>
                <w:color w:val="231F20"/>
                <w:w w:val="97"/>
              </w:rPr>
              <w:t>Average</w:t>
            </w:r>
          </w:p>
        </w:tc>
        <w:tc>
          <w:tcPr>
            <w:tcW w:w="220" w:type="dxa"/>
            <w:vAlign w:val="bottom"/>
            <w:shd w:val="clear" w:color="auto" w:fill="FDFDFC"/>
          </w:tcPr>
          <w:p>
            <w:pPr>
              <w:spacing w:after="0"/>
              <w:rPr>
                <w:sz w:val="15"/>
                <w:szCs w:val="15"/>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rPr>
              <w:t>Remaining</w:t>
            </w:r>
          </w:p>
        </w:tc>
        <w:tc>
          <w:tcPr>
            <w:tcW w:w="2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20" w:type="dxa"/>
            <w:vAlign w:val="bottom"/>
            <w:gridSpan w:val="2"/>
            <w:shd w:val="clear" w:color="auto" w:fill="FDFDFC"/>
          </w:tcPr>
          <w:p>
            <w:pPr>
              <w:jc w:val="center"/>
              <w:ind w:right="240"/>
              <w:spacing w:after="0"/>
              <w:rPr>
                <w:sz w:val="20"/>
                <w:szCs w:val="20"/>
                <w:color w:val="auto"/>
              </w:rPr>
            </w:pPr>
            <w:r>
              <w:rPr>
                <w:rFonts w:ascii="Arial" w:cs="Arial" w:eastAsia="Arial" w:hAnsi="Arial"/>
                <w:sz w:val="15"/>
                <w:szCs w:val="15"/>
                <w:b w:val="1"/>
                <w:bCs w:val="1"/>
                <w:color w:val="231F20"/>
                <w:w w:val="99"/>
              </w:rPr>
              <w:t>Intrinsic</w:t>
            </w:r>
          </w:p>
        </w:tc>
        <w:tc>
          <w:tcPr>
            <w:tcW w:w="0" w:type="dxa"/>
            <w:vAlign w:val="bottom"/>
          </w:tcPr>
          <w:p>
            <w:pPr>
              <w:spacing w:after="0"/>
              <w:rPr>
                <w:sz w:val="1"/>
                <w:szCs w:val="1"/>
                <w:color w:val="auto"/>
              </w:rPr>
            </w:pPr>
          </w:p>
        </w:tc>
      </w:tr>
      <w:tr>
        <w:trPr>
          <w:trHeight w:val="174"/>
        </w:trPr>
        <w:tc>
          <w:tcPr>
            <w:tcW w:w="5220" w:type="dxa"/>
            <w:vAlign w:val="bottom"/>
            <w:shd w:val="clear" w:color="auto" w:fill="FDFDFC"/>
          </w:tcPr>
          <w:p>
            <w:pPr>
              <w:spacing w:after="0"/>
              <w:rPr>
                <w:sz w:val="15"/>
                <w:szCs w:val="15"/>
                <w:color w:val="auto"/>
              </w:rPr>
            </w:pPr>
          </w:p>
        </w:tc>
        <w:tc>
          <w:tcPr>
            <w:tcW w:w="1220" w:type="dxa"/>
            <w:vAlign w:val="bottom"/>
            <w:gridSpan w:val="2"/>
            <w:vMerge w:val="restart"/>
            <w:shd w:val="clear" w:color="auto" w:fill="FDFDFC"/>
          </w:tcPr>
          <w:p>
            <w:pPr>
              <w:jc w:val="right"/>
              <w:ind w:right="300"/>
              <w:spacing w:after="0"/>
              <w:rPr>
                <w:sz w:val="20"/>
                <w:szCs w:val="20"/>
                <w:color w:val="auto"/>
              </w:rPr>
            </w:pPr>
            <w:r>
              <w:rPr>
                <w:rFonts w:ascii="Arial" w:cs="Arial" w:eastAsia="Arial" w:hAnsi="Arial"/>
                <w:sz w:val="15"/>
                <w:szCs w:val="15"/>
                <w:b w:val="1"/>
                <w:bCs w:val="1"/>
                <w:color w:val="231F20"/>
              </w:rPr>
              <w:t>Number of</w:t>
            </w:r>
          </w:p>
        </w:tc>
        <w:tc>
          <w:tcPr>
            <w:tcW w:w="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900" w:type="dxa"/>
            <w:vAlign w:val="bottom"/>
            <w:shd w:val="clear" w:color="auto" w:fill="FDFDFC"/>
          </w:tcPr>
          <w:p>
            <w:pPr>
              <w:jc w:val="center"/>
              <w:ind w:right="33"/>
              <w:spacing w:after="0"/>
              <w:rPr>
                <w:sz w:val="20"/>
                <w:szCs w:val="20"/>
                <w:color w:val="auto"/>
              </w:rPr>
            </w:pPr>
            <w:r>
              <w:rPr>
                <w:rFonts w:ascii="Arial" w:cs="Arial" w:eastAsia="Arial" w:hAnsi="Arial"/>
                <w:sz w:val="15"/>
                <w:szCs w:val="15"/>
                <w:b w:val="1"/>
                <w:bCs w:val="1"/>
                <w:color w:val="231F20"/>
              </w:rPr>
              <w:t>Exercise</w:t>
            </w:r>
          </w:p>
        </w:tc>
        <w:tc>
          <w:tcPr>
            <w:tcW w:w="220" w:type="dxa"/>
            <w:vAlign w:val="bottom"/>
            <w:shd w:val="clear" w:color="auto" w:fill="FDFDFC"/>
          </w:tcPr>
          <w:p>
            <w:pPr>
              <w:spacing w:after="0"/>
              <w:rPr>
                <w:sz w:val="15"/>
                <w:szCs w:val="15"/>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rPr>
              <w:t>Contractual</w:t>
            </w:r>
          </w:p>
        </w:tc>
        <w:tc>
          <w:tcPr>
            <w:tcW w:w="2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20" w:type="dxa"/>
            <w:vAlign w:val="bottom"/>
            <w:gridSpan w:val="2"/>
            <w:shd w:val="clear" w:color="auto" w:fill="FDFDFC"/>
          </w:tcPr>
          <w:p>
            <w:pPr>
              <w:jc w:val="center"/>
              <w:ind w:right="220"/>
              <w:spacing w:after="0"/>
              <w:rPr>
                <w:sz w:val="20"/>
                <w:szCs w:val="20"/>
                <w:color w:val="auto"/>
              </w:rPr>
            </w:pPr>
            <w:r>
              <w:rPr>
                <w:rFonts w:ascii="Arial" w:cs="Arial" w:eastAsia="Arial" w:hAnsi="Arial"/>
                <w:sz w:val="15"/>
                <w:szCs w:val="15"/>
                <w:b w:val="1"/>
                <w:bCs w:val="1"/>
                <w:color w:val="231F20"/>
                <w:w w:val="99"/>
              </w:rPr>
              <w:t>Value</w:t>
            </w:r>
          </w:p>
        </w:tc>
        <w:tc>
          <w:tcPr>
            <w:tcW w:w="0" w:type="dxa"/>
            <w:vAlign w:val="bottom"/>
          </w:tcPr>
          <w:p>
            <w:pPr>
              <w:spacing w:after="0"/>
              <w:rPr>
                <w:sz w:val="1"/>
                <w:szCs w:val="1"/>
                <w:color w:val="auto"/>
              </w:rPr>
            </w:pPr>
          </w:p>
        </w:tc>
      </w:tr>
      <w:tr>
        <w:trPr>
          <w:trHeight w:val="174"/>
        </w:trPr>
        <w:tc>
          <w:tcPr>
            <w:tcW w:w="5220" w:type="dxa"/>
            <w:vAlign w:val="bottom"/>
            <w:shd w:val="clear" w:color="auto" w:fill="FDFDFC"/>
          </w:tcPr>
          <w:p>
            <w:pPr>
              <w:spacing w:after="0"/>
              <w:rPr>
                <w:sz w:val="15"/>
                <w:szCs w:val="15"/>
                <w:color w:val="auto"/>
              </w:rPr>
            </w:pPr>
          </w:p>
        </w:tc>
        <w:tc>
          <w:tcPr>
            <w:tcW w:w="1220" w:type="dxa"/>
            <w:vAlign w:val="bottom"/>
            <w:gridSpan w:val="2"/>
            <w:vMerge w:val="continue"/>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900" w:type="dxa"/>
            <w:vAlign w:val="bottom"/>
            <w:shd w:val="clear" w:color="auto" w:fill="FDFDFC"/>
          </w:tcPr>
          <w:p>
            <w:pPr>
              <w:jc w:val="center"/>
              <w:ind w:right="33"/>
              <w:spacing w:after="0"/>
              <w:rPr>
                <w:sz w:val="20"/>
                <w:szCs w:val="20"/>
                <w:color w:val="auto"/>
              </w:rPr>
            </w:pPr>
            <w:r>
              <w:rPr>
                <w:rFonts w:ascii="Arial" w:cs="Arial" w:eastAsia="Arial" w:hAnsi="Arial"/>
                <w:sz w:val="15"/>
                <w:szCs w:val="15"/>
                <w:b w:val="1"/>
                <w:bCs w:val="1"/>
                <w:color w:val="231F20"/>
              </w:rPr>
              <w:t>Price Per</w:t>
            </w:r>
          </w:p>
        </w:tc>
        <w:tc>
          <w:tcPr>
            <w:tcW w:w="220" w:type="dxa"/>
            <w:vAlign w:val="bottom"/>
            <w:shd w:val="clear" w:color="auto" w:fill="FDFDFC"/>
          </w:tcPr>
          <w:p>
            <w:pPr>
              <w:spacing w:after="0"/>
              <w:rPr>
                <w:sz w:val="15"/>
                <w:szCs w:val="15"/>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rPr>
              <w:t>Term</w:t>
            </w:r>
          </w:p>
        </w:tc>
        <w:tc>
          <w:tcPr>
            <w:tcW w:w="2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20" w:type="dxa"/>
            <w:vAlign w:val="bottom"/>
            <w:gridSpan w:val="2"/>
            <w:shd w:val="clear" w:color="auto" w:fill="FDFDFC"/>
          </w:tcPr>
          <w:p>
            <w:pPr>
              <w:jc w:val="center"/>
              <w:ind w:right="240"/>
              <w:spacing w:after="0"/>
              <w:rPr>
                <w:sz w:val="20"/>
                <w:szCs w:val="20"/>
                <w:color w:val="auto"/>
              </w:rPr>
            </w:pPr>
            <w:r>
              <w:rPr>
                <w:rFonts w:ascii="Arial" w:cs="Arial" w:eastAsia="Arial" w:hAnsi="Arial"/>
                <w:sz w:val="15"/>
                <w:szCs w:val="15"/>
                <w:b w:val="1"/>
                <w:bCs w:val="1"/>
                <w:color w:val="231F20"/>
                <w:w w:val="97"/>
              </w:rPr>
              <w:t>(In</w:t>
            </w:r>
          </w:p>
        </w:tc>
        <w:tc>
          <w:tcPr>
            <w:tcW w:w="0" w:type="dxa"/>
            <w:vAlign w:val="bottom"/>
          </w:tcPr>
          <w:p>
            <w:pPr>
              <w:spacing w:after="0"/>
              <w:rPr>
                <w:sz w:val="1"/>
                <w:szCs w:val="1"/>
                <w:color w:val="auto"/>
              </w:rPr>
            </w:pPr>
          </w:p>
        </w:tc>
      </w:tr>
      <w:tr>
        <w:trPr>
          <w:trHeight w:val="191"/>
        </w:trPr>
        <w:tc>
          <w:tcPr>
            <w:tcW w:w="5220" w:type="dxa"/>
            <w:vAlign w:val="bottom"/>
            <w:shd w:val="clear" w:color="auto" w:fill="FDFDFC"/>
          </w:tcPr>
          <w:p>
            <w:pPr>
              <w:spacing w:after="0"/>
              <w:rPr>
                <w:sz w:val="16"/>
                <w:szCs w:val="16"/>
                <w:color w:val="auto"/>
              </w:rPr>
            </w:pPr>
          </w:p>
        </w:tc>
        <w:tc>
          <w:tcPr>
            <w:tcW w:w="1220" w:type="dxa"/>
            <w:vAlign w:val="bottom"/>
            <w:gridSpan w:val="2"/>
            <w:shd w:val="clear" w:color="auto" w:fill="FDFDFC"/>
          </w:tcPr>
          <w:p>
            <w:pPr>
              <w:jc w:val="right"/>
              <w:ind w:right="440"/>
              <w:spacing w:after="0"/>
              <w:rPr>
                <w:sz w:val="20"/>
                <w:szCs w:val="20"/>
                <w:color w:val="auto"/>
              </w:rPr>
            </w:pPr>
            <w:r>
              <w:rPr>
                <w:rFonts w:ascii="Arial" w:cs="Arial" w:eastAsia="Arial" w:hAnsi="Arial"/>
                <w:sz w:val="15"/>
                <w:szCs w:val="15"/>
                <w:b w:val="1"/>
                <w:bCs w:val="1"/>
                <w:color w:val="231F20"/>
              </w:rPr>
              <w:t>Shares</w:t>
            </w:r>
          </w:p>
        </w:tc>
        <w:tc>
          <w:tcPr>
            <w:tcW w:w="8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900" w:type="dxa"/>
            <w:vAlign w:val="bottom"/>
            <w:shd w:val="clear" w:color="auto" w:fill="FDFDFC"/>
          </w:tcPr>
          <w:p>
            <w:pPr>
              <w:jc w:val="center"/>
              <w:ind w:right="33"/>
              <w:spacing w:after="0"/>
              <w:rPr>
                <w:sz w:val="20"/>
                <w:szCs w:val="20"/>
                <w:color w:val="auto"/>
              </w:rPr>
            </w:pPr>
            <w:r>
              <w:rPr>
                <w:rFonts w:ascii="Arial" w:cs="Arial" w:eastAsia="Arial" w:hAnsi="Arial"/>
                <w:sz w:val="15"/>
                <w:szCs w:val="15"/>
                <w:b w:val="1"/>
                <w:bCs w:val="1"/>
                <w:color w:val="231F20"/>
              </w:rPr>
              <w:t>Share</w:t>
            </w:r>
          </w:p>
        </w:tc>
        <w:tc>
          <w:tcPr>
            <w:tcW w:w="220" w:type="dxa"/>
            <w:vAlign w:val="bottom"/>
            <w:shd w:val="clear" w:color="auto" w:fill="FDFDFC"/>
          </w:tcPr>
          <w:p>
            <w:pPr>
              <w:spacing w:after="0"/>
              <w:rPr>
                <w:sz w:val="16"/>
                <w:szCs w:val="16"/>
                <w:color w:val="auto"/>
              </w:rPr>
            </w:pPr>
          </w:p>
        </w:tc>
        <w:tc>
          <w:tcPr>
            <w:tcW w:w="1080" w:type="dxa"/>
            <w:vAlign w:val="bottom"/>
            <w:shd w:val="clear" w:color="auto" w:fill="FDFDFC"/>
          </w:tcPr>
          <w:p>
            <w:pPr>
              <w:jc w:val="center"/>
              <w:spacing w:after="0"/>
              <w:rPr>
                <w:sz w:val="20"/>
                <w:szCs w:val="20"/>
                <w:color w:val="auto"/>
              </w:rPr>
            </w:pPr>
            <w:r>
              <w:rPr>
                <w:rFonts w:ascii="Arial" w:cs="Arial" w:eastAsia="Arial" w:hAnsi="Arial"/>
                <w:sz w:val="15"/>
                <w:szCs w:val="15"/>
                <w:b w:val="1"/>
                <w:bCs w:val="1"/>
                <w:color w:val="231F20"/>
              </w:rPr>
              <w:t>(In Years)</w:t>
            </w:r>
          </w:p>
        </w:tc>
        <w:tc>
          <w:tcPr>
            <w:tcW w:w="220" w:type="dxa"/>
            <w:vAlign w:val="bottom"/>
            <w:shd w:val="clear" w:color="auto" w:fill="FDFDFC"/>
          </w:tcPr>
          <w:p>
            <w:pPr>
              <w:spacing w:after="0"/>
              <w:rPr>
                <w:sz w:val="16"/>
                <w:szCs w:val="16"/>
                <w:color w:val="auto"/>
              </w:rPr>
            </w:pPr>
          </w:p>
        </w:tc>
        <w:tc>
          <w:tcPr>
            <w:tcW w:w="1140" w:type="dxa"/>
            <w:vAlign w:val="bottom"/>
            <w:gridSpan w:val="3"/>
            <w:shd w:val="clear" w:color="auto" w:fill="FDFDFC"/>
          </w:tcPr>
          <w:p>
            <w:pPr>
              <w:jc w:val="center"/>
              <w:ind w:right="120"/>
              <w:spacing w:after="0"/>
              <w:rPr>
                <w:sz w:val="20"/>
                <w:szCs w:val="20"/>
                <w:color w:val="auto"/>
              </w:rPr>
            </w:pPr>
            <w:r>
              <w:rPr>
                <w:rFonts w:ascii="Arial" w:cs="Arial" w:eastAsia="Arial" w:hAnsi="Arial"/>
                <w:sz w:val="15"/>
                <w:szCs w:val="15"/>
                <w:b w:val="1"/>
                <w:bCs w:val="1"/>
                <w:color w:val="231F20"/>
              </w:rPr>
              <w:t>Thousands)</w:t>
            </w:r>
          </w:p>
        </w:tc>
        <w:tc>
          <w:tcPr>
            <w:tcW w:w="0" w:type="dxa"/>
            <w:vAlign w:val="bottom"/>
          </w:tcPr>
          <w:p>
            <w:pPr>
              <w:spacing w:after="0"/>
              <w:rPr>
                <w:sz w:val="1"/>
                <w:szCs w:val="1"/>
                <w:color w:val="auto"/>
              </w:rPr>
            </w:pPr>
          </w:p>
        </w:tc>
      </w:tr>
      <w:tr>
        <w:trPr>
          <w:trHeight w:val="220"/>
        </w:trPr>
        <w:tc>
          <w:tcPr>
            <w:tcW w:w="5220" w:type="dxa"/>
            <w:vAlign w:val="bottom"/>
            <w:tcBorders>
              <w:top w:val="single" w:sz="8" w:color="D0EBF2"/>
            </w:tcBorders>
            <w:shd w:val="clear" w:color="auto" w:fill="D0EBF2"/>
          </w:tcPr>
          <w:p>
            <w:pPr>
              <w:spacing w:after="0"/>
              <w:rPr>
                <w:sz w:val="20"/>
                <w:szCs w:val="20"/>
                <w:color w:val="auto"/>
              </w:rPr>
            </w:pPr>
            <w:r>
              <w:rPr>
                <w:rFonts w:ascii="Arial" w:cs="Arial" w:eastAsia="Arial" w:hAnsi="Arial"/>
                <w:sz w:val="19"/>
                <w:szCs w:val="19"/>
                <w:color w:val="231F20"/>
              </w:rPr>
              <w:t>Outstanding as of December 31, 2023</w:t>
            </w:r>
          </w:p>
        </w:tc>
        <w:tc>
          <w:tcPr>
            <w:tcW w:w="108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8,107,861</w:t>
            </w:r>
          </w:p>
        </w:tc>
        <w:tc>
          <w:tcPr>
            <w:tcW w:w="140" w:type="dxa"/>
            <w:vAlign w:val="bottom"/>
            <w:tcBorders>
              <w:top w:val="single" w:sz="8" w:color="D0EBF2"/>
            </w:tcBorders>
            <w:shd w:val="clear" w:color="auto" w:fill="D0EBF2"/>
          </w:tcPr>
          <w:p>
            <w:pPr>
              <w:spacing w:after="0"/>
              <w:rPr>
                <w:sz w:val="19"/>
                <w:szCs w:val="19"/>
                <w:color w:val="auto"/>
              </w:rPr>
            </w:pPr>
          </w:p>
        </w:tc>
        <w:tc>
          <w:tcPr>
            <w:tcW w:w="8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94"/>
              </w:rPr>
              <w:t>$</w:t>
            </w:r>
          </w:p>
        </w:tc>
        <w:tc>
          <w:tcPr>
            <w:tcW w:w="90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7.17</w:t>
            </w:r>
          </w:p>
        </w:tc>
        <w:tc>
          <w:tcPr>
            <w:tcW w:w="220" w:type="dxa"/>
            <w:vAlign w:val="bottom"/>
            <w:tcBorders>
              <w:top w:val="single" w:sz="8" w:color="D0EBF2"/>
            </w:tcBorders>
            <w:shd w:val="clear" w:color="auto" w:fill="D0EBF2"/>
          </w:tcPr>
          <w:p>
            <w:pPr>
              <w:spacing w:after="0"/>
              <w:rPr>
                <w:sz w:val="19"/>
                <w:szCs w:val="19"/>
                <w:color w:val="auto"/>
              </w:rPr>
            </w:pPr>
          </w:p>
        </w:tc>
        <w:tc>
          <w:tcPr>
            <w:tcW w:w="108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5.69</w:t>
            </w:r>
          </w:p>
        </w:tc>
        <w:tc>
          <w:tcPr>
            <w:tcW w:w="22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75"/>
                <w:shd w:val="clear" w:color="auto" w:fill="D0EBF2"/>
              </w:rPr>
              <w:t>$</w:t>
            </w:r>
          </w:p>
        </w:tc>
        <w:tc>
          <w:tcPr>
            <w:tcW w:w="92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136,975</w:t>
            </w:r>
          </w:p>
        </w:tc>
        <w:tc>
          <w:tcPr>
            <w:tcW w:w="10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FDFDFC"/>
          </w:tcPr>
          <w:p>
            <w:pPr>
              <w:spacing w:after="0"/>
              <w:rPr>
                <w:sz w:val="20"/>
                <w:szCs w:val="20"/>
                <w:color w:val="auto"/>
              </w:rPr>
            </w:pPr>
            <w:r>
              <w:rPr>
                <w:rFonts w:ascii="Arial" w:cs="Arial" w:eastAsia="Arial" w:hAnsi="Arial"/>
                <w:sz w:val="19"/>
                <w:szCs w:val="19"/>
                <w:color w:val="231F20"/>
              </w:rPr>
              <w:t>Granted</w:t>
            </w:r>
          </w:p>
        </w:tc>
        <w:tc>
          <w:tcPr>
            <w:tcW w:w="10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14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220" w:type="dxa"/>
            <w:vAlign w:val="bottom"/>
            <w:shd w:val="clear" w:color="auto" w:fill="FDFDFC"/>
          </w:tcPr>
          <w:p>
            <w:pPr>
              <w:spacing w:after="0"/>
              <w:rPr>
                <w:sz w:val="20"/>
                <w:szCs w:val="20"/>
                <w:color w:val="auto"/>
              </w:rPr>
            </w:pPr>
          </w:p>
        </w:tc>
        <w:tc>
          <w:tcPr>
            <w:tcW w:w="1080" w:type="dxa"/>
            <w:vAlign w:val="bottom"/>
            <w:shd w:val="clear" w:color="auto" w:fill="FDFDFC"/>
          </w:tcPr>
          <w:p>
            <w:pPr>
              <w:spacing w:after="0"/>
              <w:rPr>
                <w:sz w:val="20"/>
                <w:szCs w:val="20"/>
                <w:color w:val="auto"/>
              </w:rPr>
            </w:pPr>
          </w:p>
        </w:tc>
        <w:tc>
          <w:tcPr>
            <w:tcW w:w="2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9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D0EBF2"/>
          </w:tcPr>
          <w:p>
            <w:pPr>
              <w:spacing w:after="0"/>
              <w:rPr>
                <w:sz w:val="20"/>
                <w:szCs w:val="20"/>
                <w:color w:val="auto"/>
              </w:rPr>
            </w:pPr>
            <w:r>
              <w:rPr>
                <w:rFonts w:ascii="Arial" w:cs="Arial" w:eastAsia="Arial" w:hAnsi="Arial"/>
                <w:sz w:val="19"/>
                <w:szCs w:val="19"/>
                <w:color w:val="231F20"/>
              </w:rPr>
              <w:t>Exercised</w:t>
            </w:r>
          </w:p>
        </w:tc>
        <w:tc>
          <w:tcPr>
            <w:tcW w:w="1220" w:type="dxa"/>
            <w:vAlign w:val="bottom"/>
            <w:gridSpan w:val="2"/>
            <w:shd w:val="clear" w:color="auto" w:fill="D0EBF2"/>
          </w:tcPr>
          <w:p>
            <w:pPr>
              <w:jc w:val="right"/>
              <w:ind w:right="80"/>
              <w:spacing w:after="0"/>
              <w:rPr>
                <w:sz w:val="20"/>
                <w:szCs w:val="20"/>
                <w:color w:val="auto"/>
              </w:rPr>
            </w:pPr>
            <w:r>
              <w:rPr>
                <w:rFonts w:ascii="Arial" w:cs="Arial" w:eastAsia="Arial" w:hAnsi="Arial"/>
                <w:sz w:val="19"/>
                <w:szCs w:val="19"/>
                <w:color w:val="231F20"/>
              </w:rPr>
              <w:t>(1,799,325)</w:t>
            </w:r>
          </w:p>
        </w:tc>
        <w:tc>
          <w:tcPr>
            <w:tcW w:w="8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3.12</w:t>
            </w:r>
          </w:p>
        </w:tc>
        <w:tc>
          <w:tcPr>
            <w:tcW w:w="220" w:type="dxa"/>
            <w:vAlign w:val="bottom"/>
            <w:shd w:val="clear" w:color="auto" w:fill="D0EBF2"/>
          </w:tcPr>
          <w:p>
            <w:pPr>
              <w:spacing w:after="0"/>
              <w:rPr>
                <w:sz w:val="20"/>
                <w:szCs w:val="20"/>
                <w:color w:val="auto"/>
              </w:rPr>
            </w:pPr>
          </w:p>
        </w:tc>
        <w:tc>
          <w:tcPr>
            <w:tcW w:w="1080" w:type="dxa"/>
            <w:vAlign w:val="bottom"/>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9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FDFDFC"/>
          </w:tcPr>
          <w:p>
            <w:pPr>
              <w:spacing w:after="0"/>
              <w:rPr>
                <w:sz w:val="20"/>
                <w:szCs w:val="20"/>
                <w:color w:val="auto"/>
              </w:rPr>
            </w:pPr>
            <w:r>
              <w:rPr>
                <w:rFonts w:ascii="Arial" w:cs="Arial" w:eastAsia="Arial" w:hAnsi="Arial"/>
                <w:sz w:val="19"/>
                <w:szCs w:val="19"/>
                <w:color w:val="231F20"/>
              </w:rPr>
              <w:t>Cancelled</w:t>
            </w:r>
          </w:p>
        </w:tc>
        <w:tc>
          <w:tcPr>
            <w:tcW w:w="1220" w:type="dxa"/>
            <w:vAlign w:val="bottom"/>
            <w:gridSpan w:val="2"/>
            <w:shd w:val="clear" w:color="auto" w:fill="FDFDFC"/>
          </w:tcPr>
          <w:p>
            <w:pPr>
              <w:jc w:val="right"/>
              <w:ind w:right="80"/>
              <w:spacing w:after="0"/>
              <w:rPr>
                <w:sz w:val="20"/>
                <w:szCs w:val="20"/>
                <w:color w:val="auto"/>
              </w:rPr>
            </w:pPr>
            <w:r>
              <w:rPr>
                <w:rFonts w:ascii="Arial" w:cs="Arial" w:eastAsia="Arial" w:hAnsi="Arial"/>
                <w:sz w:val="19"/>
                <w:szCs w:val="19"/>
                <w:color w:val="231F20"/>
              </w:rPr>
              <w:t>(109,167)</w:t>
            </w:r>
          </w:p>
        </w:tc>
        <w:tc>
          <w:tcPr>
            <w:tcW w:w="8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9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28.27</w:t>
            </w:r>
          </w:p>
        </w:tc>
        <w:tc>
          <w:tcPr>
            <w:tcW w:w="220" w:type="dxa"/>
            <w:vAlign w:val="bottom"/>
            <w:shd w:val="clear" w:color="auto" w:fill="FDFDFC"/>
          </w:tcPr>
          <w:p>
            <w:pPr>
              <w:spacing w:after="0"/>
              <w:rPr>
                <w:sz w:val="20"/>
                <w:szCs w:val="20"/>
                <w:color w:val="auto"/>
              </w:rPr>
            </w:pPr>
          </w:p>
        </w:tc>
        <w:tc>
          <w:tcPr>
            <w:tcW w:w="1080" w:type="dxa"/>
            <w:vAlign w:val="bottom"/>
            <w:shd w:val="clear" w:color="auto" w:fill="FDFDFC"/>
          </w:tcPr>
          <w:p>
            <w:pPr>
              <w:spacing w:after="0"/>
              <w:rPr>
                <w:sz w:val="20"/>
                <w:szCs w:val="20"/>
                <w:color w:val="auto"/>
              </w:rPr>
            </w:pPr>
          </w:p>
        </w:tc>
        <w:tc>
          <w:tcPr>
            <w:tcW w:w="2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9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220" w:type="dxa"/>
            <w:vAlign w:val="bottom"/>
            <w:tcBorders>
              <w:top w:val="single" w:sz="8" w:color="D0EBF2"/>
              <w:bottom w:val="single" w:sz="8" w:color="FDFDFC"/>
            </w:tcBorders>
            <w:shd w:val="clear" w:color="auto" w:fill="D0EBF2"/>
          </w:tcPr>
          <w:p>
            <w:pPr>
              <w:spacing w:after="0"/>
              <w:rPr>
                <w:sz w:val="20"/>
                <w:szCs w:val="20"/>
                <w:color w:val="auto"/>
              </w:rPr>
            </w:pPr>
            <w:r>
              <w:rPr>
                <w:rFonts w:ascii="Arial" w:cs="Arial" w:eastAsia="Arial" w:hAnsi="Arial"/>
                <w:sz w:val="19"/>
                <w:szCs w:val="19"/>
                <w:color w:val="231F20"/>
              </w:rPr>
              <w:t>Outstanding as of December 31, 2024</w:t>
            </w:r>
          </w:p>
        </w:tc>
        <w:tc>
          <w:tcPr>
            <w:tcW w:w="10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6,199,369</w:t>
            </w:r>
          </w:p>
        </w:tc>
        <w:tc>
          <w:tcPr>
            <w:tcW w:w="140" w:type="dxa"/>
            <w:vAlign w:val="bottom"/>
            <w:tcBorders>
              <w:top w:val="single" w:sz="8" w:color="D0EBF2"/>
              <w:bottom w:val="single" w:sz="8" w:color="FDFDFC"/>
            </w:tcBorders>
            <w:shd w:val="clear" w:color="auto" w:fill="D0EBF2"/>
          </w:tcPr>
          <w:p>
            <w:pPr>
              <w:spacing w:after="0"/>
              <w:rPr>
                <w:sz w:val="22"/>
                <w:szCs w:val="22"/>
                <w:color w:val="auto"/>
              </w:rPr>
            </w:pPr>
          </w:p>
        </w:tc>
        <w:tc>
          <w:tcPr>
            <w:tcW w:w="80" w:type="dxa"/>
            <w:vAlign w:val="bottom"/>
            <w:tcBorders>
              <w:top w:val="single" w:sz="8" w:color="D0EBF2"/>
              <w:bottom w:val="single" w:sz="8" w:color="FDFDFC"/>
            </w:tcBorders>
            <w:shd w:val="clear" w:color="auto" w:fill="D0EBF2"/>
          </w:tcPr>
          <w:p>
            <w:pPr>
              <w:spacing w:after="0"/>
              <w:rPr>
                <w:sz w:val="22"/>
                <w:szCs w:val="22"/>
                <w:color w:val="auto"/>
              </w:rPr>
            </w:pPr>
          </w:p>
        </w:tc>
        <w:tc>
          <w:tcPr>
            <w:tcW w:w="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94"/>
              </w:rPr>
              <w:t>$</w:t>
            </w:r>
          </w:p>
        </w:tc>
        <w:tc>
          <w:tcPr>
            <w:tcW w:w="9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7.98</w:t>
            </w:r>
          </w:p>
        </w:tc>
        <w:tc>
          <w:tcPr>
            <w:tcW w:w="220" w:type="dxa"/>
            <w:vAlign w:val="bottom"/>
            <w:tcBorders>
              <w:top w:val="single" w:sz="8" w:color="D0EBF2"/>
              <w:bottom w:val="single" w:sz="8" w:color="FDFDFC"/>
            </w:tcBorders>
            <w:shd w:val="clear" w:color="auto" w:fill="D0EBF2"/>
          </w:tcPr>
          <w:p>
            <w:pPr>
              <w:spacing w:after="0"/>
              <w:rPr>
                <w:sz w:val="22"/>
                <w:szCs w:val="22"/>
                <w:color w:val="auto"/>
              </w:rPr>
            </w:pPr>
          </w:p>
        </w:tc>
        <w:tc>
          <w:tcPr>
            <w:tcW w:w="10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5.02</w:t>
            </w:r>
          </w:p>
        </w:tc>
        <w:tc>
          <w:tcPr>
            <w:tcW w:w="220" w:type="dxa"/>
            <w:vAlign w:val="bottom"/>
            <w:tcBorders>
              <w:top w:val="single" w:sz="8" w:color="D0EBF2"/>
              <w:bottom w:val="single" w:sz="8" w:color="FDFDFC"/>
            </w:tcBorders>
            <w:shd w:val="clear" w:color="auto" w:fill="D0EBF2"/>
          </w:tcPr>
          <w:p>
            <w:pPr>
              <w:spacing w:after="0"/>
              <w:rPr>
                <w:sz w:val="22"/>
                <w:szCs w:val="22"/>
                <w:color w:val="auto"/>
              </w:rPr>
            </w:pPr>
          </w:p>
        </w:tc>
        <w:tc>
          <w:tcPr>
            <w:tcW w:w="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75"/>
                <w:shd w:val="clear" w:color="auto" w:fill="D0EBF2"/>
              </w:rPr>
              <w:t>$</w:t>
            </w:r>
          </w:p>
        </w:tc>
        <w:tc>
          <w:tcPr>
            <w:tcW w:w="9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86,213</w:t>
            </w:r>
          </w:p>
        </w:tc>
        <w:tc>
          <w:tcPr>
            <w:tcW w:w="100" w:type="dxa"/>
            <w:vAlign w:val="bottom"/>
            <w:tcBorders>
              <w:top w:val="single" w:sz="8" w:color="D0EBF2"/>
              <w:bottom w:val="single" w:sz="8" w:color="FDFDFC"/>
            </w:tcBorders>
            <w:shd w:val="clear" w:color="auto" w:fill="D0EBF2"/>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220" w:type="dxa"/>
            <w:vAlign w:val="bottom"/>
            <w:shd w:val="clear" w:color="auto" w:fill="FDFDFC"/>
          </w:tcPr>
          <w:p>
            <w:pPr>
              <w:spacing w:after="0" w:line="213" w:lineRule="exact"/>
              <w:rPr>
                <w:sz w:val="20"/>
                <w:szCs w:val="20"/>
                <w:color w:val="auto"/>
              </w:rPr>
            </w:pPr>
            <w:r>
              <w:rPr>
                <w:rFonts w:ascii="Arial" w:cs="Arial" w:eastAsia="Arial" w:hAnsi="Arial"/>
                <w:sz w:val="19"/>
                <w:szCs w:val="19"/>
                <w:color w:val="231F20"/>
              </w:rPr>
              <w:t>Exercisable as of December 31, 2024</w:t>
            </w:r>
          </w:p>
        </w:tc>
        <w:tc>
          <w:tcPr>
            <w:tcW w:w="1080" w:type="dxa"/>
            <w:vAlign w:val="bottom"/>
            <w:shd w:val="clear" w:color="auto" w:fill="FDFDFC"/>
          </w:tcPr>
          <w:p>
            <w:pPr>
              <w:jc w:val="right"/>
              <w:spacing w:after="0" w:line="213" w:lineRule="exact"/>
              <w:rPr>
                <w:sz w:val="20"/>
                <w:szCs w:val="20"/>
                <w:color w:val="auto"/>
              </w:rPr>
            </w:pPr>
            <w:r>
              <w:rPr>
                <w:rFonts w:ascii="Arial" w:cs="Arial" w:eastAsia="Arial" w:hAnsi="Arial"/>
                <w:sz w:val="19"/>
                <w:szCs w:val="19"/>
                <w:color w:val="231F20"/>
              </w:rPr>
              <w:t>5,903,732</w:t>
            </w:r>
          </w:p>
        </w:tc>
        <w:tc>
          <w:tcPr>
            <w:tcW w:w="14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3" w:lineRule="exact"/>
              <w:rPr>
                <w:sz w:val="20"/>
                <w:szCs w:val="20"/>
                <w:color w:val="auto"/>
              </w:rPr>
            </w:pPr>
            <w:r>
              <w:rPr>
                <w:rFonts w:ascii="Arial" w:cs="Arial" w:eastAsia="Arial" w:hAnsi="Arial"/>
                <w:sz w:val="19"/>
                <w:szCs w:val="19"/>
                <w:color w:val="231F20"/>
              </w:rPr>
              <w:t>7.44</w:t>
            </w:r>
          </w:p>
        </w:tc>
        <w:tc>
          <w:tcPr>
            <w:tcW w:w="220" w:type="dxa"/>
            <w:vAlign w:val="bottom"/>
            <w:shd w:val="clear" w:color="auto" w:fill="FDFDFC"/>
          </w:tcPr>
          <w:p>
            <w:pPr>
              <w:spacing w:after="0"/>
              <w:rPr>
                <w:sz w:val="18"/>
                <w:szCs w:val="18"/>
                <w:color w:val="auto"/>
              </w:rPr>
            </w:pPr>
          </w:p>
        </w:tc>
        <w:tc>
          <w:tcPr>
            <w:tcW w:w="1080" w:type="dxa"/>
            <w:vAlign w:val="bottom"/>
            <w:shd w:val="clear" w:color="auto" w:fill="FDFDFC"/>
          </w:tcPr>
          <w:p>
            <w:pPr>
              <w:jc w:val="right"/>
              <w:spacing w:after="0" w:line="213" w:lineRule="exact"/>
              <w:rPr>
                <w:sz w:val="20"/>
                <w:szCs w:val="20"/>
                <w:color w:val="auto"/>
              </w:rPr>
            </w:pPr>
            <w:r>
              <w:rPr>
                <w:rFonts w:ascii="Arial" w:cs="Arial" w:eastAsia="Arial" w:hAnsi="Arial"/>
                <w:sz w:val="19"/>
                <w:szCs w:val="19"/>
                <w:color w:val="231F20"/>
              </w:rPr>
              <w:t>4.95</w:t>
            </w:r>
          </w:p>
        </w:tc>
        <w:tc>
          <w:tcPr>
            <w:tcW w:w="220" w:type="dxa"/>
            <w:vAlign w:val="bottom"/>
            <w:shd w:val="clear" w:color="auto" w:fill="FDFDFC"/>
          </w:tcPr>
          <w:p>
            <w:pPr>
              <w:spacing w:after="0"/>
              <w:rPr>
                <w:sz w:val="18"/>
                <w:szCs w:val="18"/>
                <w:color w:val="auto"/>
              </w:rPr>
            </w:pPr>
          </w:p>
        </w:tc>
        <w:tc>
          <w:tcPr>
            <w:tcW w:w="120" w:type="dxa"/>
            <w:vAlign w:val="bottom"/>
            <w:shd w:val="clear" w:color="auto" w:fill="FDFDFC"/>
          </w:tcPr>
          <w:p>
            <w:pPr>
              <w:jc w:val="right"/>
              <w:spacing w:after="0" w:line="213" w:lineRule="exact"/>
              <w:rPr>
                <w:sz w:val="20"/>
                <w:szCs w:val="20"/>
                <w:color w:val="auto"/>
              </w:rPr>
            </w:pPr>
            <w:r>
              <w:rPr>
                <w:rFonts w:ascii="Arial" w:cs="Arial" w:eastAsia="Arial" w:hAnsi="Arial"/>
                <w:sz w:val="19"/>
                <w:szCs w:val="19"/>
                <w:color w:val="231F20"/>
                <w:highlight w:val="white"/>
                <w:w w:val="75"/>
              </w:rPr>
              <w:t>$</w:t>
            </w:r>
          </w:p>
        </w:tc>
        <w:tc>
          <w:tcPr>
            <w:tcW w:w="920" w:type="dxa"/>
            <w:vAlign w:val="bottom"/>
            <w:shd w:val="clear" w:color="auto" w:fill="FDFDFC"/>
          </w:tcPr>
          <w:p>
            <w:pPr>
              <w:jc w:val="right"/>
              <w:spacing w:after="0" w:line="213" w:lineRule="exact"/>
              <w:rPr>
                <w:sz w:val="20"/>
                <w:szCs w:val="20"/>
                <w:color w:val="auto"/>
              </w:rPr>
            </w:pPr>
            <w:r>
              <w:rPr>
                <w:rFonts w:ascii="Arial" w:cs="Arial" w:eastAsia="Arial" w:hAnsi="Arial"/>
                <w:sz w:val="19"/>
                <w:szCs w:val="19"/>
                <w:color w:val="231F20"/>
                <w:highlight w:val="white"/>
              </w:rPr>
              <w:t>84,148</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D0EBF2"/>
          </w:tcPr>
          <w:p>
            <w:pPr>
              <w:spacing w:after="0"/>
              <w:rPr>
                <w:sz w:val="20"/>
                <w:szCs w:val="20"/>
                <w:color w:val="auto"/>
              </w:rPr>
            </w:pPr>
            <w:r>
              <w:rPr>
                <w:rFonts w:ascii="Arial" w:cs="Arial" w:eastAsia="Arial" w:hAnsi="Arial"/>
                <w:sz w:val="19"/>
                <w:szCs w:val="19"/>
                <w:color w:val="231F20"/>
              </w:rPr>
              <w:t>Vested or expected to vest as of December 31, 2024</w:t>
            </w: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289,591</w:t>
            </w:r>
          </w:p>
        </w:tc>
        <w:tc>
          <w:tcPr>
            <w:tcW w:w="14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9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18.70</w:t>
            </w:r>
          </w:p>
        </w:tc>
        <w:tc>
          <w:tcPr>
            <w:tcW w:w="22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6.44</w:t>
            </w:r>
          </w:p>
        </w:tc>
        <w:tc>
          <w:tcPr>
            <w:tcW w:w="220" w:type="dxa"/>
            <w:vAlign w:val="bottom"/>
            <w:shd w:val="clear" w:color="auto" w:fill="D0EBF2"/>
          </w:tcPr>
          <w:p>
            <w:pPr>
              <w:spacing w:after="0"/>
              <w:rPr>
                <w:sz w:val="20"/>
                <w:szCs w:val="20"/>
                <w:color w:val="auto"/>
              </w:rPr>
            </w:pPr>
          </w:p>
        </w:tc>
        <w:tc>
          <w:tcPr>
            <w:tcW w:w="12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2,020</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00" w:firstLine="463"/>
        <w:spacing w:after="0" w:line="251" w:lineRule="auto"/>
        <w:rPr>
          <w:sz w:val="20"/>
          <w:szCs w:val="20"/>
          <w:color w:val="auto"/>
        </w:rPr>
      </w:pPr>
      <w:r>
        <w:rPr>
          <w:rFonts w:ascii="Arial" w:cs="Arial" w:eastAsia="Arial" w:hAnsi="Arial"/>
          <w:sz w:val="19"/>
          <w:szCs w:val="19"/>
          <w:color w:val="231F20"/>
        </w:rPr>
        <w:t>The aggregate intrinsic value was calculated as the difference between exercise price of the underlying awards and the closing price of the Company’s common stock at December 31, 2024. The aggregate intrinsic value of stock options exercised during the years ended December 31, 2024, 2023 and 2022 was $33.8 million, $89.8 million and $56.1 million, respectively.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The Company did not grant any options to purchase shares of common stock during the year ended December 31,</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231F20"/>
        </w:rPr>
        <w:t>2024 and 2023. The weighted average grant-date fair value of stock options granted during the years ended December</w:t>
      </w:r>
    </w:p>
    <w:p>
      <w:pPr>
        <w:spacing w:after="0"/>
        <w:rPr>
          <w:sz w:val="20"/>
          <w:szCs w:val="20"/>
          <w:color w:val="auto"/>
        </w:rPr>
      </w:pPr>
      <w:r>
        <w:rPr>
          <w:rFonts w:ascii="Arial" w:cs="Arial" w:eastAsia="Arial" w:hAnsi="Arial"/>
          <w:sz w:val="19"/>
          <w:szCs w:val="19"/>
          <w:color w:val="231F20"/>
        </w:rPr>
        <w:t>31, 2022 was $30.08.</w:t>
      </w:r>
    </w:p>
    <w:p>
      <w:pPr>
        <w:spacing w:after="0" w:line="164" w:lineRule="exact"/>
        <w:rPr>
          <w:sz w:val="20"/>
          <w:szCs w:val="20"/>
          <w:color w:val="auto"/>
        </w:rPr>
      </w:pPr>
    </w:p>
    <w:p>
      <w:pPr>
        <w:ind w:right="160" w:firstLine="463"/>
        <w:spacing w:after="0" w:line="258" w:lineRule="auto"/>
        <w:rPr>
          <w:sz w:val="20"/>
          <w:szCs w:val="20"/>
          <w:color w:val="auto"/>
        </w:rPr>
      </w:pPr>
      <w:r>
        <w:rPr>
          <w:rFonts w:ascii="Arial" w:cs="Arial" w:eastAsia="Arial" w:hAnsi="Arial"/>
          <w:sz w:val="19"/>
          <w:szCs w:val="19"/>
          <w:color w:val="231F20"/>
        </w:rPr>
        <w:t>The fair value of each option award was estimated on the date of grant using the Black-Scholes option-pricing model. The table below quantifies the weighted average of the most significant inputs to determine the fair value of stock options granted during the years ended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40" w:type="dxa"/>
            <w:vAlign w:val="bottom"/>
            <w:shd w:val="clear" w:color="auto" w:fill="FDFDFC"/>
          </w:tcPr>
          <w:p>
            <w:pPr>
              <w:spacing w:after="0"/>
              <w:rPr>
                <w:sz w:val="15"/>
                <w:szCs w:val="15"/>
                <w:color w:val="auto"/>
              </w:rPr>
            </w:pPr>
          </w:p>
        </w:tc>
        <w:tc>
          <w:tcPr>
            <w:tcW w:w="1860" w:type="dxa"/>
            <w:vAlign w:val="bottom"/>
            <w:gridSpan w:val="2"/>
            <w:shd w:val="clear" w:color="auto" w:fill="FDFDFC"/>
          </w:tcPr>
          <w:p>
            <w:pPr>
              <w:jc w:val="center"/>
              <w:ind w:right="180"/>
              <w:spacing w:after="0"/>
              <w:rPr>
                <w:sz w:val="20"/>
                <w:szCs w:val="20"/>
                <w:color w:val="auto"/>
              </w:rPr>
            </w:pPr>
            <w:r>
              <w:rPr>
                <w:rFonts w:ascii="Arial" w:cs="Arial" w:eastAsia="Arial" w:hAnsi="Arial"/>
                <w:sz w:val="15"/>
                <w:szCs w:val="15"/>
                <w:b w:val="1"/>
                <w:bCs w:val="1"/>
                <w:color w:val="231F20"/>
              </w:rPr>
              <w:t>Year Ended December</w:t>
            </w:r>
          </w:p>
        </w:tc>
      </w:tr>
      <w:tr>
        <w:trPr>
          <w:trHeight w:val="191"/>
        </w:trPr>
        <w:tc>
          <w:tcPr>
            <w:tcW w:w="8340" w:type="dxa"/>
            <w:vAlign w:val="bottom"/>
            <w:tcBorders>
              <w:bottom w:val="single" w:sz="8" w:color="D0EBF2"/>
            </w:tcBorders>
            <w:shd w:val="clear" w:color="auto" w:fill="FDFDFC"/>
          </w:tcPr>
          <w:p>
            <w:pPr>
              <w:spacing w:after="0"/>
              <w:rPr>
                <w:sz w:val="16"/>
                <w:szCs w:val="16"/>
                <w:color w:val="auto"/>
              </w:rPr>
            </w:pPr>
          </w:p>
        </w:tc>
        <w:tc>
          <w:tcPr>
            <w:tcW w:w="1660" w:type="dxa"/>
            <w:vAlign w:val="bottom"/>
            <w:tcBorders>
              <w:bottom w:val="single" w:sz="8" w:color="231F20"/>
            </w:tcBorders>
            <w:shd w:val="clear" w:color="auto" w:fill="FDFDFC"/>
          </w:tcPr>
          <w:p>
            <w:pPr>
              <w:jc w:val="right"/>
              <w:ind w:right="452"/>
              <w:spacing w:after="0"/>
              <w:rPr>
                <w:sz w:val="20"/>
                <w:szCs w:val="20"/>
                <w:color w:val="auto"/>
              </w:rPr>
            </w:pPr>
            <w:r>
              <w:rPr>
                <w:rFonts w:ascii="Arial" w:cs="Arial" w:eastAsia="Arial" w:hAnsi="Arial"/>
                <w:sz w:val="15"/>
                <w:szCs w:val="15"/>
                <w:b w:val="1"/>
                <w:bCs w:val="1"/>
                <w:color w:val="231F20"/>
              </w:rPr>
              <w:t>31, 2022</w:t>
            </w:r>
          </w:p>
        </w:tc>
        <w:tc>
          <w:tcPr>
            <w:tcW w:w="200" w:type="dxa"/>
            <w:vAlign w:val="bottom"/>
            <w:tcBorders>
              <w:bottom w:val="single" w:sz="8" w:color="D0EBF2"/>
            </w:tcBorders>
            <w:shd w:val="clear" w:color="auto" w:fill="FDFDFC"/>
          </w:tcPr>
          <w:p>
            <w:pPr>
              <w:spacing w:after="0"/>
              <w:rPr>
                <w:sz w:val="16"/>
                <w:szCs w:val="16"/>
                <w:color w:val="auto"/>
              </w:rPr>
            </w:pPr>
          </w:p>
        </w:tc>
      </w:tr>
      <w:tr>
        <w:trPr>
          <w:trHeight w:val="207"/>
        </w:trPr>
        <w:tc>
          <w:tcPr>
            <w:tcW w:w="8340" w:type="dxa"/>
            <w:vAlign w:val="bottom"/>
            <w:shd w:val="clear" w:color="auto" w:fill="D0EBF2"/>
          </w:tcPr>
          <w:p>
            <w:pPr>
              <w:spacing w:after="0" w:line="206" w:lineRule="exact"/>
              <w:rPr>
                <w:sz w:val="20"/>
                <w:szCs w:val="20"/>
                <w:color w:val="auto"/>
              </w:rPr>
            </w:pPr>
            <w:r>
              <w:rPr>
                <w:rFonts w:ascii="Arial" w:cs="Arial" w:eastAsia="Arial" w:hAnsi="Arial"/>
                <w:sz w:val="19"/>
                <w:szCs w:val="19"/>
                <w:color w:val="231F20"/>
              </w:rPr>
              <w:t>Risk-free interest rate</w:t>
            </w:r>
          </w:p>
        </w:tc>
        <w:tc>
          <w:tcPr>
            <w:tcW w:w="1860" w:type="dxa"/>
            <w:vAlign w:val="bottom"/>
            <w:gridSpan w:val="2"/>
            <w:shd w:val="clear" w:color="auto" w:fill="D0EBF2"/>
          </w:tcPr>
          <w:p>
            <w:pPr>
              <w:jc w:val="right"/>
              <w:ind w:right="20"/>
              <w:spacing w:after="0" w:line="206" w:lineRule="exact"/>
              <w:rPr>
                <w:sz w:val="20"/>
                <w:szCs w:val="20"/>
                <w:color w:val="auto"/>
              </w:rPr>
            </w:pPr>
            <w:r>
              <w:rPr>
                <w:rFonts w:ascii="Arial" w:cs="Arial" w:eastAsia="Arial" w:hAnsi="Arial"/>
                <w:sz w:val="19"/>
                <w:szCs w:val="19"/>
                <w:color w:val="231F20"/>
              </w:rPr>
              <w:t>2.16%</w:t>
            </w:r>
          </w:p>
        </w:tc>
      </w:tr>
      <w:tr>
        <w:trPr>
          <w:trHeight w:val="217"/>
        </w:trPr>
        <w:tc>
          <w:tcPr>
            <w:tcW w:w="83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Expected dividend yield</w:t>
            </w:r>
          </w:p>
        </w:tc>
        <w:tc>
          <w:tcPr>
            <w:tcW w:w="1860" w:type="dxa"/>
            <w:vAlign w:val="bottom"/>
            <w:gridSpan w:val="2"/>
            <w:shd w:val="clear" w:color="auto" w:fill="FDFDFC"/>
          </w:tcPr>
          <w:p>
            <w:pPr>
              <w:jc w:val="right"/>
              <w:ind w:right="20"/>
              <w:spacing w:after="0" w:line="217" w:lineRule="exact"/>
              <w:rPr>
                <w:sz w:val="20"/>
                <w:szCs w:val="20"/>
                <w:color w:val="auto"/>
              </w:rPr>
            </w:pPr>
            <w:r>
              <w:rPr>
                <w:rFonts w:ascii="Arial" w:cs="Arial" w:eastAsia="Arial" w:hAnsi="Arial"/>
                <w:sz w:val="19"/>
                <w:szCs w:val="19"/>
                <w:color w:val="231F20"/>
              </w:rPr>
              <w:t>0%</w:t>
            </w:r>
          </w:p>
        </w:tc>
      </w:tr>
      <w:tr>
        <w:trPr>
          <w:trHeight w:val="217"/>
        </w:trPr>
        <w:tc>
          <w:tcPr>
            <w:tcW w:w="834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Expected volatility</w:t>
            </w:r>
          </w:p>
        </w:tc>
        <w:tc>
          <w:tcPr>
            <w:tcW w:w="1860" w:type="dxa"/>
            <w:vAlign w:val="bottom"/>
            <w:gridSpan w:val="2"/>
            <w:shd w:val="clear" w:color="auto" w:fill="D0EBF2"/>
          </w:tcPr>
          <w:p>
            <w:pPr>
              <w:jc w:val="right"/>
              <w:ind w:right="20"/>
              <w:spacing w:after="0" w:line="217" w:lineRule="exact"/>
              <w:rPr>
                <w:sz w:val="20"/>
                <w:szCs w:val="20"/>
                <w:color w:val="auto"/>
              </w:rPr>
            </w:pPr>
            <w:r>
              <w:rPr>
                <w:rFonts w:ascii="Arial" w:cs="Arial" w:eastAsia="Arial" w:hAnsi="Arial"/>
                <w:sz w:val="19"/>
                <w:szCs w:val="19"/>
                <w:color w:val="231F20"/>
              </w:rPr>
              <w:t>47.4%</w:t>
            </w:r>
          </w:p>
        </w:tc>
      </w:tr>
      <w:tr>
        <w:trPr>
          <w:trHeight w:val="217"/>
        </w:trPr>
        <w:tc>
          <w:tcPr>
            <w:tcW w:w="834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Expected terms (in years)</w:t>
            </w:r>
          </w:p>
        </w:tc>
        <w:tc>
          <w:tcPr>
            <w:tcW w:w="1660" w:type="dxa"/>
            <w:vAlign w:val="bottom"/>
            <w:shd w:val="clear" w:color="auto" w:fill="FDFDFC"/>
          </w:tcPr>
          <w:p>
            <w:pPr>
              <w:jc w:val="right"/>
              <w:spacing w:after="0" w:line="217" w:lineRule="exact"/>
              <w:rPr>
                <w:sz w:val="20"/>
                <w:szCs w:val="20"/>
                <w:color w:val="auto"/>
              </w:rPr>
            </w:pPr>
            <w:r>
              <w:rPr>
                <w:rFonts w:ascii="Arial" w:cs="Arial" w:eastAsia="Arial" w:hAnsi="Arial"/>
                <w:sz w:val="19"/>
                <w:szCs w:val="19"/>
                <w:color w:val="231F20"/>
              </w:rPr>
              <w:t>6</w:t>
            </w:r>
          </w:p>
        </w:tc>
        <w:tc>
          <w:tcPr>
            <w:tcW w:w="200" w:type="dxa"/>
            <w:vAlign w:val="bottom"/>
            <w:shd w:val="clear" w:color="auto" w:fill="FDFDFC"/>
          </w:tcPr>
          <w:p>
            <w:pPr>
              <w:spacing w:after="0"/>
              <w:rPr>
                <w:sz w:val="18"/>
                <w:szCs w:val="18"/>
                <w:color w:val="auto"/>
              </w:rPr>
            </w:pPr>
          </w:p>
        </w:tc>
      </w:tr>
    </w:tbl>
    <w:p>
      <w:pPr>
        <w:spacing w:after="0" w:line="171" w:lineRule="exact"/>
        <w:rPr>
          <w:sz w:val="20"/>
          <w:szCs w:val="20"/>
          <w:color w:val="auto"/>
        </w:rPr>
      </w:pPr>
    </w:p>
    <w:p>
      <w:pPr>
        <w:jc w:val="both"/>
        <w:ind w:right="20" w:firstLine="463"/>
        <w:spacing w:after="0" w:line="278" w:lineRule="auto"/>
        <w:rPr>
          <w:sz w:val="20"/>
          <w:szCs w:val="20"/>
          <w:color w:val="auto"/>
        </w:rPr>
      </w:pPr>
      <w:r>
        <w:rPr>
          <w:rFonts w:ascii="Arial" w:cs="Arial" w:eastAsia="Arial" w:hAnsi="Arial"/>
          <w:sz w:val="19"/>
          <w:szCs w:val="19"/>
          <w:color w:val="231F20"/>
        </w:rPr>
        <w:t>The Company received cash proceeds from the exercise of options to purchase common stock of $5.6 million, $10.4 million and $4.7 million during the years ended December 31, 2024, 2023 and 2022, respectively.</w:t>
      </w:r>
    </w:p>
    <w:p>
      <w:pPr>
        <w:spacing w:after="0" w:line="117" w:lineRule="exact"/>
        <w:rPr>
          <w:sz w:val="20"/>
          <w:szCs w:val="20"/>
          <w:color w:val="auto"/>
        </w:rPr>
      </w:pPr>
    </w:p>
    <w:p>
      <w:pPr>
        <w:ind w:right="220" w:firstLine="463"/>
        <w:spacing w:after="0" w:line="278" w:lineRule="auto"/>
        <w:rPr>
          <w:sz w:val="20"/>
          <w:szCs w:val="20"/>
          <w:color w:val="auto"/>
        </w:rPr>
      </w:pPr>
      <w:r>
        <w:rPr>
          <w:rFonts w:ascii="Arial" w:cs="Arial" w:eastAsia="Arial" w:hAnsi="Arial"/>
          <w:sz w:val="19"/>
          <w:szCs w:val="19"/>
          <w:color w:val="231F20"/>
        </w:rPr>
        <w:t>As of December 31, 2024, there was $2.6 million of total unrecognized expense related to unvested stock options, which is expected to be recognized over a weighted-average period of 0.68 years.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Restricted Stock Units</w:t>
      </w:r>
    </w:p>
    <w:p>
      <w:pPr>
        <w:spacing w:after="0" w:line="184"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The Company has awarded restricted stock units to employees and certain non-employee board members under the 2021 Plan. The fair value of each restricted stock unit is estimated based on the fair value of the Company's common stock on the date of the grant. The restricted stock units vest over the requisite service period, which range between one</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142</w:t>
      </w:r>
    </w:p>
    <w:p>
      <w:pPr>
        <w:sectPr>
          <w:pgSz w:w="12240" w:h="15840" w:orient="portrait"/>
          <w:cols w:equalWidth="0" w:num="1">
            <w:col w:w="10200"/>
          </w:cols>
          <w:pgMar w:left="1020" w:top="1440" w:right="1020" w:bottom="572" w:gutter="0" w:footer="0" w:header="0"/>
          <w:type w:val="continuous"/>
        </w:sectPr>
      </w:pPr>
    </w:p>
    <w:bookmarkStart w:id="143" w:name="page144"/>
    <w:bookmarkEnd w:id="143"/>
    <w:p>
      <w:pPr>
        <w:spacing w:after="0" w:line="97" w:lineRule="exact"/>
        <w:rPr>
          <w:sz w:val="20"/>
          <w:szCs w:val="20"/>
          <w:color w:val="auto"/>
        </w:rPr>
      </w:pPr>
    </w:p>
    <w:p>
      <w:pPr>
        <w:ind w:right="180"/>
        <w:spacing w:after="0" w:line="278" w:lineRule="auto"/>
        <w:rPr>
          <w:sz w:val="20"/>
          <w:szCs w:val="20"/>
          <w:color w:val="auto"/>
        </w:rPr>
      </w:pPr>
      <w:r>
        <w:rPr>
          <w:rFonts w:ascii="Arial" w:cs="Arial" w:eastAsia="Arial" w:hAnsi="Arial"/>
          <w:sz w:val="19"/>
          <w:szCs w:val="19"/>
          <w:color w:val="231F20"/>
        </w:rPr>
        <w:t>and four years from the date of the grant, subject to the continued employment of the employees and service of the non-employee board members.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The following table summarizes the restricted stock units activity for the year ended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60" w:type="dxa"/>
            <w:vAlign w:val="bottom"/>
            <w:shd w:val="clear" w:color="auto" w:fill="FDFDFC"/>
          </w:tcPr>
          <w:p>
            <w:pPr>
              <w:spacing w:after="0"/>
              <w:rPr>
                <w:sz w:val="14"/>
                <w:szCs w:val="14"/>
                <w:color w:val="auto"/>
              </w:rPr>
            </w:pPr>
          </w:p>
        </w:tc>
        <w:tc>
          <w:tcPr>
            <w:tcW w:w="1240" w:type="dxa"/>
            <w:vAlign w:val="bottom"/>
            <w:shd w:val="clear" w:color="auto" w:fill="FDFDFC"/>
          </w:tcPr>
          <w:p>
            <w:pPr>
              <w:spacing w:after="0"/>
              <w:rPr>
                <w:sz w:val="14"/>
                <w:szCs w:val="14"/>
                <w:color w:val="auto"/>
              </w:rPr>
            </w:pPr>
          </w:p>
        </w:tc>
        <w:tc>
          <w:tcPr>
            <w:tcW w:w="1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60" w:type="dxa"/>
            <w:vAlign w:val="bottom"/>
            <w:shd w:val="clear" w:color="auto" w:fill="FDFDFC"/>
          </w:tcPr>
          <w:p>
            <w:pPr>
              <w:spacing w:after="0"/>
              <w:rPr>
                <w:sz w:val="14"/>
                <w:szCs w:val="14"/>
                <w:color w:val="auto"/>
              </w:rPr>
            </w:pPr>
          </w:p>
        </w:tc>
        <w:tc>
          <w:tcPr>
            <w:tcW w:w="1040" w:type="dxa"/>
            <w:vAlign w:val="bottom"/>
            <w:shd w:val="clear" w:color="auto" w:fill="FDFDFC"/>
          </w:tcPr>
          <w:p>
            <w:pPr>
              <w:jc w:val="center"/>
              <w:ind w:right="93"/>
              <w:spacing w:after="0"/>
              <w:rPr>
                <w:sz w:val="20"/>
                <w:szCs w:val="20"/>
                <w:color w:val="auto"/>
              </w:rPr>
            </w:pPr>
            <w:r>
              <w:rPr>
                <w:rFonts w:ascii="Arial" w:cs="Arial" w:eastAsia="Arial" w:hAnsi="Arial"/>
                <w:sz w:val="15"/>
                <w:szCs w:val="15"/>
                <w:b w:val="1"/>
                <w:bCs w:val="1"/>
                <w:color w:val="231F20"/>
              </w:rPr>
              <w:t>Weighted-</w:t>
            </w:r>
          </w:p>
        </w:tc>
        <w:tc>
          <w:tcPr>
            <w:tcW w:w="240" w:type="dxa"/>
            <w:vAlign w:val="bottom"/>
            <w:shd w:val="clear" w:color="auto" w:fill="FDFDFC"/>
          </w:tcPr>
          <w:p>
            <w:pPr>
              <w:spacing w:after="0"/>
              <w:rPr>
                <w:sz w:val="14"/>
                <w:szCs w:val="14"/>
                <w:color w:val="auto"/>
              </w:rPr>
            </w:pPr>
          </w:p>
        </w:tc>
        <w:tc>
          <w:tcPr>
            <w:tcW w:w="160" w:type="dxa"/>
            <w:vAlign w:val="bottom"/>
            <w:shd w:val="clear" w:color="auto" w:fill="FDFDFC"/>
          </w:tcPr>
          <w:p>
            <w:pPr>
              <w:spacing w:after="0"/>
              <w:rPr>
                <w:sz w:val="14"/>
                <w:szCs w:val="14"/>
                <w:color w:val="auto"/>
              </w:rPr>
            </w:pPr>
          </w:p>
        </w:tc>
        <w:tc>
          <w:tcPr>
            <w:tcW w:w="1140" w:type="dxa"/>
            <w:vAlign w:val="bottom"/>
            <w:gridSpan w:val="2"/>
            <w:shd w:val="clear" w:color="auto" w:fill="FDFDFC"/>
          </w:tcPr>
          <w:p>
            <w:pPr>
              <w:jc w:val="center"/>
              <w:ind w:right="280"/>
              <w:spacing w:after="0"/>
              <w:rPr>
                <w:sz w:val="20"/>
                <w:szCs w:val="20"/>
                <w:color w:val="auto"/>
              </w:rPr>
            </w:pPr>
            <w:r>
              <w:rPr>
                <w:rFonts w:ascii="Arial" w:cs="Arial" w:eastAsia="Arial" w:hAnsi="Arial"/>
                <w:sz w:val="15"/>
                <w:szCs w:val="15"/>
                <w:b w:val="1"/>
                <w:bCs w:val="1"/>
                <w:color w:val="231F20"/>
                <w:w w:val="99"/>
              </w:rPr>
              <w:t>Aggregate</w:t>
            </w:r>
          </w:p>
        </w:tc>
        <w:tc>
          <w:tcPr>
            <w:tcW w:w="0" w:type="dxa"/>
            <w:vAlign w:val="bottom"/>
          </w:tcPr>
          <w:p>
            <w:pPr>
              <w:spacing w:after="0"/>
              <w:rPr>
                <w:sz w:val="1"/>
                <w:szCs w:val="1"/>
                <w:color w:val="auto"/>
              </w:rPr>
            </w:pPr>
          </w:p>
        </w:tc>
      </w:tr>
      <w:tr>
        <w:trPr>
          <w:trHeight w:val="174"/>
        </w:trPr>
        <w:tc>
          <w:tcPr>
            <w:tcW w:w="5960" w:type="dxa"/>
            <w:vAlign w:val="bottom"/>
            <w:shd w:val="clear" w:color="auto" w:fill="FDFDFC"/>
          </w:tcPr>
          <w:p>
            <w:pPr>
              <w:spacing w:after="0"/>
              <w:rPr>
                <w:sz w:val="15"/>
                <w:szCs w:val="15"/>
                <w:color w:val="auto"/>
              </w:rPr>
            </w:pPr>
          </w:p>
        </w:tc>
        <w:tc>
          <w:tcPr>
            <w:tcW w:w="1400" w:type="dxa"/>
            <w:vAlign w:val="bottom"/>
            <w:gridSpan w:val="2"/>
            <w:vMerge w:val="restart"/>
            <w:shd w:val="clear" w:color="auto" w:fill="FDFDFC"/>
          </w:tcPr>
          <w:p>
            <w:pPr>
              <w:jc w:val="right"/>
              <w:ind w:right="400"/>
              <w:spacing w:after="0"/>
              <w:rPr>
                <w:sz w:val="20"/>
                <w:szCs w:val="20"/>
                <w:color w:val="auto"/>
              </w:rPr>
            </w:pPr>
            <w:r>
              <w:rPr>
                <w:rFonts w:ascii="Arial" w:cs="Arial" w:eastAsia="Arial" w:hAnsi="Arial"/>
                <w:sz w:val="15"/>
                <w:szCs w:val="15"/>
                <w:b w:val="1"/>
                <w:bCs w:val="1"/>
                <w:color w:val="231F20"/>
              </w:rPr>
              <w:t>Number of</w:t>
            </w:r>
          </w:p>
        </w:tc>
        <w:tc>
          <w:tcPr>
            <w:tcW w:w="10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1040" w:type="dxa"/>
            <w:vAlign w:val="bottom"/>
            <w:shd w:val="clear" w:color="auto" w:fill="FDFDFC"/>
          </w:tcPr>
          <w:p>
            <w:pPr>
              <w:jc w:val="center"/>
              <w:ind w:right="113"/>
              <w:spacing w:after="0"/>
              <w:rPr>
                <w:sz w:val="20"/>
                <w:szCs w:val="20"/>
                <w:color w:val="auto"/>
              </w:rPr>
            </w:pPr>
            <w:r>
              <w:rPr>
                <w:rFonts w:ascii="Arial" w:cs="Arial" w:eastAsia="Arial" w:hAnsi="Arial"/>
                <w:sz w:val="15"/>
                <w:szCs w:val="15"/>
                <w:b w:val="1"/>
                <w:bCs w:val="1"/>
                <w:color w:val="231F20"/>
              </w:rPr>
              <w:t>Average</w:t>
            </w:r>
          </w:p>
        </w:tc>
        <w:tc>
          <w:tcPr>
            <w:tcW w:w="24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1140" w:type="dxa"/>
            <w:vAlign w:val="bottom"/>
            <w:gridSpan w:val="2"/>
            <w:shd w:val="clear" w:color="auto" w:fill="FDFDFC"/>
          </w:tcPr>
          <w:p>
            <w:pPr>
              <w:jc w:val="center"/>
              <w:ind w:right="260"/>
              <w:spacing w:after="0"/>
              <w:rPr>
                <w:sz w:val="20"/>
                <w:szCs w:val="20"/>
                <w:color w:val="auto"/>
              </w:rPr>
            </w:pPr>
            <w:r>
              <w:rPr>
                <w:rFonts w:ascii="Arial" w:cs="Arial" w:eastAsia="Arial" w:hAnsi="Arial"/>
                <w:sz w:val="15"/>
                <w:szCs w:val="15"/>
                <w:b w:val="1"/>
                <w:bCs w:val="1"/>
                <w:color w:val="231F20"/>
              </w:rPr>
              <w:t>Fair</w:t>
            </w:r>
          </w:p>
        </w:tc>
        <w:tc>
          <w:tcPr>
            <w:tcW w:w="0" w:type="dxa"/>
            <w:vAlign w:val="bottom"/>
          </w:tcPr>
          <w:p>
            <w:pPr>
              <w:spacing w:after="0"/>
              <w:rPr>
                <w:sz w:val="1"/>
                <w:szCs w:val="1"/>
                <w:color w:val="auto"/>
              </w:rPr>
            </w:pPr>
          </w:p>
        </w:tc>
      </w:tr>
      <w:tr>
        <w:trPr>
          <w:trHeight w:val="174"/>
        </w:trPr>
        <w:tc>
          <w:tcPr>
            <w:tcW w:w="5960" w:type="dxa"/>
            <w:vAlign w:val="bottom"/>
            <w:shd w:val="clear" w:color="auto" w:fill="FDFDFC"/>
          </w:tcPr>
          <w:p>
            <w:pPr>
              <w:spacing w:after="0"/>
              <w:rPr>
                <w:sz w:val="15"/>
                <w:szCs w:val="15"/>
                <w:color w:val="auto"/>
              </w:rPr>
            </w:pPr>
          </w:p>
        </w:tc>
        <w:tc>
          <w:tcPr>
            <w:tcW w:w="1400" w:type="dxa"/>
            <w:vAlign w:val="bottom"/>
            <w:gridSpan w:val="2"/>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0" w:type="dxa"/>
            <w:vAlign w:val="bottom"/>
            <w:gridSpan w:val="2"/>
            <w:shd w:val="clear" w:color="auto" w:fill="FDFDFC"/>
          </w:tcPr>
          <w:p>
            <w:pPr>
              <w:jc w:val="center"/>
              <w:spacing w:after="0"/>
              <w:rPr>
                <w:sz w:val="20"/>
                <w:szCs w:val="20"/>
                <w:color w:val="auto"/>
              </w:rPr>
            </w:pPr>
            <w:r>
              <w:rPr>
                <w:rFonts w:ascii="Arial" w:cs="Arial" w:eastAsia="Arial" w:hAnsi="Arial"/>
                <w:sz w:val="15"/>
                <w:szCs w:val="15"/>
                <w:b w:val="1"/>
                <w:bCs w:val="1"/>
                <w:color w:val="231F20"/>
              </w:rPr>
              <w:t>Grant Date Fair</w:t>
            </w:r>
          </w:p>
        </w:tc>
        <w:tc>
          <w:tcPr>
            <w:tcW w:w="24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1140" w:type="dxa"/>
            <w:vAlign w:val="bottom"/>
            <w:gridSpan w:val="2"/>
            <w:shd w:val="clear" w:color="auto" w:fill="FDFDFC"/>
          </w:tcPr>
          <w:p>
            <w:pPr>
              <w:jc w:val="center"/>
              <w:ind w:right="260"/>
              <w:spacing w:after="0"/>
              <w:rPr>
                <w:sz w:val="20"/>
                <w:szCs w:val="20"/>
                <w:color w:val="auto"/>
              </w:rPr>
            </w:pPr>
            <w:r>
              <w:rPr>
                <w:rFonts w:ascii="Arial" w:cs="Arial" w:eastAsia="Arial" w:hAnsi="Arial"/>
                <w:sz w:val="15"/>
                <w:szCs w:val="15"/>
                <w:b w:val="1"/>
                <w:bCs w:val="1"/>
                <w:color w:val="231F20"/>
                <w:w w:val="99"/>
              </w:rPr>
              <w:t>Value</w:t>
            </w:r>
          </w:p>
        </w:tc>
        <w:tc>
          <w:tcPr>
            <w:tcW w:w="0" w:type="dxa"/>
            <w:vAlign w:val="bottom"/>
          </w:tcPr>
          <w:p>
            <w:pPr>
              <w:spacing w:after="0"/>
              <w:rPr>
                <w:sz w:val="1"/>
                <w:szCs w:val="1"/>
                <w:color w:val="auto"/>
              </w:rPr>
            </w:pPr>
          </w:p>
        </w:tc>
      </w:tr>
      <w:tr>
        <w:trPr>
          <w:trHeight w:val="191"/>
        </w:trPr>
        <w:tc>
          <w:tcPr>
            <w:tcW w:w="5960" w:type="dxa"/>
            <w:vAlign w:val="bottom"/>
            <w:shd w:val="clear" w:color="auto" w:fill="FDFDFC"/>
          </w:tcPr>
          <w:p>
            <w:pPr>
              <w:spacing w:after="0"/>
              <w:rPr>
                <w:sz w:val="16"/>
                <w:szCs w:val="16"/>
                <w:color w:val="auto"/>
              </w:rPr>
            </w:pPr>
          </w:p>
        </w:tc>
        <w:tc>
          <w:tcPr>
            <w:tcW w:w="1400" w:type="dxa"/>
            <w:vAlign w:val="bottom"/>
            <w:gridSpan w:val="2"/>
            <w:shd w:val="clear" w:color="auto" w:fill="FDFDFC"/>
          </w:tcPr>
          <w:p>
            <w:pPr>
              <w:jc w:val="right"/>
              <w:ind w:right="520"/>
              <w:spacing w:after="0"/>
              <w:rPr>
                <w:sz w:val="20"/>
                <w:szCs w:val="20"/>
                <w:color w:val="auto"/>
              </w:rPr>
            </w:pPr>
            <w:r>
              <w:rPr>
                <w:rFonts w:ascii="Arial" w:cs="Arial" w:eastAsia="Arial" w:hAnsi="Arial"/>
                <w:sz w:val="15"/>
                <w:szCs w:val="15"/>
                <w:b w:val="1"/>
                <w:bCs w:val="1"/>
                <w:color w:val="231F20"/>
              </w:rPr>
              <w:t>Shares</w:t>
            </w:r>
          </w:p>
        </w:tc>
        <w:tc>
          <w:tcPr>
            <w:tcW w:w="10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1040" w:type="dxa"/>
            <w:vAlign w:val="bottom"/>
            <w:shd w:val="clear" w:color="auto" w:fill="FDFDFC"/>
          </w:tcPr>
          <w:p>
            <w:pPr>
              <w:jc w:val="center"/>
              <w:ind w:right="113"/>
              <w:spacing w:after="0"/>
              <w:rPr>
                <w:sz w:val="20"/>
                <w:szCs w:val="20"/>
                <w:color w:val="auto"/>
              </w:rPr>
            </w:pPr>
            <w:r>
              <w:rPr>
                <w:rFonts w:ascii="Arial" w:cs="Arial" w:eastAsia="Arial" w:hAnsi="Arial"/>
                <w:sz w:val="15"/>
                <w:szCs w:val="15"/>
                <w:b w:val="1"/>
                <w:bCs w:val="1"/>
                <w:color w:val="231F20"/>
                <w:w w:val="99"/>
              </w:rPr>
              <w:t>Value</w:t>
            </w:r>
          </w:p>
        </w:tc>
        <w:tc>
          <w:tcPr>
            <w:tcW w:w="240" w:type="dxa"/>
            <w:vAlign w:val="bottom"/>
            <w:shd w:val="clear" w:color="auto" w:fill="FDFDFC"/>
          </w:tcPr>
          <w:p>
            <w:pPr>
              <w:spacing w:after="0"/>
              <w:rPr>
                <w:sz w:val="16"/>
                <w:szCs w:val="16"/>
                <w:color w:val="auto"/>
              </w:rPr>
            </w:pPr>
          </w:p>
        </w:tc>
        <w:tc>
          <w:tcPr>
            <w:tcW w:w="1300" w:type="dxa"/>
            <w:vAlign w:val="bottom"/>
            <w:gridSpan w:val="3"/>
            <w:shd w:val="clear" w:color="auto" w:fill="FDFDFC"/>
          </w:tcPr>
          <w:p>
            <w:pPr>
              <w:jc w:val="center"/>
              <w:ind w:right="100"/>
              <w:spacing w:after="0"/>
              <w:rPr>
                <w:sz w:val="20"/>
                <w:szCs w:val="20"/>
                <w:color w:val="auto"/>
              </w:rPr>
            </w:pPr>
            <w:r>
              <w:rPr>
                <w:rFonts w:ascii="Arial" w:cs="Arial" w:eastAsia="Arial" w:hAnsi="Arial"/>
                <w:sz w:val="15"/>
                <w:szCs w:val="15"/>
                <w:b w:val="1"/>
                <w:bCs w:val="1"/>
                <w:color w:val="231F20"/>
              </w:rPr>
              <w:t>(In Thousands)</w:t>
            </w:r>
          </w:p>
        </w:tc>
        <w:tc>
          <w:tcPr>
            <w:tcW w:w="0" w:type="dxa"/>
            <w:vAlign w:val="bottom"/>
          </w:tcPr>
          <w:p>
            <w:pPr>
              <w:spacing w:after="0"/>
              <w:rPr>
                <w:sz w:val="1"/>
                <w:szCs w:val="1"/>
                <w:color w:val="auto"/>
              </w:rPr>
            </w:pPr>
          </w:p>
        </w:tc>
      </w:tr>
      <w:tr>
        <w:trPr>
          <w:trHeight w:val="220"/>
        </w:trPr>
        <w:tc>
          <w:tcPr>
            <w:tcW w:w="5960" w:type="dxa"/>
            <w:vAlign w:val="bottom"/>
            <w:tcBorders>
              <w:top w:val="single" w:sz="8" w:color="D0EBF2"/>
            </w:tcBorders>
            <w:shd w:val="clear" w:color="auto" w:fill="D0EBF2"/>
          </w:tcPr>
          <w:p>
            <w:pPr>
              <w:spacing w:after="0"/>
              <w:rPr>
                <w:sz w:val="20"/>
                <w:szCs w:val="20"/>
                <w:color w:val="auto"/>
              </w:rPr>
            </w:pPr>
            <w:r>
              <w:rPr>
                <w:rFonts w:ascii="Arial" w:cs="Arial" w:eastAsia="Arial" w:hAnsi="Arial"/>
                <w:sz w:val="19"/>
                <w:szCs w:val="19"/>
                <w:color w:val="231F20"/>
              </w:rPr>
              <w:t>Unvested as of December 31, 2023</w:t>
            </w:r>
          </w:p>
        </w:tc>
        <w:tc>
          <w:tcPr>
            <w:tcW w:w="124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4,430,725</w:t>
            </w:r>
          </w:p>
        </w:tc>
        <w:tc>
          <w:tcPr>
            <w:tcW w:w="160" w:type="dxa"/>
            <w:vAlign w:val="bottom"/>
            <w:tcBorders>
              <w:top w:val="single" w:sz="8" w:color="D0EBF2"/>
            </w:tcBorders>
            <w:shd w:val="clear" w:color="auto" w:fill="D0EBF2"/>
          </w:tcPr>
          <w:p>
            <w:pPr>
              <w:spacing w:after="0"/>
              <w:rPr>
                <w:sz w:val="19"/>
                <w:szCs w:val="19"/>
                <w:color w:val="auto"/>
              </w:rPr>
            </w:pPr>
          </w:p>
        </w:tc>
        <w:tc>
          <w:tcPr>
            <w:tcW w:w="100" w:type="dxa"/>
            <w:vAlign w:val="bottom"/>
            <w:tcBorders>
              <w:top w:val="single" w:sz="8" w:color="D0EBF2"/>
            </w:tcBorders>
            <w:shd w:val="clear" w:color="auto" w:fill="D0EBF2"/>
          </w:tcPr>
          <w:p>
            <w:pPr>
              <w:spacing w:after="0"/>
              <w:rPr>
                <w:sz w:val="19"/>
                <w:szCs w:val="19"/>
                <w:color w:val="auto"/>
              </w:rPr>
            </w:pPr>
          </w:p>
        </w:tc>
        <w:tc>
          <w:tcPr>
            <w:tcW w:w="16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04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26.28</w:t>
            </w:r>
          </w:p>
        </w:tc>
        <w:tc>
          <w:tcPr>
            <w:tcW w:w="240" w:type="dxa"/>
            <w:vAlign w:val="bottom"/>
            <w:tcBorders>
              <w:top w:val="single" w:sz="8" w:color="D0EBF2"/>
            </w:tcBorders>
            <w:shd w:val="clear" w:color="auto" w:fill="D0EBF2"/>
          </w:tcPr>
          <w:p>
            <w:pPr>
              <w:spacing w:after="0"/>
              <w:rPr>
                <w:sz w:val="19"/>
                <w:szCs w:val="19"/>
                <w:color w:val="auto"/>
              </w:rPr>
            </w:pPr>
          </w:p>
        </w:tc>
        <w:tc>
          <w:tcPr>
            <w:tcW w:w="160" w:type="dxa"/>
            <w:vAlign w:val="bottom"/>
            <w:tcBorders>
              <w:top w:val="single" w:sz="8" w:color="231F20"/>
            </w:tcBorders>
            <w:shd w:val="clear" w:color="auto" w:fill="D0EBF2"/>
          </w:tcPr>
          <w:p>
            <w:pPr>
              <w:spacing w:after="0"/>
              <w:rPr>
                <w:sz w:val="19"/>
                <w:szCs w:val="19"/>
                <w:color w:val="auto"/>
              </w:rPr>
            </w:pPr>
          </w:p>
        </w:tc>
        <w:tc>
          <w:tcPr>
            <w:tcW w:w="1040" w:type="dxa"/>
            <w:vAlign w:val="bottom"/>
            <w:tcBorders>
              <w:top w:val="single" w:sz="8" w:color="231F20"/>
            </w:tcBorders>
            <w:shd w:val="clear" w:color="auto" w:fill="D0EBF2"/>
          </w:tcPr>
          <w:p>
            <w:pPr>
              <w:spacing w:after="0"/>
              <w:rPr>
                <w:sz w:val="19"/>
                <w:szCs w:val="19"/>
                <w:color w:val="auto"/>
              </w:rPr>
            </w:pPr>
          </w:p>
        </w:tc>
        <w:tc>
          <w:tcPr>
            <w:tcW w:w="10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FDFDFC"/>
          </w:tcPr>
          <w:p>
            <w:pPr>
              <w:spacing w:after="0"/>
              <w:rPr>
                <w:sz w:val="20"/>
                <w:szCs w:val="20"/>
                <w:color w:val="auto"/>
              </w:rPr>
            </w:pPr>
            <w:r>
              <w:rPr>
                <w:rFonts w:ascii="Arial" w:cs="Arial" w:eastAsia="Arial" w:hAnsi="Arial"/>
                <w:sz w:val="19"/>
                <w:szCs w:val="19"/>
                <w:color w:val="231F20"/>
              </w:rPr>
              <w:t>Granted</w:t>
            </w:r>
          </w:p>
        </w:tc>
        <w:tc>
          <w:tcPr>
            <w:tcW w:w="12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3,948,809</w:t>
            </w:r>
          </w:p>
        </w:tc>
        <w:tc>
          <w:tcPr>
            <w:tcW w:w="16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25.34</w:t>
            </w:r>
          </w:p>
        </w:tc>
        <w:tc>
          <w:tcPr>
            <w:tcW w:w="240" w:type="dxa"/>
            <w:vAlign w:val="bottom"/>
            <w:shd w:val="clear" w:color="auto" w:fill="FDFDFC"/>
          </w:tcPr>
          <w:p>
            <w:pPr>
              <w:spacing w:after="0"/>
              <w:rPr>
                <w:sz w:val="20"/>
                <w:szCs w:val="20"/>
                <w:color w:val="auto"/>
              </w:rPr>
            </w:pPr>
          </w:p>
        </w:tc>
        <w:tc>
          <w:tcPr>
            <w:tcW w:w="160" w:type="dxa"/>
            <w:vAlign w:val="bottom"/>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10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100,063</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D0EBF2"/>
          </w:tcPr>
          <w:p>
            <w:pPr>
              <w:spacing w:after="0"/>
              <w:rPr>
                <w:sz w:val="20"/>
                <w:szCs w:val="20"/>
                <w:color w:val="auto"/>
              </w:rPr>
            </w:pPr>
            <w:r>
              <w:rPr>
                <w:rFonts w:ascii="Arial" w:cs="Arial" w:eastAsia="Arial" w:hAnsi="Arial"/>
                <w:sz w:val="19"/>
                <w:szCs w:val="19"/>
                <w:color w:val="231F20"/>
              </w:rPr>
              <w:t>Vested</w:t>
            </w:r>
          </w:p>
        </w:tc>
        <w:tc>
          <w:tcPr>
            <w:tcW w:w="1400" w:type="dxa"/>
            <w:vAlign w:val="bottom"/>
            <w:gridSpan w:val="2"/>
            <w:shd w:val="clear" w:color="auto" w:fill="D0EBF2"/>
          </w:tcPr>
          <w:p>
            <w:pPr>
              <w:jc w:val="right"/>
              <w:ind w:right="80"/>
              <w:spacing w:after="0"/>
              <w:rPr>
                <w:sz w:val="20"/>
                <w:szCs w:val="20"/>
                <w:color w:val="auto"/>
              </w:rPr>
            </w:pPr>
            <w:r>
              <w:rPr>
                <w:rFonts w:ascii="Arial" w:cs="Arial" w:eastAsia="Arial" w:hAnsi="Arial"/>
                <w:sz w:val="19"/>
                <w:szCs w:val="19"/>
                <w:color w:val="231F20"/>
              </w:rPr>
              <w:t>(1,825,670)</w:t>
            </w: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26.32</w:t>
            </w:r>
          </w:p>
        </w:tc>
        <w:tc>
          <w:tcPr>
            <w:tcW w:w="400" w:type="dxa"/>
            <w:vAlign w:val="bottom"/>
            <w:gridSpan w:val="2"/>
            <w:shd w:val="clear" w:color="auto" w:fill="D0EBF2"/>
          </w:tcPr>
          <w:p>
            <w:pPr>
              <w:jc w:val="right"/>
              <w:spacing w:after="0"/>
              <w:rPr>
                <w:sz w:val="20"/>
                <w:szCs w:val="20"/>
                <w:color w:val="auto"/>
              </w:rPr>
            </w:pPr>
            <w:r>
              <w:rPr>
                <w:rFonts w:ascii="Arial" w:cs="Arial" w:eastAsia="Arial" w:hAnsi="Arial"/>
                <w:sz w:val="19"/>
                <w:szCs w:val="19"/>
                <w:color w:val="231F20"/>
              </w:rPr>
              <w:t>$</w:t>
            </w:r>
          </w:p>
        </w:tc>
        <w:tc>
          <w:tcPr>
            <w:tcW w:w="10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48,052</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FDFDFC"/>
          </w:tcPr>
          <w:p>
            <w:pPr>
              <w:spacing w:after="0"/>
              <w:rPr>
                <w:sz w:val="20"/>
                <w:szCs w:val="20"/>
                <w:color w:val="auto"/>
              </w:rPr>
            </w:pPr>
            <w:r>
              <w:rPr>
                <w:rFonts w:ascii="Arial" w:cs="Arial" w:eastAsia="Arial" w:hAnsi="Arial"/>
                <w:sz w:val="19"/>
                <w:szCs w:val="19"/>
                <w:color w:val="231F20"/>
              </w:rPr>
              <w:t>Cancelled</w:t>
            </w:r>
          </w:p>
        </w:tc>
        <w:tc>
          <w:tcPr>
            <w:tcW w:w="1400" w:type="dxa"/>
            <w:vAlign w:val="bottom"/>
            <w:gridSpan w:val="2"/>
            <w:shd w:val="clear" w:color="auto" w:fill="FDFDFC"/>
          </w:tcPr>
          <w:p>
            <w:pPr>
              <w:jc w:val="right"/>
              <w:ind w:right="80"/>
              <w:spacing w:after="0"/>
              <w:rPr>
                <w:sz w:val="20"/>
                <w:szCs w:val="20"/>
                <w:color w:val="auto"/>
              </w:rPr>
            </w:pPr>
            <w:r>
              <w:rPr>
                <w:rFonts w:ascii="Arial" w:cs="Arial" w:eastAsia="Arial" w:hAnsi="Arial"/>
                <w:sz w:val="19"/>
                <w:szCs w:val="19"/>
                <w:color w:val="231F20"/>
              </w:rPr>
              <w:t>(537,026)</w:t>
            </w: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26.13</w:t>
            </w:r>
          </w:p>
        </w:tc>
        <w:tc>
          <w:tcPr>
            <w:tcW w:w="24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10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960" w:type="dxa"/>
            <w:vAlign w:val="bottom"/>
            <w:tcBorders>
              <w:top w:val="single" w:sz="8" w:color="D0EBF2"/>
            </w:tcBorders>
            <w:shd w:val="clear" w:color="auto" w:fill="D0EBF2"/>
          </w:tcPr>
          <w:p>
            <w:pPr>
              <w:spacing w:after="0"/>
              <w:rPr>
                <w:sz w:val="20"/>
                <w:szCs w:val="20"/>
                <w:color w:val="auto"/>
              </w:rPr>
            </w:pPr>
            <w:r>
              <w:rPr>
                <w:rFonts w:ascii="Arial" w:cs="Arial" w:eastAsia="Arial" w:hAnsi="Arial"/>
                <w:sz w:val="19"/>
                <w:szCs w:val="19"/>
                <w:color w:val="231F20"/>
              </w:rPr>
              <w:t>Unvested as of December 31, 2024</w:t>
            </w:r>
          </w:p>
        </w:tc>
        <w:tc>
          <w:tcPr>
            <w:tcW w:w="12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6,016,838</w:t>
            </w:r>
          </w:p>
        </w:tc>
        <w:tc>
          <w:tcPr>
            <w:tcW w:w="160" w:type="dxa"/>
            <w:vAlign w:val="bottom"/>
            <w:tcBorders>
              <w:top w:val="single" w:sz="8" w:color="D0EBF2"/>
            </w:tcBorders>
            <w:shd w:val="clear" w:color="auto" w:fill="D0EBF2"/>
          </w:tcPr>
          <w:p>
            <w:pPr>
              <w:spacing w:after="0"/>
              <w:rPr>
                <w:sz w:val="19"/>
                <w:szCs w:val="19"/>
                <w:color w:val="auto"/>
              </w:rPr>
            </w:pPr>
          </w:p>
        </w:tc>
        <w:tc>
          <w:tcPr>
            <w:tcW w:w="100" w:type="dxa"/>
            <w:vAlign w:val="bottom"/>
            <w:tcBorders>
              <w:top w:val="single" w:sz="8" w:color="D0EBF2"/>
            </w:tcBorders>
            <w:shd w:val="clear" w:color="auto" w:fill="D0EBF2"/>
          </w:tcPr>
          <w:p>
            <w:pPr>
              <w:spacing w:after="0"/>
              <w:rPr>
                <w:sz w:val="19"/>
                <w:szCs w:val="19"/>
                <w:color w:val="auto"/>
              </w:rPr>
            </w:pPr>
          </w:p>
        </w:tc>
        <w:tc>
          <w:tcPr>
            <w:tcW w:w="16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0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25.67</w:t>
            </w:r>
          </w:p>
        </w:tc>
        <w:tc>
          <w:tcPr>
            <w:tcW w:w="240" w:type="dxa"/>
            <w:vAlign w:val="bottom"/>
            <w:tcBorders>
              <w:top w:val="single" w:sz="8" w:color="D0EBF2"/>
            </w:tcBorders>
            <w:shd w:val="clear" w:color="auto" w:fill="D0EBF2"/>
          </w:tcPr>
          <w:p>
            <w:pPr>
              <w:spacing w:after="0"/>
              <w:rPr>
                <w:sz w:val="19"/>
                <w:szCs w:val="19"/>
                <w:color w:val="auto"/>
              </w:rPr>
            </w:pPr>
          </w:p>
        </w:tc>
        <w:tc>
          <w:tcPr>
            <w:tcW w:w="160" w:type="dxa"/>
            <w:vAlign w:val="bottom"/>
            <w:tcBorders>
              <w:top w:val="single" w:sz="8" w:color="D0EBF2"/>
            </w:tcBorders>
            <w:shd w:val="clear" w:color="auto" w:fill="D0EBF2"/>
          </w:tcPr>
          <w:p>
            <w:pPr>
              <w:spacing w:after="0"/>
              <w:rPr>
                <w:sz w:val="19"/>
                <w:szCs w:val="19"/>
                <w:color w:val="auto"/>
              </w:rPr>
            </w:pPr>
          </w:p>
        </w:tc>
        <w:tc>
          <w:tcPr>
            <w:tcW w:w="1040" w:type="dxa"/>
            <w:vAlign w:val="bottom"/>
            <w:tcBorders>
              <w:top w:val="single" w:sz="8" w:color="D0EBF2"/>
            </w:tcBorders>
            <w:shd w:val="clear" w:color="auto" w:fill="D0EBF2"/>
          </w:tcPr>
          <w:p>
            <w:pPr>
              <w:spacing w:after="0"/>
              <w:rPr>
                <w:sz w:val="19"/>
                <w:szCs w:val="19"/>
                <w:color w:val="auto"/>
              </w:rPr>
            </w:pPr>
          </w:p>
        </w:tc>
        <w:tc>
          <w:tcPr>
            <w:tcW w:w="10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700" w:firstLine="463"/>
        <w:spacing w:after="0" w:line="307" w:lineRule="auto"/>
        <w:rPr>
          <w:sz w:val="20"/>
          <w:szCs w:val="20"/>
          <w:color w:val="auto"/>
        </w:rPr>
      </w:pPr>
      <w:r>
        <w:rPr>
          <w:rFonts w:ascii="Arial" w:cs="Arial" w:eastAsia="Arial" w:hAnsi="Arial"/>
          <w:sz w:val="18"/>
          <w:szCs w:val="18"/>
          <w:color w:val="231F20"/>
        </w:rPr>
        <w:t>As of December 31, 2024, there was $122.0 million of total unrecognized compensation expense related to unvested restricted stock units, which is expected to be recognized over a weighted-average period of 2.74 years.</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Employee Stock Purchase Plan</w:t>
      </w:r>
    </w:p>
    <w:p>
      <w:pPr>
        <w:spacing w:after="0" w:line="184" w:lineRule="exact"/>
        <w:rPr>
          <w:sz w:val="20"/>
          <w:szCs w:val="20"/>
          <w:color w:val="auto"/>
        </w:rPr>
      </w:pPr>
    </w:p>
    <w:p>
      <w:pPr>
        <w:ind w:right="40" w:firstLine="463"/>
        <w:spacing w:after="0" w:line="244" w:lineRule="auto"/>
        <w:rPr>
          <w:sz w:val="20"/>
          <w:szCs w:val="20"/>
          <w:color w:val="auto"/>
        </w:rPr>
      </w:pPr>
      <w:r>
        <w:rPr>
          <w:rFonts w:ascii="Arial" w:cs="Arial" w:eastAsia="Arial" w:hAnsi="Arial"/>
          <w:sz w:val="19"/>
          <w:szCs w:val="19"/>
          <w:color w:val="231F20"/>
        </w:rPr>
        <w:t>In April 2021, the Company’s board of directors adopted, and in May 2021 its stockholders approved, the 2021 ESPP, which became effective on May 28, 2021. The ESPP authorizes the issuance of shares of common stock pursuant to purchase rights granted to "eligible employees". A total of 5,082,470 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the lesser of up to 15% of their eligible compensation or IRS limit. Offering periods are generally 6 months long.</w:t>
      </w:r>
    </w:p>
    <w:p>
      <w:pPr>
        <w:spacing w:after="0" w:line="150" w:lineRule="exact"/>
        <w:rPr>
          <w:sz w:val="20"/>
          <w:szCs w:val="20"/>
          <w:color w:val="auto"/>
        </w:rPr>
      </w:pPr>
    </w:p>
    <w:p>
      <w:pPr>
        <w:ind w:right="400" w:firstLine="463"/>
        <w:spacing w:after="0" w:line="278" w:lineRule="auto"/>
        <w:rPr>
          <w:sz w:val="20"/>
          <w:szCs w:val="20"/>
          <w:color w:val="auto"/>
        </w:rPr>
      </w:pPr>
      <w:r>
        <w:rPr>
          <w:rFonts w:ascii="Arial" w:cs="Arial" w:eastAsia="Arial" w:hAnsi="Arial"/>
          <w:sz w:val="19"/>
          <w:szCs w:val="19"/>
          <w:color w:val="231F20"/>
        </w:rPr>
        <w:t>As of December 31, 2024, a total of 4,598,941 shares of the Company's common stock were available for future issuance under the ESPP.</w:t>
      </w:r>
    </w:p>
    <w:p>
      <w:pPr>
        <w:spacing w:after="0" w:line="117" w:lineRule="exact"/>
        <w:rPr>
          <w:sz w:val="20"/>
          <w:szCs w:val="20"/>
          <w:color w:val="auto"/>
        </w:rPr>
      </w:pPr>
    </w:p>
    <w:p>
      <w:pPr>
        <w:ind w:right="1460" w:firstLine="463"/>
        <w:spacing w:after="0" w:line="446" w:lineRule="auto"/>
        <w:rPr>
          <w:sz w:val="20"/>
          <w:szCs w:val="20"/>
          <w:color w:val="auto"/>
        </w:rPr>
      </w:pPr>
      <w:r>
        <w:rPr>
          <w:rFonts w:ascii="Arial" w:cs="Arial" w:eastAsia="Arial" w:hAnsi="Arial"/>
          <w:sz w:val="19"/>
          <w:szCs w:val="19"/>
          <w:color w:val="231F20"/>
        </w:rPr>
        <w:t xml:space="preserve">As of December 31, 2024, there was no unrecognized compensation expense related to the ESPP. </w:t>
      </w:r>
      <w:r>
        <w:rPr>
          <w:rFonts w:ascii="Arial" w:cs="Arial" w:eastAsia="Arial" w:hAnsi="Arial"/>
          <w:sz w:val="19"/>
          <w:szCs w:val="19"/>
          <w:b w:val="1"/>
          <w:bCs w:val="1"/>
          <w:i w:val="1"/>
          <w:iCs w:val="1"/>
          <w:color w:val="231F20"/>
        </w:rPr>
        <w:t>Stock-Based Compensation Costs</w:t>
      </w:r>
    </w:p>
    <w:p>
      <w:pPr>
        <w:ind w:right="160" w:firstLine="463"/>
        <w:spacing w:after="0" w:line="279" w:lineRule="auto"/>
        <w:rPr>
          <w:sz w:val="20"/>
          <w:szCs w:val="20"/>
          <w:color w:val="auto"/>
        </w:rPr>
      </w:pPr>
      <w:r>
        <w:rPr>
          <w:rFonts w:ascii="Arial" w:cs="Arial" w:eastAsia="Arial" w:hAnsi="Arial"/>
          <w:sz w:val="18"/>
          <w:szCs w:val="18"/>
          <w:color w:val="231F20"/>
        </w:rPr>
        <w:t>The following table summarizes the stock-based compensation expense for (i) stock options and restricted stock units granted to employees and non-employee board members and (ii) ESPP shares that were purchased by employees that were recorded in the Company’s consolidated statements of operations and comprehensive loss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Borders>
              <w:bottom w:val="single" w:sz="8" w:color="FDFDFC"/>
            </w:tcBorders>
            <w:shd w:val="clear" w:color="auto" w:fill="FDFDFC"/>
          </w:tcPr>
          <w:p>
            <w:pPr>
              <w:spacing w:after="0"/>
              <w:rPr>
                <w:sz w:val="16"/>
                <w:szCs w:val="16"/>
                <w:color w:val="auto"/>
              </w:rPr>
            </w:pPr>
          </w:p>
        </w:tc>
        <w:tc>
          <w:tcPr>
            <w:tcW w:w="140" w:type="dxa"/>
            <w:vAlign w:val="bottom"/>
            <w:tcBorders>
              <w:bottom w:val="single" w:sz="8" w:color="FDFDFC"/>
            </w:tcBorders>
            <w:shd w:val="clear" w:color="auto" w:fill="FDFDFC"/>
          </w:tcPr>
          <w:p>
            <w:pPr>
              <w:spacing w:after="0"/>
              <w:rPr>
                <w:sz w:val="16"/>
                <w:szCs w:val="16"/>
                <w:color w:val="auto"/>
              </w:rPr>
            </w:pPr>
          </w:p>
        </w:tc>
        <w:tc>
          <w:tcPr>
            <w:tcW w:w="280" w:type="dxa"/>
            <w:vAlign w:val="bottom"/>
            <w:tcBorders>
              <w:bottom w:val="single" w:sz="8" w:color="231F20"/>
            </w:tcBorders>
            <w:shd w:val="clear" w:color="auto" w:fill="FDFDFC"/>
          </w:tcPr>
          <w:p>
            <w:pPr>
              <w:spacing w:after="0"/>
              <w:rPr>
                <w:sz w:val="16"/>
                <w:szCs w:val="16"/>
                <w:color w:val="auto"/>
              </w:rPr>
            </w:pPr>
          </w:p>
        </w:tc>
        <w:tc>
          <w:tcPr>
            <w:tcW w:w="2880" w:type="dxa"/>
            <w:vAlign w:val="bottom"/>
            <w:tcBorders>
              <w:bottom w:val="single" w:sz="8" w:color="231F20"/>
            </w:tcBorders>
            <w:gridSpan w:val="6"/>
            <w:shd w:val="clear" w:color="auto" w:fill="FDFDFC"/>
          </w:tcPr>
          <w:p>
            <w:pPr>
              <w:jc w:val="right"/>
              <w:ind w:right="86"/>
              <w:spacing w:after="0"/>
              <w:rPr>
                <w:sz w:val="20"/>
                <w:szCs w:val="20"/>
                <w:color w:val="auto"/>
              </w:rPr>
            </w:pPr>
            <w:r>
              <w:rPr>
                <w:rFonts w:ascii="Arial" w:cs="Arial" w:eastAsia="Arial" w:hAnsi="Arial"/>
                <w:sz w:val="15"/>
                <w:szCs w:val="15"/>
                <w:b w:val="1"/>
                <w:bCs w:val="1"/>
                <w:color w:val="231F20"/>
              </w:rPr>
              <w:t>Year Ended December 31,</w:t>
            </w:r>
          </w:p>
        </w:tc>
        <w:tc>
          <w:tcPr>
            <w:tcW w:w="9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r>
      <w:tr>
        <w:trPr>
          <w:trHeight w:val="176"/>
        </w:trPr>
        <w:tc>
          <w:tcPr>
            <w:tcW w:w="586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80" w:type="dxa"/>
            <w:vAlign w:val="bottom"/>
            <w:tcBorders>
              <w:bottom w:val="single" w:sz="8" w:color="231F20"/>
            </w:tcBorders>
            <w:shd w:val="clear" w:color="auto" w:fill="FDFDFC"/>
          </w:tcPr>
          <w:p>
            <w:pPr>
              <w:spacing w:after="0"/>
              <w:rPr>
                <w:sz w:val="15"/>
                <w:szCs w:val="15"/>
                <w:color w:val="auto"/>
              </w:rPr>
            </w:pPr>
          </w:p>
        </w:tc>
        <w:tc>
          <w:tcPr>
            <w:tcW w:w="920" w:type="dxa"/>
            <w:vAlign w:val="bottom"/>
            <w:tcBorders>
              <w:bottom w:val="single" w:sz="8" w:color="231F20"/>
            </w:tcBorders>
            <w:shd w:val="clear" w:color="auto" w:fill="FDFDFC"/>
          </w:tcPr>
          <w:p>
            <w:pPr>
              <w:jc w:val="right"/>
              <w:ind w:right="332"/>
              <w:spacing w:after="0"/>
              <w:rPr>
                <w:sz w:val="20"/>
                <w:szCs w:val="20"/>
                <w:color w:val="auto"/>
              </w:rPr>
            </w:pPr>
            <w:r>
              <w:rPr>
                <w:rFonts w:ascii="Arial" w:cs="Arial" w:eastAsia="Arial" w:hAnsi="Arial"/>
                <w:sz w:val="15"/>
                <w:szCs w:val="15"/>
                <w:b w:val="1"/>
                <w:bCs w:val="1"/>
                <w:color w:val="231F20"/>
              </w:rPr>
              <w:t>2024</w:t>
            </w:r>
          </w:p>
        </w:tc>
        <w:tc>
          <w:tcPr>
            <w:tcW w:w="26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49"/>
              <w:spacing w:after="0"/>
              <w:rPr>
                <w:sz w:val="20"/>
                <w:szCs w:val="20"/>
                <w:color w:val="auto"/>
              </w:rPr>
            </w:pPr>
            <w:r>
              <w:rPr>
                <w:rFonts w:ascii="Arial" w:cs="Arial" w:eastAsia="Arial" w:hAnsi="Arial"/>
                <w:sz w:val="15"/>
                <w:szCs w:val="15"/>
                <w:b w:val="1"/>
                <w:bCs w:val="1"/>
                <w:color w:val="231F20"/>
              </w:rPr>
              <w:t>2023</w:t>
            </w:r>
          </w:p>
        </w:tc>
        <w:tc>
          <w:tcPr>
            <w:tcW w:w="2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49"/>
              <w:spacing w:after="0"/>
              <w:rPr>
                <w:sz w:val="20"/>
                <w:szCs w:val="20"/>
                <w:color w:val="auto"/>
              </w:rPr>
            </w:pPr>
            <w:r>
              <w:rPr>
                <w:rFonts w:ascii="Arial" w:cs="Arial" w:eastAsia="Arial" w:hAnsi="Arial"/>
                <w:sz w:val="15"/>
                <w:szCs w:val="15"/>
                <w:b w:val="1"/>
                <w:bCs w:val="1"/>
                <w:color w:val="231F20"/>
              </w:rPr>
              <w:t>2022</w:t>
            </w:r>
          </w:p>
        </w:tc>
        <w:tc>
          <w:tcPr>
            <w:tcW w:w="100" w:type="dxa"/>
            <w:vAlign w:val="bottom"/>
            <w:tcBorders>
              <w:bottom w:val="single" w:sz="8" w:color="D0EBF2"/>
            </w:tcBorders>
            <w:shd w:val="clear" w:color="auto" w:fill="FDFDFC"/>
          </w:tcPr>
          <w:p>
            <w:pPr>
              <w:spacing w:after="0"/>
              <w:rPr>
                <w:sz w:val="15"/>
                <w:szCs w:val="15"/>
                <w:color w:val="auto"/>
              </w:rPr>
            </w:pPr>
          </w:p>
        </w:tc>
      </w:tr>
      <w:tr>
        <w:trPr>
          <w:trHeight w:val="22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Technology and development</w:t>
            </w:r>
          </w:p>
        </w:tc>
        <w:tc>
          <w:tcPr>
            <w:tcW w:w="140" w:type="dxa"/>
            <w:vAlign w:val="bottom"/>
            <w:shd w:val="clear" w:color="auto" w:fill="D0EBF2"/>
          </w:tcPr>
          <w:p>
            <w:pPr>
              <w:spacing w:after="0"/>
              <w:rPr>
                <w:sz w:val="19"/>
                <w:szCs w:val="19"/>
                <w:color w:val="auto"/>
              </w:rPr>
            </w:pPr>
          </w:p>
        </w:tc>
        <w:tc>
          <w:tcPr>
            <w:tcW w:w="28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11,710</w:t>
            </w:r>
          </w:p>
        </w:tc>
        <w:tc>
          <w:tcPr>
            <w:tcW w:w="26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9,286</w:t>
            </w:r>
          </w:p>
        </w:tc>
        <w:tc>
          <w:tcPr>
            <w:tcW w:w="24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4,916</w:t>
            </w:r>
          </w:p>
        </w:tc>
        <w:tc>
          <w:tcPr>
            <w:tcW w:w="100" w:type="dxa"/>
            <w:vAlign w:val="bottom"/>
            <w:shd w:val="clear" w:color="auto" w:fill="D0EBF2"/>
          </w:tcPr>
          <w:p>
            <w:pPr>
              <w:spacing w:after="0"/>
              <w:rPr>
                <w:sz w:val="19"/>
                <w:szCs w:val="19"/>
                <w:color w:val="auto"/>
              </w:rPr>
            </w:pPr>
          </w:p>
        </w:tc>
      </w:tr>
      <w:tr>
        <w:trPr>
          <w:trHeight w:val="230"/>
        </w:trPr>
        <w:tc>
          <w:tcPr>
            <w:tcW w:w="5860" w:type="dxa"/>
            <w:vAlign w:val="bottom"/>
            <w:shd w:val="clear" w:color="auto" w:fill="FDFDFC"/>
          </w:tcPr>
          <w:p>
            <w:pPr>
              <w:spacing w:after="0"/>
              <w:rPr>
                <w:sz w:val="20"/>
                <w:szCs w:val="20"/>
                <w:color w:val="auto"/>
              </w:rPr>
            </w:pPr>
            <w:r>
              <w:rPr>
                <w:rFonts w:ascii="Arial" w:cs="Arial" w:eastAsia="Arial" w:hAnsi="Arial"/>
                <w:sz w:val="19"/>
                <w:szCs w:val="19"/>
                <w:color w:val="231F20"/>
              </w:rPr>
              <w:t>Selling and marketing</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9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17,968</w:t>
            </w:r>
          </w:p>
        </w:tc>
        <w:tc>
          <w:tcPr>
            <w:tcW w:w="26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11,982</w:t>
            </w:r>
          </w:p>
        </w:tc>
        <w:tc>
          <w:tcPr>
            <w:tcW w:w="2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7,856</w:t>
            </w:r>
          </w:p>
        </w:tc>
        <w:tc>
          <w:tcPr>
            <w:tcW w:w="100" w:type="dxa"/>
            <w:vAlign w:val="bottom"/>
            <w:shd w:val="clear" w:color="auto" w:fill="FDFDFC"/>
          </w:tcPr>
          <w:p>
            <w:pPr>
              <w:spacing w:after="0"/>
              <w:rPr>
                <w:sz w:val="20"/>
                <w:szCs w:val="20"/>
                <w:color w:val="auto"/>
              </w:rPr>
            </w:pPr>
          </w:p>
        </w:tc>
      </w:tr>
      <w:tr>
        <w:trPr>
          <w:trHeight w:val="230"/>
        </w:trPr>
        <w:tc>
          <w:tcPr>
            <w:tcW w:w="5860" w:type="dxa"/>
            <w:vAlign w:val="bottom"/>
            <w:tcBorders>
              <w:bottom w:val="single" w:sz="8" w:color="FDFDFC"/>
            </w:tcBorders>
            <w:shd w:val="clear" w:color="auto" w:fill="D0EBF2"/>
          </w:tcPr>
          <w:p>
            <w:pPr>
              <w:spacing w:after="0"/>
              <w:rPr>
                <w:sz w:val="20"/>
                <w:szCs w:val="20"/>
                <w:color w:val="auto"/>
              </w:rPr>
            </w:pPr>
            <w:r>
              <w:rPr>
                <w:rFonts w:ascii="Arial" w:cs="Arial" w:eastAsia="Arial" w:hAnsi="Arial"/>
                <w:sz w:val="19"/>
                <w:szCs w:val="19"/>
                <w:color w:val="231F20"/>
              </w:rPr>
              <w:t>General and administrative</w:t>
            </w:r>
          </w:p>
        </w:tc>
        <w:tc>
          <w:tcPr>
            <w:tcW w:w="140" w:type="dxa"/>
            <w:vAlign w:val="bottom"/>
            <w:tcBorders>
              <w:bottom w:val="single" w:sz="8" w:color="FDFDFC"/>
            </w:tcBorders>
            <w:shd w:val="clear" w:color="auto" w:fill="D0EBF2"/>
          </w:tcPr>
          <w:p>
            <w:pPr>
              <w:spacing w:after="0"/>
              <w:rPr>
                <w:sz w:val="20"/>
                <w:szCs w:val="20"/>
                <w:color w:val="auto"/>
              </w:rPr>
            </w:pPr>
          </w:p>
        </w:tc>
        <w:tc>
          <w:tcPr>
            <w:tcW w:w="280" w:type="dxa"/>
            <w:vAlign w:val="bottom"/>
            <w:tcBorders>
              <w:bottom w:val="single" w:sz="8" w:color="231F20"/>
            </w:tcBorders>
            <w:shd w:val="clear" w:color="auto" w:fill="D0EBF2"/>
          </w:tcPr>
          <w:p>
            <w:pPr>
              <w:spacing w:after="0"/>
              <w:rPr>
                <w:sz w:val="20"/>
                <w:szCs w:val="20"/>
                <w:color w:val="auto"/>
              </w:rPr>
            </w:pPr>
          </w:p>
        </w:tc>
        <w:tc>
          <w:tcPr>
            <w:tcW w:w="92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35,255</w:t>
            </w:r>
          </w:p>
        </w:tc>
        <w:tc>
          <w:tcPr>
            <w:tcW w:w="260" w:type="dxa"/>
            <w:vAlign w:val="bottom"/>
            <w:tcBorders>
              <w:bottom w:val="single" w:sz="8" w:color="FDFDFC"/>
            </w:tcBorders>
            <w:shd w:val="clear" w:color="auto" w:fill="D0EBF2"/>
          </w:tcPr>
          <w:p>
            <w:pPr>
              <w:spacing w:after="0"/>
              <w:rPr>
                <w:sz w:val="20"/>
                <w:szCs w:val="20"/>
                <w:color w:val="auto"/>
              </w:rPr>
            </w:pPr>
          </w:p>
        </w:tc>
        <w:tc>
          <w:tcPr>
            <w:tcW w:w="260" w:type="dxa"/>
            <w:vAlign w:val="bottom"/>
            <w:tcBorders>
              <w:bottom w:val="single" w:sz="8" w:color="231F20"/>
            </w:tcBorders>
            <w:shd w:val="clear" w:color="auto" w:fill="D0EBF2"/>
          </w:tcPr>
          <w:p>
            <w:pPr>
              <w:spacing w:after="0"/>
              <w:rPr>
                <w:sz w:val="20"/>
                <w:szCs w:val="20"/>
                <w:color w:val="auto"/>
              </w:rPr>
            </w:pP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22,458</w:t>
            </w:r>
          </w:p>
        </w:tc>
        <w:tc>
          <w:tcPr>
            <w:tcW w:w="240" w:type="dxa"/>
            <w:vAlign w:val="bottom"/>
            <w:tcBorders>
              <w:bottom w:val="single" w:sz="8" w:color="FDFDFC"/>
            </w:tcBorders>
            <w:shd w:val="clear" w:color="auto" w:fill="D0EBF2"/>
          </w:tcPr>
          <w:p>
            <w:pPr>
              <w:spacing w:after="0"/>
              <w:rPr>
                <w:sz w:val="20"/>
                <w:szCs w:val="20"/>
                <w:color w:val="auto"/>
              </w:rPr>
            </w:pPr>
          </w:p>
        </w:tc>
        <w:tc>
          <w:tcPr>
            <w:tcW w:w="260" w:type="dxa"/>
            <w:vAlign w:val="bottom"/>
            <w:tcBorders>
              <w:bottom w:val="single" w:sz="8" w:color="231F20"/>
            </w:tcBorders>
            <w:shd w:val="clear" w:color="auto" w:fill="D0EBF2"/>
          </w:tcPr>
          <w:p>
            <w:pPr>
              <w:spacing w:after="0"/>
              <w:rPr>
                <w:sz w:val="20"/>
                <w:szCs w:val="20"/>
                <w:color w:val="auto"/>
              </w:rPr>
            </w:pP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17,487</w:t>
            </w:r>
          </w:p>
        </w:tc>
        <w:tc>
          <w:tcPr>
            <w:tcW w:w="100" w:type="dxa"/>
            <w:vAlign w:val="bottom"/>
            <w:tcBorders>
              <w:bottom w:val="single" w:sz="8" w:color="FDFDFC"/>
            </w:tcBorders>
            <w:shd w:val="clear" w:color="auto" w:fill="D0EBF2"/>
          </w:tcPr>
          <w:p>
            <w:pPr>
              <w:spacing w:after="0"/>
              <w:rPr>
                <w:sz w:val="20"/>
                <w:szCs w:val="20"/>
                <w:color w:val="auto"/>
              </w:rPr>
            </w:pPr>
          </w:p>
        </w:tc>
      </w:tr>
      <w:tr>
        <w:trPr>
          <w:trHeight w:val="240"/>
        </w:trPr>
        <w:tc>
          <w:tcPr>
            <w:tcW w:w="5860" w:type="dxa"/>
            <w:vAlign w:val="bottom"/>
            <w:tcBorders>
              <w:bottom w:val="single" w:sz="8" w:color="FDFDFC"/>
            </w:tcBorders>
            <w:shd w:val="clear" w:color="auto" w:fill="FDFDFC"/>
          </w:tcPr>
          <w:p>
            <w:pPr>
              <w:ind w:left="260"/>
              <w:spacing w:after="0"/>
              <w:rPr>
                <w:sz w:val="20"/>
                <w:szCs w:val="20"/>
                <w:color w:val="auto"/>
              </w:rPr>
            </w:pPr>
            <w:r>
              <w:rPr>
                <w:rFonts w:ascii="Arial" w:cs="Arial" w:eastAsia="Arial" w:hAnsi="Arial"/>
                <w:sz w:val="19"/>
                <w:szCs w:val="19"/>
                <w:color w:val="231F20"/>
              </w:rPr>
              <w:t>Total stock-based compensation expense</w:t>
            </w:r>
          </w:p>
        </w:tc>
        <w:tc>
          <w:tcPr>
            <w:tcW w:w="140" w:type="dxa"/>
            <w:vAlign w:val="bottom"/>
            <w:tcBorders>
              <w:bottom w:val="single" w:sz="8" w:color="FDFDFC"/>
            </w:tcBorders>
            <w:shd w:val="clear" w:color="auto" w:fill="FDFDFC"/>
          </w:tcPr>
          <w:p>
            <w:pPr>
              <w:spacing w:after="0"/>
              <w:rPr>
                <w:sz w:val="20"/>
                <w:szCs w:val="20"/>
                <w:color w:val="auto"/>
              </w:rPr>
            </w:pPr>
          </w:p>
        </w:tc>
        <w:tc>
          <w:tcPr>
            <w:tcW w:w="280" w:type="dxa"/>
            <w:vAlign w:val="bottom"/>
            <w:tcBorders>
              <w:bottom w:val="single" w:sz="8" w:color="231F20"/>
            </w:tcBorders>
            <w:shd w:val="clear" w:color="auto" w:fill="FDFDFC"/>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64,933</w:t>
            </w:r>
          </w:p>
        </w:tc>
        <w:tc>
          <w:tcPr>
            <w:tcW w:w="260" w:type="dxa"/>
            <w:vAlign w:val="bottom"/>
            <w:tcBorders>
              <w:bottom w:val="single" w:sz="8" w:color="FDFDFC"/>
            </w:tcBorders>
            <w:shd w:val="clear" w:color="auto" w:fill="FDFDFC"/>
          </w:tcPr>
          <w:p>
            <w:pPr>
              <w:spacing w:after="0"/>
              <w:rPr>
                <w:sz w:val="20"/>
                <w:szCs w:val="20"/>
                <w:color w:val="auto"/>
              </w:rPr>
            </w:pPr>
          </w:p>
        </w:tc>
        <w:tc>
          <w:tcPr>
            <w:tcW w:w="260" w:type="dxa"/>
            <w:vAlign w:val="bottom"/>
            <w:tcBorders>
              <w:bottom w:val="single" w:sz="8" w:color="231F20"/>
            </w:tcBorders>
            <w:shd w:val="clear" w:color="auto" w:fill="FDFDFC"/>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43,726</w:t>
            </w:r>
          </w:p>
        </w:tc>
        <w:tc>
          <w:tcPr>
            <w:tcW w:w="240" w:type="dxa"/>
            <w:vAlign w:val="bottom"/>
            <w:tcBorders>
              <w:bottom w:val="single" w:sz="8" w:color="FDFDFC"/>
            </w:tcBorders>
            <w:shd w:val="clear" w:color="auto" w:fill="FDFDFC"/>
          </w:tcPr>
          <w:p>
            <w:pPr>
              <w:spacing w:after="0"/>
              <w:rPr>
                <w:sz w:val="20"/>
                <w:szCs w:val="20"/>
                <w:color w:val="auto"/>
              </w:rPr>
            </w:pPr>
          </w:p>
        </w:tc>
        <w:tc>
          <w:tcPr>
            <w:tcW w:w="260" w:type="dxa"/>
            <w:vAlign w:val="bottom"/>
            <w:tcBorders>
              <w:bottom w:val="single" w:sz="8" w:color="231F20"/>
            </w:tcBorders>
            <w:shd w:val="clear" w:color="auto" w:fill="FDFDFC"/>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30,259</w:t>
            </w:r>
          </w:p>
        </w:tc>
        <w:tc>
          <w:tcPr>
            <w:tcW w:w="100" w:type="dxa"/>
            <w:vAlign w:val="bottom"/>
            <w:tcBorders>
              <w:bottom w:val="single" w:sz="8" w:color="FDFDFC"/>
            </w:tcBorders>
            <w:shd w:val="clear" w:color="auto" w:fill="FDFDFC"/>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right="40" w:firstLine="463"/>
        <w:spacing w:after="0" w:line="244" w:lineRule="auto"/>
        <w:rPr>
          <w:sz w:val="20"/>
          <w:szCs w:val="20"/>
          <w:color w:val="auto"/>
        </w:rPr>
      </w:pPr>
      <w:r>
        <w:rPr>
          <w:rFonts w:ascii="Arial" w:cs="Arial" w:eastAsia="Arial" w:hAnsi="Arial"/>
          <w:sz w:val="19"/>
          <w:szCs w:val="19"/>
          <w:color w:val="231F20"/>
        </w:rPr>
        <w:t>On November 6, 2023, the Company entered into a Transition Agreement with its previous Chief Financial Officer (Prior CFO). Pursuant to the terms of the Transition Agreement (including the receipt by the Company of a release from the Prior CFO), the Company agreed to modify its Prior CFO's outstanding stock options and restricted stock units to (i) accelerate vesting for nine months from the date of the termination of the Prior CFOs employment with the Company (the Separation Date), and (ii) extend the exercise period of his vested nonqualified stock options from ninety days to one year following the Separation Date. To receive these benefits, the Prior CFO had to remain employed through March 31, 2024. As a result of this modification, the Company recognized additional compensation expense of $1.3 million and $0.7 million during the year ended December 31, 2024 and 2023, respectively.</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143</w:t>
      </w:r>
    </w:p>
    <w:p>
      <w:pPr>
        <w:sectPr>
          <w:pgSz w:w="12240" w:h="15840" w:orient="portrait"/>
          <w:cols w:equalWidth="0" w:num="1">
            <w:col w:w="10200"/>
          </w:cols>
          <w:pgMar w:left="1020" w:top="1440" w:right="1020" w:bottom="572" w:gutter="0" w:footer="0" w:header="0"/>
          <w:type w:val="continuous"/>
        </w:sectPr>
      </w:pPr>
    </w:p>
    <w:bookmarkStart w:id="144" w:name="page145"/>
    <w:bookmarkEnd w:id="144"/>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Note 14. Net Income (Loss) per Share</w:t>
      </w:r>
    </w:p>
    <w:p>
      <w:pPr>
        <w:spacing w:after="0" w:line="192" w:lineRule="exact"/>
        <w:rPr>
          <w:sz w:val="20"/>
          <w:szCs w:val="20"/>
          <w:color w:val="auto"/>
        </w:rPr>
      </w:pPr>
    </w:p>
    <w:p>
      <w:pPr>
        <w:ind w:right="440" w:firstLine="463"/>
        <w:spacing w:after="0" w:line="278" w:lineRule="auto"/>
        <w:rPr>
          <w:sz w:val="20"/>
          <w:szCs w:val="20"/>
          <w:color w:val="auto"/>
        </w:rPr>
      </w:pPr>
      <w:r>
        <w:rPr>
          <w:rFonts w:ascii="Arial" w:cs="Arial" w:eastAsia="Arial" w:hAnsi="Arial"/>
          <w:sz w:val="19"/>
          <w:szCs w:val="19"/>
          <w:color w:val="231F20"/>
        </w:rPr>
        <w:t>Basic and diluted net income (loss) per share attributable to common stockholders was calculated as follows (in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Borders>
              <w:bottom w:val="single" w:sz="8" w:color="FDFDFC"/>
            </w:tcBorders>
            <w:shd w:val="clear" w:color="auto" w:fill="FDFDFC"/>
          </w:tcPr>
          <w:p>
            <w:pPr>
              <w:spacing w:after="0"/>
              <w:rPr>
                <w:sz w:val="16"/>
                <w:szCs w:val="16"/>
                <w:color w:val="auto"/>
              </w:rPr>
            </w:pPr>
          </w:p>
        </w:tc>
        <w:tc>
          <w:tcPr>
            <w:tcW w:w="140" w:type="dxa"/>
            <w:vAlign w:val="bottom"/>
            <w:tcBorders>
              <w:bottom w:val="single" w:sz="8" w:color="FDFDFC"/>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2900" w:type="dxa"/>
            <w:vAlign w:val="bottom"/>
            <w:tcBorders>
              <w:bottom w:val="single" w:sz="8" w:color="231F20"/>
            </w:tcBorders>
            <w:gridSpan w:val="6"/>
            <w:shd w:val="clear" w:color="auto" w:fill="FDFDFC"/>
          </w:tcPr>
          <w:p>
            <w:pPr>
              <w:jc w:val="right"/>
              <w:spacing w:after="0"/>
              <w:rPr>
                <w:sz w:val="20"/>
                <w:szCs w:val="20"/>
                <w:color w:val="auto"/>
              </w:rPr>
            </w:pPr>
            <w:r>
              <w:rPr>
                <w:rFonts w:ascii="Arial" w:cs="Arial" w:eastAsia="Arial" w:hAnsi="Arial"/>
                <w:sz w:val="15"/>
                <w:szCs w:val="15"/>
                <w:b w:val="1"/>
                <w:bCs w:val="1"/>
                <w:color w:val="231F20"/>
              </w:rPr>
              <w:t>Year Ended December 31,</w:t>
            </w:r>
          </w:p>
        </w:tc>
        <w:tc>
          <w:tcPr>
            <w:tcW w:w="108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1080" w:type="dxa"/>
            <w:vAlign w:val="bottom"/>
            <w:tcBorders>
              <w:bottom w:val="single" w:sz="8" w:color="231F20"/>
            </w:tcBorders>
            <w:shd w:val="clear" w:color="auto" w:fill="FDFDFC"/>
          </w:tcPr>
          <w:p>
            <w:pPr>
              <w:jc w:val="right"/>
              <w:ind w:right="329"/>
              <w:spacing w:after="0"/>
              <w:rPr>
                <w:sz w:val="20"/>
                <w:szCs w:val="20"/>
                <w:color w:val="auto"/>
              </w:rPr>
            </w:pPr>
            <w:r>
              <w:rPr>
                <w:rFonts w:ascii="Arial" w:cs="Arial" w:eastAsia="Arial" w:hAnsi="Arial"/>
                <w:sz w:val="15"/>
                <w:szCs w:val="15"/>
                <w:b w:val="1"/>
                <w:bCs w:val="1"/>
                <w:color w:val="231F20"/>
              </w:rPr>
              <w:t>2024</w:t>
            </w:r>
          </w:p>
        </w:tc>
        <w:tc>
          <w:tcPr>
            <w:tcW w:w="26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1080" w:type="dxa"/>
            <w:vAlign w:val="bottom"/>
            <w:tcBorders>
              <w:bottom w:val="single" w:sz="8" w:color="231F20"/>
            </w:tcBorders>
            <w:shd w:val="clear" w:color="auto" w:fill="FDFDFC"/>
          </w:tcPr>
          <w:p>
            <w:pPr>
              <w:jc w:val="right"/>
              <w:ind w:right="348"/>
              <w:spacing w:after="0"/>
              <w:rPr>
                <w:sz w:val="20"/>
                <w:szCs w:val="20"/>
                <w:color w:val="auto"/>
              </w:rPr>
            </w:pPr>
            <w:r>
              <w:rPr>
                <w:rFonts w:ascii="Arial" w:cs="Arial" w:eastAsia="Arial" w:hAnsi="Arial"/>
                <w:sz w:val="15"/>
                <w:szCs w:val="15"/>
                <w:b w:val="1"/>
                <w:bCs w:val="1"/>
                <w:color w:val="231F20"/>
              </w:rPr>
              <w:t>2023</w:t>
            </w:r>
          </w:p>
        </w:tc>
        <w:tc>
          <w:tcPr>
            <w:tcW w:w="24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1080" w:type="dxa"/>
            <w:vAlign w:val="bottom"/>
            <w:tcBorders>
              <w:bottom w:val="single" w:sz="8" w:color="231F20"/>
            </w:tcBorders>
            <w:shd w:val="clear" w:color="auto" w:fill="FDFDFC"/>
          </w:tcPr>
          <w:p>
            <w:pPr>
              <w:jc w:val="right"/>
              <w:ind w:right="348"/>
              <w:spacing w:after="0"/>
              <w:rPr>
                <w:sz w:val="20"/>
                <w:szCs w:val="20"/>
                <w:color w:val="auto"/>
              </w:rPr>
            </w:pPr>
            <w:r>
              <w:rPr>
                <w:rFonts w:ascii="Arial" w:cs="Arial" w:eastAsia="Arial" w:hAnsi="Arial"/>
                <w:sz w:val="15"/>
                <w:szCs w:val="15"/>
                <w:b w:val="1"/>
                <w:bCs w:val="1"/>
                <w:color w:val="231F20"/>
              </w:rPr>
              <w:t>2022</w:t>
            </w:r>
          </w:p>
        </w:tc>
        <w:tc>
          <w:tcPr>
            <w:tcW w:w="1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Numerator:</w:t>
            </w:r>
          </w:p>
        </w:tc>
        <w:tc>
          <w:tcPr>
            <w:tcW w:w="14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1080" w:type="dxa"/>
            <w:vAlign w:val="bottom"/>
            <w:shd w:val="clear" w:color="auto" w:fill="D0EBF2"/>
          </w:tcPr>
          <w:p>
            <w:pPr>
              <w:spacing w:after="0"/>
              <w:rPr>
                <w:sz w:val="19"/>
                <w:szCs w:val="19"/>
                <w:color w:val="auto"/>
              </w:rPr>
            </w:pPr>
          </w:p>
        </w:tc>
        <w:tc>
          <w:tcPr>
            <w:tcW w:w="26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1080" w:type="dxa"/>
            <w:vAlign w:val="bottom"/>
            <w:shd w:val="clear" w:color="auto" w:fill="D0EBF2"/>
          </w:tcPr>
          <w:p>
            <w:pPr>
              <w:spacing w:after="0"/>
              <w:rPr>
                <w:sz w:val="19"/>
                <w:szCs w:val="19"/>
                <w:color w:val="auto"/>
              </w:rPr>
            </w:pPr>
          </w:p>
        </w:tc>
        <w:tc>
          <w:tcPr>
            <w:tcW w:w="24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108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D0EBF2"/>
            </w:tcBorders>
            <w:shd w:val="clear" w:color="auto" w:fill="FDFDFC"/>
          </w:tcPr>
          <w:p>
            <w:pPr>
              <w:ind w:left="260"/>
              <w:spacing w:after="0"/>
              <w:rPr>
                <w:sz w:val="20"/>
                <w:szCs w:val="20"/>
                <w:color w:val="auto"/>
              </w:rPr>
            </w:pPr>
            <w:r>
              <w:rPr>
                <w:rFonts w:ascii="Arial" w:cs="Arial" w:eastAsia="Arial" w:hAnsi="Arial"/>
                <w:sz w:val="18"/>
                <w:szCs w:val="18"/>
                <w:color w:val="231F20"/>
              </w:rPr>
              <w:t>Net income (loss)</w:t>
            </w:r>
          </w:p>
        </w:tc>
        <w:tc>
          <w:tcPr>
            <w:tcW w:w="14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w w:val="94"/>
              </w:rPr>
              <w:t>$</w:t>
            </w: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2,900</w:t>
            </w:r>
          </w:p>
        </w:tc>
        <w:tc>
          <w:tcPr>
            <w:tcW w:w="26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(8,566)</w:t>
            </w:r>
          </w:p>
        </w:tc>
        <w:tc>
          <w:tcPr>
            <w:tcW w:w="24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(39,347)</w:t>
            </w:r>
          </w:p>
        </w:tc>
        <w:tc>
          <w:tcPr>
            <w:tcW w:w="10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60" w:type="dxa"/>
            <w:vAlign w:val="bottom"/>
            <w:shd w:val="clear" w:color="auto" w:fill="D0EBF2"/>
          </w:tcPr>
          <w:p>
            <w:pPr>
              <w:ind w:left="260"/>
              <w:spacing w:after="0" w:line="203" w:lineRule="exact"/>
              <w:rPr>
                <w:sz w:val="20"/>
                <w:szCs w:val="20"/>
                <w:color w:val="auto"/>
              </w:rPr>
            </w:pPr>
            <w:r>
              <w:rPr>
                <w:rFonts w:ascii="Arial" w:cs="Arial" w:eastAsia="Arial" w:hAnsi="Arial"/>
                <w:sz w:val="19"/>
                <w:szCs w:val="19"/>
                <w:color w:val="231F20"/>
              </w:rPr>
              <w:t>Net income (loss) attributable to common stockholders - basic</w:t>
            </w:r>
          </w:p>
        </w:tc>
        <w:tc>
          <w:tcPr>
            <w:tcW w:w="140" w:type="dxa"/>
            <w:vAlign w:val="bottom"/>
            <w:shd w:val="clear" w:color="auto" w:fill="D0EBF2"/>
          </w:tcPr>
          <w:p>
            <w:pPr>
              <w:spacing w:after="0"/>
              <w:rPr>
                <w:sz w:val="17"/>
                <w:szCs w:val="17"/>
                <w:color w:val="auto"/>
              </w:rPr>
            </w:pPr>
          </w:p>
        </w:tc>
        <w:tc>
          <w:tcPr>
            <w:tcW w:w="12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w w:val="94"/>
              </w:rPr>
              <w:t>$</w:t>
            </w:r>
          </w:p>
        </w:tc>
        <w:tc>
          <w:tcPr>
            <w:tcW w:w="108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2,900</w:t>
            </w:r>
          </w:p>
        </w:tc>
        <w:tc>
          <w:tcPr>
            <w:tcW w:w="260" w:type="dxa"/>
            <w:vAlign w:val="bottom"/>
            <w:shd w:val="clear" w:color="auto" w:fill="D0EBF2"/>
          </w:tcPr>
          <w:p>
            <w:pPr>
              <w:spacing w:after="0"/>
              <w:rPr>
                <w:sz w:val="17"/>
                <w:szCs w:val="17"/>
                <w:color w:val="auto"/>
              </w:rPr>
            </w:pPr>
          </w:p>
        </w:tc>
        <w:tc>
          <w:tcPr>
            <w:tcW w:w="12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(8,566)</w:t>
            </w:r>
          </w:p>
        </w:tc>
        <w:tc>
          <w:tcPr>
            <w:tcW w:w="240" w:type="dxa"/>
            <w:vAlign w:val="bottom"/>
            <w:shd w:val="clear" w:color="auto" w:fill="D0EBF2"/>
          </w:tcPr>
          <w:p>
            <w:pPr>
              <w:spacing w:after="0"/>
              <w:rPr>
                <w:sz w:val="17"/>
                <w:szCs w:val="17"/>
                <w:color w:val="auto"/>
              </w:rPr>
            </w:pPr>
          </w:p>
        </w:tc>
        <w:tc>
          <w:tcPr>
            <w:tcW w:w="12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(39,347)</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860" w:type="dxa"/>
            <w:vAlign w:val="bottom"/>
            <w:tcBorders>
              <w:bottom w:val="single" w:sz="8" w:color="FDFDFC"/>
            </w:tcBorders>
            <w:shd w:val="clear" w:color="auto" w:fill="D0EBF2"/>
          </w:tcPr>
          <w:p>
            <w:pPr>
              <w:ind w:left="420"/>
              <w:spacing w:after="0"/>
              <w:rPr>
                <w:sz w:val="20"/>
                <w:szCs w:val="20"/>
                <w:color w:val="auto"/>
              </w:rPr>
            </w:pPr>
            <w:r>
              <w:rPr>
                <w:rFonts w:ascii="Arial" w:cs="Arial" w:eastAsia="Arial" w:hAnsi="Arial"/>
                <w:sz w:val="19"/>
                <w:szCs w:val="19"/>
                <w:color w:val="231F20"/>
              </w:rPr>
              <w:t>and diluted</w:t>
            </w:r>
          </w:p>
        </w:tc>
        <w:tc>
          <w:tcPr>
            <w:tcW w:w="140" w:type="dxa"/>
            <w:vAlign w:val="bottom"/>
            <w:tcBorders>
              <w:bottom w:val="single" w:sz="8" w:color="FDFDFC"/>
            </w:tcBorders>
            <w:shd w:val="clear" w:color="auto" w:fill="D0EBF2"/>
          </w:tcPr>
          <w:p>
            <w:pPr>
              <w:spacing w:after="0"/>
              <w:rPr>
                <w:sz w:val="23"/>
                <w:szCs w:val="23"/>
                <w:color w:val="auto"/>
              </w:rPr>
            </w:pPr>
          </w:p>
        </w:tc>
        <w:tc>
          <w:tcPr>
            <w:tcW w:w="120" w:type="dxa"/>
            <w:vAlign w:val="bottom"/>
            <w:tcBorders>
              <w:bottom w:val="single" w:sz="8" w:color="231F20"/>
            </w:tcBorders>
            <w:vMerge w:val="continue"/>
            <w:shd w:val="clear" w:color="auto" w:fill="D0EBF2"/>
          </w:tcPr>
          <w:p>
            <w:pPr>
              <w:spacing w:after="0"/>
              <w:rPr>
                <w:sz w:val="23"/>
                <w:szCs w:val="23"/>
                <w:color w:val="auto"/>
              </w:rPr>
            </w:pPr>
          </w:p>
        </w:tc>
        <w:tc>
          <w:tcPr>
            <w:tcW w:w="1080" w:type="dxa"/>
            <w:vAlign w:val="bottom"/>
            <w:tcBorders>
              <w:bottom w:val="single" w:sz="8" w:color="231F20"/>
            </w:tcBorders>
            <w:vMerge w:val="continue"/>
            <w:shd w:val="clear" w:color="auto" w:fill="D0EBF2"/>
          </w:tcPr>
          <w:p>
            <w:pPr>
              <w:spacing w:after="0"/>
              <w:rPr>
                <w:sz w:val="23"/>
                <w:szCs w:val="23"/>
                <w:color w:val="auto"/>
              </w:rPr>
            </w:pPr>
          </w:p>
        </w:tc>
        <w:tc>
          <w:tcPr>
            <w:tcW w:w="260" w:type="dxa"/>
            <w:vAlign w:val="bottom"/>
            <w:tcBorders>
              <w:bottom w:val="single" w:sz="8" w:color="FDFDFC"/>
            </w:tcBorders>
            <w:shd w:val="clear" w:color="auto" w:fill="D0EBF2"/>
          </w:tcPr>
          <w:p>
            <w:pPr>
              <w:spacing w:after="0"/>
              <w:rPr>
                <w:sz w:val="23"/>
                <w:szCs w:val="23"/>
                <w:color w:val="auto"/>
              </w:rPr>
            </w:pPr>
          </w:p>
        </w:tc>
        <w:tc>
          <w:tcPr>
            <w:tcW w:w="120" w:type="dxa"/>
            <w:vAlign w:val="bottom"/>
            <w:tcBorders>
              <w:bottom w:val="single" w:sz="8" w:color="231F20"/>
            </w:tcBorders>
            <w:vMerge w:val="continue"/>
            <w:shd w:val="clear" w:color="auto" w:fill="D0EBF2"/>
          </w:tcPr>
          <w:p>
            <w:pPr>
              <w:spacing w:after="0"/>
              <w:rPr>
                <w:sz w:val="23"/>
                <w:szCs w:val="23"/>
                <w:color w:val="auto"/>
              </w:rPr>
            </w:pPr>
          </w:p>
        </w:tc>
        <w:tc>
          <w:tcPr>
            <w:tcW w:w="1080" w:type="dxa"/>
            <w:vAlign w:val="bottom"/>
            <w:tcBorders>
              <w:bottom w:val="single" w:sz="8" w:color="231F20"/>
            </w:tcBorders>
            <w:vMerge w:val="continue"/>
            <w:shd w:val="clear" w:color="auto" w:fill="D0EBF2"/>
          </w:tcPr>
          <w:p>
            <w:pPr>
              <w:spacing w:after="0"/>
              <w:rPr>
                <w:sz w:val="23"/>
                <w:szCs w:val="23"/>
                <w:color w:val="auto"/>
              </w:rPr>
            </w:pPr>
          </w:p>
        </w:tc>
        <w:tc>
          <w:tcPr>
            <w:tcW w:w="240" w:type="dxa"/>
            <w:vAlign w:val="bottom"/>
            <w:tcBorders>
              <w:bottom w:val="single" w:sz="8" w:color="FDFDFC"/>
            </w:tcBorders>
            <w:shd w:val="clear" w:color="auto" w:fill="D0EBF2"/>
          </w:tcPr>
          <w:p>
            <w:pPr>
              <w:spacing w:after="0"/>
              <w:rPr>
                <w:sz w:val="23"/>
                <w:szCs w:val="23"/>
                <w:color w:val="auto"/>
              </w:rPr>
            </w:pPr>
          </w:p>
        </w:tc>
        <w:tc>
          <w:tcPr>
            <w:tcW w:w="120" w:type="dxa"/>
            <w:vAlign w:val="bottom"/>
            <w:tcBorders>
              <w:bottom w:val="single" w:sz="8" w:color="231F20"/>
            </w:tcBorders>
            <w:vMerge w:val="continue"/>
            <w:shd w:val="clear" w:color="auto" w:fill="D0EBF2"/>
          </w:tcPr>
          <w:p>
            <w:pPr>
              <w:spacing w:after="0"/>
              <w:rPr>
                <w:sz w:val="23"/>
                <w:szCs w:val="23"/>
                <w:color w:val="auto"/>
              </w:rPr>
            </w:pPr>
          </w:p>
        </w:tc>
        <w:tc>
          <w:tcPr>
            <w:tcW w:w="1080" w:type="dxa"/>
            <w:vAlign w:val="bottom"/>
            <w:tcBorders>
              <w:bottom w:val="single" w:sz="8" w:color="231F20"/>
            </w:tcBorders>
            <w:vMerge w:val="continue"/>
            <w:shd w:val="clear" w:color="auto" w:fill="D0EBF2"/>
          </w:tcPr>
          <w:p>
            <w:pPr>
              <w:spacing w:after="0"/>
              <w:rPr>
                <w:sz w:val="23"/>
                <w:szCs w:val="23"/>
                <w:color w:val="auto"/>
              </w:rPr>
            </w:pPr>
          </w:p>
        </w:tc>
        <w:tc>
          <w:tcPr>
            <w:tcW w:w="100" w:type="dxa"/>
            <w:vAlign w:val="bottom"/>
            <w:tcBorders>
              <w:bottom w:val="single" w:sz="8" w:color="FDFDFC"/>
            </w:tcBorders>
            <w:shd w:val="clear" w:color="auto" w:fill="D0EBF2"/>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FDFDFC"/>
          </w:tcPr>
          <w:p>
            <w:pPr>
              <w:spacing w:after="0" w:line="213" w:lineRule="exact"/>
              <w:rPr>
                <w:sz w:val="20"/>
                <w:szCs w:val="20"/>
                <w:color w:val="auto"/>
              </w:rPr>
            </w:pPr>
            <w:r>
              <w:rPr>
                <w:rFonts w:ascii="Arial" w:cs="Arial" w:eastAsia="Arial" w:hAnsi="Arial"/>
                <w:sz w:val="19"/>
                <w:szCs w:val="19"/>
                <w:color w:val="231F20"/>
              </w:rPr>
              <w:t>Denominator:</w:t>
            </w:r>
          </w:p>
        </w:tc>
        <w:tc>
          <w:tcPr>
            <w:tcW w:w="14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8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8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8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Weighted average common shares outstanding - basic</w:t>
            </w: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124,269,820</w:t>
            </w:r>
          </w:p>
        </w:tc>
        <w:tc>
          <w:tcPr>
            <w:tcW w:w="26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98"/>
              </w:rPr>
              <w:t>114,828,494</w:t>
            </w:r>
          </w:p>
        </w:tc>
        <w:tc>
          <w:tcPr>
            <w:tcW w:w="2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98"/>
              </w:rPr>
              <w:t>107,935,514</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ind w:left="260"/>
              <w:spacing w:after="0"/>
              <w:rPr>
                <w:sz w:val="20"/>
                <w:szCs w:val="20"/>
                <w:color w:val="auto"/>
              </w:rPr>
            </w:pPr>
            <w:r>
              <w:rPr>
                <w:rFonts w:ascii="Arial" w:cs="Arial" w:eastAsia="Arial" w:hAnsi="Arial"/>
                <w:sz w:val="18"/>
                <w:szCs w:val="18"/>
                <w:color w:val="231F20"/>
              </w:rPr>
              <w:t>Effect of potentially dilutive stock options</w:t>
            </w: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4,550,017</w:t>
            </w:r>
          </w:p>
        </w:tc>
        <w:tc>
          <w:tcPr>
            <w:tcW w:w="26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320" w:type="dxa"/>
            <w:vAlign w:val="bottom"/>
            <w:gridSpan w:val="2"/>
            <w:shd w:val="clear" w:color="auto" w:fill="FDFDFC"/>
          </w:tcPr>
          <w:p>
            <w:pPr>
              <w:jc w:val="right"/>
              <w:ind w:right="26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FDFDFC"/>
          </w:tcPr>
          <w:p>
            <w:pPr>
              <w:spacing w:after="0"/>
              <w:rPr>
                <w:sz w:val="20"/>
                <w:szCs w:val="20"/>
                <w:color w:val="auto"/>
              </w:rPr>
            </w:pPr>
          </w:p>
        </w:tc>
        <w:tc>
          <w:tcPr>
            <w:tcW w:w="1180" w:type="dxa"/>
            <w:vAlign w:val="bottom"/>
            <w:gridSpan w:val="2"/>
            <w:shd w:val="clear" w:color="auto" w:fill="FDFDFC"/>
          </w:tcPr>
          <w:p>
            <w:pPr>
              <w:jc w:val="right"/>
              <w:ind w:right="120"/>
              <w:spacing w:after="0"/>
              <w:rPr>
                <w:sz w:val="20"/>
                <w:szCs w:val="20"/>
                <w:color w:val="auto"/>
              </w:rPr>
            </w:pPr>
            <w:r>
              <w:rPr>
                <w:rFonts w:ascii="Arial" w:cs="Arial" w:eastAsia="Arial" w:hAnsi="Arial"/>
                <w:sz w:val="19"/>
                <w:szCs w:val="19"/>
                <w:color w:val="231F20"/>
              </w:rPr>
              <w:t>—</w:t>
            </w:r>
          </w:p>
        </w:tc>
        <w:tc>
          <w:tcPr>
            <w:tcW w:w="0" w:type="dxa"/>
            <w:vAlign w:val="bottom"/>
          </w:tcPr>
          <w:p>
            <w:pPr>
              <w:spacing w:after="0"/>
              <w:rPr>
                <w:sz w:val="1"/>
                <w:szCs w:val="1"/>
                <w:color w:val="auto"/>
              </w:rPr>
            </w:pPr>
          </w:p>
        </w:tc>
      </w:tr>
      <w:tr>
        <w:trPr>
          <w:trHeight w:val="230"/>
        </w:trPr>
        <w:tc>
          <w:tcPr>
            <w:tcW w:w="5860" w:type="dxa"/>
            <w:vAlign w:val="bottom"/>
            <w:shd w:val="clear" w:color="auto" w:fill="D0EBF2"/>
          </w:tcPr>
          <w:p>
            <w:pPr>
              <w:ind w:left="260"/>
              <w:spacing w:after="0"/>
              <w:rPr>
                <w:sz w:val="20"/>
                <w:szCs w:val="20"/>
                <w:color w:val="auto"/>
              </w:rPr>
            </w:pPr>
            <w:r>
              <w:rPr>
                <w:rFonts w:ascii="Arial" w:cs="Arial" w:eastAsia="Arial" w:hAnsi="Arial"/>
                <w:sz w:val="18"/>
                <w:szCs w:val="18"/>
                <w:color w:val="231F20"/>
              </w:rPr>
              <w:t>Effect of potentially dilutive restricted common stock</w:t>
            </w: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519,624</w:t>
            </w:r>
          </w:p>
        </w:tc>
        <w:tc>
          <w:tcPr>
            <w:tcW w:w="26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320" w:type="dxa"/>
            <w:vAlign w:val="bottom"/>
            <w:gridSpan w:val="2"/>
            <w:shd w:val="clear" w:color="auto" w:fill="D0EBF2"/>
          </w:tcPr>
          <w:p>
            <w:pPr>
              <w:jc w:val="right"/>
              <w:ind w:right="260"/>
              <w:spacing w:after="0"/>
              <w:rPr>
                <w:sz w:val="20"/>
                <w:szCs w:val="20"/>
                <w:color w:val="auto"/>
              </w:rPr>
            </w:pPr>
            <w:r>
              <w:rPr>
                <w:rFonts w:ascii="Arial" w:cs="Arial" w:eastAsia="Arial" w:hAnsi="Arial"/>
                <w:sz w:val="19"/>
                <w:szCs w:val="19"/>
                <w:color w:val="231F20"/>
              </w:rPr>
              <w:t>—</w:t>
            </w:r>
          </w:p>
        </w:tc>
        <w:tc>
          <w:tcPr>
            <w:tcW w:w="120" w:type="dxa"/>
            <w:vAlign w:val="bottom"/>
            <w:shd w:val="clear" w:color="auto" w:fill="D0EBF2"/>
          </w:tcPr>
          <w:p>
            <w:pPr>
              <w:spacing w:after="0"/>
              <w:rPr>
                <w:sz w:val="20"/>
                <w:szCs w:val="20"/>
                <w:color w:val="auto"/>
              </w:rPr>
            </w:pPr>
          </w:p>
        </w:tc>
        <w:tc>
          <w:tcPr>
            <w:tcW w:w="1180" w:type="dxa"/>
            <w:vAlign w:val="bottom"/>
            <w:gridSpan w:val="2"/>
            <w:shd w:val="clear" w:color="auto" w:fill="D0EBF2"/>
          </w:tcPr>
          <w:p>
            <w:pPr>
              <w:jc w:val="right"/>
              <w:ind w:right="120"/>
              <w:spacing w:after="0"/>
              <w:rPr>
                <w:sz w:val="20"/>
                <w:szCs w:val="20"/>
                <w:color w:val="auto"/>
              </w:rPr>
            </w:pPr>
            <w:r>
              <w:rPr>
                <w:rFonts w:ascii="Arial" w:cs="Arial" w:eastAsia="Arial" w:hAnsi="Arial"/>
                <w:sz w:val="19"/>
                <w:szCs w:val="19"/>
                <w:color w:val="231F20"/>
              </w:rPr>
              <w:t>—</w:t>
            </w:r>
          </w:p>
        </w:tc>
        <w:tc>
          <w:tcPr>
            <w:tcW w:w="0" w:type="dxa"/>
            <w:vAlign w:val="bottom"/>
          </w:tcPr>
          <w:p>
            <w:pPr>
              <w:spacing w:after="0"/>
              <w:rPr>
                <w:sz w:val="1"/>
                <w:szCs w:val="1"/>
                <w:color w:val="auto"/>
              </w:rPr>
            </w:pPr>
          </w:p>
        </w:tc>
      </w:tr>
      <w:tr>
        <w:trPr>
          <w:trHeight w:val="270"/>
        </w:trPr>
        <w:tc>
          <w:tcPr>
            <w:tcW w:w="5860" w:type="dxa"/>
            <w:vAlign w:val="bottom"/>
            <w:tcBorders>
              <w:bottom w:val="single" w:sz="8" w:color="D0EBF2"/>
            </w:tcBorders>
            <w:shd w:val="clear" w:color="auto" w:fill="FDFDFC"/>
          </w:tcPr>
          <w:p>
            <w:pPr>
              <w:ind w:left="260"/>
              <w:spacing w:after="0"/>
              <w:rPr>
                <w:sz w:val="20"/>
                <w:szCs w:val="20"/>
                <w:color w:val="auto"/>
              </w:rPr>
            </w:pPr>
            <w:r>
              <w:rPr>
                <w:rFonts w:ascii="Arial" w:cs="Arial" w:eastAsia="Arial" w:hAnsi="Arial"/>
                <w:sz w:val="18"/>
                <w:szCs w:val="18"/>
                <w:color w:val="231F20"/>
              </w:rPr>
              <w:t>Weighted average common shares outstanding – diluted</w:t>
            </w:r>
          </w:p>
        </w:tc>
        <w:tc>
          <w:tcPr>
            <w:tcW w:w="140" w:type="dxa"/>
            <w:vAlign w:val="bottom"/>
            <w:tcBorders>
              <w:bottom w:val="single" w:sz="8" w:color="D0EBF2"/>
            </w:tcBorders>
            <w:shd w:val="clear" w:color="auto" w:fill="FDFDFC"/>
          </w:tcPr>
          <w:p>
            <w:pPr>
              <w:spacing w:after="0"/>
              <w:rPr>
                <w:sz w:val="23"/>
                <w:szCs w:val="23"/>
                <w:color w:val="auto"/>
              </w:rPr>
            </w:pPr>
          </w:p>
        </w:tc>
        <w:tc>
          <w:tcPr>
            <w:tcW w:w="120" w:type="dxa"/>
            <w:vAlign w:val="bottom"/>
            <w:tcBorders>
              <w:bottom w:val="single" w:sz="8" w:color="231F20"/>
            </w:tcBorders>
            <w:shd w:val="clear" w:color="auto" w:fill="FDFDFC"/>
          </w:tcPr>
          <w:p>
            <w:pPr>
              <w:spacing w:after="0"/>
              <w:rPr>
                <w:sz w:val="23"/>
                <w:szCs w:val="23"/>
                <w:color w:val="auto"/>
              </w:rPr>
            </w:pP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129,339,462</w:t>
            </w:r>
          </w:p>
        </w:tc>
        <w:tc>
          <w:tcPr>
            <w:tcW w:w="260" w:type="dxa"/>
            <w:vAlign w:val="bottom"/>
            <w:tcBorders>
              <w:bottom w:val="single" w:sz="8" w:color="D0EBF2"/>
            </w:tcBorders>
            <w:shd w:val="clear" w:color="auto" w:fill="FDFDFC"/>
          </w:tcPr>
          <w:p>
            <w:pPr>
              <w:spacing w:after="0"/>
              <w:rPr>
                <w:sz w:val="23"/>
                <w:szCs w:val="23"/>
                <w:color w:val="auto"/>
              </w:rPr>
            </w:pPr>
          </w:p>
        </w:tc>
        <w:tc>
          <w:tcPr>
            <w:tcW w:w="120" w:type="dxa"/>
            <w:vAlign w:val="bottom"/>
            <w:tcBorders>
              <w:bottom w:val="single" w:sz="8" w:color="231F20"/>
            </w:tcBorders>
            <w:shd w:val="clear" w:color="auto" w:fill="FDFDFC"/>
          </w:tcPr>
          <w:p>
            <w:pPr>
              <w:spacing w:after="0"/>
              <w:rPr>
                <w:sz w:val="23"/>
                <w:szCs w:val="23"/>
                <w:color w:val="auto"/>
              </w:rPr>
            </w:pP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w w:val="98"/>
              </w:rPr>
              <w:t>114,828,494</w:t>
            </w:r>
          </w:p>
        </w:tc>
        <w:tc>
          <w:tcPr>
            <w:tcW w:w="240" w:type="dxa"/>
            <w:vAlign w:val="bottom"/>
            <w:tcBorders>
              <w:bottom w:val="single" w:sz="8" w:color="D0EBF2"/>
            </w:tcBorders>
            <w:shd w:val="clear" w:color="auto" w:fill="FDFDFC"/>
          </w:tcPr>
          <w:p>
            <w:pPr>
              <w:spacing w:after="0"/>
              <w:rPr>
                <w:sz w:val="23"/>
                <w:szCs w:val="23"/>
                <w:color w:val="auto"/>
              </w:rPr>
            </w:pPr>
          </w:p>
        </w:tc>
        <w:tc>
          <w:tcPr>
            <w:tcW w:w="120" w:type="dxa"/>
            <w:vAlign w:val="bottom"/>
            <w:tcBorders>
              <w:bottom w:val="single" w:sz="8" w:color="231F20"/>
            </w:tcBorders>
            <w:shd w:val="clear" w:color="auto" w:fill="FDFDFC"/>
          </w:tcPr>
          <w:p>
            <w:pPr>
              <w:spacing w:after="0"/>
              <w:rPr>
                <w:sz w:val="23"/>
                <w:szCs w:val="23"/>
                <w:color w:val="auto"/>
              </w:rPr>
            </w:pPr>
          </w:p>
        </w:tc>
        <w:tc>
          <w:tcPr>
            <w:tcW w:w="108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w w:val="98"/>
              </w:rPr>
              <w:t>107,935,514</w:t>
            </w:r>
          </w:p>
        </w:tc>
        <w:tc>
          <w:tcPr>
            <w:tcW w:w="100" w:type="dxa"/>
            <w:vAlign w:val="bottom"/>
            <w:tcBorders>
              <w:bottom w:val="single" w:sz="8" w:color="D0EBF2"/>
            </w:tcBorders>
            <w:shd w:val="clear" w:color="auto" w:fill="FDFDFC"/>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5860" w:type="dxa"/>
            <w:vAlign w:val="bottom"/>
            <w:shd w:val="clear" w:color="auto" w:fill="D0EBF2"/>
          </w:tcPr>
          <w:p>
            <w:pPr>
              <w:spacing w:after="0" w:line="195" w:lineRule="exact"/>
              <w:rPr>
                <w:sz w:val="20"/>
                <w:szCs w:val="20"/>
                <w:color w:val="auto"/>
              </w:rPr>
            </w:pPr>
            <w:r>
              <w:rPr>
                <w:rFonts w:ascii="Arial" w:cs="Arial" w:eastAsia="Arial" w:hAnsi="Arial"/>
                <w:sz w:val="19"/>
                <w:szCs w:val="19"/>
                <w:color w:val="231F20"/>
              </w:rPr>
              <w:t>Net income (loss) per share attributable to common stockholders -</w:t>
            </w:r>
          </w:p>
        </w:tc>
        <w:tc>
          <w:tcPr>
            <w:tcW w:w="140" w:type="dxa"/>
            <w:vAlign w:val="bottom"/>
            <w:shd w:val="clear" w:color="auto" w:fill="D0EBF2"/>
          </w:tcPr>
          <w:p>
            <w:pPr>
              <w:spacing w:after="0"/>
              <w:rPr>
                <w:sz w:val="16"/>
                <w:szCs w:val="16"/>
                <w:color w:val="auto"/>
              </w:rPr>
            </w:pPr>
          </w:p>
        </w:tc>
        <w:tc>
          <w:tcPr>
            <w:tcW w:w="12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w w:val="94"/>
              </w:rPr>
              <w:t>$</w:t>
            </w:r>
          </w:p>
        </w:tc>
        <w:tc>
          <w:tcPr>
            <w:tcW w:w="108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0.02</w:t>
            </w:r>
          </w:p>
        </w:tc>
        <w:tc>
          <w:tcPr>
            <w:tcW w:w="260" w:type="dxa"/>
            <w:vAlign w:val="bottom"/>
            <w:shd w:val="clear" w:color="auto" w:fill="D0EBF2"/>
          </w:tcPr>
          <w:p>
            <w:pPr>
              <w:spacing w:after="0"/>
              <w:rPr>
                <w:sz w:val="16"/>
                <w:szCs w:val="16"/>
                <w:color w:val="auto"/>
              </w:rPr>
            </w:pPr>
          </w:p>
        </w:tc>
        <w:tc>
          <w:tcPr>
            <w:tcW w:w="12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(0.07)</w:t>
            </w:r>
          </w:p>
        </w:tc>
        <w:tc>
          <w:tcPr>
            <w:tcW w:w="240" w:type="dxa"/>
            <w:vAlign w:val="bottom"/>
            <w:shd w:val="clear" w:color="auto" w:fill="D0EBF2"/>
          </w:tcPr>
          <w:p>
            <w:pPr>
              <w:spacing w:after="0"/>
              <w:rPr>
                <w:sz w:val="16"/>
                <w:szCs w:val="16"/>
                <w:color w:val="auto"/>
              </w:rPr>
            </w:pPr>
          </w:p>
        </w:tc>
        <w:tc>
          <w:tcPr>
            <w:tcW w:w="12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(0.36)</w:t>
            </w:r>
          </w:p>
        </w:tc>
        <w:tc>
          <w:tcPr>
            <w:tcW w:w="10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860" w:type="dxa"/>
            <w:vAlign w:val="bottom"/>
            <w:tcBorders>
              <w:bottom w:val="single" w:sz="8" w:color="FDFDFC"/>
            </w:tcBorders>
            <w:shd w:val="clear" w:color="auto" w:fill="D0EBF2"/>
          </w:tcPr>
          <w:p>
            <w:pPr>
              <w:ind w:left="160"/>
              <w:spacing w:after="0"/>
              <w:rPr>
                <w:sz w:val="20"/>
                <w:szCs w:val="20"/>
                <w:color w:val="auto"/>
              </w:rPr>
            </w:pPr>
            <w:r>
              <w:rPr>
                <w:rFonts w:ascii="Arial" w:cs="Arial" w:eastAsia="Arial" w:hAnsi="Arial"/>
                <w:sz w:val="19"/>
                <w:szCs w:val="19"/>
                <w:color w:val="231F20"/>
              </w:rPr>
              <w:t>basic</w:t>
            </w:r>
          </w:p>
        </w:tc>
        <w:tc>
          <w:tcPr>
            <w:tcW w:w="140" w:type="dxa"/>
            <w:vAlign w:val="bottom"/>
            <w:tcBorders>
              <w:bottom w:val="single" w:sz="8" w:color="FDFDFC"/>
            </w:tcBorders>
            <w:shd w:val="clear" w:color="auto" w:fill="D0EBF2"/>
          </w:tcPr>
          <w:p>
            <w:pPr>
              <w:spacing w:after="0"/>
              <w:rPr>
                <w:sz w:val="23"/>
                <w:szCs w:val="23"/>
                <w:color w:val="auto"/>
              </w:rPr>
            </w:pPr>
          </w:p>
        </w:tc>
        <w:tc>
          <w:tcPr>
            <w:tcW w:w="120" w:type="dxa"/>
            <w:vAlign w:val="bottom"/>
            <w:tcBorders>
              <w:bottom w:val="single" w:sz="8" w:color="231F20"/>
            </w:tcBorders>
            <w:vMerge w:val="continue"/>
            <w:shd w:val="clear" w:color="auto" w:fill="D0EBF2"/>
          </w:tcPr>
          <w:p>
            <w:pPr>
              <w:spacing w:after="0"/>
              <w:rPr>
                <w:sz w:val="23"/>
                <w:szCs w:val="23"/>
                <w:color w:val="auto"/>
              </w:rPr>
            </w:pPr>
          </w:p>
        </w:tc>
        <w:tc>
          <w:tcPr>
            <w:tcW w:w="1080" w:type="dxa"/>
            <w:vAlign w:val="bottom"/>
            <w:tcBorders>
              <w:bottom w:val="single" w:sz="8" w:color="231F20"/>
            </w:tcBorders>
            <w:vMerge w:val="continue"/>
            <w:shd w:val="clear" w:color="auto" w:fill="D0EBF2"/>
          </w:tcPr>
          <w:p>
            <w:pPr>
              <w:spacing w:after="0"/>
              <w:rPr>
                <w:sz w:val="23"/>
                <w:szCs w:val="23"/>
                <w:color w:val="auto"/>
              </w:rPr>
            </w:pPr>
          </w:p>
        </w:tc>
        <w:tc>
          <w:tcPr>
            <w:tcW w:w="260" w:type="dxa"/>
            <w:vAlign w:val="bottom"/>
            <w:tcBorders>
              <w:bottom w:val="single" w:sz="8" w:color="FDFDFC"/>
            </w:tcBorders>
            <w:shd w:val="clear" w:color="auto" w:fill="D0EBF2"/>
          </w:tcPr>
          <w:p>
            <w:pPr>
              <w:spacing w:after="0"/>
              <w:rPr>
                <w:sz w:val="23"/>
                <w:szCs w:val="23"/>
                <w:color w:val="auto"/>
              </w:rPr>
            </w:pPr>
          </w:p>
        </w:tc>
        <w:tc>
          <w:tcPr>
            <w:tcW w:w="120" w:type="dxa"/>
            <w:vAlign w:val="bottom"/>
            <w:tcBorders>
              <w:bottom w:val="single" w:sz="8" w:color="231F20"/>
            </w:tcBorders>
            <w:vMerge w:val="continue"/>
            <w:shd w:val="clear" w:color="auto" w:fill="D0EBF2"/>
          </w:tcPr>
          <w:p>
            <w:pPr>
              <w:spacing w:after="0"/>
              <w:rPr>
                <w:sz w:val="23"/>
                <w:szCs w:val="23"/>
                <w:color w:val="auto"/>
              </w:rPr>
            </w:pPr>
          </w:p>
        </w:tc>
        <w:tc>
          <w:tcPr>
            <w:tcW w:w="1080" w:type="dxa"/>
            <w:vAlign w:val="bottom"/>
            <w:tcBorders>
              <w:bottom w:val="single" w:sz="8" w:color="231F20"/>
            </w:tcBorders>
            <w:vMerge w:val="continue"/>
            <w:shd w:val="clear" w:color="auto" w:fill="D0EBF2"/>
          </w:tcPr>
          <w:p>
            <w:pPr>
              <w:spacing w:after="0"/>
              <w:rPr>
                <w:sz w:val="23"/>
                <w:szCs w:val="23"/>
                <w:color w:val="auto"/>
              </w:rPr>
            </w:pPr>
          </w:p>
        </w:tc>
        <w:tc>
          <w:tcPr>
            <w:tcW w:w="240" w:type="dxa"/>
            <w:vAlign w:val="bottom"/>
            <w:tcBorders>
              <w:bottom w:val="single" w:sz="8" w:color="FDFDFC"/>
            </w:tcBorders>
            <w:shd w:val="clear" w:color="auto" w:fill="D0EBF2"/>
          </w:tcPr>
          <w:p>
            <w:pPr>
              <w:spacing w:after="0"/>
              <w:rPr>
                <w:sz w:val="23"/>
                <w:szCs w:val="23"/>
                <w:color w:val="auto"/>
              </w:rPr>
            </w:pPr>
          </w:p>
        </w:tc>
        <w:tc>
          <w:tcPr>
            <w:tcW w:w="120" w:type="dxa"/>
            <w:vAlign w:val="bottom"/>
            <w:tcBorders>
              <w:bottom w:val="single" w:sz="8" w:color="231F20"/>
            </w:tcBorders>
            <w:vMerge w:val="continue"/>
            <w:shd w:val="clear" w:color="auto" w:fill="D0EBF2"/>
          </w:tcPr>
          <w:p>
            <w:pPr>
              <w:spacing w:after="0"/>
              <w:rPr>
                <w:sz w:val="23"/>
                <w:szCs w:val="23"/>
                <w:color w:val="auto"/>
              </w:rPr>
            </w:pPr>
          </w:p>
        </w:tc>
        <w:tc>
          <w:tcPr>
            <w:tcW w:w="1080" w:type="dxa"/>
            <w:vAlign w:val="bottom"/>
            <w:tcBorders>
              <w:bottom w:val="single" w:sz="8" w:color="231F20"/>
            </w:tcBorders>
            <w:vMerge w:val="continue"/>
            <w:shd w:val="clear" w:color="auto" w:fill="D0EBF2"/>
          </w:tcPr>
          <w:p>
            <w:pPr>
              <w:spacing w:after="0"/>
              <w:rPr>
                <w:sz w:val="23"/>
                <w:szCs w:val="23"/>
                <w:color w:val="auto"/>
              </w:rPr>
            </w:pPr>
          </w:p>
        </w:tc>
        <w:tc>
          <w:tcPr>
            <w:tcW w:w="100" w:type="dxa"/>
            <w:vAlign w:val="bottom"/>
            <w:tcBorders>
              <w:bottom w:val="single" w:sz="8" w:color="FDFDFC"/>
            </w:tcBorders>
            <w:shd w:val="clear" w:color="auto" w:fill="D0EBF2"/>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5860" w:type="dxa"/>
            <w:vAlign w:val="bottom"/>
            <w:shd w:val="clear" w:color="auto" w:fill="FDFDFC"/>
          </w:tcPr>
          <w:p>
            <w:pPr>
              <w:spacing w:after="0" w:line="195" w:lineRule="exact"/>
              <w:rPr>
                <w:sz w:val="20"/>
                <w:szCs w:val="20"/>
                <w:color w:val="auto"/>
              </w:rPr>
            </w:pPr>
            <w:r>
              <w:rPr>
                <w:rFonts w:ascii="Arial" w:cs="Arial" w:eastAsia="Arial" w:hAnsi="Arial"/>
                <w:sz w:val="19"/>
                <w:szCs w:val="19"/>
                <w:color w:val="231F20"/>
              </w:rPr>
              <w:t>Net income (loss) per share attributable to common stockholders -</w:t>
            </w:r>
          </w:p>
        </w:tc>
        <w:tc>
          <w:tcPr>
            <w:tcW w:w="140" w:type="dxa"/>
            <w:vAlign w:val="bottom"/>
            <w:shd w:val="clear" w:color="auto" w:fill="FDFDFC"/>
          </w:tcPr>
          <w:p>
            <w:pPr>
              <w:spacing w:after="0"/>
              <w:rPr>
                <w:sz w:val="16"/>
                <w:szCs w:val="16"/>
                <w:color w:val="auto"/>
              </w:rPr>
            </w:pPr>
          </w:p>
        </w:tc>
        <w:tc>
          <w:tcPr>
            <w:tcW w:w="12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w w:val="94"/>
              </w:rPr>
              <w:t>$</w:t>
            </w:r>
          </w:p>
        </w:tc>
        <w:tc>
          <w:tcPr>
            <w:tcW w:w="108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0.02</w:t>
            </w:r>
          </w:p>
        </w:tc>
        <w:tc>
          <w:tcPr>
            <w:tcW w:w="260" w:type="dxa"/>
            <w:vAlign w:val="bottom"/>
            <w:shd w:val="clear" w:color="auto" w:fill="FDFDFC"/>
          </w:tcPr>
          <w:p>
            <w:pPr>
              <w:spacing w:after="0"/>
              <w:rPr>
                <w:sz w:val="16"/>
                <w:szCs w:val="16"/>
                <w:color w:val="auto"/>
              </w:rPr>
            </w:pPr>
          </w:p>
        </w:tc>
        <w:tc>
          <w:tcPr>
            <w:tcW w:w="12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(0.07)</w:t>
            </w:r>
          </w:p>
        </w:tc>
        <w:tc>
          <w:tcPr>
            <w:tcW w:w="240" w:type="dxa"/>
            <w:vAlign w:val="bottom"/>
            <w:shd w:val="clear" w:color="auto" w:fill="FDFDFC"/>
          </w:tcPr>
          <w:p>
            <w:pPr>
              <w:spacing w:after="0"/>
              <w:rPr>
                <w:sz w:val="16"/>
                <w:szCs w:val="16"/>
                <w:color w:val="auto"/>
              </w:rPr>
            </w:pPr>
          </w:p>
        </w:tc>
        <w:tc>
          <w:tcPr>
            <w:tcW w:w="12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108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(0.36)</w:t>
            </w:r>
          </w:p>
        </w:tc>
        <w:tc>
          <w:tcPr>
            <w:tcW w:w="1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860" w:type="dxa"/>
            <w:vAlign w:val="bottom"/>
            <w:tcBorders>
              <w:bottom w:val="single" w:sz="8" w:color="FDFDFC"/>
            </w:tcBorders>
            <w:shd w:val="clear" w:color="auto" w:fill="FDFDFC"/>
          </w:tcPr>
          <w:p>
            <w:pPr>
              <w:ind w:left="160"/>
              <w:spacing w:after="0"/>
              <w:rPr>
                <w:sz w:val="20"/>
                <w:szCs w:val="20"/>
                <w:color w:val="auto"/>
              </w:rPr>
            </w:pPr>
            <w:r>
              <w:rPr>
                <w:rFonts w:ascii="Arial" w:cs="Arial" w:eastAsia="Arial" w:hAnsi="Arial"/>
                <w:sz w:val="19"/>
                <w:szCs w:val="19"/>
                <w:color w:val="231F20"/>
              </w:rPr>
              <w:t>diluted</w:t>
            </w:r>
          </w:p>
        </w:tc>
        <w:tc>
          <w:tcPr>
            <w:tcW w:w="140" w:type="dxa"/>
            <w:vAlign w:val="bottom"/>
            <w:tcBorders>
              <w:bottom w:val="single" w:sz="8" w:color="FDFDFC"/>
            </w:tcBorders>
            <w:shd w:val="clear" w:color="auto" w:fill="FDFDFC"/>
          </w:tcPr>
          <w:p>
            <w:pPr>
              <w:spacing w:after="0"/>
              <w:rPr>
                <w:sz w:val="22"/>
                <w:szCs w:val="22"/>
                <w:color w:val="auto"/>
              </w:rPr>
            </w:pPr>
          </w:p>
        </w:tc>
        <w:tc>
          <w:tcPr>
            <w:tcW w:w="120" w:type="dxa"/>
            <w:vAlign w:val="bottom"/>
            <w:tcBorders>
              <w:bottom w:val="single" w:sz="8" w:color="231F20"/>
            </w:tcBorders>
            <w:vMerge w:val="continue"/>
            <w:shd w:val="clear" w:color="auto" w:fill="FDFDFC"/>
          </w:tcPr>
          <w:p>
            <w:pPr>
              <w:spacing w:after="0"/>
              <w:rPr>
                <w:sz w:val="22"/>
                <w:szCs w:val="22"/>
                <w:color w:val="auto"/>
              </w:rPr>
            </w:pPr>
          </w:p>
        </w:tc>
        <w:tc>
          <w:tcPr>
            <w:tcW w:w="1080" w:type="dxa"/>
            <w:vAlign w:val="bottom"/>
            <w:tcBorders>
              <w:bottom w:val="single" w:sz="8" w:color="231F20"/>
            </w:tcBorders>
            <w:vMerge w:val="continue"/>
            <w:shd w:val="clear" w:color="auto" w:fill="FDFDFC"/>
          </w:tcPr>
          <w:p>
            <w:pPr>
              <w:spacing w:after="0"/>
              <w:rPr>
                <w:sz w:val="22"/>
                <w:szCs w:val="22"/>
                <w:color w:val="auto"/>
              </w:rPr>
            </w:pPr>
          </w:p>
        </w:tc>
        <w:tc>
          <w:tcPr>
            <w:tcW w:w="260" w:type="dxa"/>
            <w:vAlign w:val="bottom"/>
            <w:tcBorders>
              <w:bottom w:val="single" w:sz="8" w:color="FDFDFC"/>
            </w:tcBorders>
            <w:shd w:val="clear" w:color="auto" w:fill="FDFDFC"/>
          </w:tcPr>
          <w:p>
            <w:pPr>
              <w:spacing w:after="0"/>
              <w:rPr>
                <w:sz w:val="22"/>
                <w:szCs w:val="22"/>
                <w:color w:val="auto"/>
              </w:rPr>
            </w:pPr>
          </w:p>
        </w:tc>
        <w:tc>
          <w:tcPr>
            <w:tcW w:w="120" w:type="dxa"/>
            <w:vAlign w:val="bottom"/>
            <w:tcBorders>
              <w:bottom w:val="single" w:sz="8" w:color="231F20"/>
            </w:tcBorders>
            <w:vMerge w:val="continue"/>
            <w:shd w:val="clear" w:color="auto" w:fill="FDFDFC"/>
          </w:tcPr>
          <w:p>
            <w:pPr>
              <w:spacing w:after="0"/>
              <w:rPr>
                <w:sz w:val="22"/>
                <w:szCs w:val="22"/>
                <w:color w:val="auto"/>
              </w:rPr>
            </w:pPr>
          </w:p>
        </w:tc>
        <w:tc>
          <w:tcPr>
            <w:tcW w:w="1080" w:type="dxa"/>
            <w:vAlign w:val="bottom"/>
            <w:tcBorders>
              <w:bottom w:val="single" w:sz="8" w:color="231F20"/>
            </w:tcBorders>
            <w:vMerge w:val="continue"/>
            <w:shd w:val="clear" w:color="auto" w:fill="FDFDFC"/>
          </w:tcPr>
          <w:p>
            <w:pPr>
              <w:spacing w:after="0"/>
              <w:rPr>
                <w:sz w:val="22"/>
                <w:szCs w:val="22"/>
                <w:color w:val="auto"/>
              </w:rPr>
            </w:pPr>
          </w:p>
        </w:tc>
        <w:tc>
          <w:tcPr>
            <w:tcW w:w="240" w:type="dxa"/>
            <w:vAlign w:val="bottom"/>
            <w:tcBorders>
              <w:bottom w:val="single" w:sz="8" w:color="FDFDFC"/>
            </w:tcBorders>
            <w:shd w:val="clear" w:color="auto" w:fill="FDFDFC"/>
          </w:tcPr>
          <w:p>
            <w:pPr>
              <w:spacing w:after="0"/>
              <w:rPr>
                <w:sz w:val="22"/>
                <w:szCs w:val="22"/>
                <w:color w:val="auto"/>
              </w:rPr>
            </w:pPr>
          </w:p>
        </w:tc>
        <w:tc>
          <w:tcPr>
            <w:tcW w:w="120" w:type="dxa"/>
            <w:vAlign w:val="bottom"/>
            <w:tcBorders>
              <w:bottom w:val="single" w:sz="8" w:color="231F20"/>
            </w:tcBorders>
            <w:vMerge w:val="continue"/>
            <w:shd w:val="clear" w:color="auto" w:fill="FDFDFC"/>
          </w:tcPr>
          <w:p>
            <w:pPr>
              <w:spacing w:after="0"/>
              <w:rPr>
                <w:sz w:val="22"/>
                <w:szCs w:val="22"/>
                <w:color w:val="auto"/>
              </w:rPr>
            </w:pPr>
          </w:p>
        </w:tc>
        <w:tc>
          <w:tcPr>
            <w:tcW w:w="1080" w:type="dxa"/>
            <w:vAlign w:val="bottom"/>
            <w:tcBorders>
              <w:bottom w:val="single" w:sz="8" w:color="231F20"/>
            </w:tcBorders>
            <w:vMerge w:val="continue"/>
            <w:shd w:val="clear" w:color="auto" w:fill="FDFDFC"/>
          </w:tcPr>
          <w:p>
            <w:pPr>
              <w:spacing w:after="0"/>
              <w:rPr>
                <w:sz w:val="22"/>
                <w:szCs w:val="22"/>
                <w:color w:val="auto"/>
              </w:rPr>
            </w:pPr>
          </w:p>
        </w:tc>
        <w:tc>
          <w:tcPr>
            <w:tcW w:w="100" w:type="dxa"/>
            <w:vAlign w:val="bottom"/>
            <w:tcBorders>
              <w:bottom w:val="single" w:sz="8" w:color="FDFDFC"/>
            </w:tcBorders>
            <w:shd w:val="clear" w:color="auto" w:fill="FDFD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40" w:firstLine="463"/>
        <w:spacing w:after="0" w:line="251" w:lineRule="auto"/>
        <w:rPr>
          <w:sz w:val="20"/>
          <w:szCs w:val="20"/>
          <w:color w:val="auto"/>
        </w:rPr>
      </w:pPr>
      <w:r>
        <w:rPr>
          <w:rFonts w:ascii="Arial" w:cs="Arial" w:eastAsia="Arial" w:hAnsi="Arial"/>
          <w:sz w:val="19"/>
          <w:szCs w:val="19"/>
          <w:color w:val="231F20"/>
        </w:rPr>
        <w:t>For periods in which the Company is in a loss position, basic net loss per share attributable to common stockholders is the same as diluted net loss per share attributable to common stockholders. Outstanding potentially dilutive securities, which were excluded from the diluted net income (loss) per share calculations because they would have been antidilutive were as follows as of the dates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Borders>
              <w:bottom w:val="single" w:sz="8" w:color="FDFDFC"/>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3080" w:type="dxa"/>
            <w:vAlign w:val="bottom"/>
            <w:tcBorders>
              <w:bottom w:val="single" w:sz="8" w:color="231F20"/>
            </w:tcBorders>
            <w:gridSpan w:val="5"/>
            <w:shd w:val="clear" w:color="auto" w:fill="FDFDFC"/>
          </w:tcPr>
          <w:p>
            <w:pPr>
              <w:ind w:left="1140"/>
              <w:spacing w:after="0"/>
              <w:rPr>
                <w:sz w:val="20"/>
                <w:szCs w:val="20"/>
                <w:color w:val="auto"/>
              </w:rPr>
            </w:pPr>
            <w:r>
              <w:rPr>
                <w:rFonts w:ascii="Arial" w:cs="Arial" w:eastAsia="Arial" w:hAnsi="Arial"/>
                <w:sz w:val="15"/>
                <w:szCs w:val="15"/>
                <w:b w:val="1"/>
                <w:bCs w:val="1"/>
                <w:color w:val="231F20"/>
              </w:rPr>
              <w:t>Year Ended December 31,</w:t>
            </w:r>
          </w:p>
        </w:tc>
        <w:tc>
          <w:tcPr>
            <w:tcW w:w="106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r>
      <w:tr>
        <w:trPr>
          <w:trHeight w:val="176"/>
        </w:trPr>
        <w:tc>
          <w:tcPr>
            <w:tcW w:w="58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40" w:type="dxa"/>
            <w:vAlign w:val="bottom"/>
            <w:shd w:val="clear" w:color="auto" w:fill="FDFDFC"/>
          </w:tcPr>
          <w:p>
            <w:pPr>
              <w:jc w:val="right"/>
              <w:ind w:right="373"/>
              <w:spacing w:after="0"/>
              <w:rPr>
                <w:sz w:val="20"/>
                <w:szCs w:val="20"/>
                <w:color w:val="auto"/>
              </w:rPr>
            </w:pPr>
            <w:r>
              <w:rPr>
                <w:rFonts w:ascii="Arial" w:cs="Arial" w:eastAsia="Arial" w:hAnsi="Arial"/>
                <w:sz w:val="15"/>
                <w:szCs w:val="15"/>
                <w:b w:val="1"/>
                <w:bCs w:val="1"/>
                <w:color w:val="231F20"/>
              </w:rPr>
              <w:t>2024</w:t>
            </w:r>
          </w:p>
        </w:tc>
        <w:tc>
          <w:tcPr>
            <w:tcW w:w="1460" w:type="dxa"/>
            <w:vAlign w:val="bottom"/>
            <w:gridSpan w:val="2"/>
            <w:shd w:val="clear" w:color="auto" w:fill="FDFDFC"/>
          </w:tcPr>
          <w:p>
            <w:pPr>
              <w:jc w:val="right"/>
              <w:ind w:right="366"/>
              <w:spacing w:after="0"/>
              <w:rPr>
                <w:sz w:val="20"/>
                <w:szCs w:val="20"/>
                <w:color w:val="auto"/>
              </w:rPr>
            </w:pPr>
            <w:r>
              <w:rPr>
                <w:rFonts w:ascii="Arial" w:cs="Arial" w:eastAsia="Arial" w:hAnsi="Arial"/>
                <w:sz w:val="15"/>
                <w:szCs w:val="15"/>
                <w:b w:val="1"/>
                <w:bCs w:val="1"/>
                <w:color w:val="231F20"/>
              </w:rPr>
              <w:t>2023</w:t>
            </w:r>
          </w:p>
        </w:tc>
        <w:tc>
          <w:tcPr>
            <w:tcW w:w="2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1060" w:type="dxa"/>
            <w:vAlign w:val="bottom"/>
            <w:shd w:val="clear" w:color="auto" w:fill="FDFDFC"/>
          </w:tcPr>
          <w:p>
            <w:pPr>
              <w:jc w:val="right"/>
              <w:ind w:right="370"/>
              <w:spacing w:after="0"/>
              <w:rPr>
                <w:sz w:val="20"/>
                <w:szCs w:val="20"/>
                <w:color w:val="auto"/>
              </w:rPr>
            </w:pPr>
            <w:r>
              <w:rPr>
                <w:rFonts w:ascii="Arial" w:cs="Arial" w:eastAsia="Arial" w:hAnsi="Arial"/>
                <w:sz w:val="15"/>
                <w:szCs w:val="15"/>
                <w:b w:val="1"/>
                <w:bCs w:val="1"/>
                <w:color w:val="231F20"/>
              </w:rPr>
              <w:t>2022</w:t>
            </w:r>
          </w:p>
        </w:tc>
        <w:tc>
          <w:tcPr>
            <w:tcW w:w="100" w:type="dxa"/>
            <w:vAlign w:val="bottom"/>
            <w:shd w:val="clear" w:color="auto" w:fill="FDFDFC"/>
          </w:tcPr>
          <w:p>
            <w:pPr>
              <w:spacing w:after="0"/>
              <w:rPr>
                <w:sz w:val="15"/>
                <w:szCs w:val="15"/>
                <w:color w:val="auto"/>
              </w:rPr>
            </w:pPr>
          </w:p>
        </w:tc>
      </w:tr>
      <w:tr>
        <w:trPr>
          <w:trHeight w:val="220"/>
        </w:trPr>
        <w:tc>
          <w:tcPr>
            <w:tcW w:w="5860" w:type="dxa"/>
            <w:vAlign w:val="bottom"/>
            <w:tcBorders>
              <w:top w:val="single" w:sz="8" w:color="D0EBF2"/>
            </w:tcBorders>
            <w:shd w:val="clear" w:color="auto" w:fill="D0EBF2"/>
          </w:tcPr>
          <w:p>
            <w:pPr>
              <w:spacing w:after="0"/>
              <w:rPr>
                <w:sz w:val="20"/>
                <w:szCs w:val="20"/>
                <w:color w:val="auto"/>
              </w:rPr>
            </w:pPr>
            <w:r>
              <w:rPr>
                <w:rFonts w:ascii="Arial" w:cs="Arial" w:eastAsia="Arial" w:hAnsi="Arial"/>
                <w:sz w:val="19"/>
                <w:szCs w:val="19"/>
                <w:color w:val="231F20"/>
              </w:rPr>
              <w:t>Unvested restricted stock units</w:t>
            </w:r>
          </w:p>
        </w:tc>
        <w:tc>
          <w:tcPr>
            <w:tcW w:w="100" w:type="dxa"/>
            <w:vAlign w:val="bottom"/>
            <w:tcBorders>
              <w:top w:val="single" w:sz="8" w:color="D0EBF2"/>
            </w:tcBorders>
            <w:shd w:val="clear" w:color="auto" w:fill="D0EBF2"/>
          </w:tcPr>
          <w:p>
            <w:pPr>
              <w:spacing w:after="0"/>
              <w:rPr>
                <w:sz w:val="19"/>
                <w:szCs w:val="19"/>
                <w:color w:val="auto"/>
              </w:rPr>
            </w:pPr>
          </w:p>
        </w:tc>
        <w:tc>
          <w:tcPr>
            <w:tcW w:w="124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4,641,715</w:t>
            </w:r>
          </w:p>
        </w:tc>
        <w:tc>
          <w:tcPr>
            <w:tcW w:w="220" w:type="dxa"/>
            <w:vAlign w:val="bottom"/>
            <w:tcBorders>
              <w:top w:val="single" w:sz="8" w:color="D0EBF2"/>
            </w:tcBorders>
            <w:shd w:val="clear" w:color="auto" w:fill="D0EBF2"/>
          </w:tcPr>
          <w:p>
            <w:pPr>
              <w:spacing w:after="0"/>
              <w:rPr>
                <w:sz w:val="19"/>
                <w:szCs w:val="19"/>
                <w:color w:val="auto"/>
              </w:rPr>
            </w:pPr>
          </w:p>
        </w:tc>
        <w:tc>
          <w:tcPr>
            <w:tcW w:w="124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4,430,725</w:t>
            </w:r>
          </w:p>
        </w:tc>
        <w:tc>
          <w:tcPr>
            <w:tcW w:w="200" w:type="dxa"/>
            <w:vAlign w:val="bottom"/>
            <w:tcBorders>
              <w:top w:val="single" w:sz="8" w:color="D0EBF2"/>
            </w:tcBorders>
            <w:shd w:val="clear" w:color="auto" w:fill="D0EBF2"/>
          </w:tcPr>
          <w:p>
            <w:pPr>
              <w:spacing w:after="0"/>
              <w:rPr>
                <w:sz w:val="19"/>
                <w:szCs w:val="19"/>
                <w:color w:val="auto"/>
              </w:rPr>
            </w:pPr>
          </w:p>
        </w:tc>
        <w:tc>
          <w:tcPr>
            <w:tcW w:w="180" w:type="dxa"/>
            <w:vAlign w:val="bottom"/>
            <w:tcBorders>
              <w:top w:val="single" w:sz="8" w:color="231F20"/>
            </w:tcBorders>
            <w:shd w:val="clear" w:color="auto" w:fill="D0EBF2"/>
          </w:tcPr>
          <w:p>
            <w:pPr>
              <w:spacing w:after="0"/>
              <w:rPr>
                <w:sz w:val="19"/>
                <w:szCs w:val="19"/>
                <w:color w:val="auto"/>
              </w:rPr>
            </w:pPr>
          </w:p>
        </w:tc>
        <w:tc>
          <w:tcPr>
            <w:tcW w:w="1060" w:type="dxa"/>
            <w:vAlign w:val="bottom"/>
            <w:tcBorders>
              <w:top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2,934,442</w:t>
            </w:r>
          </w:p>
        </w:tc>
        <w:tc>
          <w:tcPr>
            <w:tcW w:w="100" w:type="dxa"/>
            <w:vAlign w:val="bottom"/>
            <w:tcBorders>
              <w:top w:val="single" w:sz="8" w:color="D0EBF2"/>
            </w:tcBorders>
            <w:shd w:val="clear" w:color="auto" w:fill="D0EBF2"/>
          </w:tcPr>
          <w:p>
            <w:pPr>
              <w:spacing w:after="0"/>
              <w:rPr>
                <w:sz w:val="19"/>
                <w:szCs w:val="19"/>
                <w:color w:val="auto"/>
              </w:rPr>
            </w:pPr>
          </w:p>
        </w:tc>
      </w:tr>
      <w:tr>
        <w:trPr>
          <w:trHeight w:val="230"/>
        </w:trPr>
        <w:tc>
          <w:tcPr>
            <w:tcW w:w="586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9"/>
                <w:szCs w:val="19"/>
                <w:color w:val="231F20"/>
              </w:rPr>
              <w:t>Stock options to purchase common stock</w:t>
            </w:r>
          </w:p>
        </w:tc>
        <w:tc>
          <w:tcPr>
            <w:tcW w:w="100" w:type="dxa"/>
            <w:vAlign w:val="bottom"/>
            <w:tcBorders>
              <w:bottom w:val="single" w:sz="8" w:color="D0EBF2"/>
            </w:tcBorders>
            <w:shd w:val="clear" w:color="auto" w:fill="FDFDFC"/>
          </w:tcPr>
          <w:p>
            <w:pPr>
              <w:spacing w:after="0"/>
              <w:rPr>
                <w:sz w:val="20"/>
                <w:szCs w:val="20"/>
                <w:color w:val="auto"/>
              </w:rPr>
            </w:pPr>
          </w:p>
        </w:tc>
        <w:tc>
          <w:tcPr>
            <w:tcW w:w="12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841,927</w:t>
            </w:r>
          </w:p>
        </w:tc>
        <w:tc>
          <w:tcPr>
            <w:tcW w:w="220" w:type="dxa"/>
            <w:vAlign w:val="bottom"/>
            <w:tcBorders>
              <w:bottom w:val="single" w:sz="8" w:color="D0EBF2"/>
            </w:tcBorders>
            <w:shd w:val="clear" w:color="auto" w:fill="FDFDFC"/>
          </w:tcPr>
          <w:p>
            <w:pPr>
              <w:spacing w:after="0"/>
              <w:rPr>
                <w:sz w:val="20"/>
                <w:szCs w:val="20"/>
                <w:color w:val="auto"/>
              </w:rPr>
            </w:pPr>
          </w:p>
        </w:tc>
        <w:tc>
          <w:tcPr>
            <w:tcW w:w="12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8,107,861</w:t>
            </w:r>
          </w:p>
        </w:tc>
        <w:tc>
          <w:tcPr>
            <w:tcW w:w="200" w:type="dxa"/>
            <w:vAlign w:val="bottom"/>
            <w:tcBorders>
              <w:bottom w:val="single" w:sz="8" w:color="D0EBF2"/>
            </w:tcBorders>
            <w:shd w:val="clear" w:color="auto" w:fill="FDFDFC"/>
          </w:tcPr>
          <w:p>
            <w:pPr>
              <w:spacing w:after="0"/>
              <w:rPr>
                <w:sz w:val="20"/>
                <w:szCs w:val="20"/>
                <w:color w:val="auto"/>
              </w:rPr>
            </w:pPr>
          </w:p>
        </w:tc>
        <w:tc>
          <w:tcPr>
            <w:tcW w:w="180" w:type="dxa"/>
            <w:vAlign w:val="bottom"/>
            <w:tcBorders>
              <w:bottom w:val="single" w:sz="8" w:color="231F20"/>
            </w:tcBorders>
            <w:shd w:val="clear" w:color="auto" w:fill="FDFDFC"/>
          </w:tcPr>
          <w:p>
            <w:pPr>
              <w:spacing w:after="0"/>
              <w:rPr>
                <w:sz w:val="20"/>
                <w:szCs w:val="20"/>
                <w:color w:val="auto"/>
              </w:rPr>
            </w:pPr>
          </w:p>
        </w:tc>
        <w:tc>
          <w:tcPr>
            <w:tcW w:w="106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12,160,560</w:t>
            </w:r>
          </w:p>
        </w:tc>
        <w:tc>
          <w:tcPr>
            <w:tcW w:w="100" w:type="dxa"/>
            <w:vAlign w:val="bottom"/>
            <w:tcBorders>
              <w:bottom w:val="single" w:sz="8" w:color="D0EBF2"/>
            </w:tcBorders>
            <w:shd w:val="clear" w:color="auto" w:fill="FDFDFC"/>
          </w:tcPr>
          <w:p>
            <w:pPr>
              <w:spacing w:after="0"/>
              <w:rPr>
                <w:sz w:val="20"/>
                <w:szCs w:val="20"/>
                <w:color w:val="auto"/>
              </w:rPr>
            </w:pPr>
          </w:p>
        </w:tc>
      </w:tr>
      <w:tr>
        <w:trPr>
          <w:trHeight w:val="220"/>
        </w:trPr>
        <w:tc>
          <w:tcPr>
            <w:tcW w:w="586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2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5,483,642</w:t>
            </w:r>
          </w:p>
        </w:tc>
        <w:tc>
          <w:tcPr>
            <w:tcW w:w="220" w:type="dxa"/>
            <w:vAlign w:val="bottom"/>
            <w:shd w:val="clear" w:color="auto" w:fill="D0EBF2"/>
          </w:tcPr>
          <w:p>
            <w:pPr>
              <w:spacing w:after="0"/>
              <w:rPr>
                <w:sz w:val="19"/>
                <w:szCs w:val="19"/>
                <w:color w:val="auto"/>
              </w:rPr>
            </w:pPr>
          </w:p>
        </w:tc>
        <w:tc>
          <w:tcPr>
            <w:tcW w:w="12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12,538,586</w:t>
            </w:r>
          </w:p>
        </w:tc>
        <w:tc>
          <w:tcPr>
            <w:tcW w:w="200" w:type="dxa"/>
            <w:vAlign w:val="bottom"/>
            <w:shd w:val="clear" w:color="auto" w:fill="D0EBF2"/>
          </w:tcPr>
          <w:p>
            <w:pPr>
              <w:spacing w:after="0"/>
              <w:rPr>
                <w:sz w:val="19"/>
                <w:szCs w:val="19"/>
                <w:color w:val="auto"/>
              </w:rPr>
            </w:pPr>
          </w:p>
        </w:tc>
        <w:tc>
          <w:tcPr>
            <w:tcW w:w="180" w:type="dxa"/>
            <w:vAlign w:val="bottom"/>
            <w:tcBorders>
              <w:bottom w:val="single" w:sz="8" w:color="231F20"/>
            </w:tcBorders>
            <w:shd w:val="clear" w:color="auto" w:fill="D0EBF2"/>
          </w:tcPr>
          <w:p>
            <w:pPr>
              <w:spacing w:after="0"/>
              <w:rPr>
                <w:sz w:val="19"/>
                <w:szCs w:val="19"/>
                <w:color w:val="auto"/>
              </w:rPr>
            </w:pPr>
          </w:p>
        </w:tc>
        <w:tc>
          <w:tcPr>
            <w:tcW w:w="106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15,095,002</w:t>
            </w:r>
          </w:p>
        </w:tc>
        <w:tc>
          <w:tcPr>
            <w:tcW w:w="100" w:type="dxa"/>
            <w:vAlign w:val="bottom"/>
            <w:shd w:val="clear" w:color="auto" w:fill="D0EBF2"/>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Note 15. Income Taxes</w:t>
      </w:r>
    </w:p>
    <w:p>
      <w:pPr>
        <w:spacing w:after="0" w:line="192" w:lineRule="exact"/>
        <w:rPr>
          <w:sz w:val="20"/>
          <w:szCs w:val="20"/>
          <w:color w:val="auto"/>
        </w:rPr>
      </w:pPr>
    </w:p>
    <w:p>
      <w:pPr>
        <w:ind w:right="340" w:firstLine="463"/>
        <w:spacing w:after="0" w:line="278" w:lineRule="auto"/>
        <w:rPr>
          <w:sz w:val="20"/>
          <w:szCs w:val="20"/>
          <w:color w:val="auto"/>
        </w:rPr>
      </w:pPr>
      <w:r>
        <w:rPr>
          <w:rFonts w:ascii="Arial" w:cs="Arial" w:eastAsia="Arial" w:hAnsi="Arial"/>
          <w:sz w:val="19"/>
          <w:szCs w:val="19"/>
          <w:color w:val="231F20"/>
        </w:rPr>
        <w:t>The following table presents the components of income (loss) before (benefit from) provision for income taxes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280" w:type="dxa"/>
            <w:vAlign w:val="bottom"/>
            <w:shd w:val="clear" w:color="auto" w:fill="FDFDFC"/>
          </w:tcPr>
          <w:p>
            <w:pPr>
              <w:spacing w:after="0"/>
              <w:rPr>
                <w:sz w:val="16"/>
                <w:szCs w:val="16"/>
                <w:color w:val="auto"/>
              </w:rPr>
            </w:pPr>
          </w:p>
        </w:tc>
        <w:tc>
          <w:tcPr>
            <w:tcW w:w="2880" w:type="dxa"/>
            <w:vAlign w:val="bottom"/>
            <w:gridSpan w:val="7"/>
            <w:shd w:val="clear" w:color="auto" w:fill="FDFDFC"/>
          </w:tcPr>
          <w:p>
            <w:pPr>
              <w:jc w:val="right"/>
              <w:ind w:right="86"/>
              <w:spacing w:after="0"/>
              <w:rPr>
                <w:sz w:val="20"/>
                <w:szCs w:val="20"/>
                <w:color w:val="auto"/>
              </w:rPr>
            </w:pPr>
            <w:r>
              <w:rPr>
                <w:rFonts w:ascii="Arial" w:cs="Arial" w:eastAsia="Arial" w:hAnsi="Arial"/>
                <w:sz w:val="15"/>
                <w:szCs w:val="15"/>
                <w:b w:val="1"/>
                <w:bCs w:val="1"/>
                <w:color w:val="231F20"/>
              </w:rPr>
              <w:t>Year Ended December 31,</w:t>
            </w:r>
          </w:p>
        </w:tc>
        <w:tc>
          <w:tcPr>
            <w:tcW w:w="94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r>
      <w:tr>
        <w:trPr>
          <w:trHeight w:val="176"/>
        </w:trPr>
        <w:tc>
          <w:tcPr>
            <w:tcW w:w="5860" w:type="dxa"/>
            <w:vAlign w:val="bottom"/>
            <w:tcBorders>
              <w:top w:val="single" w:sz="8" w:color="FDFDFC"/>
              <w:bottom w:val="single" w:sz="8" w:color="D0EBF2"/>
            </w:tcBorders>
            <w:shd w:val="clear" w:color="auto" w:fill="FDFDFC"/>
          </w:tcPr>
          <w:p>
            <w:pPr>
              <w:spacing w:after="0"/>
              <w:rPr>
                <w:sz w:val="15"/>
                <w:szCs w:val="15"/>
                <w:color w:val="auto"/>
              </w:rPr>
            </w:pPr>
          </w:p>
        </w:tc>
        <w:tc>
          <w:tcPr>
            <w:tcW w:w="140" w:type="dxa"/>
            <w:vAlign w:val="bottom"/>
            <w:tcBorders>
              <w:top w:val="single" w:sz="8" w:color="FDFDFC"/>
              <w:bottom w:val="single" w:sz="8" w:color="D0EBF2"/>
            </w:tcBorders>
            <w:shd w:val="clear" w:color="auto" w:fill="FDFDFC"/>
          </w:tcPr>
          <w:p>
            <w:pPr>
              <w:spacing w:after="0"/>
              <w:rPr>
                <w:sz w:val="15"/>
                <w:szCs w:val="15"/>
                <w:color w:val="auto"/>
              </w:rPr>
            </w:pPr>
          </w:p>
        </w:tc>
        <w:tc>
          <w:tcPr>
            <w:tcW w:w="280" w:type="dxa"/>
            <w:vAlign w:val="bottom"/>
            <w:tcBorders>
              <w:top w:val="single" w:sz="8" w:color="231F20"/>
              <w:bottom w:val="single" w:sz="8" w:color="231F20"/>
            </w:tcBorders>
            <w:shd w:val="clear" w:color="auto" w:fill="FDFDFC"/>
          </w:tcPr>
          <w:p>
            <w:pPr>
              <w:spacing w:after="0"/>
              <w:rPr>
                <w:sz w:val="15"/>
                <w:szCs w:val="15"/>
                <w:color w:val="auto"/>
              </w:rPr>
            </w:pPr>
          </w:p>
        </w:tc>
        <w:tc>
          <w:tcPr>
            <w:tcW w:w="920" w:type="dxa"/>
            <w:vAlign w:val="bottom"/>
            <w:tcBorders>
              <w:top w:val="single" w:sz="8" w:color="231F20"/>
              <w:bottom w:val="single" w:sz="8" w:color="231F20"/>
            </w:tcBorders>
            <w:shd w:val="clear" w:color="auto" w:fill="FDFDFC"/>
          </w:tcPr>
          <w:p>
            <w:pPr>
              <w:jc w:val="right"/>
              <w:ind w:right="333"/>
              <w:spacing w:after="0"/>
              <w:rPr>
                <w:sz w:val="20"/>
                <w:szCs w:val="20"/>
                <w:color w:val="auto"/>
              </w:rPr>
            </w:pPr>
            <w:r>
              <w:rPr>
                <w:rFonts w:ascii="Arial" w:cs="Arial" w:eastAsia="Arial" w:hAnsi="Arial"/>
                <w:sz w:val="15"/>
                <w:szCs w:val="15"/>
                <w:b w:val="1"/>
                <w:bCs w:val="1"/>
                <w:color w:val="231F20"/>
              </w:rPr>
              <w:t>2024</w:t>
            </w:r>
          </w:p>
        </w:tc>
        <w:tc>
          <w:tcPr>
            <w:tcW w:w="260" w:type="dxa"/>
            <w:vAlign w:val="bottom"/>
            <w:tcBorders>
              <w:top w:val="single" w:sz="8" w:color="FDFDFC"/>
              <w:bottom w:val="single" w:sz="8" w:color="D0EBF2"/>
            </w:tcBorders>
            <w:shd w:val="clear" w:color="auto" w:fill="FDFDFC"/>
          </w:tcPr>
          <w:p>
            <w:pPr>
              <w:spacing w:after="0"/>
              <w:rPr>
                <w:sz w:val="15"/>
                <w:szCs w:val="15"/>
                <w:color w:val="auto"/>
              </w:rPr>
            </w:pPr>
          </w:p>
        </w:tc>
        <w:tc>
          <w:tcPr>
            <w:tcW w:w="260" w:type="dxa"/>
            <w:vAlign w:val="bottom"/>
            <w:tcBorders>
              <w:top w:val="single" w:sz="8" w:color="231F20"/>
              <w:bottom w:val="single" w:sz="8" w:color="231F20"/>
            </w:tcBorders>
            <w:shd w:val="clear" w:color="auto" w:fill="FDFDFC"/>
          </w:tcPr>
          <w:p>
            <w:pPr>
              <w:spacing w:after="0"/>
              <w:rPr>
                <w:sz w:val="15"/>
                <w:szCs w:val="15"/>
                <w:color w:val="auto"/>
              </w:rPr>
            </w:pPr>
          </w:p>
        </w:tc>
        <w:tc>
          <w:tcPr>
            <w:tcW w:w="940" w:type="dxa"/>
            <w:vAlign w:val="bottom"/>
            <w:tcBorders>
              <w:top w:val="single" w:sz="8" w:color="231F20"/>
              <w:bottom w:val="single" w:sz="8" w:color="231F20"/>
            </w:tcBorders>
            <w:shd w:val="clear" w:color="auto" w:fill="FDFDFC"/>
          </w:tcPr>
          <w:p>
            <w:pPr>
              <w:jc w:val="right"/>
              <w:ind w:right="350"/>
              <w:spacing w:after="0"/>
              <w:rPr>
                <w:sz w:val="20"/>
                <w:szCs w:val="20"/>
                <w:color w:val="auto"/>
              </w:rPr>
            </w:pPr>
            <w:r>
              <w:rPr>
                <w:rFonts w:ascii="Arial" w:cs="Arial" w:eastAsia="Arial" w:hAnsi="Arial"/>
                <w:sz w:val="15"/>
                <w:szCs w:val="15"/>
                <w:b w:val="1"/>
                <w:bCs w:val="1"/>
                <w:color w:val="231F20"/>
              </w:rPr>
              <w:t>2023</w:t>
            </w:r>
          </w:p>
        </w:tc>
        <w:tc>
          <w:tcPr>
            <w:tcW w:w="140" w:type="dxa"/>
            <w:vAlign w:val="bottom"/>
            <w:tcBorders>
              <w:top w:val="single" w:sz="8" w:color="FDFDFC"/>
              <w:bottom w:val="single" w:sz="8" w:color="D0EBF2"/>
            </w:tcBorders>
            <w:shd w:val="clear" w:color="auto" w:fill="FDFDFC"/>
          </w:tcPr>
          <w:p>
            <w:pPr>
              <w:spacing w:after="0"/>
              <w:rPr>
                <w:sz w:val="15"/>
                <w:szCs w:val="15"/>
                <w:color w:val="auto"/>
              </w:rPr>
            </w:pPr>
          </w:p>
        </w:tc>
        <w:tc>
          <w:tcPr>
            <w:tcW w:w="100" w:type="dxa"/>
            <w:vAlign w:val="bottom"/>
            <w:tcBorders>
              <w:top w:val="single" w:sz="8" w:color="FDFDFC"/>
              <w:bottom w:val="single" w:sz="8" w:color="D0EBF2"/>
            </w:tcBorders>
            <w:shd w:val="clear" w:color="auto" w:fill="FDFDFC"/>
          </w:tcPr>
          <w:p>
            <w:pPr>
              <w:spacing w:after="0"/>
              <w:rPr>
                <w:sz w:val="15"/>
                <w:szCs w:val="15"/>
                <w:color w:val="auto"/>
              </w:rPr>
            </w:pPr>
          </w:p>
        </w:tc>
        <w:tc>
          <w:tcPr>
            <w:tcW w:w="260" w:type="dxa"/>
            <w:vAlign w:val="bottom"/>
            <w:tcBorders>
              <w:top w:val="single" w:sz="8" w:color="231F20"/>
              <w:bottom w:val="single" w:sz="8" w:color="231F20"/>
            </w:tcBorders>
            <w:shd w:val="clear" w:color="auto" w:fill="FDFDFC"/>
          </w:tcPr>
          <w:p>
            <w:pPr>
              <w:spacing w:after="0"/>
              <w:rPr>
                <w:sz w:val="15"/>
                <w:szCs w:val="15"/>
                <w:color w:val="auto"/>
              </w:rPr>
            </w:pPr>
          </w:p>
        </w:tc>
        <w:tc>
          <w:tcPr>
            <w:tcW w:w="940" w:type="dxa"/>
            <w:vAlign w:val="bottom"/>
            <w:tcBorders>
              <w:top w:val="single" w:sz="8" w:color="231F20"/>
              <w:bottom w:val="single" w:sz="8" w:color="231F20"/>
            </w:tcBorders>
            <w:shd w:val="clear" w:color="auto" w:fill="FDFDFC"/>
          </w:tcPr>
          <w:p>
            <w:pPr>
              <w:jc w:val="right"/>
              <w:ind w:right="350"/>
              <w:spacing w:after="0"/>
              <w:rPr>
                <w:sz w:val="20"/>
                <w:szCs w:val="20"/>
                <w:color w:val="auto"/>
              </w:rPr>
            </w:pPr>
            <w:r>
              <w:rPr>
                <w:rFonts w:ascii="Arial" w:cs="Arial" w:eastAsia="Arial" w:hAnsi="Arial"/>
                <w:sz w:val="15"/>
                <w:szCs w:val="15"/>
                <w:b w:val="1"/>
                <w:bCs w:val="1"/>
                <w:color w:val="231F20"/>
              </w:rPr>
              <w:t>2022</w:t>
            </w:r>
          </w:p>
        </w:tc>
        <w:tc>
          <w:tcPr>
            <w:tcW w:w="100" w:type="dxa"/>
            <w:vAlign w:val="bottom"/>
            <w:tcBorders>
              <w:top w:val="single" w:sz="8" w:color="FDFDFC"/>
              <w:bottom w:val="single" w:sz="8" w:color="D0EBF2"/>
            </w:tcBorders>
            <w:shd w:val="clear" w:color="auto" w:fill="FDFDFC"/>
          </w:tcPr>
          <w:p>
            <w:pPr>
              <w:spacing w:after="0"/>
              <w:rPr>
                <w:sz w:val="15"/>
                <w:szCs w:val="15"/>
                <w:color w:val="auto"/>
              </w:rPr>
            </w:pPr>
          </w:p>
        </w:tc>
      </w:tr>
      <w:tr>
        <w:trPr>
          <w:trHeight w:val="22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United States</w:t>
            </w:r>
          </w:p>
        </w:tc>
        <w:tc>
          <w:tcPr>
            <w:tcW w:w="140" w:type="dxa"/>
            <w:vAlign w:val="bottom"/>
            <w:shd w:val="clear" w:color="auto" w:fill="D0EBF2"/>
          </w:tcPr>
          <w:p>
            <w:pPr>
              <w:spacing w:after="0"/>
              <w:rPr>
                <w:sz w:val="19"/>
                <w:szCs w:val="19"/>
                <w:color w:val="auto"/>
              </w:rPr>
            </w:pPr>
          </w:p>
        </w:tc>
        <w:tc>
          <w:tcPr>
            <w:tcW w:w="28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(18,775)</w:t>
            </w:r>
          </w:p>
        </w:tc>
        <w:tc>
          <w:tcPr>
            <w:tcW w:w="26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(23,190)</w:t>
            </w:r>
          </w:p>
        </w:tc>
        <w:tc>
          <w:tcPr>
            <w:tcW w:w="14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(45,341)</w:t>
            </w:r>
          </w:p>
        </w:tc>
        <w:tc>
          <w:tcPr>
            <w:tcW w:w="100" w:type="dxa"/>
            <w:vAlign w:val="bottom"/>
            <w:shd w:val="clear" w:color="auto" w:fill="D0EBF2"/>
          </w:tcPr>
          <w:p>
            <w:pPr>
              <w:spacing w:after="0"/>
              <w:rPr>
                <w:sz w:val="19"/>
                <w:szCs w:val="19"/>
                <w:color w:val="auto"/>
              </w:rPr>
            </w:pPr>
          </w:p>
        </w:tc>
      </w:tr>
      <w:tr>
        <w:trPr>
          <w:trHeight w:val="230"/>
        </w:trPr>
        <w:tc>
          <w:tcPr>
            <w:tcW w:w="586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9"/>
                <w:szCs w:val="19"/>
                <w:color w:val="231F20"/>
              </w:rPr>
              <w:t>Foreign</w:t>
            </w:r>
          </w:p>
        </w:tc>
        <w:tc>
          <w:tcPr>
            <w:tcW w:w="140" w:type="dxa"/>
            <w:vAlign w:val="bottom"/>
            <w:tcBorders>
              <w:bottom w:val="single" w:sz="8" w:color="D0EBF2"/>
            </w:tcBorders>
            <w:shd w:val="clear" w:color="auto" w:fill="FDFDFC"/>
          </w:tcPr>
          <w:p>
            <w:pPr>
              <w:spacing w:after="0"/>
              <w:rPr>
                <w:sz w:val="20"/>
                <w:szCs w:val="20"/>
                <w:color w:val="auto"/>
              </w:rPr>
            </w:pPr>
          </w:p>
        </w:tc>
        <w:tc>
          <w:tcPr>
            <w:tcW w:w="280" w:type="dxa"/>
            <w:vAlign w:val="bottom"/>
            <w:tcBorders>
              <w:bottom w:val="single" w:sz="8" w:color="231F20"/>
            </w:tcBorders>
            <w:shd w:val="clear" w:color="auto" w:fill="FDFDFC"/>
          </w:tcPr>
          <w:p>
            <w:pPr>
              <w:spacing w:after="0"/>
              <w:rPr>
                <w:sz w:val="20"/>
                <w:szCs w:val="20"/>
                <w:color w:val="auto"/>
              </w:rPr>
            </w:pPr>
          </w:p>
        </w:tc>
        <w:tc>
          <w:tcPr>
            <w:tcW w:w="9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20,635</w:t>
            </w:r>
          </w:p>
        </w:tc>
        <w:tc>
          <w:tcPr>
            <w:tcW w:w="260" w:type="dxa"/>
            <w:vAlign w:val="bottom"/>
            <w:tcBorders>
              <w:bottom w:val="single" w:sz="8" w:color="D0EBF2"/>
            </w:tcBorders>
            <w:shd w:val="clear" w:color="auto" w:fill="FDFDFC"/>
          </w:tcPr>
          <w:p>
            <w:pPr>
              <w:spacing w:after="0"/>
              <w:rPr>
                <w:sz w:val="20"/>
                <w:szCs w:val="20"/>
                <w:color w:val="auto"/>
              </w:rPr>
            </w:pPr>
          </w:p>
        </w:tc>
        <w:tc>
          <w:tcPr>
            <w:tcW w:w="260" w:type="dxa"/>
            <w:vAlign w:val="bottom"/>
            <w:tcBorders>
              <w:bottom w:val="single" w:sz="8" w:color="231F20"/>
            </w:tcBorders>
            <w:shd w:val="clear" w:color="auto" w:fill="FDFDFC"/>
          </w:tcPr>
          <w:p>
            <w:pPr>
              <w:spacing w:after="0"/>
              <w:rPr>
                <w:sz w:val="20"/>
                <w:szCs w:val="20"/>
                <w:color w:val="auto"/>
              </w:rPr>
            </w:pP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18,838</w:t>
            </w:r>
          </w:p>
        </w:tc>
        <w:tc>
          <w:tcPr>
            <w:tcW w:w="140" w:type="dxa"/>
            <w:vAlign w:val="bottom"/>
            <w:tcBorders>
              <w:bottom w:val="single" w:sz="8" w:color="D0EBF2"/>
            </w:tcBorders>
            <w:shd w:val="clear" w:color="auto" w:fill="FDFDFC"/>
          </w:tcPr>
          <w:p>
            <w:pPr>
              <w:spacing w:after="0"/>
              <w:rPr>
                <w:sz w:val="20"/>
                <w:szCs w:val="20"/>
                <w:color w:val="auto"/>
              </w:rPr>
            </w:pPr>
          </w:p>
        </w:tc>
        <w:tc>
          <w:tcPr>
            <w:tcW w:w="100" w:type="dxa"/>
            <w:vAlign w:val="bottom"/>
            <w:tcBorders>
              <w:bottom w:val="single" w:sz="8" w:color="D0EBF2"/>
            </w:tcBorders>
            <w:shd w:val="clear" w:color="auto" w:fill="FDFDFC"/>
          </w:tcPr>
          <w:p>
            <w:pPr>
              <w:spacing w:after="0"/>
              <w:rPr>
                <w:sz w:val="20"/>
                <w:szCs w:val="20"/>
                <w:color w:val="auto"/>
              </w:rPr>
            </w:pPr>
          </w:p>
        </w:tc>
        <w:tc>
          <w:tcPr>
            <w:tcW w:w="260" w:type="dxa"/>
            <w:vAlign w:val="bottom"/>
            <w:tcBorders>
              <w:bottom w:val="single" w:sz="8" w:color="231F20"/>
            </w:tcBorders>
            <w:shd w:val="clear" w:color="auto" w:fill="FDFDFC"/>
          </w:tcPr>
          <w:p>
            <w:pPr>
              <w:spacing w:after="0"/>
              <w:rPr>
                <w:sz w:val="20"/>
                <w:szCs w:val="20"/>
                <w:color w:val="auto"/>
              </w:rPr>
            </w:pP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7,982</w:t>
            </w:r>
          </w:p>
        </w:tc>
        <w:tc>
          <w:tcPr>
            <w:tcW w:w="100" w:type="dxa"/>
            <w:vAlign w:val="bottom"/>
            <w:tcBorders>
              <w:bottom w:val="single" w:sz="8" w:color="D0EBF2"/>
            </w:tcBorders>
            <w:shd w:val="clear" w:color="auto" w:fill="FDFDFC"/>
          </w:tcPr>
          <w:p>
            <w:pPr>
              <w:spacing w:after="0"/>
              <w:rPr>
                <w:sz w:val="20"/>
                <w:szCs w:val="20"/>
                <w:color w:val="auto"/>
              </w:rPr>
            </w:pPr>
          </w:p>
        </w:tc>
      </w:tr>
      <w:tr>
        <w:trPr>
          <w:trHeight w:val="220"/>
        </w:trPr>
        <w:tc>
          <w:tcPr>
            <w:tcW w:w="586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8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1,860</w:t>
            </w:r>
          </w:p>
        </w:tc>
        <w:tc>
          <w:tcPr>
            <w:tcW w:w="260" w:type="dxa"/>
            <w:vAlign w:val="bottom"/>
            <w:shd w:val="clear" w:color="auto" w:fill="D0EBF2"/>
          </w:tcPr>
          <w:p>
            <w:pPr>
              <w:spacing w:after="0"/>
              <w:rPr>
                <w:sz w:val="19"/>
                <w:szCs w:val="19"/>
                <w:color w:val="auto"/>
              </w:rPr>
            </w:pPr>
          </w:p>
        </w:tc>
        <w:tc>
          <w:tcPr>
            <w:tcW w:w="26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(4,352)</w:t>
            </w:r>
          </w:p>
        </w:tc>
        <w:tc>
          <w:tcPr>
            <w:tcW w:w="14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26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(37,359)</w:t>
            </w:r>
          </w:p>
        </w:tc>
        <w:tc>
          <w:tcPr>
            <w:tcW w:w="100" w:type="dxa"/>
            <w:vAlign w:val="bottom"/>
            <w:shd w:val="clear" w:color="auto" w:fill="D0EBF2"/>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144</w:t>
      </w:r>
    </w:p>
    <w:p>
      <w:pPr>
        <w:sectPr>
          <w:pgSz w:w="12240" w:h="15840" w:orient="portrait"/>
          <w:cols w:equalWidth="0" w:num="1">
            <w:col w:w="10200"/>
          </w:cols>
          <w:pgMar w:left="1020" w:top="1440" w:right="1020" w:bottom="572" w:gutter="0" w:footer="0" w:header="0"/>
          <w:type w:val="continuous"/>
        </w:sectPr>
      </w:pPr>
    </w:p>
    <w:bookmarkStart w:id="145" w:name="page146"/>
    <w:bookmarkEnd w:id="145"/>
    <w:p>
      <w:pPr>
        <w:spacing w:after="0" w:line="97" w:lineRule="exact"/>
        <w:rPr>
          <w:sz w:val="20"/>
          <w:szCs w:val="20"/>
          <w:color w:val="auto"/>
        </w:rPr>
      </w:pPr>
    </w:p>
    <w:p>
      <w:pPr>
        <w:ind w:right="480" w:firstLine="463"/>
        <w:spacing w:after="0" w:line="278" w:lineRule="auto"/>
        <w:rPr>
          <w:sz w:val="20"/>
          <w:szCs w:val="20"/>
          <w:color w:val="auto"/>
        </w:rPr>
      </w:pPr>
      <w:r>
        <w:rPr>
          <w:rFonts w:ascii="Arial" w:cs="Arial" w:eastAsia="Arial" w:hAnsi="Arial"/>
          <w:sz w:val="19"/>
          <w:szCs w:val="19"/>
          <w:color w:val="231F20"/>
        </w:rPr>
        <w:t>The following table summarizes the components of the Company’s (benefit from) provision for income taxes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Borders>
              <w:bottom w:val="single" w:sz="8" w:color="FDFDFC"/>
            </w:tcBorders>
            <w:shd w:val="clear" w:color="auto" w:fill="FDFDFC"/>
          </w:tcPr>
          <w:p>
            <w:pPr>
              <w:spacing w:after="0"/>
              <w:rPr>
                <w:sz w:val="16"/>
                <w:szCs w:val="16"/>
                <w:color w:val="auto"/>
              </w:rPr>
            </w:pPr>
          </w:p>
        </w:tc>
        <w:tc>
          <w:tcPr>
            <w:tcW w:w="140" w:type="dxa"/>
            <w:vAlign w:val="bottom"/>
            <w:tcBorders>
              <w:bottom w:val="single" w:sz="8" w:color="FDFDFC"/>
            </w:tcBorders>
            <w:shd w:val="clear" w:color="auto" w:fill="FDFDFC"/>
          </w:tcPr>
          <w:p>
            <w:pPr>
              <w:spacing w:after="0"/>
              <w:rPr>
                <w:sz w:val="16"/>
                <w:szCs w:val="16"/>
                <w:color w:val="auto"/>
              </w:rPr>
            </w:pPr>
          </w:p>
        </w:tc>
        <w:tc>
          <w:tcPr>
            <w:tcW w:w="280" w:type="dxa"/>
            <w:vAlign w:val="bottom"/>
            <w:tcBorders>
              <w:bottom w:val="single" w:sz="8" w:color="231F20"/>
            </w:tcBorders>
            <w:shd w:val="clear" w:color="auto" w:fill="FDFDFC"/>
          </w:tcPr>
          <w:p>
            <w:pPr>
              <w:spacing w:after="0"/>
              <w:rPr>
                <w:sz w:val="16"/>
                <w:szCs w:val="16"/>
                <w:color w:val="auto"/>
              </w:rPr>
            </w:pPr>
          </w:p>
        </w:tc>
        <w:tc>
          <w:tcPr>
            <w:tcW w:w="2880" w:type="dxa"/>
            <w:vAlign w:val="bottom"/>
            <w:tcBorders>
              <w:bottom w:val="single" w:sz="8" w:color="231F20"/>
            </w:tcBorders>
            <w:gridSpan w:val="8"/>
            <w:shd w:val="clear" w:color="auto" w:fill="FDFDFC"/>
          </w:tcPr>
          <w:p>
            <w:pPr>
              <w:jc w:val="right"/>
              <w:ind w:right="86"/>
              <w:spacing w:after="0"/>
              <w:rPr>
                <w:sz w:val="20"/>
                <w:szCs w:val="20"/>
                <w:color w:val="auto"/>
              </w:rPr>
            </w:pPr>
            <w:r>
              <w:rPr>
                <w:rFonts w:ascii="Arial" w:cs="Arial" w:eastAsia="Arial" w:hAnsi="Arial"/>
                <w:sz w:val="15"/>
                <w:szCs w:val="15"/>
                <w:b w:val="1"/>
                <w:bCs w:val="1"/>
                <w:color w:val="231F20"/>
              </w:rPr>
              <w:t>Year Ended December 31,</w:t>
            </w:r>
          </w:p>
        </w:tc>
        <w:tc>
          <w:tcPr>
            <w:tcW w:w="9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r>
      <w:tr>
        <w:trPr>
          <w:trHeight w:val="176"/>
        </w:trPr>
        <w:tc>
          <w:tcPr>
            <w:tcW w:w="586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80" w:type="dxa"/>
            <w:vAlign w:val="bottom"/>
            <w:tcBorders>
              <w:bottom w:val="single" w:sz="8" w:color="231F20"/>
            </w:tcBorders>
            <w:shd w:val="clear" w:color="auto" w:fill="FDFDFC"/>
          </w:tcPr>
          <w:p>
            <w:pPr>
              <w:spacing w:after="0"/>
              <w:rPr>
                <w:sz w:val="15"/>
                <w:szCs w:val="15"/>
                <w:color w:val="auto"/>
              </w:rPr>
            </w:pPr>
          </w:p>
        </w:tc>
        <w:tc>
          <w:tcPr>
            <w:tcW w:w="920" w:type="dxa"/>
            <w:vAlign w:val="bottom"/>
            <w:tcBorders>
              <w:bottom w:val="single" w:sz="8" w:color="231F20"/>
            </w:tcBorders>
            <w:shd w:val="clear" w:color="auto" w:fill="FDFDFC"/>
          </w:tcPr>
          <w:p>
            <w:pPr>
              <w:jc w:val="right"/>
              <w:ind w:right="329"/>
              <w:spacing w:after="0"/>
              <w:rPr>
                <w:sz w:val="20"/>
                <w:szCs w:val="20"/>
                <w:color w:val="auto"/>
              </w:rPr>
            </w:pPr>
            <w:r>
              <w:rPr>
                <w:rFonts w:ascii="Arial" w:cs="Arial" w:eastAsia="Arial" w:hAnsi="Arial"/>
                <w:sz w:val="15"/>
                <w:szCs w:val="15"/>
                <w:b w:val="1"/>
                <w:bCs w:val="1"/>
                <w:color w:val="231F20"/>
              </w:rPr>
              <w:t>2024</w:t>
            </w:r>
          </w:p>
        </w:tc>
        <w:tc>
          <w:tcPr>
            <w:tcW w:w="12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47"/>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47"/>
              <w:spacing w:after="0"/>
              <w:rPr>
                <w:sz w:val="20"/>
                <w:szCs w:val="20"/>
                <w:color w:val="auto"/>
              </w:rPr>
            </w:pPr>
            <w:r>
              <w:rPr>
                <w:rFonts w:ascii="Arial" w:cs="Arial" w:eastAsia="Arial" w:hAnsi="Arial"/>
                <w:sz w:val="15"/>
                <w:szCs w:val="15"/>
                <w:b w:val="1"/>
                <w:bCs w:val="1"/>
                <w:color w:val="231F20"/>
              </w:rPr>
              <w:t>2022</w:t>
            </w:r>
          </w:p>
        </w:tc>
        <w:tc>
          <w:tcPr>
            <w:tcW w:w="100" w:type="dxa"/>
            <w:vAlign w:val="bottom"/>
            <w:tcBorders>
              <w:bottom w:val="single" w:sz="8" w:color="D0EBF2"/>
            </w:tcBorders>
            <w:shd w:val="clear" w:color="auto" w:fill="FDFDFC"/>
          </w:tcPr>
          <w:p>
            <w:pPr>
              <w:spacing w:after="0"/>
              <w:rPr>
                <w:sz w:val="15"/>
                <w:szCs w:val="15"/>
                <w:color w:val="auto"/>
              </w:rPr>
            </w:pPr>
          </w:p>
        </w:tc>
      </w:tr>
      <w:tr>
        <w:trPr>
          <w:trHeight w:val="220"/>
        </w:trPr>
        <w:tc>
          <w:tcPr>
            <w:tcW w:w="5860" w:type="dxa"/>
            <w:vAlign w:val="bottom"/>
            <w:shd w:val="clear" w:color="auto" w:fill="D0EBF2"/>
          </w:tcPr>
          <w:p>
            <w:pPr>
              <w:spacing w:after="0"/>
              <w:rPr>
                <w:sz w:val="20"/>
                <w:szCs w:val="20"/>
                <w:color w:val="auto"/>
              </w:rPr>
            </w:pPr>
            <w:r>
              <w:rPr>
                <w:rFonts w:ascii="Arial" w:cs="Arial" w:eastAsia="Arial" w:hAnsi="Arial"/>
                <w:sz w:val="19"/>
                <w:szCs w:val="19"/>
                <w:b w:val="1"/>
                <w:bCs w:val="1"/>
                <w:color w:val="231F20"/>
              </w:rPr>
              <w:t>Current</w:t>
            </w:r>
          </w:p>
        </w:tc>
        <w:tc>
          <w:tcPr>
            <w:tcW w:w="140" w:type="dxa"/>
            <w:vAlign w:val="bottom"/>
            <w:shd w:val="clear" w:color="auto" w:fill="D0EBF2"/>
          </w:tcPr>
          <w:p>
            <w:pPr>
              <w:spacing w:after="0"/>
              <w:rPr>
                <w:sz w:val="19"/>
                <w:szCs w:val="19"/>
                <w:color w:val="auto"/>
              </w:rPr>
            </w:pPr>
          </w:p>
        </w:tc>
        <w:tc>
          <w:tcPr>
            <w:tcW w:w="280" w:type="dxa"/>
            <w:vAlign w:val="bottom"/>
            <w:shd w:val="clear" w:color="auto" w:fill="D0EBF2"/>
          </w:tcPr>
          <w:p>
            <w:pPr>
              <w:spacing w:after="0"/>
              <w:rPr>
                <w:sz w:val="19"/>
                <w:szCs w:val="19"/>
                <w:color w:val="auto"/>
              </w:rPr>
            </w:pPr>
          </w:p>
        </w:tc>
        <w:tc>
          <w:tcPr>
            <w:tcW w:w="92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spacing w:after="0"/>
              <w:rPr>
                <w:sz w:val="19"/>
                <w:szCs w:val="19"/>
                <w:color w:val="auto"/>
              </w:rPr>
            </w:pPr>
          </w:p>
        </w:tc>
        <w:tc>
          <w:tcPr>
            <w:tcW w:w="94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spacing w:after="0"/>
              <w:rPr>
                <w:sz w:val="19"/>
                <w:szCs w:val="19"/>
                <w:color w:val="auto"/>
              </w:rPr>
            </w:pPr>
          </w:p>
        </w:tc>
        <w:tc>
          <w:tcPr>
            <w:tcW w:w="94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r>
      <w:tr>
        <w:trPr>
          <w:trHeight w:val="230"/>
        </w:trPr>
        <w:tc>
          <w:tcPr>
            <w:tcW w:w="5860" w:type="dxa"/>
            <w:vAlign w:val="bottom"/>
            <w:shd w:val="clear" w:color="auto" w:fill="FDFDFC"/>
          </w:tcPr>
          <w:p>
            <w:pPr>
              <w:spacing w:after="0"/>
              <w:rPr>
                <w:sz w:val="20"/>
                <w:szCs w:val="20"/>
                <w:color w:val="auto"/>
              </w:rPr>
            </w:pPr>
            <w:r>
              <w:rPr>
                <w:rFonts w:ascii="Arial" w:cs="Arial" w:eastAsia="Arial" w:hAnsi="Arial"/>
                <w:sz w:val="19"/>
                <w:szCs w:val="19"/>
                <w:color w:val="231F20"/>
              </w:rPr>
              <w:t>United States:</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9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r>
      <w:tr>
        <w:trPr>
          <w:trHeight w:val="230"/>
        </w:trPr>
        <w:tc>
          <w:tcPr>
            <w:tcW w:w="586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Federal</w:t>
            </w:r>
          </w:p>
        </w:tc>
        <w:tc>
          <w:tcPr>
            <w:tcW w:w="420" w:type="dxa"/>
            <w:vAlign w:val="bottom"/>
            <w:gridSpan w:val="2"/>
            <w:shd w:val="clear" w:color="auto" w:fill="D0EBF2"/>
          </w:tcPr>
          <w:p>
            <w:pPr>
              <w:jc w:val="right"/>
              <w:ind w:right="66"/>
              <w:spacing w:after="0"/>
              <w:rPr>
                <w:sz w:val="20"/>
                <w:szCs w:val="20"/>
                <w:color w:val="auto"/>
              </w:rPr>
            </w:pPr>
            <w:r>
              <w:rPr>
                <w:rFonts w:ascii="Arial" w:cs="Arial" w:eastAsia="Arial" w:hAnsi="Arial"/>
                <w:sz w:val="19"/>
                <w:szCs w:val="19"/>
                <w:color w:val="231F20"/>
              </w:rPr>
              <w:t>$</w:t>
            </w: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172</w:t>
            </w:r>
          </w:p>
        </w:tc>
        <w:tc>
          <w:tcPr>
            <w:tcW w:w="120" w:type="dxa"/>
            <w:vAlign w:val="bottom"/>
            <w:shd w:val="clear" w:color="auto" w:fill="D0EBF2"/>
          </w:tcPr>
          <w:p>
            <w:pPr>
              <w:spacing w:after="0"/>
              <w:rPr>
                <w:sz w:val="20"/>
                <w:szCs w:val="20"/>
                <w:color w:val="auto"/>
              </w:rPr>
            </w:pPr>
          </w:p>
        </w:tc>
        <w:tc>
          <w:tcPr>
            <w:tcW w:w="400" w:type="dxa"/>
            <w:vAlign w:val="bottom"/>
            <w:gridSpan w:val="2"/>
            <w:shd w:val="clear" w:color="auto" w:fill="D0EBF2"/>
          </w:tcPr>
          <w:p>
            <w:pPr>
              <w:jc w:val="right"/>
              <w:ind w:right="66"/>
              <w:spacing w:after="0"/>
              <w:rPr>
                <w:sz w:val="20"/>
                <w:szCs w:val="20"/>
                <w:color w:val="auto"/>
              </w:rPr>
            </w:pPr>
            <w:r>
              <w:rPr>
                <w:rFonts w:ascii="Arial" w:cs="Arial" w:eastAsia="Arial" w:hAnsi="Arial"/>
                <w:sz w:val="19"/>
                <w:szCs w:val="19"/>
                <w:color w:val="231F20"/>
              </w:rPr>
              <w:t>$</w:t>
            </w:r>
          </w:p>
        </w:tc>
        <w:tc>
          <w:tcPr>
            <w:tcW w:w="1040" w:type="dxa"/>
            <w:vAlign w:val="bottom"/>
            <w:gridSpan w:val="2"/>
            <w:shd w:val="clear" w:color="auto" w:fill="D0EBF2"/>
          </w:tcPr>
          <w:p>
            <w:pPr>
              <w:jc w:val="right"/>
              <w:ind w:right="120"/>
              <w:spacing w:after="0"/>
              <w:rPr>
                <w:sz w:val="20"/>
                <w:szCs w:val="20"/>
                <w:color w:val="auto"/>
              </w:rPr>
            </w:pPr>
            <w:r>
              <w:rPr>
                <w:rFonts w:ascii="Arial" w:cs="Arial" w:eastAsia="Arial" w:hAnsi="Arial"/>
                <w:sz w:val="19"/>
                <w:szCs w:val="19"/>
                <w:color w:val="231F20"/>
              </w:rPr>
              <w:t>—</w:t>
            </w:r>
          </w:p>
        </w:tc>
        <w:tc>
          <w:tcPr>
            <w:tcW w:w="400" w:type="dxa"/>
            <w:vAlign w:val="bottom"/>
            <w:gridSpan w:val="2"/>
            <w:shd w:val="clear" w:color="auto" w:fill="D0EBF2"/>
          </w:tcPr>
          <w:p>
            <w:pPr>
              <w:jc w:val="right"/>
              <w:ind w:right="66"/>
              <w:spacing w:after="0"/>
              <w:rPr>
                <w:sz w:val="20"/>
                <w:szCs w:val="20"/>
                <w:color w:val="auto"/>
              </w:rPr>
            </w:pPr>
            <w:r>
              <w:rPr>
                <w:rFonts w:ascii="Arial" w:cs="Arial" w:eastAsia="Arial" w:hAnsi="Arial"/>
                <w:sz w:val="19"/>
                <w:szCs w:val="19"/>
                <w:color w:val="231F20"/>
              </w:rPr>
              <w:t>$</w:t>
            </w:r>
          </w:p>
        </w:tc>
        <w:tc>
          <w:tcPr>
            <w:tcW w:w="1040" w:type="dxa"/>
            <w:vAlign w:val="bottom"/>
            <w:gridSpan w:val="2"/>
            <w:shd w:val="clear" w:color="auto" w:fill="D0EBF2"/>
          </w:tcPr>
          <w:p>
            <w:pPr>
              <w:jc w:val="right"/>
              <w:ind w:right="120"/>
              <w:spacing w:after="0"/>
              <w:rPr>
                <w:sz w:val="20"/>
                <w:szCs w:val="20"/>
                <w:color w:val="auto"/>
              </w:rPr>
            </w:pPr>
            <w:r>
              <w:rPr>
                <w:rFonts w:ascii="Arial" w:cs="Arial" w:eastAsia="Arial" w:hAnsi="Arial"/>
                <w:sz w:val="19"/>
                <w:szCs w:val="19"/>
                <w:color w:val="231F20"/>
              </w:rPr>
              <w:t>—</w:t>
            </w:r>
          </w:p>
        </w:tc>
      </w:tr>
      <w:tr>
        <w:trPr>
          <w:trHeight w:val="230"/>
        </w:trPr>
        <w:tc>
          <w:tcPr>
            <w:tcW w:w="586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State</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9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571</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131</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206</w:t>
            </w:r>
          </w:p>
        </w:tc>
        <w:tc>
          <w:tcPr>
            <w:tcW w:w="100" w:type="dxa"/>
            <w:vAlign w:val="bottom"/>
            <w:shd w:val="clear" w:color="auto" w:fill="FDFDFC"/>
          </w:tcPr>
          <w:p>
            <w:pPr>
              <w:spacing w:after="0"/>
              <w:rPr>
                <w:sz w:val="20"/>
                <w:szCs w:val="20"/>
                <w:color w:val="auto"/>
              </w:rPr>
            </w:pPr>
          </w:p>
        </w:tc>
      </w:tr>
      <w:tr>
        <w:trPr>
          <w:trHeight w:val="230"/>
        </w:trPr>
        <w:tc>
          <w:tcPr>
            <w:tcW w:w="5860" w:type="dxa"/>
            <w:vAlign w:val="bottom"/>
            <w:tcBorders>
              <w:bottom w:val="single" w:sz="8" w:color="FDFDFC"/>
            </w:tcBorders>
            <w:shd w:val="clear" w:color="auto" w:fill="D0EBF2"/>
          </w:tcPr>
          <w:p>
            <w:pPr>
              <w:spacing w:after="0"/>
              <w:rPr>
                <w:sz w:val="20"/>
                <w:szCs w:val="20"/>
                <w:color w:val="auto"/>
              </w:rPr>
            </w:pPr>
            <w:r>
              <w:rPr>
                <w:rFonts w:ascii="Arial" w:cs="Arial" w:eastAsia="Arial" w:hAnsi="Arial"/>
                <w:sz w:val="19"/>
                <w:szCs w:val="19"/>
                <w:color w:val="231F20"/>
              </w:rPr>
              <w:t>Foreign</w:t>
            </w:r>
          </w:p>
        </w:tc>
        <w:tc>
          <w:tcPr>
            <w:tcW w:w="140" w:type="dxa"/>
            <w:vAlign w:val="bottom"/>
            <w:tcBorders>
              <w:bottom w:val="single" w:sz="8" w:color="FDFDFC"/>
            </w:tcBorders>
            <w:shd w:val="clear" w:color="auto" w:fill="D0EBF2"/>
          </w:tcPr>
          <w:p>
            <w:pPr>
              <w:spacing w:after="0"/>
              <w:rPr>
                <w:sz w:val="20"/>
                <w:szCs w:val="20"/>
                <w:color w:val="auto"/>
              </w:rPr>
            </w:pPr>
          </w:p>
        </w:tc>
        <w:tc>
          <w:tcPr>
            <w:tcW w:w="280" w:type="dxa"/>
            <w:vAlign w:val="bottom"/>
            <w:tcBorders>
              <w:bottom w:val="single" w:sz="8" w:color="231F20"/>
            </w:tcBorders>
            <w:shd w:val="clear" w:color="auto" w:fill="D0EBF2"/>
          </w:tcPr>
          <w:p>
            <w:pPr>
              <w:spacing w:after="0"/>
              <w:rPr>
                <w:sz w:val="20"/>
                <w:szCs w:val="20"/>
                <w:color w:val="auto"/>
              </w:rPr>
            </w:pPr>
          </w:p>
        </w:tc>
        <w:tc>
          <w:tcPr>
            <w:tcW w:w="92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7,011</w:t>
            </w:r>
          </w:p>
        </w:tc>
        <w:tc>
          <w:tcPr>
            <w:tcW w:w="120" w:type="dxa"/>
            <w:vAlign w:val="bottom"/>
            <w:tcBorders>
              <w:bottom w:val="single" w:sz="8" w:color="FDFDFC"/>
            </w:tcBorders>
            <w:shd w:val="clear" w:color="auto" w:fill="D0EBF2"/>
          </w:tcPr>
          <w:p>
            <w:pPr>
              <w:spacing w:after="0"/>
              <w:rPr>
                <w:sz w:val="20"/>
                <w:szCs w:val="20"/>
                <w:color w:val="auto"/>
              </w:rPr>
            </w:pPr>
          </w:p>
        </w:tc>
        <w:tc>
          <w:tcPr>
            <w:tcW w:w="140" w:type="dxa"/>
            <w:vAlign w:val="bottom"/>
            <w:tcBorders>
              <w:bottom w:val="single" w:sz="8" w:color="FDFDFC"/>
            </w:tcBorders>
            <w:shd w:val="clear" w:color="auto" w:fill="D0EBF2"/>
          </w:tcPr>
          <w:p>
            <w:pPr>
              <w:spacing w:after="0"/>
              <w:rPr>
                <w:sz w:val="20"/>
                <w:szCs w:val="20"/>
                <w:color w:val="auto"/>
              </w:rPr>
            </w:pPr>
          </w:p>
        </w:tc>
        <w:tc>
          <w:tcPr>
            <w:tcW w:w="260" w:type="dxa"/>
            <w:vAlign w:val="bottom"/>
            <w:tcBorders>
              <w:bottom w:val="single" w:sz="8" w:color="231F20"/>
            </w:tcBorders>
            <w:shd w:val="clear" w:color="auto" w:fill="D0EBF2"/>
          </w:tcPr>
          <w:p>
            <w:pPr>
              <w:spacing w:after="0"/>
              <w:rPr>
                <w:sz w:val="20"/>
                <w:szCs w:val="20"/>
                <w:color w:val="auto"/>
              </w:rPr>
            </w:pP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4,011</w:t>
            </w:r>
          </w:p>
        </w:tc>
        <w:tc>
          <w:tcPr>
            <w:tcW w:w="100" w:type="dxa"/>
            <w:vAlign w:val="bottom"/>
            <w:tcBorders>
              <w:bottom w:val="single" w:sz="8" w:color="FDFDFC"/>
            </w:tcBorders>
            <w:shd w:val="clear" w:color="auto" w:fill="D0EBF2"/>
          </w:tcPr>
          <w:p>
            <w:pPr>
              <w:spacing w:after="0"/>
              <w:rPr>
                <w:sz w:val="20"/>
                <w:szCs w:val="20"/>
                <w:color w:val="auto"/>
              </w:rPr>
            </w:pPr>
          </w:p>
        </w:tc>
        <w:tc>
          <w:tcPr>
            <w:tcW w:w="140" w:type="dxa"/>
            <w:vAlign w:val="bottom"/>
            <w:tcBorders>
              <w:bottom w:val="single" w:sz="8" w:color="FDFDFC"/>
            </w:tcBorders>
            <w:shd w:val="clear" w:color="auto" w:fill="D0EBF2"/>
          </w:tcPr>
          <w:p>
            <w:pPr>
              <w:spacing w:after="0"/>
              <w:rPr>
                <w:sz w:val="20"/>
                <w:szCs w:val="20"/>
                <w:color w:val="auto"/>
              </w:rPr>
            </w:pPr>
          </w:p>
        </w:tc>
        <w:tc>
          <w:tcPr>
            <w:tcW w:w="260" w:type="dxa"/>
            <w:vAlign w:val="bottom"/>
            <w:tcBorders>
              <w:bottom w:val="single" w:sz="8" w:color="231F20"/>
            </w:tcBorders>
            <w:shd w:val="clear" w:color="auto" w:fill="D0EBF2"/>
          </w:tcPr>
          <w:p>
            <w:pPr>
              <w:spacing w:after="0"/>
              <w:rPr>
                <w:sz w:val="20"/>
                <w:szCs w:val="20"/>
                <w:color w:val="auto"/>
              </w:rPr>
            </w:pP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3,490</w:t>
            </w:r>
          </w:p>
        </w:tc>
        <w:tc>
          <w:tcPr>
            <w:tcW w:w="100" w:type="dxa"/>
            <w:vAlign w:val="bottom"/>
            <w:tcBorders>
              <w:bottom w:val="single" w:sz="8" w:color="FDFDFC"/>
            </w:tcBorders>
            <w:shd w:val="clear" w:color="auto" w:fill="D0EBF2"/>
          </w:tcPr>
          <w:p>
            <w:pPr>
              <w:spacing w:after="0"/>
              <w:rPr>
                <w:sz w:val="20"/>
                <w:szCs w:val="20"/>
                <w:color w:val="auto"/>
              </w:rPr>
            </w:pPr>
          </w:p>
        </w:tc>
      </w:tr>
      <w:tr>
        <w:trPr>
          <w:trHeight w:val="220"/>
        </w:trPr>
        <w:tc>
          <w:tcPr>
            <w:tcW w:w="5860" w:type="dxa"/>
            <w:vAlign w:val="bottom"/>
            <w:tcBorders>
              <w:bottom w:val="single" w:sz="8" w:color="D0EBF2"/>
            </w:tcBorders>
            <w:shd w:val="clear" w:color="auto" w:fill="FDFDFC"/>
          </w:tcPr>
          <w:p>
            <w:pPr>
              <w:ind w:left="520"/>
              <w:spacing w:after="0"/>
              <w:rPr>
                <w:sz w:val="20"/>
                <w:szCs w:val="20"/>
                <w:color w:val="auto"/>
              </w:rPr>
            </w:pPr>
            <w:r>
              <w:rPr>
                <w:rFonts w:ascii="Arial" w:cs="Arial" w:eastAsia="Arial" w:hAnsi="Arial"/>
                <w:sz w:val="19"/>
                <w:szCs w:val="19"/>
                <w:color w:val="231F20"/>
              </w:rPr>
              <w:t>Total current provision for income taxes</w:t>
            </w:r>
          </w:p>
        </w:tc>
        <w:tc>
          <w:tcPr>
            <w:tcW w:w="140" w:type="dxa"/>
            <w:vAlign w:val="bottom"/>
            <w:tcBorders>
              <w:bottom w:val="single" w:sz="8" w:color="D0EBF2"/>
            </w:tcBorders>
            <w:shd w:val="clear" w:color="auto" w:fill="FDFDFC"/>
          </w:tcPr>
          <w:p>
            <w:pPr>
              <w:spacing w:after="0"/>
              <w:rPr>
                <w:sz w:val="19"/>
                <w:szCs w:val="19"/>
                <w:color w:val="auto"/>
              </w:rPr>
            </w:pPr>
          </w:p>
        </w:tc>
        <w:tc>
          <w:tcPr>
            <w:tcW w:w="280" w:type="dxa"/>
            <w:vAlign w:val="bottom"/>
            <w:tcBorders>
              <w:bottom w:val="single" w:sz="8" w:color="231F20"/>
            </w:tcBorders>
            <w:shd w:val="clear" w:color="auto" w:fill="FDFDFC"/>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7,754</w:t>
            </w:r>
          </w:p>
        </w:tc>
        <w:tc>
          <w:tcPr>
            <w:tcW w:w="120" w:type="dxa"/>
            <w:vAlign w:val="bottom"/>
            <w:tcBorders>
              <w:bottom w:val="single" w:sz="8" w:color="D0EBF2"/>
            </w:tcBorders>
            <w:shd w:val="clear" w:color="auto" w:fill="FDFDFC"/>
          </w:tcPr>
          <w:p>
            <w:pPr>
              <w:spacing w:after="0"/>
              <w:rPr>
                <w:sz w:val="19"/>
                <w:szCs w:val="19"/>
                <w:color w:val="auto"/>
              </w:rPr>
            </w:pPr>
          </w:p>
        </w:tc>
        <w:tc>
          <w:tcPr>
            <w:tcW w:w="140" w:type="dxa"/>
            <w:vAlign w:val="bottom"/>
            <w:tcBorders>
              <w:bottom w:val="single" w:sz="8" w:color="D0EBF2"/>
            </w:tcBorders>
            <w:shd w:val="clear" w:color="auto" w:fill="FDFDFC"/>
          </w:tcPr>
          <w:p>
            <w:pPr>
              <w:spacing w:after="0"/>
              <w:rPr>
                <w:sz w:val="19"/>
                <w:szCs w:val="19"/>
                <w:color w:val="auto"/>
              </w:rPr>
            </w:pPr>
          </w:p>
        </w:tc>
        <w:tc>
          <w:tcPr>
            <w:tcW w:w="260" w:type="dxa"/>
            <w:vAlign w:val="bottom"/>
            <w:tcBorders>
              <w:bottom w:val="single" w:sz="8" w:color="231F20"/>
            </w:tcBorders>
            <w:shd w:val="clear" w:color="auto" w:fill="FDFDFC"/>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4,142</w:t>
            </w:r>
          </w:p>
        </w:tc>
        <w:tc>
          <w:tcPr>
            <w:tcW w:w="100" w:type="dxa"/>
            <w:vAlign w:val="bottom"/>
            <w:tcBorders>
              <w:bottom w:val="single" w:sz="8" w:color="D0EBF2"/>
            </w:tcBorders>
            <w:shd w:val="clear" w:color="auto" w:fill="FDFDFC"/>
          </w:tcPr>
          <w:p>
            <w:pPr>
              <w:spacing w:after="0"/>
              <w:rPr>
                <w:sz w:val="19"/>
                <w:szCs w:val="19"/>
                <w:color w:val="auto"/>
              </w:rPr>
            </w:pPr>
          </w:p>
        </w:tc>
        <w:tc>
          <w:tcPr>
            <w:tcW w:w="140" w:type="dxa"/>
            <w:vAlign w:val="bottom"/>
            <w:tcBorders>
              <w:bottom w:val="single" w:sz="8" w:color="D0EBF2"/>
            </w:tcBorders>
            <w:shd w:val="clear" w:color="auto" w:fill="FDFDFC"/>
          </w:tcPr>
          <w:p>
            <w:pPr>
              <w:spacing w:after="0"/>
              <w:rPr>
                <w:sz w:val="19"/>
                <w:szCs w:val="19"/>
                <w:color w:val="auto"/>
              </w:rPr>
            </w:pPr>
          </w:p>
        </w:tc>
        <w:tc>
          <w:tcPr>
            <w:tcW w:w="260" w:type="dxa"/>
            <w:vAlign w:val="bottom"/>
            <w:tcBorders>
              <w:bottom w:val="single" w:sz="8" w:color="231F20"/>
            </w:tcBorders>
            <w:shd w:val="clear" w:color="auto" w:fill="FDFDFC"/>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3,696</w:t>
            </w:r>
          </w:p>
        </w:tc>
        <w:tc>
          <w:tcPr>
            <w:tcW w:w="100" w:type="dxa"/>
            <w:vAlign w:val="bottom"/>
            <w:tcBorders>
              <w:bottom w:val="single" w:sz="8" w:color="D0EBF2"/>
            </w:tcBorders>
            <w:shd w:val="clear" w:color="auto" w:fill="FDFDFC"/>
          </w:tcPr>
          <w:p>
            <w:pPr>
              <w:spacing w:after="0"/>
              <w:rPr>
                <w:sz w:val="19"/>
                <w:szCs w:val="19"/>
                <w:color w:val="auto"/>
              </w:rPr>
            </w:pPr>
          </w:p>
        </w:tc>
      </w:tr>
      <w:tr>
        <w:trPr>
          <w:trHeight w:val="220"/>
        </w:trPr>
        <w:tc>
          <w:tcPr>
            <w:tcW w:w="5860" w:type="dxa"/>
            <w:vAlign w:val="bottom"/>
            <w:shd w:val="clear" w:color="auto" w:fill="D0EBF2"/>
          </w:tcPr>
          <w:p>
            <w:pPr>
              <w:spacing w:after="0"/>
              <w:rPr>
                <w:sz w:val="20"/>
                <w:szCs w:val="20"/>
                <w:color w:val="auto"/>
              </w:rPr>
            </w:pPr>
            <w:r>
              <w:rPr>
                <w:rFonts w:ascii="Arial" w:cs="Arial" w:eastAsia="Arial" w:hAnsi="Arial"/>
                <w:sz w:val="19"/>
                <w:szCs w:val="19"/>
                <w:b w:val="1"/>
                <w:bCs w:val="1"/>
                <w:color w:val="231F20"/>
              </w:rPr>
              <w:t>Deferred</w:t>
            </w:r>
          </w:p>
        </w:tc>
        <w:tc>
          <w:tcPr>
            <w:tcW w:w="140" w:type="dxa"/>
            <w:vAlign w:val="bottom"/>
            <w:shd w:val="clear" w:color="auto" w:fill="D0EBF2"/>
          </w:tcPr>
          <w:p>
            <w:pPr>
              <w:spacing w:after="0"/>
              <w:rPr>
                <w:sz w:val="19"/>
                <w:szCs w:val="19"/>
                <w:color w:val="auto"/>
              </w:rPr>
            </w:pPr>
          </w:p>
        </w:tc>
        <w:tc>
          <w:tcPr>
            <w:tcW w:w="280" w:type="dxa"/>
            <w:vAlign w:val="bottom"/>
            <w:shd w:val="clear" w:color="auto" w:fill="D0EBF2"/>
          </w:tcPr>
          <w:p>
            <w:pPr>
              <w:spacing w:after="0"/>
              <w:rPr>
                <w:sz w:val="19"/>
                <w:szCs w:val="19"/>
                <w:color w:val="auto"/>
              </w:rPr>
            </w:pPr>
          </w:p>
        </w:tc>
        <w:tc>
          <w:tcPr>
            <w:tcW w:w="92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spacing w:after="0"/>
              <w:rPr>
                <w:sz w:val="19"/>
                <w:szCs w:val="19"/>
                <w:color w:val="auto"/>
              </w:rPr>
            </w:pPr>
          </w:p>
        </w:tc>
        <w:tc>
          <w:tcPr>
            <w:tcW w:w="94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spacing w:after="0"/>
              <w:rPr>
                <w:sz w:val="19"/>
                <w:szCs w:val="19"/>
                <w:color w:val="auto"/>
              </w:rPr>
            </w:pPr>
          </w:p>
        </w:tc>
        <w:tc>
          <w:tcPr>
            <w:tcW w:w="94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r>
      <w:tr>
        <w:trPr>
          <w:trHeight w:val="230"/>
        </w:trPr>
        <w:tc>
          <w:tcPr>
            <w:tcW w:w="5860" w:type="dxa"/>
            <w:vAlign w:val="bottom"/>
            <w:shd w:val="clear" w:color="auto" w:fill="FDFDFC"/>
          </w:tcPr>
          <w:p>
            <w:pPr>
              <w:spacing w:after="0"/>
              <w:rPr>
                <w:sz w:val="20"/>
                <w:szCs w:val="20"/>
                <w:color w:val="auto"/>
              </w:rPr>
            </w:pPr>
            <w:r>
              <w:rPr>
                <w:rFonts w:ascii="Arial" w:cs="Arial" w:eastAsia="Arial" w:hAnsi="Arial"/>
                <w:sz w:val="19"/>
                <w:szCs w:val="19"/>
                <w:color w:val="231F20"/>
              </w:rPr>
              <w:t>United States:</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9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r>
      <w:tr>
        <w:trPr>
          <w:trHeight w:val="230"/>
        </w:trPr>
        <w:tc>
          <w:tcPr>
            <w:tcW w:w="586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Federal</w:t>
            </w:r>
          </w:p>
        </w:tc>
        <w:tc>
          <w:tcPr>
            <w:tcW w:w="420" w:type="dxa"/>
            <w:vAlign w:val="bottom"/>
            <w:gridSpan w:val="2"/>
            <w:shd w:val="clear" w:color="auto" w:fill="D0EBF2"/>
          </w:tcPr>
          <w:p>
            <w:pPr>
              <w:jc w:val="right"/>
              <w:ind w:right="66"/>
              <w:spacing w:after="0"/>
              <w:rPr>
                <w:sz w:val="20"/>
                <w:szCs w:val="20"/>
                <w:color w:val="auto"/>
              </w:rPr>
            </w:pPr>
            <w:r>
              <w:rPr>
                <w:rFonts w:ascii="Arial" w:cs="Arial" w:eastAsia="Arial" w:hAnsi="Arial"/>
                <w:sz w:val="19"/>
                <w:szCs w:val="19"/>
                <w:color w:val="231F20"/>
              </w:rPr>
              <w:t>$</w:t>
            </w: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(4,209)</w:t>
            </w:r>
          </w:p>
        </w:tc>
        <w:tc>
          <w:tcPr>
            <w:tcW w:w="400" w:type="dxa"/>
            <w:vAlign w:val="bottom"/>
            <w:gridSpan w:val="2"/>
            <w:shd w:val="clear" w:color="auto" w:fill="D0EBF2"/>
          </w:tcPr>
          <w:p>
            <w:pPr>
              <w:jc w:val="right"/>
              <w:ind w:right="66"/>
              <w:spacing w:after="0"/>
              <w:rPr>
                <w:sz w:val="20"/>
                <w:szCs w:val="20"/>
                <w:color w:val="auto"/>
              </w:rPr>
            </w:pPr>
            <w:r>
              <w:rPr>
                <w:rFonts w:ascii="Arial" w:cs="Arial" w:eastAsia="Arial" w:hAnsi="Arial"/>
                <w:sz w:val="19"/>
                <w:szCs w:val="19"/>
                <w:color w:val="231F20"/>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55</w:t>
            </w:r>
          </w:p>
        </w:tc>
        <w:tc>
          <w:tcPr>
            <w:tcW w:w="100" w:type="dxa"/>
            <w:vAlign w:val="bottom"/>
            <w:shd w:val="clear" w:color="auto" w:fill="D0EBF2"/>
          </w:tcPr>
          <w:p>
            <w:pPr>
              <w:spacing w:after="0"/>
              <w:rPr>
                <w:sz w:val="20"/>
                <w:szCs w:val="20"/>
                <w:color w:val="auto"/>
              </w:rPr>
            </w:pPr>
          </w:p>
        </w:tc>
        <w:tc>
          <w:tcPr>
            <w:tcW w:w="400" w:type="dxa"/>
            <w:vAlign w:val="bottom"/>
            <w:gridSpan w:val="2"/>
            <w:shd w:val="clear" w:color="auto" w:fill="D0EBF2"/>
          </w:tcPr>
          <w:p>
            <w:pPr>
              <w:jc w:val="right"/>
              <w:ind w:right="66"/>
              <w:spacing w:after="0"/>
              <w:rPr>
                <w:sz w:val="20"/>
                <w:szCs w:val="20"/>
                <w:color w:val="auto"/>
              </w:rPr>
            </w:pPr>
            <w:r>
              <w:rPr>
                <w:rFonts w:ascii="Arial" w:cs="Arial" w:eastAsia="Arial" w:hAnsi="Arial"/>
                <w:sz w:val="19"/>
                <w:szCs w:val="19"/>
                <w:color w:val="231F20"/>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36</w:t>
            </w:r>
          </w:p>
        </w:tc>
        <w:tc>
          <w:tcPr>
            <w:tcW w:w="100" w:type="dxa"/>
            <w:vAlign w:val="bottom"/>
            <w:shd w:val="clear" w:color="auto" w:fill="D0EBF2"/>
          </w:tcPr>
          <w:p>
            <w:pPr>
              <w:spacing w:after="0"/>
              <w:rPr>
                <w:sz w:val="20"/>
                <w:szCs w:val="20"/>
                <w:color w:val="auto"/>
              </w:rPr>
            </w:pPr>
          </w:p>
        </w:tc>
      </w:tr>
      <w:tr>
        <w:trPr>
          <w:trHeight w:val="230"/>
        </w:trPr>
        <w:tc>
          <w:tcPr>
            <w:tcW w:w="586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State</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(487)</w:t>
            </w: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(102)</w:t>
            </w: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w:t>
            </w:r>
          </w:p>
        </w:tc>
        <w:tc>
          <w:tcPr>
            <w:tcW w:w="100" w:type="dxa"/>
            <w:vAlign w:val="bottom"/>
            <w:shd w:val="clear" w:color="auto" w:fill="FDFDFC"/>
          </w:tcPr>
          <w:p>
            <w:pPr>
              <w:spacing w:after="0"/>
              <w:rPr>
                <w:sz w:val="20"/>
                <w:szCs w:val="20"/>
                <w:color w:val="auto"/>
              </w:rPr>
            </w:pPr>
          </w:p>
        </w:tc>
      </w:tr>
      <w:tr>
        <w:trPr>
          <w:trHeight w:val="23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Foreign</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(4,098)</w:t>
            </w: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119</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04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(1,750)</w:t>
            </w:r>
          </w:p>
        </w:tc>
      </w:tr>
      <w:tr>
        <w:trPr>
          <w:trHeight w:val="220"/>
        </w:trPr>
        <w:tc>
          <w:tcPr>
            <w:tcW w:w="5860" w:type="dxa"/>
            <w:vAlign w:val="bottom"/>
            <w:tcBorders>
              <w:top w:val="single" w:sz="8" w:color="FDFDFC"/>
              <w:bottom w:val="single" w:sz="8" w:color="D0EBF2"/>
            </w:tcBorders>
            <w:shd w:val="clear" w:color="auto" w:fill="FDFDFC"/>
          </w:tcPr>
          <w:p>
            <w:pPr>
              <w:ind w:left="520"/>
              <w:spacing w:after="0"/>
              <w:rPr>
                <w:sz w:val="20"/>
                <w:szCs w:val="20"/>
                <w:color w:val="auto"/>
              </w:rPr>
            </w:pPr>
            <w:r>
              <w:rPr>
                <w:rFonts w:ascii="Arial" w:cs="Arial" w:eastAsia="Arial" w:hAnsi="Arial"/>
                <w:sz w:val="19"/>
                <w:szCs w:val="19"/>
                <w:color w:val="231F20"/>
              </w:rPr>
              <w:t>Total deferred income tax (benefit) provision</w:t>
            </w:r>
          </w:p>
        </w:tc>
        <w:tc>
          <w:tcPr>
            <w:tcW w:w="140" w:type="dxa"/>
            <w:vAlign w:val="bottom"/>
            <w:tcBorders>
              <w:top w:val="single" w:sz="8" w:color="FDFDFC"/>
              <w:bottom w:val="single" w:sz="8" w:color="D0EBF2"/>
            </w:tcBorders>
            <w:shd w:val="clear" w:color="auto" w:fill="FDFDFC"/>
          </w:tcPr>
          <w:p>
            <w:pPr>
              <w:spacing w:after="0"/>
              <w:rPr>
                <w:sz w:val="19"/>
                <w:szCs w:val="19"/>
                <w:color w:val="auto"/>
              </w:rPr>
            </w:pPr>
          </w:p>
        </w:tc>
        <w:tc>
          <w:tcPr>
            <w:tcW w:w="280" w:type="dxa"/>
            <w:vAlign w:val="bottom"/>
            <w:tcBorders>
              <w:top w:val="single" w:sz="8" w:color="231F20"/>
              <w:bottom w:val="single" w:sz="8" w:color="231F20"/>
            </w:tcBorders>
            <w:shd w:val="clear" w:color="auto" w:fill="FDFDFC"/>
          </w:tcPr>
          <w:p>
            <w:pPr>
              <w:spacing w:after="0"/>
              <w:rPr>
                <w:sz w:val="19"/>
                <w:szCs w:val="19"/>
                <w:color w:val="auto"/>
              </w:rPr>
            </w:pPr>
          </w:p>
        </w:tc>
        <w:tc>
          <w:tcPr>
            <w:tcW w:w="92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(8,794)</w:t>
            </w:r>
          </w:p>
        </w:tc>
        <w:tc>
          <w:tcPr>
            <w:tcW w:w="120" w:type="dxa"/>
            <w:vAlign w:val="bottom"/>
            <w:tcBorders>
              <w:top w:val="single" w:sz="8" w:color="FDFDFC"/>
              <w:bottom w:val="single" w:sz="8" w:color="D0EBF2"/>
            </w:tcBorders>
            <w:shd w:val="clear" w:color="auto" w:fill="FDFDFC"/>
          </w:tcPr>
          <w:p>
            <w:pPr>
              <w:spacing w:after="0"/>
              <w:rPr>
                <w:sz w:val="19"/>
                <w:szCs w:val="19"/>
                <w:color w:val="auto"/>
              </w:rPr>
            </w:pPr>
          </w:p>
        </w:tc>
        <w:tc>
          <w:tcPr>
            <w:tcW w:w="140" w:type="dxa"/>
            <w:vAlign w:val="bottom"/>
            <w:tcBorders>
              <w:top w:val="single" w:sz="8" w:color="FDFDFC"/>
              <w:bottom w:val="single" w:sz="8" w:color="D0EBF2"/>
            </w:tcBorders>
            <w:shd w:val="clear" w:color="auto" w:fill="FDFDFC"/>
          </w:tcPr>
          <w:p>
            <w:pPr>
              <w:spacing w:after="0"/>
              <w:rPr>
                <w:sz w:val="19"/>
                <w:szCs w:val="19"/>
                <w:color w:val="auto"/>
              </w:rPr>
            </w:pPr>
          </w:p>
        </w:tc>
        <w:tc>
          <w:tcPr>
            <w:tcW w:w="260" w:type="dxa"/>
            <w:vAlign w:val="bottom"/>
            <w:tcBorders>
              <w:top w:val="single" w:sz="8" w:color="231F20"/>
              <w:bottom w:val="single" w:sz="8" w:color="231F20"/>
            </w:tcBorders>
            <w:shd w:val="clear" w:color="auto" w:fill="FDFDFC"/>
          </w:tcPr>
          <w:p>
            <w:pPr>
              <w:spacing w:after="0"/>
              <w:rPr>
                <w:sz w:val="19"/>
                <w:szCs w:val="19"/>
                <w:color w:val="auto"/>
              </w:rPr>
            </w:pPr>
          </w:p>
        </w:tc>
        <w:tc>
          <w:tcPr>
            <w:tcW w:w="94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72</w:t>
            </w:r>
          </w:p>
        </w:tc>
        <w:tc>
          <w:tcPr>
            <w:tcW w:w="100" w:type="dxa"/>
            <w:vAlign w:val="bottom"/>
            <w:tcBorders>
              <w:top w:val="single" w:sz="8" w:color="FDFDFC"/>
              <w:bottom w:val="single" w:sz="8" w:color="D0EBF2"/>
            </w:tcBorders>
            <w:shd w:val="clear" w:color="auto" w:fill="FDFDFC"/>
          </w:tcPr>
          <w:p>
            <w:pPr>
              <w:spacing w:after="0"/>
              <w:rPr>
                <w:sz w:val="19"/>
                <w:szCs w:val="19"/>
                <w:color w:val="auto"/>
              </w:rPr>
            </w:pPr>
          </w:p>
        </w:tc>
        <w:tc>
          <w:tcPr>
            <w:tcW w:w="140" w:type="dxa"/>
            <w:vAlign w:val="bottom"/>
            <w:tcBorders>
              <w:top w:val="single" w:sz="8" w:color="FDFDFC"/>
              <w:bottom w:val="single" w:sz="8" w:color="D0EBF2"/>
            </w:tcBorders>
            <w:shd w:val="clear" w:color="auto" w:fill="FDFDFC"/>
          </w:tcPr>
          <w:p>
            <w:pPr>
              <w:spacing w:after="0"/>
              <w:rPr>
                <w:sz w:val="19"/>
                <w:szCs w:val="19"/>
                <w:color w:val="auto"/>
              </w:rPr>
            </w:pPr>
          </w:p>
        </w:tc>
        <w:tc>
          <w:tcPr>
            <w:tcW w:w="260" w:type="dxa"/>
            <w:vAlign w:val="bottom"/>
            <w:tcBorders>
              <w:top w:val="single" w:sz="8" w:color="231F20"/>
              <w:bottom w:val="single" w:sz="8" w:color="231F20"/>
            </w:tcBorders>
            <w:shd w:val="clear" w:color="auto" w:fill="FDFDFC"/>
          </w:tcPr>
          <w:p>
            <w:pPr>
              <w:spacing w:after="0"/>
              <w:rPr>
                <w:sz w:val="19"/>
                <w:szCs w:val="19"/>
                <w:color w:val="auto"/>
              </w:rPr>
            </w:pPr>
          </w:p>
        </w:tc>
        <w:tc>
          <w:tcPr>
            <w:tcW w:w="94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(1,708)</w:t>
            </w:r>
          </w:p>
        </w:tc>
        <w:tc>
          <w:tcPr>
            <w:tcW w:w="100" w:type="dxa"/>
            <w:vAlign w:val="bottom"/>
            <w:tcBorders>
              <w:top w:val="single" w:sz="8" w:color="FDFDFC"/>
              <w:bottom w:val="single" w:sz="8" w:color="D0EBF2"/>
            </w:tcBorders>
            <w:shd w:val="clear" w:color="auto" w:fill="FDFDFC"/>
          </w:tcPr>
          <w:p>
            <w:pPr>
              <w:spacing w:after="0"/>
              <w:rPr>
                <w:sz w:val="19"/>
                <w:szCs w:val="19"/>
                <w:color w:val="auto"/>
              </w:rPr>
            </w:pPr>
          </w:p>
        </w:tc>
      </w:tr>
      <w:tr>
        <w:trPr>
          <w:trHeight w:val="220"/>
        </w:trPr>
        <w:tc>
          <w:tcPr>
            <w:tcW w:w="5860" w:type="dxa"/>
            <w:vAlign w:val="bottom"/>
            <w:shd w:val="clear" w:color="auto" w:fill="D0EBF2"/>
          </w:tcPr>
          <w:p>
            <w:pPr>
              <w:ind w:left="520"/>
              <w:spacing w:after="0"/>
              <w:rPr>
                <w:sz w:val="20"/>
                <w:szCs w:val="20"/>
                <w:color w:val="auto"/>
              </w:rPr>
            </w:pPr>
            <w:r>
              <w:rPr>
                <w:rFonts w:ascii="Arial" w:cs="Arial" w:eastAsia="Arial" w:hAnsi="Arial"/>
                <w:sz w:val="19"/>
                <w:szCs w:val="19"/>
                <w:color w:val="231F20"/>
              </w:rPr>
              <w:t>Total income tax (benefit) provision</w:t>
            </w:r>
          </w:p>
        </w:tc>
        <w:tc>
          <w:tcPr>
            <w:tcW w:w="140" w:type="dxa"/>
            <w:vAlign w:val="bottom"/>
            <w:shd w:val="clear" w:color="auto" w:fill="D0EBF2"/>
          </w:tcPr>
          <w:p>
            <w:pPr>
              <w:spacing w:after="0"/>
              <w:rPr>
                <w:sz w:val="19"/>
                <w:szCs w:val="19"/>
                <w:color w:val="auto"/>
              </w:rPr>
            </w:pPr>
          </w:p>
        </w:tc>
        <w:tc>
          <w:tcPr>
            <w:tcW w:w="28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(1,040)</w:t>
            </w:r>
          </w:p>
        </w:tc>
        <w:tc>
          <w:tcPr>
            <w:tcW w:w="12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4,214</w:t>
            </w:r>
          </w:p>
        </w:tc>
        <w:tc>
          <w:tcPr>
            <w:tcW w:w="1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tcBorders>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1,988</w:t>
            </w:r>
          </w:p>
        </w:tc>
        <w:tc>
          <w:tcPr>
            <w:tcW w:w="100" w:type="dxa"/>
            <w:vAlign w:val="bottom"/>
            <w:shd w:val="clear" w:color="auto" w:fill="D0EBF2"/>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right="60" w:firstLine="463"/>
        <w:spacing w:after="0" w:line="278" w:lineRule="auto"/>
        <w:rPr>
          <w:sz w:val="20"/>
          <w:szCs w:val="20"/>
          <w:color w:val="auto"/>
        </w:rPr>
      </w:pPr>
      <w:r>
        <w:rPr>
          <w:rFonts w:ascii="Arial" w:cs="Arial" w:eastAsia="Arial" w:hAnsi="Arial"/>
          <w:sz w:val="19"/>
          <w:szCs w:val="19"/>
          <w:color w:val="231F20"/>
        </w:rPr>
        <w:t>A reconciliation of the U.S. federal statutory income tax rate to the Company’s effective income tax rate is as follows (dollars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Borders>
              <w:bottom w:val="single" w:sz="8" w:color="FDFDFC"/>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180" w:type="dxa"/>
            <w:vAlign w:val="bottom"/>
            <w:tcBorders>
              <w:bottom w:val="single" w:sz="8" w:color="231F20"/>
            </w:tcBorders>
            <w:shd w:val="clear" w:color="auto" w:fill="FDFDFC"/>
          </w:tcPr>
          <w:p>
            <w:pPr>
              <w:spacing w:after="0"/>
              <w:rPr>
                <w:sz w:val="16"/>
                <w:szCs w:val="16"/>
                <w:color w:val="auto"/>
              </w:rPr>
            </w:pPr>
          </w:p>
        </w:tc>
        <w:tc>
          <w:tcPr>
            <w:tcW w:w="62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600" w:type="dxa"/>
            <w:vAlign w:val="bottom"/>
            <w:tcBorders>
              <w:bottom w:val="single" w:sz="8" w:color="231F20"/>
            </w:tcBorders>
            <w:shd w:val="clear" w:color="auto" w:fill="FDFDFC"/>
          </w:tcPr>
          <w:p>
            <w:pPr>
              <w:spacing w:after="0"/>
              <w:rPr>
                <w:sz w:val="16"/>
                <w:szCs w:val="16"/>
                <w:color w:val="auto"/>
              </w:rPr>
            </w:pPr>
          </w:p>
        </w:tc>
        <w:tc>
          <w:tcPr>
            <w:tcW w:w="280" w:type="dxa"/>
            <w:vAlign w:val="bottom"/>
            <w:tcBorders>
              <w:bottom w:val="single" w:sz="8" w:color="231F20"/>
            </w:tcBorders>
            <w:shd w:val="clear" w:color="auto" w:fill="FDFDFC"/>
          </w:tcPr>
          <w:p>
            <w:pPr>
              <w:spacing w:after="0"/>
              <w:rPr>
                <w:sz w:val="16"/>
                <w:szCs w:val="16"/>
                <w:color w:val="auto"/>
              </w:rPr>
            </w:pPr>
          </w:p>
        </w:tc>
        <w:tc>
          <w:tcPr>
            <w:tcW w:w="1980" w:type="dxa"/>
            <w:vAlign w:val="bottom"/>
            <w:tcBorders>
              <w:bottom w:val="single" w:sz="8" w:color="231F20"/>
            </w:tcBorders>
            <w:gridSpan w:val="7"/>
            <w:shd w:val="clear" w:color="auto" w:fill="FDFDFC"/>
          </w:tcPr>
          <w:p>
            <w:pPr>
              <w:jc w:val="right"/>
              <w:ind w:right="120"/>
              <w:spacing w:after="0"/>
              <w:rPr>
                <w:sz w:val="20"/>
                <w:szCs w:val="20"/>
                <w:color w:val="auto"/>
              </w:rPr>
            </w:pPr>
            <w:r>
              <w:rPr>
                <w:rFonts w:ascii="Arial" w:cs="Arial" w:eastAsia="Arial" w:hAnsi="Arial"/>
                <w:sz w:val="15"/>
                <w:szCs w:val="15"/>
                <w:b w:val="1"/>
                <w:bCs w:val="1"/>
                <w:color w:val="231F20"/>
                <w:w w:val="99"/>
              </w:rPr>
              <w:t>Year Ended December 31,</w:t>
            </w:r>
          </w:p>
        </w:tc>
        <w:tc>
          <w:tcPr>
            <w:tcW w:w="100" w:type="dxa"/>
            <w:vAlign w:val="bottom"/>
            <w:tcBorders>
              <w:bottom w:val="single" w:sz="8" w:color="231F20"/>
            </w:tcBorders>
            <w:shd w:val="clear" w:color="auto" w:fill="FDFDFC"/>
          </w:tcPr>
          <w:p>
            <w:pPr>
              <w:spacing w:after="0"/>
              <w:rPr>
                <w:sz w:val="16"/>
                <w:szCs w:val="16"/>
                <w:color w:val="auto"/>
              </w:rPr>
            </w:pPr>
          </w:p>
        </w:tc>
        <w:tc>
          <w:tcPr>
            <w:tcW w:w="160" w:type="dxa"/>
            <w:vAlign w:val="bottom"/>
            <w:tcBorders>
              <w:bottom w:val="single" w:sz="8" w:color="231F20"/>
            </w:tcBorders>
            <w:shd w:val="clear" w:color="auto" w:fill="FDFDFC"/>
          </w:tcPr>
          <w:p>
            <w:pPr>
              <w:spacing w:after="0"/>
              <w:rPr>
                <w:sz w:val="16"/>
                <w:szCs w:val="16"/>
                <w:color w:val="auto"/>
              </w:rPr>
            </w:pPr>
          </w:p>
        </w:tc>
        <w:tc>
          <w:tcPr>
            <w:tcW w:w="64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right w:val="single" w:sz="8" w:color="FDFDFC"/>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620" w:type="dxa"/>
            <w:vAlign w:val="bottom"/>
            <w:tcBorders>
              <w:bottom w:val="single" w:sz="8" w:color="231F20"/>
            </w:tcBorders>
            <w:shd w:val="clear" w:color="auto" w:fill="FDFDFC"/>
          </w:tcPr>
          <w:p>
            <w:pPr>
              <w:spacing w:after="0"/>
              <w:rPr>
                <w:sz w:val="16"/>
                <w:szCs w:val="16"/>
                <w:color w:val="auto"/>
              </w:rPr>
            </w:pPr>
          </w:p>
        </w:tc>
        <w:tc>
          <w:tcPr>
            <w:tcW w:w="2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4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180" w:type="dxa"/>
            <w:vAlign w:val="bottom"/>
            <w:tcBorders>
              <w:bottom w:val="single" w:sz="8" w:color="231F20"/>
            </w:tcBorders>
            <w:shd w:val="clear" w:color="auto" w:fill="FDFDFC"/>
          </w:tcPr>
          <w:p>
            <w:pPr>
              <w:spacing w:after="0"/>
              <w:rPr>
                <w:sz w:val="15"/>
                <w:szCs w:val="15"/>
                <w:color w:val="auto"/>
              </w:rPr>
            </w:pPr>
          </w:p>
        </w:tc>
        <w:tc>
          <w:tcPr>
            <w:tcW w:w="840" w:type="dxa"/>
            <w:vAlign w:val="bottom"/>
            <w:tcBorders>
              <w:bottom w:val="single" w:sz="8" w:color="231F20"/>
            </w:tcBorders>
            <w:gridSpan w:val="3"/>
            <w:shd w:val="clear" w:color="auto" w:fill="FDFDFC"/>
          </w:tcPr>
          <w:p>
            <w:pPr>
              <w:jc w:val="right"/>
              <w:ind w:right="40"/>
              <w:spacing w:after="0"/>
              <w:rPr>
                <w:sz w:val="20"/>
                <w:szCs w:val="20"/>
                <w:color w:val="auto"/>
              </w:rPr>
            </w:pPr>
            <w:r>
              <w:rPr>
                <w:rFonts w:ascii="Arial" w:cs="Arial" w:eastAsia="Arial" w:hAnsi="Arial"/>
                <w:sz w:val="15"/>
                <w:szCs w:val="15"/>
                <w:b w:val="1"/>
                <w:bCs w:val="1"/>
                <w:color w:val="231F20"/>
              </w:rPr>
              <w:t>2024</w:t>
            </w:r>
          </w:p>
        </w:tc>
        <w:tc>
          <w:tcPr>
            <w:tcW w:w="600" w:type="dxa"/>
            <w:vAlign w:val="bottom"/>
            <w:tcBorders>
              <w:bottom w:val="single" w:sz="8" w:color="231F20"/>
            </w:tcBorders>
            <w:shd w:val="clear" w:color="auto" w:fill="FDFDFC"/>
          </w:tcPr>
          <w:p>
            <w:pPr>
              <w:spacing w:after="0"/>
              <w:rPr>
                <w:sz w:val="15"/>
                <w:szCs w:val="15"/>
                <w:color w:val="auto"/>
              </w:rPr>
            </w:pPr>
          </w:p>
        </w:tc>
        <w:tc>
          <w:tcPr>
            <w:tcW w:w="2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80" w:type="dxa"/>
            <w:vAlign w:val="bottom"/>
            <w:tcBorders>
              <w:bottom w:val="single" w:sz="8" w:color="231F20"/>
            </w:tcBorders>
            <w:shd w:val="clear" w:color="auto" w:fill="FDFDFC"/>
          </w:tcPr>
          <w:p>
            <w:pPr>
              <w:spacing w:after="0"/>
              <w:rPr>
                <w:sz w:val="15"/>
                <w:szCs w:val="15"/>
                <w:color w:val="auto"/>
              </w:rPr>
            </w:pPr>
          </w:p>
        </w:tc>
        <w:tc>
          <w:tcPr>
            <w:tcW w:w="860" w:type="dxa"/>
            <w:vAlign w:val="bottom"/>
            <w:tcBorders>
              <w:bottom w:val="single" w:sz="8" w:color="231F20"/>
            </w:tcBorders>
            <w:gridSpan w:val="3"/>
            <w:shd w:val="clear" w:color="auto" w:fill="FDFDFC"/>
          </w:tcPr>
          <w:p>
            <w:pPr>
              <w:jc w:val="right"/>
              <w:ind w:right="80"/>
              <w:spacing w:after="0"/>
              <w:rPr>
                <w:sz w:val="20"/>
                <w:szCs w:val="20"/>
                <w:color w:val="auto"/>
              </w:rPr>
            </w:pPr>
            <w:r>
              <w:rPr>
                <w:rFonts w:ascii="Arial" w:cs="Arial" w:eastAsia="Arial" w:hAnsi="Arial"/>
                <w:sz w:val="15"/>
                <w:szCs w:val="15"/>
                <w:b w:val="1"/>
                <w:bCs w:val="1"/>
                <w:color w:val="231F20"/>
              </w:rPr>
              <w:t>2023</w:t>
            </w:r>
          </w:p>
        </w:tc>
        <w:tc>
          <w:tcPr>
            <w:tcW w:w="580" w:type="dxa"/>
            <w:vAlign w:val="bottom"/>
            <w:tcBorders>
              <w:bottom w:val="single" w:sz="8" w:color="231F20"/>
            </w:tcBorders>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0" w:type="dxa"/>
            <w:vAlign w:val="bottom"/>
            <w:tcBorders>
              <w:bottom w:val="single" w:sz="8" w:color="231F20"/>
            </w:tcBorders>
            <w:shd w:val="clear" w:color="auto" w:fill="FDFDFC"/>
          </w:tcPr>
          <w:p>
            <w:pPr>
              <w:spacing w:after="0"/>
              <w:rPr>
                <w:sz w:val="15"/>
                <w:szCs w:val="15"/>
                <w:color w:val="auto"/>
              </w:rPr>
            </w:pPr>
          </w:p>
        </w:tc>
        <w:tc>
          <w:tcPr>
            <w:tcW w:w="900" w:type="dxa"/>
            <w:vAlign w:val="bottom"/>
            <w:tcBorders>
              <w:bottom w:val="single" w:sz="8" w:color="231F20"/>
            </w:tcBorders>
            <w:gridSpan w:val="3"/>
            <w:shd w:val="clear" w:color="auto" w:fill="FDFDFC"/>
          </w:tcPr>
          <w:p>
            <w:pPr>
              <w:jc w:val="right"/>
              <w:ind w:right="60"/>
              <w:spacing w:after="0"/>
              <w:rPr>
                <w:sz w:val="20"/>
                <w:szCs w:val="20"/>
                <w:color w:val="auto"/>
              </w:rPr>
            </w:pPr>
            <w:r>
              <w:rPr>
                <w:rFonts w:ascii="Arial" w:cs="Arial" w:eastAsia="Arial" w:hAnsi="Arial"/>
                <w:sz w:val="15"/>
                <w:szCs w:val="15"/>
                <w:b w:val="1"/>
                <w:bCs w:val="1"/>
                <w:color w:val="231F20"/>
              </w:rPr>
              <w:t>2022</w:t>
            </w:r>
          </w:p>
        </w:tc>
        <w:tc>
          <w:tcPr>
            <w:tcW w:w="620" w:type="dxa"/>
            <w:vAlign w:val="bottom"/>
            <w:tcBorders>
              <w:bottom w:val="single" w:sz="8" w:color="231F20"/>
            </w:tcBorders>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240" w:type="dxa"/>
            <w:vAlign w:val="bottom"/>
            <w:shd w:val="clear" w:color="auto" w:fill="D0EBF2"/>
          </w:tcPr>
          <w:p>
            <w:pPr>
              <w:spacing w:after="0"/>
              <w:rPr>
                <w:sz w:val="20"/>
                <w:szCs w:val="20"/>
                <w:color w:val="auto"/>
              </w:rPr>
            </w:pPr>
            <w:r>
              <w:rPr>
                <w:rFonts w:ascii="Arial" w:cs="Arial" w:eastAsia="Arial" w:hAnsi="Arial"/>
                <w:sz w:val="19"/>
                <w:szCs w:val="19"/>
                <w:color w:val="231F20"/>
              </w:rPr>
              <w:t>Federal statutory income tax rate</w:t>
            </w:r>
          </w:p>
        </w:tc>
        <w:tc>
          <w:tcPr>
            <w:tcW w:w="100" w:type="dxa"/>
            <w:vAlign w:val="bottom"/>
            <w:shd w:val="clear" w:color="auto" w:fill="D0EBF2"/>
          </w:tcPr>
          <w:p>
            <w:pPr>
              <w:spacing w:after="0"/>
              <w:rPr>
                <w:sz w:val="19"/>
                <w:szCs w:val="19"/>
                <w:color w:val="auto"/>
              </w:rPr>
            </w:pPr>
          </w:p>
        </w:tc>
        <w:tc>
          <w:tcPr>
            <w:tcW w:w="18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94"/>
              </w:rPr>
              <w:t>$</w:t>
            </w: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391</w:t>
            </w:r>
          </w:p>
        </w:tc>
        <w:tc>
          <w:tcPr>
            <w:tcW w:w="100" w:type="dxa"/>
            <w:vAlign w:val="bottom"/>
            <w:shd w:val="clear" w:color="auto" w:fill="D0EBF2"/>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9"/>
                <w:szCs w:val="19"/>
                <w:color w:val="231F20"/>
              </w:rPr>
              <w:t>21.0%</w:t>
            </w:r>
          </w:p>
        </w:tc>
        <w:tc>
          <w:tcPr>
            <w:tcW w:w="100" w:type="dxa"/>
            <w:vAlign w:val="bottom"/>
          </w:tcPr>
          <w:p>
            <w:pPr>
              <w:spacing w:after="0"/>
              <w:rPr>
                <w:sz w:val="19"/>
                <w:szCs w:val="19"/>
                <w:color w:val="auto"/>
              </w:rPr>
            </w:pPr>
          </w:p>
        </w:tc>
        <w:tc>
          <w:tcPr>
            <w:tcW w:w="18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75"/>
                <w:shd w:val="clear" w:color="auto" w:fill="D0EBF2"/>
              </w:rPr>
              <w:t>$</w:t>
            </w: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(914</w:t>
            </w:r>
          </w:p>
        </w:tc>
        <w:tc>
          <w:tcPr>
            <w:tcW w:w="100" w:type="dxa"/>
            <w:vAlign w:val="bottom"/>
            <w:shd w:val="clear" w:color="auto" w:fill="D0EBF2"/>
          </w:tcPr>
          <w:p>
            <w:pPr>
              <w:jc w:val="right"/>
              <w:spacing w:after="0"/>
              <w:rPr>
                <w:sz w:val="20"/>
                <w:szCs w:val="20"/>
                <w:color w:val="auto"/>
              </w:rPr>
            </w:pPr>
            <w:r>
              <w:rPr>
                <w:rFonts w:ascii="Arial" w:cs="Arial" w:eastAsia="Arial" w:hAnsi="Arial"/>
                <w:sz w:val="16"/>
                <w:szCs w:val="16"/>
                <w:color w:val="231F20"/>
                <w:w w:val="74"/>
                <w:shd w:val="clear" w:color="auto" w:fill="D0EBF2"/>
              </w:rPr>
              <w:t>)</w:t>
            </w: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9"/>
                <w:szCs w:val="19"/>
                <w:color w:val="231F20"/>
              </w:rPr>
              <w:t>21.0%</w:t>
            </w:r>
          </w:p>
        </w:tc>
        <w:tc>
          <w:tcPr>
            <w:tcW w:w="100" w:type="dxa"/>
            <w:vAlign w:val="bottom"/>
          </w:tcPr>
          <w:p>
            <w:pPr>
              <w:spacing w:after="0"/>
              <w:rPr>
                <w:sz w:val="19"/>
                <w:szCs w:val="19"/>
                <w:color w:val="auto"/>
              </w:rPr>
            </w:pPr>
          </w:p>
        </w:tc>
        <w:tc>
          <w:tcPr>
            <w:tcW w:w="16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75"/>
                <w:shd w:val="clear" w:color="auto" w:fill="D0EBF2"/>
              </w:rPr>
              <w:t>$</w:t>
            </w:r>
          </w:p>
        </w:tc>
        <w:tc>
          <w:tcPr>
            <w:tcW w:w="640" w:type="dxa"/>
            <w:vAlign w:val="bottom"/>
            <w:shd w:val="clear" w:color="auto" w:fill="D0EBF2"/>
          </w:tcPr>
          <w:p>
            <w:pPr>
              <w:jc w:val="right"/>
              <w:spacing w:after="0"/>
              <w:rPr>
                <w:sz w:val="20"/>
                <w:szCs w:val="20"/>
                <w:color w:val="auto"/>
              </w:rPr>
            </w:pPr>
            <w:r>
              <w:rPr>
                <w:rFonts w:ascii="Arial" w:cs="Arial" w:eastAsia="Arial" w:hAnsi="Arial"/>
                <w:sz w:val="19"/>
                <w:szCs w:val="19"/>
                <w:color w:val="231F20"/>
                <w:shd w:val="clear" w:color="auto" w:fill="D0EBF2"/>
              </w:rPr>
              <w:t>(7,845</w:t>
            </w:r>
          </w:p>
        </w:tc>
        <w:tc>
          <w:tcPr>
            <w:tcW w:w="120" w:type="dxa"/>
            <w:vAlign w:val="bottom"/>
            <w:tcBorders>
              <w:right w:val="single" w:sz="8" w:color="D0EBF2"/>
            </w:tcBorders>
            <w:shd w:val="clear" w:color="auto" w:fill="D0EBF2"/>
          </w:tcPr>
          <w:p>
            <w:pPr>
              <w:jc w:val="right"/>
              <w:spacing w:after="0"/>
              <w:rPr>
                <w:sz w:val="20"/>
                <w:szCs w:val="20"/>
                <w:color w:val="auto"/>
              </w:rPr>
            </w:pPr>
            <w:r>
              <w:rPr>
                <w:rFonts w:ascii="Arial" w:cs="Arial" w:eastAsia="Arial" w:hAnsi="Arial"/>
                <w:sz w:val="16"/>
                <w:szCs w:val="16"/>
                <w:color w:val="231F20"/>
                <w:w w:val="74"/>
                <w:shd w:val="clear" w:color="auto" w:fill="D0EBF2"/>
              </w:rPr>
              <w:t>)</w:t>
            </w:r>
          </w:p>
        </w:tc>
        <w:tc>
          <w:tcPr>
            <w:tcW w:w="1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9"/>
                <w:szCs w:val="19"/>
                <w:color w:val="231F20"/>
              </w:rPr>
              <w:t>21.0%</w:t>
            </w:r>
          </w:p>
        </w:tc>
        <w:tc>
          <w:tcPr>
            <w:tcW w:w="0" w:type="dxa"/>
            <w:vAlign w:val="bottom"/>
          </w:tcPr>
          <w:p>
            <w:pPr>
              <w:spacing w:after="0"/>
              <w:rPr>
                <w:sz w:val="1"/>
                <w:szCs w:val="1"/>
                <w:color w:val="auto"/>
              </w:rPr>
            </w:pPr>
          </w:p>
        </w:tc>
      </w:tr>
      <w:tr>
        <w:trPr>
          <w:trHeight w:val="230"/>
        </w:trPr>
        <w:tc>
          <w:tcPr>
            <w:tcW w:w="42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State income taxes, net of federal benefit</w:t>
            </w: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(541)</w:t>
            </w: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80" w:type="dxa"/>
            <w:vAlign w:val="bottom"/>
            <w:gridSpan w:val="2"/>
            <w:shd w:val="clear" w:color="auto" w:fill="FDFDFC"/>
          </w:tcPr>
          <w:p>
            <w:pPr>
              <w:jc w:val="right"/>
              <w:ind w:right="220"/>
              <w:spacing w:after="0"/>
              <w:rPr>
                <w:sz w:val="20"/>
                <w:szCs w:val="20"/>
                <w:color w:val="auto"/>
              </w:rPr>
            </w:pPr>
            <w:r>
              <w:rPr>
                <w:rFonts w:ascii="Arial" w:cs="Arial" w:eastAsia="Arial" w:hAnsi="Arial"/>
                <w:sz w:val="19"/>
                <w:szCs w:val="19"/>
                <w:color w:val="231F20"/>
              </w:rPr>
              <w:t>(29.1)</w:t>
            </w: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(721)</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5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16.6</w:t>
            </w:r>
          </w:p>
        </w:tc>
        <w:tc>
          <w:tcPr>
            <w:tcW w:w="26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6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(2,228)</w:t>
            </w:r>
          </w:p>
        </w:tc>
        <w:tc>
          <w:tcPr>
            <w:tcW w:w="120" w:type="dxa"/>
            <w:vAlign w:val="bottom"/>
            <w:tcBorders>
              <w:right w:val="single" w:sz="8" w:color="FDFDFC"/>
            </w:tcBorders>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6.0</w:t>
            </w:r>
          </w:p>
        </w:tc>
        <w:tc>
          <w:tcPr>
            <w:tcW w:w="2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Non-deductible expenses</w:t>
            </w: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632</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6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34.0</w:t>
            </w:r>
          </w:p>
        </w:tc>
        <w:tc>
          <w:tcPr>
            <w:tcW w:w="28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181</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840" w:type="dxa"/>
            <w:vAlign w:val="bottom"/>
            <w:gridSpan w:val="2"/>
            <w:shd w:val="clear" w:color="auto" w:fill="D0EBF2"/>
          </w:tcPr>
          <w:p>
            <w:pPr>
              <w:jc w:val="right"/>
              <w:ind w:right="200"/>
              <w:spacing w:after="0"/>
              <w:rPr>
                <w:sz w:val="20"/>
                <w:szCs w:val="20"/>
                <w:color w:val="auto"/>
              </w:rPr>
            </w:pPr>
            <w:r>
              <w:rPr>
                <w:rFonts w:ascii="Arial" w:cs="Arial" w:eastAsia="Arial" w:hAnsi="Arial"/>
                <w:sz w:val="19"/>
                <w:szCs w:val="19"/>
                <w:color w:val="231F20"/>
              </w:rPr>
              <w:t>(4.2)</w:t>
            </w: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900" w:type="dxa"/>
            <w:vAlign w:val="bottom"/>
            <w:gridSpan w:val="3"/>
            <w:shd w:val="clear" w:color="auto" w:fill="D0EBF2"/>
          </w:tcPr>
          <w:p>
            <w:pPr>
              <w:jc w:val="right"/>
              <w:ind w:right="280"/>
              <w:spacing w:after="0"/>
              <w:rPr>
                <w:sz w:val="20"/>
                <w:szCs w:val="20"/>
                <w:color w:val="auto"/>
              </w:rPr>
            </w:pPr>
            <w:r>
              <w:rPr>
                <w:rFonts w:ascii="Arial" w:cs="Arial" w:eastAsia="Arial" w:hAnsi="Arial"/>
                <w:sz w:val="19"/>
                <w:szCs w:val="19"/>
                <w:color w:val="231F20"/>
              </w:rPr>
              <w:t>—</w:t>
            </w:r>
          </w:p>
        </w:tc>
        <w:tc>
          <w:tcPr>
            <w:tcW w:w="820" w:type="dxa"/>
            <w:vAlign w:val="bottom"/>
            <w:gridSpan w:val="2"/>
            <w:shd w:val="clear" w:color="auto" w:fill="D0EBF2"/>
          </w:tcPr>
          <w:p>
            <w:pPr>
              <w:jc w:val="right"/>
              <w:ind w:right="200"/>
              <w:spacing w:after="0"/>
              <w:rPr>
                <w:sz w:val="20"/>
                <w:szCs w:val="20"/>
                <w:color w:val="auto"/>
              </w:rPr>
            </w:pPr>
            <w:r>
              <w:rPr>
                <w:rFonts w:ascii="Arial" w:cs="Arial" w:eastAsia="Arial" w:hAnsi="Arial"/>
                <w:sz w:val="19"/>
                <w:szCs w:val="19"/>
                <w:color w:val="231F20"/>
              </w:rPr>
              <w:t>—</w:t>
            </w:r>
          </w:p>
        </w:tc>
        <w:tc>
          <w:tcPr>
            <w:tcW w:w="0" w:type="dxa"/>
            <w:vAlign w:val="bottom"/>
          </w:tcPr>
          <w:p>
            <w:pPr>
              <w:spacing w:after="0"/>
              <w:rPr>
                <w:sz w:val="1"/>
                <w:szCs w:val="1"/>
                <w:color w:val="auto"/>
              </w:rPr>
            </w:pPr>
          </w:p>
        </w:tc>
      </w:tr>
      <w:tr>
        <w:trPr>
          <w:trHeight w:val="230"/>
        </w:trPr>
        <w:tc>
          <w:tcPr>
            <w:tcW w:w="42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Imputed interest</w:t>
            </w: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528</w:t>
            </w: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6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28.4</w:t>
            </w:r>
          </w:p>
        </w:tc>
        <w:tc>
          <w:tcPr>
            <w:tcW w:w="28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114</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840" w:type="dxa"/>
            <w:vAlign w:val="bottom"/>
            <w:gridSpan w:val="2"/>
            <w:shd w:val="clear" w:color="auto" w:fill="FDFDFC"/>
          </w:tcPr>
          <w:p>
            <w:pPr>
              <w:jc w:val="right"/>
              <w:ind w:right="200"/>
              <w:spacing w:after="0"/>
              <w:rPr>
                <w:sz w:val="20"/>
                <w:szCs w:val="20"/>
                <w:color w:val="auto"/>
              </w:rPr>
            </w:pPr>
            <w:r>
              <w:rPr>
                <w:rFonts w:ascii="Arial" w:cs="Arial" w:eastAsia="Arial" w:hAnsi="Arial"/>
                <w:sz w:val="19"/>
                <w:szCs w:val="19"/>
                <w:color w:val="231F20"/>
              </w:rPr>
              <w:t>(2.6)</w:t>
            </w: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6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456</w:t>
            </w:r>
          </w:p>
        </w:tc>
        <w:tc>
          <w:tcPr>
            <w:tcW w:w="120" w:type="dxa"/>
            <w:vAlign w:val="bottom"/>
            <w:tcBorders>
              <w:right w:val="single" w:sz="8" w:color="FDFDFC"/>
            </w:tcBorders>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820" w:type="dxa"/>
            <w:vAlign w:val="bottom"/>
            <w:gridSpan w:val="2"/>
            <w:shd w:val="clear" w:color="auto" w:fill="FDFDFC"/>
          </w:tcPr>
          <w:p>
            <w:pPr>
              <w:jc w:val="right"/>
              <w:ind w:right="120"/>
              <w:spacing w:after="0"/>
              <w:rPr>
                <w:sz w:val="20"/>
                <w:szCs w:val="20"/>
                <w:color w:val="auto"/>
              </w:rPr>
            </w:pPr>
            <w:r>
              <w:rPr>
                <w:rFonts w:ascii="Arial" w:cs="Arial" w:eastAsia="Arial" w:hAnsi="Arial"/>
                <w:sz w:val="19"/>
                <w:szCs w:val="19"/>
                <w:color w:val="231F20"/>
              </w:rPr>
              <w:t>(1.2)</w:t>
            </w:r>
          </w:p>
        </w:tc>
        <w:tc>
          <w:tcPr>
            <w:tcW w:w="0" w:type="dxa"/>
            <w:vAlign w:val="bottom"/>
          </w:tcPr>
          <w:p>
            <w:pPr>
              <w:spacing w:after="0"/>
              <w:rPr>
                <w:sz w:val="1"/>
                <w:szCs w:val="1"/>
                <w:color w:val="auto"/>
              </w:rPr>
            </w:pPr>
          </w:p>
        </w:tc>
      </w:tr>
      <w:tr>
        <w:trPr>
          <w:trHeight w:val="230"/>
        </w:trPr>
        <w:tc>
          <w:tcPr>
            <w:tcW w:w="42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Fair value of contingent consideration</w:t>
            </w: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(206)</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880" w:type="dxa"/>
            <w:vAlign w:val="bottom"/>
            <w:gridSpan w:val="2"/>
            <w:shd w:val="clear" w:color="auto" w:fill="D0EBF2"/>
          </w:tcPr>
          <w:p>
            <w:pPr>
              <w:jc w:val="right"/>
              <w:ind w:right="220"/>
              <w:spacing w:after="0"/>
              <w:rPr>
                <w:sz w:val="20"/>
                <w:szCs w:val="20"/>
                <w:color w:val="auto"/>
              </w:rPr>
            </w:pPr>
            <w:r>
              <w:rPr>
                <w:rFonts w:ascii="Arial" w:cs="Arial" w:eastAsia="Arial" w:hAnsi="Arial"/>
                <w:sz w:val="19"/>
                <w:szCs w:val="19"/>
                <w:color w:val="231F20"/>
              </w:rPr>
              <w:t>(11.1)</w:t>
            </w: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79</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840" w:type="dxa"/>
            <w:vAlign w:val="bottom"/>
            <w:gridSpan w:val="2"/>
            <w:shd w:val="clear" w:color="auto" w:fill="D0EBF2"/>
          </w:tcPr>
          <w:p>
            <w:pPr>
              <w:jc w:val="right"/>
              <w:ind w:right="200"/>
              <w:spacing w:after="0"/>
              <w:rPr>
                <w:sz w:val="20"/>
                <w:szCs w:val="20"/>
                <w:color w:val="auto"/>
              </w:rPr>
            </w:pPr>
            <w:r>
              <w:rPr>
                <w:rFonts w:ascii="Arial" w:cs="Arial" w:eastAsia="Arial" w:hAnsi="Arial"/>
                <w:sz w:val="19"/>
                <w:szCs w:val="19"/>
                <w:color w:val="231F20"/>
              </w:rPr>
              <w:t>(1.8)</w:t>
            </w: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760" w:type="dxa"/>
            <w:vAlign w:val="bottom"/>
            <w:tcBorders>
              <w:right w:val="single" w:sz="8" w:color="D0EBF2"/>
            </w:tcBorders>
            <w:gridSpan w:val="2"/>
            <w:shd w:val="clear" w:color="auto" w:fill="D0EBF2"/>
          </w:tcPr>
          <w:p>
            <w:pPr>
              <w:jc w:val="right"/>
              <w:spacing w:after="0"/>
              <w:rPr>
                <w:sz w:val="20"/>
                <w:szCs w:val="20"/>
                <w:color w:val="auto"/>
              </w:rPr>
            </w:pPr>
            <w:r>
              <w:rPr>
                <w:rFonts w:ascii="Arial" w:cs="Arial" w:eastAsia="Arial" w:hAnsi="Arial"/>
                <w:sz w:val="19"/>
                <w:szCs w:val="19"/>
                <w:color w:val="231F20"/>
              </w:rPr>
              <w:t>(579)</w:t>
            </w:r>
          </w:p>
        </w:tc>
        <w:tc>
          <w:tcPr>
            <w:tcW w:w="14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1.5</w:t>
            </w:r>
          </w:p>
        </w:tc>
        <w:tc>
          <w:tcPr>
            <w:tcW w:w="2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Global intangible low-taxed income inclusion</w:t>
            </w: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w w:val="99"/>
              </w:rPr>
              <w:t>(1,703)</w:t>
            </w: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80" w:type="dxa"/>
            <w:vAlign w:val="bottom"/>
            <w:gridSpan w:val="2"/>
            <w:shd w:val="clear" w:color="auto" w:fill="FDFDFC"/>
          </w:tcPr>
          <w:p>
            <w:pPr>
              <w:jc w:val="right"/>
              <w:ind w:right="220"/>
              <w:spacing w:after="0"/>
              <w:rPr>
                <w:sz w:val="20"/>
                <w:szCs w:val="20"/>
                <w:color w:val="auto"/>
              </w:rPr>
            </w:pPr>
            <w:r>
              <w:rPr>
                <w:rFonts w:ascii="Arial" w:cs="Arial" w:eastAsia="Arial" w:hAnsi="Arial"/>
                <w:sz w:val="19"/>
                <w:szCs w:val="19"/>
                <w:color w:val="231F20"/>
              </w:rPr>
              <w:t>(91.6)</w:t>
            </w: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3,128</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840" w:type="dxa"/>
            <w:vAlign w:val="bottom"/>
            <w:gridSpan w:val="2"/>
            <w:shd w:val="clear" w:color="auto" w:fill="FDFDFC"/>
          </w:tcPr>
          <w:p>
            <w:pPr>
              <w:jc w:val="right"/>
              <w:ind w:right="200"/>
              <w:spacing w:after="0"/>
              <w:rPr>
                <w:sz w:val="20"/>
                <w:szCs w:val="20"/>
                <w:color w:val="auto"/>
              </w:rPr>
            </w:pPr>
            <w:r>
              <w:rPr>
                <w:rFonts w:ascii="Arial" w:cs="Arial" w:eastAsia="Arial" w:hAnsi="Arial"/>
                <w:sz w:val="19"/>
                <w:szCs w:val="19"/>
                <w:color w:val="231F20"/>
              </w:rPr>
              <w:t>(71.9)</w:t>
            </w: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6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391</w:t>
            </w:r>
          </w:p>
        </w:tc>
        <w:tc>
          <w:tcPr>
            <w:tcW w:w="120" w:type="dxa"/>
            <w:vAlign w:val="bottom"/>
            <w:tcBorders>
              <w:right w:val="single" w:sz="8" w:color="FDFDFC"/>
            </w:tcBorders>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820" w:type="dxa"/>
            <w:vAlign w:val="bottom"/>
            <w:gridSpan w:val="2"/>
            <w:shd w:val="clear" w:color="auto" w:fill="FDFDFC"/>
          </w:tcPr>
          <w:p>
            <w:pPr>
              <w:jc w:val="right"/>
              <w:ind w:right="120"/>
              <w:spacing w:after="0"/>
              <w:rPr>
                <w:sz w:val="20"/>
                <w:szCs w:val="20"/>
                <w:color w:val="auto"/>
              </w:rPr>
            </w:pPr>
            <w:r>
              <w:rPr>
                <w:rFonts w:ascii="Arial" w:cs="Arial" w:eastAsia="Arial" w:hAnsi="Arial"/>
                <w:sz w:val="19"/>
                <w:szCs w:val="19"/>
                <w:color w:val="231F20"/>
              </w:rPr>
              <w:t>(1.0)</w:t>
            </w:r>
          </w:p>
        </w:tc>
        <w:tc>
          <w:tcPr>
            <w:tcW w:w="0" w:type="dxa"/>
            <w:vAlign w:val="bottom"/>
          </w:tcPr>
          <w:p>
            <w:pPr>
              <w:spacing w:after="0"/>
              <w:rPr>
                <w:sz w:val="1"/>
                <w:szCs w:val="1"/>
                <w:color w:val="auto"/>
              </w:rPr>
            </w:pPr>
          </w:p>
        </w:tc>
      </w:tr>
      <w:tr>
        <w:trPr>
          <w:trHeight w:val="230"/>
        </w:trPr>
        <w:tc>
          <w:tcPr>
            <w:tcW w:w="42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Equity-based compensation</w:t>
            </w: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749</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6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40.3</w:t>
            </w:r>
          </w:p>
        </w:tc>
        <w:tc>
          <w:tcPr>
            <w:tcW w:w="28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720" w:type="dxa"/>
            <w:vAlign w:val="bottom"/>
            <w:gridSpan w:val="2"/>
            <w:shd w:val="clear" w:color="auto" w:fill="D0EBF2"/>
          </w:tcPr>
          <w:p>
            <w:pPr>
              <w:jc w:val="right"/>
              <w:spacing w:after="0"/>
              <w:rPr>
                <w:sz w:val="20"/>
                <w:szCs w:val="20"/>
                <w:color w:val="auto"/>
              </w:rPr>
            </w:pPr>
            <w:r>
              <w:rPr>
                <w:rFonts w:ascii="Arial" w:cs="Arial" w:eastAsia="Arial" w:hAnsi="Arial"/>
                <w:sz w:val="19"/>
                <w:szCs w:val="19"/>
                <w:color w:val="231F20"/>
              </w:rPr>
              <w:t>(4,668)</w:t>
            </w:r>
          </w:p>
        </w:tc>
        <w:tc>
          <w:tcPr>
            <w:tcW w:w="140" w:type="dxa"/>
            <w:vAlign w:val="bottom"/>
            <w:shd w:val="clear" w:color="auto" w:fill="D0EBF2"/>
          </w:tcPr>
          <w:p>
            <w:pPr>
              <w:spacing w:after="0"/>
              <w:rPr>
                <w:sz w:val="20"/>
                <w:szCs w:val="20"/>
                <w:color w:val="auto"/>
              </w:rPr>
            </w:pPr>
          </w:p>
        </w:tc>
        <w:tc>
          <w:tcPr>
            <w:tcW w:w="58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107.3</w:t>
            </w:r>
          </w:p>
        </w:tc>
        <w:tc>
          <w:tcPr>
            <w:tcW w:w="26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760" w:type="dxa"/>
            <w:vAlign w:val="bottom"/>
            <w:tcBorders>
              <w:right w:val="single" w:sz="8" w:color="D0EBF2"/>
            </w:tcBorders>
            <w:gridSpan w:val="2"/>
            <w:shd w:val="clear" w:color="auto" w:fill="D0EBF2"/>
          </w:tcPr>
          <w:p>
            <w:pPr>
              <w:jc w:val="right"/>
              <w:spacing w:after="0"/>
              <w:rPr>
                <w:sz w:val="20"/>
                <w:szCs w:val="20"/>
                <w:color w:val="auto"/>
              </w:rPr>
            </w:pPr>
            <w:r>
              <w:rPr>
                <w:rFonts w:ascii="Arial" w:cs="Arial" w:eastAsia="Arial" w:hAnsi="Arial"/>
                <w:sz w:val="19"/>
                <w:szCs w:val="19"/>
                <w:color w:val="231F20"/>
              </w:rPr>
              <w:t>(3,538)</w:t>
            </w:r>
          </w:p>
        </w:tc>
        <w:tc>
          <w:tcPr>
            <w:tcW w:w="14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9.5</w:t>
            </w:r>
          </w:p>
        </w:tc>
        <w:tc>
          <w:tcPr>
            <w:tcW w:w="2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Research and development credits</w:t>
            </w: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w w:val="99"/>
              </w:rPr>
              <w:t>(7,714)</w:t>
            </w: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80" w:type="dxa"/>
            <w:vAlign w:val="bottom"/>
            <w:gridSpan w:val="2"/>
            <w:shd w:val="clear" w:color="auto" w:fill="FDFDFC"/>
          </w:tcPr>
          <w:p>
            <w:pPr>
              <w:jc w:val="right"/>
              <w:ind w:right="220"/>
              <w:spacing w:after="0"/>
              <w:rPr>
                <w:sz w:val="20"/>
                <w:szCs w:val="20"/>
                <w:color w:val="auto"/>
              </w:rPr>
            </w:pPr>
            <w:r>
              <w:rPr>
                <w:rFonts w:ascii="Arial" w:cs="Arial" w:eastAsia="Arial" w:hAnsi="Arial"/>
                <w:sz w:val="19"/>
                <w:szCs w:val="19"/>
                <w:color w:val="231F20"/>
              </w:rPr>
              <w:t>(414.7)</w:t>
            </w: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860" w:type="dxa"/>
            <w:vAlign w:val="bottom"/>
            <w:gridSpan w:val="3"/>
            <w:shd w:val="clear" w:color="auto" w:fill="FDFDFC"/>
          </w:tcPr>
          <w:p>
            <w:pPr>
              <w:jc w:val="right"/>
              <w:ind w:right="260"/>
              <w:spacing w:after="0"/>
              <w:rPr>
                <w:sz w:val="20"/>
                <w:szCs w:val="20"/>
                <w:color w:val="auto"/>
              </w:rPr>
            </w:pPr>
            <w:r>
              <w:rPr>
                <w:rFonts w:ascii="Arial" w:cs="Arial" w:eastAsia="Arial" w:hAnsi="Arial"/>
                <w:sz w:val="19"/>
                <w:szCs w:val="19"/>
                <w:color w:val="231F20"/>
              </w:rPr>
              <w:t>—</w:t>
            </w:r>
          </w:p>
        </w:tc>
        <w:tc>
          <w:tcPr>
            <w:tcW w:w="840" w:type="dxa"/>
            <w:vAlign w:val="bottom"/>
            <w:gridSpan w:val="2"/>
            <w:shd w:val="clear" w:color="auto" w:fill="FDFDFC"/>
          </w:tcPr>
          <w:p>
            <w:pPr>
              <w:jc w:val="right"/>
              <w:ind w:right="280"/>
              <w:spacing w:after="0"/>
              <w:rPr>
                <w:sz w:val="20"/>
                <w:szCs w:val="20"/>
                <w:color w:val="auto"/>
              </w:rPr>
            </w:pPr>
            <w:r>
              <w:rPr>
                <w:rFonts w:ascii="Arial" w:cs="Arial" w:eastAsia="Arial" w:hAnsi="Arial"/>
                <w:sz w:val="19"/>
                <w:szCs w:val="19"/>
                <w:color w:val="231F20"/>
              </w:rPr>
              <w:t>—</w:t>
            </w: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900" w:type="dxa"/>
            <w:vAlign w:val="bottom"/>
            <w:gridSpan w:val="3"/>
            <w:shd w:val="clear" w:color="auto" w:fill="FDFDFC"/>
          </w:tcPr>
          <w:p>
            <w:pPr>
              <w:jc w:val="right"/>
              <w:ind w:right="280"/>
              <w:spacing w:after="0"/>
              <w:rPr>
                <w:sz w:val="20"/>
                <w:szCs w:val="20"/>
                <w:color w:val="auto"/>
              </w:rPr>
            </w:pPr>
            <w:r>
              <w:rPr>
                <w:rFonts w:ascii="Arial" w:cs="Arial" w:eastAsia="Arial" w:hAnsi="Arial"/>
                <w:sz w:val="19"/>
                <w:szCs w:val="19"/>
                <w:color w:val="231F20"/>
              </w:rPr>
              <w:t>—</w:t>
            </w:r>
          </w:p>
        </w:tc>
        <w:tc>
          <w:tcPr>
            <w:tcW w:w="820" w:type="dxa"/>
            <w:vAlign w:val="bottom"/>
            <w:gridSpan w:val="2"/>
            <w:shd w:val="clear" w:color="auto" w:fill="FDFDFC"/>
          </w:tcPr>
          <w:p>
            <w:pPr>
              <w:jc w:val="right"/>
              <w:ind w:right="200"/>
              <w:spacing w:after="0"/>
              <w:rPr>
                <w:sz w:val="20"/>
                <w:szCs w:val="20"/>
                <w:color w:val="auto"/>
              </w:rPr>
            </w:pPr>
            <w:r>
              <w:rPr>
                <w:rFonts w:ascii="Arial" w:cs="Arial" w:eastAsia="Arial" w:hAnsi="Arial"/>
                <w:sz w:val="19"/>
                <w:szCs w:val="19"/>
                <w:color w:val="231F20"/>
              </w:rPr>
              <w:t>—</w:t>
            </w:r>
          </w:p>
        </w:tc>
        <w:tc>
          <w:tcPr>
            <w:tcW w:w="0" w:type="dxa"/>
            <w:vAlign w:val="bottom"/>
          </w:tcPr>
          <w:p>
            <w:pPr>
              <w:spacing w:after="0"/>
              <w:rPr>
                <w:sz w:val="1"/>
                <w:szCs w:val="1"/>
                <w:color w:val="auto"/>
              </w:rPr>
            </w:pPr>
          </w:p>
        </w:tc>
      </w:tr>
      <w:tr>
        <w:trPr>
          <w:trHeight w:val="230"/>
        </w:trPr>
        <w:tc>
          <w:tcPr>
            <w:tcW w:w="42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Excess executive compensation</w:t>
            </w: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3,199</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6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172.0</w:t>
            </w:r>
          </w:p>
        </w:tc>
        <w:tc>
          <w:tcPr>
            <w:tcW w:w="28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1,865</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840" w:type="dxa"/>
            <w:vAlign w:val="bottom"/>
            <w:gridSpan w:val="2"/>
            <w:shd w:val="clear" w:color="auto" w:fill="D0EBF2"/>
          </w:tcPr>
          <w:p>
            <w:pPr>
              <w:jc w:val="right"/>
              <w:ind w:right="200"/>
              <w:spacing w:after="0"/>
              <w:rPr>
                <w:sz w:val="20"/>
                <w:szCs w:val="20"/>
                <w:color w:val="auto"/>
              </w:rPr>
            </w:pPr>
            <w:r>
              <w:rPr>
                <w:rFonts w:ascii="Arial" w:cs="Arial" w:eastAsia="Arial" w:hAnsi="Arial"/>
                <w:sz w:val="19"/>
                <w:szCs w:val="19"/>
                <w:color w:val="231F20"/>
              </w:rPr>
              <w:t>(42.9)</w:t>
            </w: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6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1,267</w:t>
            </w:r>
          </w:p>
        </w:tc>
        <w:tc>
          <w:tcPr>
            <w:tcW w:w="120" w:type="dxa"/>
            <w:vAlign w:val="bottom"/>
            <w:tcBorders>
              <w:right w:val="single" w:sz="8" w:color="D0EBF2"/>
            </w:tcBorders>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820" w:type="dxa"/>
            <w:vAlign w:val="bottom"/>
            <w:gridSpan w:val="2"/>
            <w:shd w:val="clear" w:color="auto" w:fill="D0EBF2"/>
          </w:tcPr>
          <w:p>
            <w:pPr>
              <w:jc w:val="right"/>
              <w:ind w:right="120"/>
              <w:spacing w:after="0"/>
              <w:rPr>
                <w:sz w:val="20"/>
                <w:szCs w:val="20"/>
                <w:color w:val="auto"/>
              </w:rPr>
            </w:pPr>
            <w:r>
              <w:rPr>
                <w:rFonts w:ascii="Arial" w:cs="Arial" w:eastAsia="Arial" w:hAnsi="Arial"/>
                <w:sz w:val="19"/>
                <w:szCs w:val="19"/>
                <w:color w:val="231F20"/>
              </w:rPr>
              <w:t>(3.4)</w:t>
            </w:r>
          </w:p>
        </w:tc>
        <w:tc>
          <w:tcPr>
            <w:tcW w:w="0" w:type="dxa"/>
            <w:vAlign w:val="bottom"/>
          </w:tcPr>
          <w:p>
            <w:pPr>
              <w:spacing w:after="0"/>
              <w:rPr>
                <w:sz w:val="1"/>
                <w:szCs w:val="1"/>
                <w:color w:val="auto"/>
              </w:rPr>
            </w:pPr>
          </w:p>
        </w:tc>
      </w:tr>
      <w:tr>
        <w:trPr>
          <w:trHeight w:val="230"/>
        </w:trPr>
        <w:tc>
          <w:tcPr>
            <w:tcW w:w="42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Change in uncertain tax position</w:t>
            </w: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568</w:t>
            </w: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6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30.5</w:t>
            </w:r>
          </w:p>
        </w:tc>
        <w:tc>
          <w:tcPr>
            <w:tcW w:w="28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720" w:type="dxa"/>
            <w:vAlign w:val="bottom"/>
            <w:gridSpan w:val="2"/>
            <w:shd w:val="clear" w:color="auto" w:fill="FDFDFC"/>
          </w:tcPr>
          <w:p>
            <w:pPr>
              <w:jc w:val="right"/>
              <w:spacing w:after="0"/>
              <w:rPr>
                <w:sz w:val="20"/>
                <w:szCs w:val="20"/>
                <w:color w:val="auto"/>
              </w:rPr>
            </w:pPr>
            <w:r>
              <w:rPr>
                <w:rFonts w:ascii="Arial" w:cs="Arial" w:eastAsia="Arial" w:hAnsi="Arial"/>
                <w:sz w:val="19"/>
                <w:szCs w:val="19"/>
                <w:color w:val="231F20"/>
              </w:rPr>
              <w:t>(30)</w:t>
            </w:r>
          </w:p>
        </w:tc>
        <w:tc>
          <w:tcPr>
            <w:tcW w:w="140" w:type="dxa"/>
            <w:vAlign w:val="bottom"/>
            <w:shd w:val="clear" w:color="auto" w:fill="FDFDFC"/>
          </w:tcPr>
          <w:p>
            <w:pPr>
              <w:spacing w:after="0"/>
              <w:rPr>
                <w:sz w:val="20"/>
                <w:szCs w:val="20"/>
                <w:color w:val="auto"/>
              </w:rPr>
            </w:pPr>
          </w:p>
        </w:tc>
        <w:tc>
          <w:tcPr>
            <w:tcW w:w="58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0.7</w:t>
            </w:r>
          </w:p>
        </w:tc>
        <w:tc>
          <w:tcPr>
            <w:tcW w:w="26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760" w:type="dxa"/>
            <w:vAlign w:val="bottom"/>
            <w:tcBorders>
              <w:right w:val="single" w:sz="8" w:color="FDFDFC"/>
            </w:tcBorders>
            <w:gridSpan w:val="2"/>
            <w:shd w:val="clear" w:color="auto" w:fill="FDFDFC"/>
          </w:tcPr>
          <w:p>
            <w:pPr>
              <w:jc w:val="right"/>
              <w:spacing w:after="0"/>
              <w:rPr>
                <w:sz w:val="20"/>
                <w:szCs w:val="20"/>
                <w:color w:val="auto"/>
              </w:rPr>
            </w:pPr>
            <w:r>
              <w:rPr>
                <w:rFonts w:ascii="Arial" w:cs="Arial" w:eastAsia="Arial" w:hAnsi="Arial"/>
                <w:sz w:val="19"/>
                <w:szCs w:val="19"/>
                <w:color w:val="231F20"/>
              </w:rPr>
              <w:t>(68)</w:t>
            </w:r>
          </w:p>
        </w:tc>
        <w:tc>
          <w:tcPr>
            <w:tcW w:w="140" w:type="dxa"/>
            <w:vAlign w:val="bottom"/>
            <w:shd w:val="clear" w:color="auto" w:fill="FDFDFC"/>
          </w:tcPr>
          <w:p>
            <w:pPr>
              <w:spacing w:after="0"/>
              <w:rPr>
                <w:sz w:val="20"/>
                <w:szCs w:val="20"/>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0.2</w:t>
            </w:r>
          </w:p>
        </w:tc>
        <w:tc>
          <w:tcPr>
            <w:tcW w:w="2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Change in valuation allowance</w:t>
            </w: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3,087</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6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165.9</w:t>
            </w:r>
          </w:p>
        </w:tc>
        <w:tc>
          <w:tcPr>
            <w:tcW w:w="28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2,734</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840" w:type="dxa"/>
            <w:vAlign w:val="bottom"/>
            <w:gridSpan w:val="2"/>
            <w:shd w:val="clear" w:color="auto" w:fill="D0EBF2"/>
          </w:tcPr>
          <w:p>
            <w:pPr>
              <w:jc w:val="right"/>
              <w:ind w:right="200"/>
              <w:spacing w:after="0"/>
              <w:rPr>
                <w:sz w:val="20"/>
                <w:szCs w:val="20"/>
                <w:color w:val="auto"/>
              </w:rPr>
            </w:pPr>
            <w:r>
              <w:rPr>
                <w:rFonts w:ascii="Arial" w:cs="Arial" w:eastAsia="Arial" w:hAnsi="Arial"/>
                <w:sz w:val="19"/>
                <w:szCs w:val="19"/>
                <w:color w:val="231F20"/>
              </w:rPr>
              <w:t>(62.8)</w:t>
            </w: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6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13,797</w:t>
            </w:r>
          </w:p>
        </w:tc>
        <w:tc>
          <w:tcPr>
            <w:tcW w:w="120" w:type="dxa"/>
            <w:vAlign w:val="bottom"/>
            <w:tcBorders>
              <w:right w:val="single" w:sz="8" w:color="D0EBF2"/>
            </w:tcBorders>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820" w:type="dxa"/>
            <w:vAlign w:val="bottom"/>
            <w:gridSpan w:val="2"/>
            <w:shd w:val="clear" w:color="auto" w:fill="D0EBF2"/>
          </w:tcPr>
          <w:p>
            <w:pPr>
              <w:jc w:val="right"/>
              <w:ind w:right="120"/>
              <w:spacing w:after="0"/>
              <w:rPr>
                <w:sz w:val="20"/>
                <w:szCs w:val="20"/>
                <w:color w:val="auto"/>
              </w:rPr>
            </w:pPr>
            <w:r>
              <w:rPr>
                <w:rFonts w:ascii="Arial" w:cs="Arial" w:eastAsia="Arial" w:hAnsi="Arial"/>
                <w:sz w:val="19"/>
                <w:szCs w:val="19"/>
                <w:color w:val="231F20"/>
              </w:rPr>
              <w:t>(36.9)</w:t>
            </w:r>
          </w:p>
        </w:tc>
        <w:tc>
          <w:tcPr>
            <w:tcW w:w="0" w:type="dxa"/>
            <w:vAlign w:val="bottom"/>
          </w:tcPr>
          <w:p>
            <w:pPr>
              <w:spacing w:after="0"/>
              <w:rPr>
                <w:sz w:val="1"/>
                <w:szCs w:val="1"/>
                <w:color w:val="auto"/>
              </w:rPr>
            </w:pPr>
          </w:p>
        </w:tc>
      </w:tr>
      <w:tr>
        <w:trPr>
          <w:trHeight w:val="230"/>
        </w:trPr>
        <w:tc>
          <w:tcPr>
            <w:tcW w:w="42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Foreign rate differential</w:t>
            </w: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746</w:t>
            </w: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6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40.1</w:t>
            </w:r>
          </w:p>
        </w:tc>
        <w:tc>
          <w:tcPr>
            <w:tcW w:w="28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1,015</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840" w:type="dxa"/>
            <w:vAlign w:val="bottom"/>
            <w:gridSpan w:val="2"/>
            <w:shd w:val="clear" w:color="auto" w:fill="FDFDFC"/>
          </w:tcPr>
          <w:p>
            <w:pPr>
              <w:jc w:val="right"/>
              <w:ind w:right="200"/>
              <w:spacing w:after="0"/>
              <w:rPr>
                <w:sz w:val="20"/>
                <w:szCs w:val="20"/>
                <w:color w:val="auto"/>
              </w:rPr>
            </w:pPr>
            <w:r>
              <w:rPr>
                <w:rFonts w:ascii="Arial" w:cs="Arial" w:eastAsia="Arial" w:hAnsi="Arial"/>
                <w:sz w:val="19"/>
                <w:szCs w:val="19"/>
                <w:color w:val="231F20"/>
              </w:rPr>
              <w:t>(23.3)</w:t>
            </w: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6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491</w:t>
            </w:r>
          </w:p>
        </w:tc>
        <w:tc>
          <w:tcPr>
            <w:tcW w:w="120" w:type="dxa"/>
            <w:vAlign w:val="bottom"/>
            <w:tcBorders>
              <w:right w:val="single" w:sz="8" w:color="FDFDFC"/>
            </w:tcBorders>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820" w:type="dxa"/>
            <w:vAlign w:val="bottom"/>
            <w:gridSpan w:val="2"/>
            <w:shd w:val="clear" w:color="auto" w:fill="FDFDFC"/>
          </w:tcPr>
          <w:p>
            <w:pPr>
              <w:jc w:val="right"/>
              <w:ind w:right="120"/>
              <w:spacing w:after="0"/>
              <w:rPr>
                <w:sz w:val="20"/>
                <w:szCs w:val="20"/>
                <w:color w:val="auto"/>
              </w:rPr>
            </w:pPr>
            <w:r>
              <w:rPr>
                <w:rFonts w:ascii="Arial" w:cs="Arial" w:eastAsia="Arial" w:hAnsi="Arial"/>
                <w:sz w:val="19"/>
                <w:szCs w:val="19"/>
                <w:color w:val="231F20"/>
              </w:rPr>
              <w:t>(1.3)</w:t>
            </w:r>
          </w:p>
        </w:tc>
        <w:tc>
          <w:tcPr>
            <w:tcW w:w="0" w:type="dxa"/>
            <w:vAlign w:val="bottom"/>
          </w:tcPr>
          <w:p>
            <w:pPr>
              <w:spacing w:after="0"/>
              <w:rPr>
                <w:sz w:val="1"/>
                <w:szCs w:val="1"/>
                <w:color w:val="auto"/>
              </w:rPr>
            </w:pPr>
          </w:p>
        </w:tc>
      </w:tr>
      <w:tr>
        <w:trPr>
          <w:trHeight w:val="230"/>
        </w:trPr>
        <w:tc>
          <w:tcPr>
            <w:tcW w:w="42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Deferred statutory rate changes</w:t>
            </w: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760</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6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40.9</w:t>
            </w:r>
          </w:p>
        </w:tc>
        <w:tc>
          <w:tcPr>
            <w:tcW w:w="28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1,296</w:t>
            </w:r>
          </w:p>
        </w:tc>
        <w:tc>
          <w:tcPr>
            <w:tcW w:w="1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840" w:type="dxa"/>
            <w:vAlign w:val="bottom"/>
            <w:gridSpan w:val="2"/>
            <w:shd w:val="clear" w:color="auto" w:fill="D0EBF2"/>
          </w:tcPr>
          <w:p>
            <w:pPr>
              <w:jc w:val="right"/>
              <w:ind w:right="200"/>
              <w:spacing w:after="0"/>
              <w:rPr>
                <w:sz w:val="20"/>
                <w:szCs w:val="20"/>
                <w:color w:val="auto"/>
              </w:rPr>
            </w:pPr>
            <w:r>
              <w:rPr>
                <w:rFonts w:ascii="Arial" w:cs="Arial" w:eastAsia="Arial" w:hAnsi="Arial"/>
                <w:sz w:val="19"/>
                <w:szCs w:val="19"/>
                <w:color w:val="231F20"/>
              </w:rPr>
              <w:t>(29.8)</w:t>
            </w: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760" w:type="dxa"/>
            <w:vAlign w:val="bottom"/>
            <w:tcBorders>
              <w:right w:val="single" w:sz="8" w:color="D0EBF2"/>
            </w:tcBorders>
            <w:gridSpan w:val="2"/>
            <w:shd w:val="clear" w:color="auto" w:fill="D0EBF2"/>
          </w:tcPr>
          <w:p>
            <w:pPr>
              <w:jc w:val="right"/>
              <w:spacing w:after="0"/>
              <w:rPr>
                <w:sz w:val="20"/>
                <w:szCs w:val="20"/>
                <w:color w:val="auto"/>
              </w:rPr>
            </w:pPr>
            <w:r>
              <w:rPr>
                <w:rFonts w:ascii="Arial" w:cs="Arial" w:eastAsia="Arial" w:hAnsi="Arial"/>
                <w:sz w:val="19"/>
                <w:szCs w:val="19"/>
                <w:color w:val="231F20"/>
              </w:rPr>
              <w:t>(367)</w:t>
            </w:r>
          </w:p>
        </w:tc>
        <w:tc>
          <w:tcPr>
            <w:tcW w:w="14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1.0</w:t>
            </w:r>
          </w:p>
        </w:tc>
        <w:tc>
          <w:tcPr>
            <w:tcW w:w="2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Foreign withholding taxes</w:t>
            </w: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181</w:t>
            </w: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6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9.7</w:t>
            </w:r>
          </w:p>
        </w:tc>
        <w:tc>
          <w:tcPr>
            <w:tcW w:w="28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137</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840" w:type="dxa"/>
            <w:vAlign w:val="bottom"/>
            <w:gridSpan w:val="2"/>
            <w:shd w:val="clear" w:color="auto" w:fill="FDFDFC"/>
          </w:tcPr>
          <w:p>
            <w:pPr>
              <w:jc w:val="right"/>
              <w:ind w:right="200"/>
              <w:spacing w:after="0"/>
              <w:rPr>
                <w:sz w:val="20"/>
                <w:szCs w:val="20"/>
                <w:color w:val="auto"/>
              </w:rPr>
            </w:pPr>
            <w:r>
              <w:rPr>
                <w:rFonts w:ascii="Arial" w:cs="Arial" w:eastAsia="Arial" w:hAnsi="Arial"/>
                <w:sz w:val="19"/>
                <w:szCs w:val="19"/>
                <w:color w:val="231F20"/>
              </w:rPr>
              <w:t>(3.1)</w:t>
            </w: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900" w:type="dxa"/>
            <w:vAlign w:val="bottom"/>
            <w:gridSpan w:val="3"/>
            <w:shd w:val="clear" w:color="auto" w:fill="FDFDFC"/>
          </w:tcPr>
          <w:p>
            <w:pPr>
              <w:jc w:val="right"/>
              <w:ind w:right="280"/>
              <w:spacing w:after="0"/>
              <w:rPr>
                <w:sz w:val="20"/>
                <w:szCs w:val="20"/>
                <w:color w:val="auto"/>
              </w:rPr>
            </w:pPr>
            <w:r>
              <w:rPr>
                <w:rFonts w:ascii="Arial" w:cs="Arial" w:eastAsia="Arial" w:hAnsi="Arial"/>
                <w:sz w:val="19"/>
                <w:szCs w:val="19"/>
                <w:color w:val="231F20"/>
              </w:rPr>
              <w:t>—</w:t>
            </w:r>
          </w:p>
        </w:tc>
        <w:tc>
          <w:tcPr>
            <w:tcW w:w="820" w:type="dxa"/>
            <w:vAlign w:val="bottom"/>
            <w:gridSpan w:val="2"/>
            <w:shd w:val="clear" w:color="auto" w:fill="FDFDFC"/>
          </w:tcPr>
          <w:p>
            <w:pPr>
              <w:jc w:val="right"/>
              <w:ind w:right="200"/>
              <w:spacing w:after="0"/>
              <w:rPr>
                <w:sz w:val="20"/>
                <w:szCs w:val="20"/>
                <w:color w:val="auto"/>
              </w:rPr>
            </w:pPr>
            <w:r>
              <w:rPr>
                <w:rFonts w:ascii="Arial" w:cs="Arial" w:eastAsia="Arial" w:hAnsi="Arial"/>
                <w:sz w:val="19"/>
                <w:szCs w:val="19"/>
                <w:color w:val="231F20"/>
              </w:rPr>
              <w:t>—</w:t>
            </w:r>
          </w:p>
        </w:tc>
        <w:tc>
          <w:tcPr>
            <w:tcW w:w="0" w:type="dxa"/>
            <w:vAlign w:val="bottom"/>
          </w:tcPr>
          <w:p>
            <w:pPr>
              <w:spacing w:after="0"/>
              <w:rPr>
                <w:sz w:val="1"/>
                <w:szCs w:val="1"/>
                <w:color w:val="auto"/>
              </w:rPr>
            </w:pPr>
          </w:p>
        </w:tc>
      </w:tr>
      <w:tr>
        <w:trPr>
          <w:trHeight w:val="230"/>
        </w:trPr>
        <w:tc>
          <w:tcPr>
            <w:tcW w:w="42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Return to provision and other adjustments</w:t>
            </w: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20" w:type="dxa"/>
            <w:vAlign w:val="bottom"/>
            <w:shd w:val="clear" w:color="auto" w:fill="D0EBF2"/>
          </w:tcPr>
          <w:p>
            <w:pPr>
              <w:jc w:val="right"/>
              <w:spacing w:after="0"/>
              <w:rPr>
                <w:sz w:val="20"/>
                <w:szCs w:val="20"/>
                <w:color w:val="auto"/>
              </w:rPr>
            </w:pPr>
            <w:r>
              <w:rPr>
                <w:rFonts w:ascii="Arial" w:cs="Arial" w:eastAsia="Arial" w:hAnsi="Arial"/>
                <w:sz w:val="19"/>
                <w:szCs w:val="19"/>
                <w:color w:val="231F20"/>
                <w:w w:val="99"/>
              </w:rPr>
              <w:t>(1,717)</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880" w:type="dxa"/>
            <w:vAlign w:val="bottom"/>
            <w:gridSpan w:val="2"/>
            <w:shd w:val="clear" w:color="auto" w:fill="D0EBF2"/>
          </w:tcPr>
          <w:p>
            <w:pPr>
              <w:jc w:val="right"/>
              <w:ind w:right="220"/>
              <w:spacing w:after="0"/>
              <w:rPr>
                <w:sz w:val="20"/>
                <w:szCs w:val="20"/>
                <w:color w:val="auto"/>
              </w:rPr>
            </w:pPr>
            <w:r>
              <w:rPr>
                <w:rFonts w:ascii="Arial" w:cs="Arial" w:eastAsia="Arial" w:hAnsi="Arial"/>
                <w:sz w:val="19"/>
                <w:szCs w:val="19"/>
                <w:color w:val="231F20"/>
              </w:rPr>
              <w:t>(92.2)</w:t>
            </w: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720" w:type="dxa"/>
            <w:vAlign w:val="bottom"/>
            <w:gridSpan w:val="2"/>
            <w:shd w:val="clear" w:color="auto" w:fill="D0EBF2"/>
          </w:tcPr>
          <w:p>
            <w:pPr>
              <w:jc w:val="right"/>
              <w:spacing w:after="0"/>
              <w:rPr>
                <w:sz w:val="20"/>
                <w:szCs w:val="20"/>
                <w:color w:val="auto"/>
              </w:rPr>
            </w:pPr>
            <w:r>
              <w:rPr>
                <w:rFonts w:ascii="Arial" w:cs="Arial" w:eastAsia="Arial" w:hAnsi="Arial"/>
                <w:sz w:val="19"/>
                <w:szCs w:val="19"/>
                <w:color w:val="231F20"/>
              </w:rPr>
              <w:t>(2)</w:t>
            </w:r>
          </w:p>
        </w:tc>
        <w:tc>
          <w:tcPr>
            <w:tcW w:w="140" w:type="dxa"/>
            <w:vAlign w:val="bottom"/>
            <w:shd w:val="clear" w:color="auto" w:fill="D0EBF2"/>
          </w:tcPr>
          <w:p>
            <w:pPr>
              <w:spacing w:after="0"/>
              <w:rPr>
                <w:sz w:val="20"/>
                <w:szCs w:val="20"/>
                <w:color w:val="auto"/>
              </w:rPr>
            </w:pPr>
          </w:p>
        </w:tc>
        <w:tc>
          <w:tcPr>
            <w:tcW w:w="840" w:type="dxa"/>
            <w:vAlign w:val="bottom"/>
            <w:gridSpan w:val="2"/>
            <w:shd w:val="clear" w:color="auto" w:fill="D0EBF2"/>
          </w:tcPr>
          <w:p>
            <w:pPr>
              <w:jc w:val="right"/>
              <w:ind w:right="280"/>
              <w:spacing w:after="0"/>
              <w:rPr>
                <w:sz w:val="20"/>
                <w:szCs w:val="20"/>
                <w:color w:val="auto"/>
              </w:rPr>
            </w:pPr>
            <w:r>
              <w:rPr>
                <w:rFonts w:ascii="Arial" w:cs="Arial" w:eastAsia="Arial" w:hAnsi="Arial"/>
                <w:sz w:val="19"/>
                <w:szCs w:val="19"/>
                <w:color w:val="231F20"/>
              </w:rPr>
              <w:t>—</w:t>
            </w: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6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211</w:t>
            </w:r>
          </w:p>
        </w:tc>
        <w:tc>
          <w:tcPr>
            <w:tcW w:w="120" w:type="dxa"/>
            <w:vAlign w:val="bottom"/>
            <w:tcBorders>
              <w:right w:val="single" w:sz="8" w:color="D0EBF2"/>
            </w:tcBorders>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820" w:type="dxa"/>
            <w:vAlign w:val="bottom"/>
            <w:gridSpan w:val="2"/>
            <w:shd w:val="clear" w:color="auto" w:fill="D0EBF2"/>
          </w:tcPr>
          <w:p>
            <w:pPr>
              <w:jc w:val="right"/>
              <w:ind w:right="120"/>
              <w:spacing w:after="0"/>
              <w:rPr>
                <w:sz w:val="20"/>
                <w:szCs w:val="20"/>
                <w:color w:val="auto"/>
              </w:rPr>
            </w:pPr>
            <w:r>
              <w:rPr>
                <w:rFonts w:ascii="Arial" w:cs="Arial" w:eastAsia="Arial" w:hAnsi="Arial"/>
                <w:sz w:val="19"/>
                <w:szCs w:val="19"/>
                <w:color w:val="231F20"/>
              </w:rPr>
              <w:t>(0.8)</w:t>
            </w: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FDFDFC"/>
          </w:tcPr>
          <w:p>
            <w:pPr>
              <w:ind w:left="520"/>
              <w:spacing w:after="0"/>
              <w:rPr>
                <w:sz w:val="20"/>
                <w:szCs w:val="20"/>
                <w:color w:val="auto"/>
              </w:rPr>
            </w:pPr>
            <w:r>
              <w:rPr>
                <w:rFonts w:ascii="Arial" w:cs="Arial" w:eastAsia="Arial" w:hAnsi="Arial"/>
                <w:sz w:val="19"/>
                <w:szCs w:val="19"/>
                <w:color w:val="231F20"/>
              </w:rPr>
              <w:t>Effective income tax rate</w:t>
            </w:r>
          </w:p>
        </w:tc>
        <w:tc>
          <w:tcPr>
            <w:tcW w:w="100" w:type="dxa"/>
            <w:vAlign w:val="bottom"/>
            <w:shd w:val="clear" w:color="auto" w:fill="FDFDFC"/>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100" w:type="dxa"/>
            <w:vAlign w:val="bottom"/>
            <w:vMerge w:val="restart"/>
            <w:shd w:val="clear" w:color="auto" w:fill="FDFDFC"/>
          </w:tcPr>
          <w:p>
            <w:pPr>
              <w:jc w:val="right"/>
              <w:spacing w:after="0"/>
              <w:rPr>
                <w:sz w:val="20"/>
                <w:szCs w:val="20"/>
                <w:color w:val="auto"/>
              </w:rPr>
            </w:pPr>
            <w:r>
              <w:rPr>
                <w:rFonts w:ascii="Arial" w:cs="Arial" w:eastAsia="Arial" w:hAnsi="Arial"/>
                <w:sz w:val="16"/>
                <w:szCs w:val="16"/>
                <w:color w:val="231F20"/>
                <w:highlight w:val="white"/>
                <w:w w:val="74"/>
              </w:rPr>
              <w:t>)</w:t>
            </w:r>
          </w:p>
        </w:tc>
        <w:tc>
          <w:tcPr>
            <w:tcW w:w="120" w:type="dxa"/>
            <w:vAlign w:val="bottom"/>
            <w:shd w:val="clear" w:color="auto" w:fill="231F20"/>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100" w:type="dxa"/>
            <w:vAlign w:val="bottom"/>
            <w:shd w:val="clear" w:color="auto" w:fill="FDFDFC"/>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58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640" w:type="dxa"/>
            <w:vAlign w:val="bottom"/>
            <w:shd w:val="clear" w:color="auto" w:fill="231F20"/>
          </w:tcPr>
          <w:p>
            <w:pPr>
              <w:spacing w:after="0" w:line="20" w:lineRule="exact"/>
              <w:rPr>
                <w:sz w:val="1"/>
                <w:szCs w:val="1"/>
                <w:color w:val="auto"/>
              </w:rPr>
            </w:pPr>
          </w:p>
        </w:tc>
        <w:tc>
          <w:tcPr>
            <w:tcW w:w="120" w:type="dxa"/>
            <w:vAlign w:val="bottom"/>
            <w:tcBorders>
              <w:right w:val="single" w:sz="8" w:color="231F20"/>
            </w:tcBorders>
            <w:shd w:val="clear" w:color="auto" w:fill="FDFDFC"/>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200" w:type="dxa"/>
            <w:vAlign w:val="bottom"/>
            <w:shd w:val="clear" w:color="auto" w:fill="FDFD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40" w:type="dxa"/>
            <w:vAlign w:val="bottom"/>
            <w:vMerge w:val="continue"/>
            <w:shd w:val="clear" w:color="auto" w:fill="FDFDFC"/>
          </w:tcPr>
          <w:p>
            <w:pPr>
              <w:spacing w:after="0"/>
              <w:rPr>
                <w:sz w:val="19"/>
                <w:szCs w:val="19"/>
                <w:color w:val="auto"/>
              </w:rPr>
            </w:pPr>
          </w:p>
        </w:tc>
        <w:tc>
          <w:tcPr>
            <w:tcW w:w="100" w:type="dxa"/>
            <w:vAlign w:val="bottom"/>
            <w:shd w:val="clear" w:color="auto" w:fill="FDFDFC"/>
          </w:tcPr>
          <w:p>
            <w:pPr>
              <w:spacing w:after="0"/>
              <w:rPr>
                <w:sz w:val="19"/>
                <w:szCs w:val="19"/>
                <w:color w:val="auto"/>
              </w:rPr>
            </w:pPr>
          </w:p>
        </w:tc>
        <w:tc>
          <w:tcPr>
            <w:tcW w:w="180" w:type="dxa"/>
            <w:vAlign w:val="bottom"/>
            <w:shd w:val="clear" w:color="auto" w:fill="FDFDFC"/>
          </w:tcPr>
          <w:p>
            <w:pPr>
              <w:jc w:val="right"/>
              <w:spacing w:after="0"/>
              <w:rPr>
                <w:sz w:val="20"/>
                <w:szCs w:val="20"/>
                <w:color w:val="auto"/>
              </w:rPr>
            </w:pPr>
            <w:r>
              <w:rPr>
                <w:rFonts w:ascii="Arial" w:cs="Arial" w:eastAsia="Arial" w:hAnsi="Arial"/>
                <w:sz w:val="19"/>
                <w:szCs w:val="19"/>
                <w:color w:val="231F20"/>
                <w:highlight w:val="white"/>
                <w:w w:val="94"/>
              </w:rPr>
              <w:t>$</w:t>
            </w: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highlight w:val="white"/>
              </w:rPr>
              <w:t>(1,040</w:t>
            </w:r>
          </w:p>
        </w:tc>
        <w:tc>
          <w:tcPr>
            <w:tcW w:w="100" w:type="dxa"/>
            <w:vAlign w:val="bottom"/>
            <w:vMerge w:val="continue"/>
            <w:shd w:val="clear" w:color="auto" w:fill="FDFDFC"/>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9"/>
                <w:szCs w:val="19"/>
                <w:color w:val="231F20"/>
              </w:rPr>
              <w:t>(55.9)%</w:t>
            </w:r>
          </w:p>
        </w:tc>
        <w:tc>
          <w:tcPr>
            <w:tcW w:w="100" w:type="dxa"/>
            <w:vAlign w:val="bottom"/>
            <w:vMerge w:val="continue"/>
          </w:tcPr>
          <w:p>
            <w:pPr>
              <w:spacing w:after="0"/>
              <w:rPr>
                <w:sz w:val="19"/>
                <w:szCs w:val="19"/>
                <w:color w:val="auto"/>
              </w:rPr>
            </w:pPr>
          </w:p>
        </w:tc>
        <w:tc>
          <w:tcPr>
            <w:tcW w:w="180" w:type="dxa"/>
            <w:vAlign w:val="bottom"/>
            <w:shd w:val="clear" w:color="auto" w:fill="FDFDFC"/>
          </w:tcPr>
          <w:p>
            <w:pPr>
              <w:jc w:val="right"/>
              <w:spacing w:after="0"/>
              <w:rPr>
                <w:sz w:val="20"/>
                <w:szCs w:val="20"/>
                <w:color w:val="auto"/>
              </w:rPr>
            </w:pPr>
            <w:r>
              <w:rPr>
                <w:rFonts w:ascii="Arial" w:cs="Arial" w:eastAsia="Arial" w:hAnsi="Arial"/>
                <w:sz w:val="19"/>
                <w:szCs w:val="19"/>
                <w:color w:val="231F20"/>
                <w:highlight w:val="white"/>
                <w:w w:val="75"/>
              </w:rPr>
              <w:t>$</w:t>
            </w: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highlight w:val="white"/>
              </w:rPr>
              <w:t>4,214</w:t>
            </w:r>
          </w:p>
        </w:tc>
        <w:tc>
          <w:tcPr>
            <w:tcW w:w="100" w:type="dxa"/>
            <w:vAlign w:val="bottom"/>
            <w:shd w:val="clear" w:color="auto" w:fill="FDFDFC"/>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9"/>
                <w:szCs w:val="19"/>
                <w:color w:val="231F20"/>
              </w:rPr>
              <w:t>(96.8)%</w:t>
            </w:r>
          </w:p>
        </w:tc>
        <w:tc>
          <w:tcPr>
            <w:tcW w:w="100" w:type="dxa"/>
            <w:vAlign w:val="bottom"/>
            <w:vMerge w:val="continue"/>
          </w:tcPr>
          <w:p>
            <w:pPr>
              <w:spacing w:after="0"/>
              <w:rPr>
                <w:sz w:val="19"/>
                <w:szCs w:val="19"/>
                <w:color w:val="auto"/>
              </w:rPr>
            </w:pPr>
          </w:p>
        </w:tc>
        <w:tc>
          <w:tcPr>
            <w:tcW w:w="160" w:type="dxa"/>
            <w:vAlign w:val="bottom"/>
            <w:shd w:val="clear" w:color="auto" w:fill="FDFDFC"/>
          </w:tcPr>
          <w:p>
            <w:pPr>
              <w:jc w:val="right"/>
              <w:spacing w:after="0"/>
              <w:rPr>
                <w:sz w:val="20"/>
                <w:szCs w:val="20"/>
                <w:color w:val="auto"/>
              </w:rPr>
            </w:pPr>
            <w:r>
              <w:rPr>
                <w:rFonts w:ascii="Arial" w:cs="Arial" w:eastAsia="Arial" w:hAnsi="Arial"/>
                <w:sz w:val="19"/>
                <w:szCs w:val="19"/>
                <w:color w:val="231F20"/>
                <w:highlight w:val="white"/>
                <w:w w:val="75"/>
              </w:rPr>
              <w:t>$</w:t>
            </w:r>
          </w:p>
        </w:tc>
        <w:tc>
          <w:tcPr>
            <w:tcW w:w="640" w:type="dxa"/>
            <w:vAlign w:val="bottom"/>
            <w:shd w:val="clear" w:color="auto" w:fill="FDFDFC"/>
          </w:tcPr>
          <w:p>
            <w:pPr>
              <w:jc w:val="right"/>
              <w:spacing w:after="0"/>
              <w:rPr>
                <w:sz w:val="20"/>
                <w:szCs w:val="20"/>
                <w:color w:val="auto"/>
              </w:rPr>
            </w:pPr>
            <w:r>
              <w:rPr>
                <w:rFonts w:ascii="Arial" w:cs="Arial" w:eastAsia="Arial" w:hAnsi="Arial"/>
                <w:sz w:val="19"/>
                <w:szCs w:val="19"/>
                <w:color w:val="231F20"/>
                <w:highlight w:val="white"/>
              </w:rPr>
              <w:t>1,988</w:t>
            </w:r>
          </w:p>
        </w:tc>
        <w:tc>
          <w:tcPr>
            <w:tcW w:w="120" w:type="dxa"/>
            <w:vAlign w:val="bottom"/>
            <w:tcBorders>
              <w:right w:val="single" w:sz="8" w:color="FDFDFC"/>
            </w:tcBorders>
            <w:shd w:val="clear" w:color="auto" w:fill="FDFDFC"/>
          </w:tcPr>
          <w:p>
            <w:pPr>
              <w:spacing w:after="0"/>
              <w:rPr>
                <w:sz w:val="19"/>
                <w:szCs w:val="19"/>
                <w:color w:val="auto"/>
              </w:rPr>
            </w:pPr>
          </w:p>
        </w:tc>
        <w:tc>
          <w:tcPr>
            <w:tcW w:w="140" w:type="dxa"/>
            <w:vAlign w:val="bottom"/>
            <w:shd w:val="clear" w:color="auto" w:fill="FDFDFC"/>
          </w:tcPr>
          <w:p>
            <w:pPr>
              <w:spacing w:after="0"/>
              <w:rPr>
                <w:sz w:val="19"/>
                <w:szCs w:val="19"/>
                <w:color w:val="auto"/>
              </w:rPr>
            </w:pPr>
          </w:p>
        </w:tc>
        <w:tc>
          <w:tcPr>
            <w:tcW w:w="6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(5.4)%</w:t>
            </w:r>
          </w:p>
        </w:tc>
        <w:tc>
          <w:tcPr>
            <w:tcW w:w="200" w:type="dxa"/>
            <w:vAlign w:val="bottom"/>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3331845</wp:posOffset>
                </wp:positionH>
                <wp:positionV relativeFrom="paragraph">
                  <wp:posOffset>-2373630</wp:posOffset>
                </wp:positionV>
                <wp:extent cx="456565" cy="14605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6565" cy="146050"/>
                        </a:xfrm>
                        <a:prstGeom prst="rect">
                          <a:avLst/>
                        </a:prstGeom>
                        <a:solidFill>
                          <a:srgbClr val="D0EBF2"/>
                        </a:solidFill>
                      </wps:spPr>
                      <wps:bodyPr/>
                    </wps:wsp>
                  </a:graphicData>
                </a:graphic>
              </wp:anchor>
            </w:drawing>
          </mc:Choice>
          <mc:Fallback>
            <w:pict>
              <v:rect id="Shape 72" o:spid="_x0000_s1097" style="position:absolute;margin-left:262.35pt;margin-top:-186.8999pt;width:35.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3788410</wp:posOffset>
                </wp:positionH>
                <wp:positionV relativeFrom="paragraph">
                  <wp:posOffset>-2379980</wp:posOffset>
                </wp:positionV>
                <wp:extent cx="233045" cy="15240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045" cy="152400"/>
                        </a:xfrm>
                        <a:prstGeom prst="rect">
                          <a:avLst/>
                        </a:prstGeom>
                        <a:solidFill>
                          <a:srgbClr val="D0EBF2"/>
                        </a:solidFill>
                      </wps:spPr>
                      <wps:bodyPr/>
                    </wps:wsp>
                  </a:graphicData>
                </a:graphic>
              </wp:anchor>
            </w:drawing>
          </mc:Choice>
          <mc:Fallback>
            <w:pict>
              <v:rect id="Shape 73" o:spid="_x0000_s1098" style="position:absolute;margin-left:298.3pt;margin-top:-187.3999pt;width:18.3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4592320</wp:posOffset>
                </wp:positionH>
                <wp:positionV relativeFrom="paragraph">
                  <wp:posOffset>-2373630</wp:posOffset>
                </wp:positionV>
                <wp:extent cx="455930" cy="14605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5930" cy="146050"/>
                        </a:xfrm>
                        <a:prstGeom prst="rect">
                          <a:avLst/>
                        </a:prstGeom>
                        <a:solidFill>
                          <a:srgbClr val="D0EBF2"/>
                        </a:solidFill>
                      </wps:spPr>
                      <wps:bodyPr/>
                    </wps:wsp>
                  </a:graphicData>
                </a:graphic>
              </wp:anchor>
            </w:drawing>
          </mc:Choice>
          <mc:Fallback>
            <w:pict>
              <v:rect id="Shape 74" o:spid="_x0000_s1099" style="position:absolute;margin-left:361.6pt;margin-top:-186.8999pt;width:35.9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5048250</wp:posOffset>
                </wp:positionH>
                <wp:positionV relativeFrom="paragraph">
                  <wp:posOffset>-2379980</wp:posOffset>
                </wp:positionV>
                <wp:extent cx="233045" cy="15240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045" cy="152400"/>
                        </a:xfrm>
                        <a:prstGeom prst="rect">
                          <a:avLst/>
                        </a:prstGeom>
                        <a:solidFill>
                          <a:srgbClr val="D0EBF2"/>
                        </a:solidFill>
                      </wps:spPr>
                      <wps:bodyPr/>
                    </wps:wsp>
                  </a:graphicData>
                </a:graphic>
              </wp:anchor>
            </w:drawing>
          </mc:Choice>
          <mc:Fallback>
            <w:pict>
              <v:rect id="Shape 75" o:spid="_x0000_s1100" style="position:absolute;margin-left:397.5pt;margin-top:-187.3999pt;width:18.3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5852160</wp:posOffset>
                </wp:positionH>
                <wp:positionV relativeFrom="paragraph">
                  <wp:posOffset>-2373630</wp:posOffset>
                </wp:positionV>
                <wp:extent cx="502920" cy="14605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920" cy="146050"/>
                        </a:xfrm>
                        <a:prstGeom prst="rect">
                          <a:avLst/>
                        </a:prstGeom>
                        <a:solidFill>
                          <a:srgbClr val="D0EBF2"/>
                        </a:solidFill>
                      </wps:spPr>
                      <wps:bodyPr/>
                    </wps:wsp>
                  </a:graphicData>
                </a:graphic>
              </wp:anchor>
            </w:drawing>
          </mc:Choice>
          <mc:Fallback>
            <w:pict>
              <v:rect id="Shape 76" o:spid="_x0000_s1101" style="position:absolute;margin-left:460.8pt;margin-top:-186.8999pt;width:39.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3331845</wp:posOffset>
                </wp:positionH>
                <wp:positionV relativeFrom="paragraph">
                  <wp:posOffset>-172720</wp:posOffset>
                </wp:positionV>
                <wp:extent cx="456565" cy="14605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6565" cy="146050"/>
                        </a:xfrm>
                        <a:prstGeom prst="rect">
                          <a:avLst/>
                        </a:prstGeom>
                        <a:solidFill>
                          <a:srgbClr val="FDFDFC"/>
                        </a:solidFill>
                      </wps:spPr>
                      <wps:bodyPr/>
                    </wps:wsp>
                  </a:graphicData>
                </a:graphic>
              </wp:anchor>
            </w:drawing>
          </mc:Choice>
          <mc:Fallback>
            <w:pict>
              <v:rect id="Shape 77" o:spid="_x0000_s1102" style="position:absolute;margin-left:262.35pt;margin-top:-13.5999pt;width:35.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3788410</wp:posOffset>
                </wp:positionH>
                <wp:positionV relativeFrom="paragraph">
                  <wp:posOffset>-179070</wp:posOffset>
                </wp:positionV>
                <wp:extent cx="233045" cy="15240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045" cy="152400"/>
                        </a:xfrm>
                        <a:prstGeom prst="rect">
                          <a:avLst/>
                        </a:prstGeom>
                        <a:solidFill>
                          <a:srgbClr val="FDFDFC"/>
                        </a:solidFill>
                      </wps:spPr>
                      <wps:bodyPr/>
                    </wps:wsp>
                  </a:graphicData>
                </a:graphic>
              </wp:anchor>
            </w:drawing>
          </mc:Choice>
          <mc:Fallback>
            <w:pict>
              <v:rect id="Shape 78" o:spid="_x0000_s1103" style="position:absolute;margin-left:298.3pt;margin-top:-14.0999pt;width:18.3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4592320</wp:posOffset>
                </wp:positionH>
                <wp:positionV relativeFrom="paragraph">
                  <wp:posOffset>-172720</wp:posOffset>
                </wp:positionV>
                <wp:extent cx="455930" cy="14605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5930" cy="146050"/>
                        </a:xfrm>
                        <a:prstGeom prst="rect">
                          <a:avLst/>
                        </a:prstGeom>
                        <a:solidFill>
                          <a:srgbClr val="FDFDFC"/>
                        </a:solidFill>
                      </wps:spPr>
                      <wps:bodyPr/>
                    </wps:wsp>
                  </a:graphicData>
                </a:graphic>
              </wp:anchor>
            </w:drawing>
          </mc:Choice>
          <mc:Fallback>
            <w:pict>
              <v:rect id="Shape 79" o:spid="_x0000_s1104" style="position:absolute;margin-left:361.6pt;margin-top:-13.5999pt;width:35.9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5048250</wp:posOffset>
                </wp:positionH>
                <wp:positionV relativeFrom="paragraph">
                  <wp:posOffset>-179070</wp:posOffset>
                </wp:positionV>
                <wp:extent cx="233045" cy="15240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045" cy="152400"/>
                        </a:xfrm>
                        <a:prstGeom prst="rect">
                          <a:avLst/>
                        </a:prstGeom>
                        <a:solidFill>
                          <a:srgbClr val="FDFDFC"/>
                        </a:solidFill>
                      </wps:spPr>
                      <wps:bodyPr/>
                    </wps:wsp>
                  </a:graphicData>
                </a:graphic>
              </wp:anchor>
            </w:drawing>
          </mc:Choice>
          <mc:Fallback>
            <w:pict>
              <v:rect id="Shape 80" o:spid="_x0000_s1105" style="position:absolute;margin-left:397.5pt;margin-top:-14.0999pt;width:18.3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p>
      <w:pPr>
        <w:spacing w:after="0" w:line="151" w:lineRule="exact"/>
        <w:rPr>
          <w:sz w:val="20"/>
          <w:szCs w:val="20"/>
          <w:color w:val="auto"/>
        </w:rPr>
      </w:pPr>
    </w:p>
    <w:p>
      <w:pPr>
        <w:ind w:right="200" w:firstLine="463"/>
        <w:spacing w:after="0" w:line="258" w:lineRule="auto"/>
        <w:rPr>
          <w:sz w:val="20"/>
          <w:szCs w:val="20"/>
          <w:color w:val="auto"/>
        </w:rPr>
      </w:pPr>
      <w:r>
        <w:rPr>
          <w:rFonts w:ascii="Arial" w:cs="Arial" w:eastAsia="Arial" w:hAnsi="Arial"/>
          <w:sz w:val="19"/>
          <w:szCs w:val="19"/>
          <w:color w:val="231F20"/>
        </w:rPr>
        <w:t>During the years ended December 31, 2024, 2023 and 2022, the Company recorded an income tax (benefit) provision of $(1.0) million, $4.2 million and $2.0 million, respectively, which is primarily attributable to foreign activity and U.S. state taxes.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The Company’s deferred tax assets and liabilities consisted of the following components (in thousands):</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145</w:t>
      </w:r>
    </w:p>
    <w:p>
      <w:pPr>
        <w:sectPr>
          <w:pgSz w:w="12240" w:h="15840" w:orient="portrait"/>
          <w:cols w:equalWidth="0" w:num="1">
            <w:col w:w="10200"/>
          </w:cols>
          <w:pgMar w:left="1020" w:top="1440" w:right="1020" w:bottom="572" w:gutter="0" w:footer="0" w:header="0"/>
          <w:type w:val="continuous"/>
        </w:sectPr>
      </w:pPr>
    </w:p>
    <w:bookmarkStart w:id="146" w:name="page147"/>
    <w:bookmarkEnd w:id="146"/>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4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320" w:type="dxa"/>
            <w:vAlign w:val="bottom"/>
            <w:shd w:val="clear" w:color="auto" w:fill="FDFDFC"/>
          </w:tcPr>
          <w:p>
            <w:pPr>
              <w:spacing w:after="0"/>
              <w:rPr>
                <w:sz w:val="16"/>
                <w:szCs w:val="16"/>
                <w:color w:val="auto"/>
              </w:rPr>
            </w:pPr>
          </w:p>
        </w:tc>
        <w:tc>
          <w:tcPr>
            <w:tcW w:w="2880" w:type="dxa"/>
            <w:vAlign w:val="bottom"/>
            <w:gridSpan w:val="6"/>
            <w:shd w:val="clear" w:color="auto" w:fill="FDFDFC"/>
          </w:tcPr>
          <w:p>
            <w:pPr>
              <w:jc w:val="right"/>
              <w:ind w:right="720"/>
              <w:spacing w:after="0"/>
              <w:rPr>
                <w:sz w:val="20"/>
                <w:szCs w:val="20"/>
                <w:color w:val="auto"/>
              </w:rPr>
            </w:pPr>
            <w:r>
              <w:rPr>
                <w:rFonts w:ascii="Arial" w:cs="Arial" w:eastAsia="Arial" w:hAnsi="Arial"/>
                <w:sz w:val="15"/>
                <w:szCs w:val="15"/>
                <w:b w:val="1"/>
                <w:bCs w:val="1"/>
                <w:color w:val="231F20"/>
              </w:rPr>
              <w:t>Year Ended December 31,</w:t>
            </w:r>
          </w:p>
        </w:tc>
      </w:tr>
      <w:tr>
        <w:trPr>
          <w:trHeight w:val="176"/>
        </w:trPr>
        <w:tc>
          <w:tcPr>
            <w:tcW w:w="6840" w:type="dxa"/>
            <w:vAlign w:val="bottom"/>
            <w:tcBorders>
              <w:top w:val="single" w:sz="8" w:color="FDFDFC"/>
              <w:bottom w:val="single" w:sz="8" w:color="D0EBF2"/>
            </w:tcBorders>
            <w:shd w:val="clear" w:color="auto" w:fill="FDFDFC"/>
          </w:tcPr>
          <w:p>
            <w:pPr>
              <w:spacing w:after="0"/>
              <w:rPr>
                <w:sz w:val="15"/>
                <w:szCs w:val="15"/>
                <w:color w:val="auto"/>
              </w:rPr>
            </w:pPr>
          </w:p>
        </w:tc>
        <w:tc>
          <w:tcPr>
            <w:tcW w:w="160" w:type="dxa"/>
            <w:vAlign w:val="bottom"/>
            <w:tcBorders>
              <w:top w:val="single" w:sz="8" w:color="FDFDFC"/>
              <w:bottom w:val="single" w:sz="8" w:color="D0EBF2"/>
            </w:tcBorders>
            <w:shd w:val="clear" w:color="auto" w:fill="FDFDFC"/>
          </w:tcPr>
          <w:p>
            <w:pPr>
              <w:spacing w:after="0"/>
              <w:rPr>
                <w:sz w:val="15"/>
                <w:szCs w:val="15"/>
                <w:color w:val="auto"/>
              </w:rPr>
            </w:pPr>
          </w:p>
        </w:tc>
        <w:tc>
          <w:tcPr>
            <w:tcW w:w="320" w:type="dxa"/>
            <w:vAlign w:val="bottom"/>
            <w:tcBorders>
              <w:top w:val="single" w:sz="8" w:color="231F20"/>
              <w:bottom w:val="single" w:sz="8" w:color="231F20"/>
            </w:tcBorders>
            <w:shd w:val="clear" w:color="auto" w:fill="FDFDFC"/>
          </w:tcPr>
          <w:p>
            <w:pPr>
              <w:spacing w:after="0"/>
              <w:rPr>
                <w:sz w:val="15"/>
                <w:szCs w:val="15"/>
                <w:color w:val="auto"/>
              </w:rPr>
            </w:pPr>
          </w:p>
        </w:tc>
        <w:tc>
          <w:tcPr>
            <w:tcW w:w="1100" w:type="dxa"/>
            <w:vAlign w:val="bottom"/>
            <w:tcBorders>
              <w:top w:val="single" w:sz="8" w:color="231F20"/>
              <w:bottom w:val="single" w:sz="8" w:color="231F20"/>
            </w:tcBorders>
            <w:shd w:val="clear" w:color="auto" w:fill="FDFDFC"/>
          </w:tcPr>
          <w:p>
            <w:pPr>
              <w:jc w:val="right"/>
              <w:ind w:right="467"/>
              <w:spacing w:after="0"/>
              <w:rPr>
                <w:sz w:val="20"/>
                <w:szCs w:val="20"/>
                <w:color w:val="auto"/>
              </w:rPr>
            </w:pPr>
            <w:r>
              <w:rPr>
                <w:rFonts w:ascii="Arial" w:cs="Arial" w:eastAsia="Arial" w:hAnsi="Arial"/>
                <w:sz w:val="15"/>
                <w:szCs w:val="15"/>
                <w:b w:val="1"/>
                <w:bCs w:val="1"/>
                <w:color w:val="231F20"/>
              </w:rPr>
              <w:t>2024</w:t>
            </w:r>
          </w:p>
        </w:tc>
        <w:tc>
          <w:tcPr>
            <w:tcW w:w="100" w:type="dxa"/>
            <w:vAlign w:val="bottom"/>
            <w:tcBorders>
              <w:top w:val="single" w:sz="8" w:color="231F20"/>
              <w:bottom w:val="single" w:sz="8" w:color="D0EBF2"/>
            </w:tcBorders>
            <w:shd w:val="clear" w:color="auto" w:fill="FDFDFC"/>
          </w:tcPr>
          <w:p>
            <w:pPr>
              <w:spacing w:after="0"/>
              <w:rPr>
                <w:sz w:val="15"/>
                <w:szCs w:val="15"/>
                <w:color w:val="auto"/>
              </w:rPr>
            </w:pPr>
          </w:p>
        </w:tc>
        <w:tc>
          <w:tcPr>
            <w:tcW w:w="160" w:type="dxa"/>
            <w:vAlign w:val="bottom"/>
            <w:tcBorders>
              <w:top w:val="single" w:sz="8" w:color="231F20"/>
              <w:bottom w:val="single" w:sz="8" w:color="D0EBF2"/>
            </w:tcBorders>
            <w:shd w:val="clear" w:color="auto" w:fill="FDFDFC"/>
          </w:tcPr>
          <w:p>
            <w:pPr>
              <w:spacing w:after="0"/>
              <w:rPr>
                <w:sz w:val="15"/>
                <w:szCs w:val="15"/>
                <w:color w:val="auto"/>
              </w:rPr>
            </w:pPr>
          </w:p>
        </w:tc>
        <w:tc>
          <w:tcPr>
            <w:tcW w:w="320" w:type="dxa"/>
            <w:vAlign w:val="bottom"/>
            <w:tcBorders>
              <w:top w:val="single" w:sz="8" w:color="231F20"/>
              <w:bottom w:val="single" w:sz="8" w:color="231F20"/>
            </w:tcBorders>
            <w:shd w:val="clear" w:color="auto" w:fill="FDFDFC"/>
          </w:tcPr>
          <w:p>
            <w:pPr>
              <w:spacing w:after="0"/>
              <w:rPr>
                <w:sz w:val="15"/>
                <w:szCs w:val="15"/>
                <w:color w:val="auto"/>
              </w:rPr>
            </w:pPr>
          </w:p>
        </w:tc>
        <w:tc>
          <w:tcPr>
            <w:tcW w:w="1100" w:type="dxa"/>
            <w:vAlign w:val="bottom"/>
            <w:tcBorders>
              <w:top w:val="single" w:sz="8" w:color="231F20"/>
              <w:bottom w:val="single" w:sz="8" w:color="231F20"/>
            </w:tcBorders>
            <w:shd w:val="clear" w:color="auto" w:fill="FDFDFC"/>
          </w:tcPr>
          <w:p>
            <w:pPr>
              <w:jc w:val="right"/>
              <w:ind w:right="446"/>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top w:val="single" w:sz="8" w:color="FDFDFC"/>
              <w:bottom w:val="single" w:sz="8" w:color="D0EBF2"/>
            </w:tcBorders>
            <w:shd w:val="clear" w:color="auto" w:fill="FDFDFC"/>
          </w:tcPr>
          <w:p>
            <w:pPr>
              <w:spacing w:after="0"/>
              <w:rPr>
                <w:sz w:val="15"/>
                <w:szCs w:val="15"/>
                <w:color w:val="auto"/>
              </w:rPr>
            </w:pPr>
          </w:p>
        </w:tc>
      </w:tr>
      <w:tr>
        <w:trPr>
          <w:trHeight w:val="220"/>
        </w:trPr>
        <w:tc>
          <w:tcPr>
            <w:tcW w:w="6840" w:type="dxa"/>
            <w:vAlign w:val="bottom"/>
            <w:shd w:val="clear" w:color="auto" w:fill="D0EBF2"/>
          </w:tcPr>
          <w:p>
            <w:pPr>
              <w:spacing w:after="0"/>
              <w:rPr>
                <w:sz w:val="20"/>
                <w:szCs w:val="20"/>
                <w:color w:val="auto"/>
              </w:rPr>
            </w:pPr>
            <w:r>
              <w:rPr>
                <w:rFonts w:ascii="Arial" w:cs="Arial" w:eastAsia="Arial" w:hAnsi="Arial"/>
                <w:sz w:val="19"/>
                <w:szCs w:val="19"/>
                <w:color w:val="231F20"/>
              </w:rPr>
              <w:t>Deferred tax assets:</w:t>
            </w:r>
          </w:p>
        </w:tc>
        <w:tc>
          <w:tcPr>
            <w:tcW w:w="160" w:type="dxa"/>
            <w:vAlign w:val="bottom"/>
            <w:shd w:val="clear" w:color="auto" w:fill="D0EBF2"/>
          </w:tcPr>
          <w:p>
            <w:pPr>
              <w:spacing w:after="0"/>
              <w:rPr>
                <w:sz w:val="19"/>
                <w:szCs w:val="19"/>
                <w:color w:val="auto"/>
              </w:rPr>
            </w:pPr>
          </w:p>
        </w:tc>
        <w:tc>
          <w:tcPr>
            <w:tcW w:w="320" w:type="dxa"/>
            <w:vAlign w:val="bottom"/>
            <w:shd w:val="clear" w:color="auto" w:fill="D0EBF2"/>
          </w:tcPr>
          <w:p>
            <w:pPr>
              <w:spacing w:after="0"/>
              <w:rPr>
                <w:sz w:val="19"/>
                <w:szCs w:val="19"/>
                <w:color w:val="auto"/>
              </w:rPr>
            </w:pPr>
          </w:p>
        </w:tc>
        <w:tc>
          <w:tcPr>
            <w:tcW w:w="110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60" w:type="dxa"/>
            <w:vAlign w:val="bottom"/>
            <w:shd w:val="clear" w:color="auto" w:fill="D0EBF2"/>
          </w:tcPr>
          <w:p>
            <w:pPr>
              <w:spacing w:after="0"/>
              <w:rPr>
                <w:sz w:val="19"/>
                <w:szCs w:val="19"/>
                <w:color w:val="auto"/>
              </w:rPr>
            </w:pPr>
          </w:p>
        </w:tc>
        <w:tc>
          <w:tcPr>
            <w:tcW w:w="320" w:type="dxa"/>
            <w:vAlign w:val="bottom"/>
            <w:shd w:val="clear" w:color="auto" w:fill="D0EBF2"/>
          </w:tcPr>
          <w:p>
            <w:pPr>
              <w:spacing w:after="0"/>
              <w:rPr>
                <w:sz w:val="19"/>
                <w:szCs w:val="19"/>
                <w:color w:val="auto"/>
              </w:rPr>
            </w:pPr>
          </w:p>
        </w:tc>
        <w:tc>
          <w:tcPr>
            <w:tcW w:w="110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r>
      <w:tr>
        <w:trPr>
          <w:trHeight w:val="230"/>
        </w:trPr>
        <w:tc>
          <w:tcPr>
            <w:tcW w:w="68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Net operating loss carryforwards</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18,901</w:t>
            </w: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26,690</w:t>
            </w:r>
          </w:p>
        </w:tc>
        <w:tc>
          <w:tcPr>
            <w:tcW w:w="100" w:type="dxa"/>
            <w:vAlign w:val="bottom"/>
            <w:shd w:val="clear" w:color="auto" w:fill="FDFDFC"/>
          </w:tcPr>
          <w:p>
            <w:pPr>
              <w:spacing w:after="0"/>
              <w:rPr>
                <w:sz w:val="20"/>
                <w:szCs w:val="20"/>
                <w:color w:val="auto"/>
              </w:rPr>
            </w:pPr>
          </w:p>
        </w:tc>
      </w:tr>
      <w:tr>
        <w:trPr>
          <w:trHeight w:val="230"/>
        </w:trPr>
        <w:tc>
          <w:tcPr>
            <w:tcW w:w="68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Property and equipment</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484</w:t>
            </w: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395</w:t>
            </w:r>
          </w:p>
        </w:tc>
        <w:tc>
          <w:tcPr>
            <w:tcW w:w="100" w:type="dxa"/>
            <w:vAlign w:val="bottom"/>
            <w:shd w:val="clear" w:color="auto" w:fill="D0EBF2"/>
          </w:tcPr>
          <w:p>
            <w:pPr>
              <w:spacing w:after="0"/>
              <w:rPr>
                <w:sz w:val="20"/>
                <w:szCs w:val="20"/>
                <w:color w:val="auto"/>
              </w:rPr>
            </w:pPr>
          </w:p>
        </w:tc>
      </w:tr>
      <w:tr>
        <w:trPr>
          <w:trHeight w:val="230"/>
        </w:trPr>
        <w:tc>
          <w:tcPr>
            <w:tcW w:w="68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Credit carryforwards</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6,673</w:t>
            </w: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120"/>
              <w:spacing w:after="0"/>
              <w:rPr>
                <w:sz w:val="20"/>
                <w:szCs w:val="20"/>
                <w:color w:val="auto"/>
              </w:rPr>
            </w:pPr>
            <w:r>
              <w:rPr>
                <w:rFonts w:ascii="Arial" w:cs="Arial" w:eastAsia="Arial" w:hAnsi="Arial"/>
                <w:sz w:val="19"/>
                <w:szCs w:val="19"/>
                <w:color w:val="231F20"/>
              </w:rPr>
              <w:t>—</w:t>
            </w:r>
          </w:p>
        </w:tc>
      </w:tr>
      <w:tr>
        <w:trPr>
          <w:trHeight w:val="230"/>
        </w:trPr>
        <w:tc>
          <w:tcPr>
            <w:tcW w:w="68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Accrued expenses</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1,805</w:t>
            </w: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1,814</w:t>
            </w:r>
          </w:p>
        </w:tc>
        <w:tc>
          <w:tcPr>
            <w:tcW w:w="100" w:type="dxa"/>
            <w:vAlign w:val="bottom"/>
            <w:shd w:val="clear" w:color="auto" w:fill="D0EBF2"/>
          </w:tcPr>
          <w:p>
            <w:pPr>
              <w:spacing w:after="0"/>
              <w:rPr>
                <w:sz w:val="20"/>
                <w:szCs w:val="20"/>
                <w:color w:val="auto"/>
              </w:rPr>
            </w:pPr>
          </w:p>
        </w:tc>
      </w:tr>
      <w:tr>
        <w:trPr>
          <w:trHeight w:val="230"/>
        </w:trPr>
        <w:tc>
          <w:tcPr>
            <w:tcW w:w="68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Equity-based compensation</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6,461</w:t>
            </w: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5,113</w:t>
            </w:r>
          </w:p>
        </w:tc>
        <w:tc>
          <w:tcPr>
            <w:tcW w:w="100" w:type="dxa"/>
            <w:vAlign w:val="bottom"/>
            <w:shd w:val="clear" w:color="auto" w:fill="FDFDFC"/>
          </w:tcPr>
          <w:p>
            <w:pPr>
              <w:spacing w:after="0"/>
              <w:rPr>
                <w:sz w:val="20"/>
                <w:szCs w:val="20"/>
                <w:color w:val="auto"/>
              </w:rPr>
            </w:pPr>
          </w:p>
        </w:tc>
      </w:tr>
      <w:tr>
        <w:trPr>
          <w:trHeight w:val="230"/>
        </w:trPr>
        <w:tc>
          <w:tcPr>
            <w:tcW w:w="68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Lease liability</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711</w:t>
            </w: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768</w:t>
            </w:r>
          </w:p>
        </w:tc>
        <w:tc>
          <w:tcPr>
            <w:tcW w:w="100" w:type="dxa"/>
            <w:vAlign w:val="bottom"/>
            <w:shd w:val="clear" w:color="auto" w:fill="D0EBF2"/>
          </w:tcPr>
          <w:p>
            <w:pPr>
              <w:spacing w:after="0"/>
              <w:rPr>
                <w:sz w:val="20"/>
                <w:szCs w:val="20"/>
                <w:color w:val="auto"/>
              </w:rPr>
            </w:pPr>
          </w:p>
        </w:tc>
      </w:tr>
      <w:tr>
        <w:trPr>
          <w:trHeight w:val="230"/>
        </w:trPr>
        <w:tc>
          <w:tcPr>
            <w:tcW w:w="68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Capitalized research and development costs</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25,666</w:t>
            </w: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20,776</w:t>
            </w:r>
          </w:p>
        </w:tc>
        <w:tc>
          <w:tcPr>
            <w:tcW w:w="100" w:type="dxa"/>
            <w:vAlign w:val="bottom"/>
            <w:shd w:val="clear" w:color="auto" w:fill="FDFDFC"/>
          </w:tcPr>
          <w:p>
            <w:pPr>
              <w:spacing w:after="0"/>
              <w:rPr>
                <w:sz w:val="20"/>
                <w:szCs w:val="20"/>
                <w:color w:val="auto"/>
              </w:rPr>
            </w:pPr>
          </w:p>
        </w:tc>
      </w:tr>
      <w:tr>
        <w:trPr>
          <w:trHeight w:val="230"/>
        </w:trPr>
        <w:tc>
          <w:tcPr>
            <w:tcW w:w="68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Unrealized foreign exchange loss</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3,160</w:t>
            </w: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46</w:t>
            </w:r>
          </w:p>
        </w:tc>
        <w:tc>
          <w:tcPr>
            <w:tcW w:w="100" w:type="dxa"/>
            <w:vAlign w:val="bottom"/>
            <w:shd w:val="clear" w:color="auto" w:fill="D0EBF2"/>
          </w:tcPr>
          <w:p>
            <w:pPr>
              <w:spacing w:after="0"/>
              <w:rPr>
                <w:sz w:val="20"/>
                <w:szCs w:val="20"/>
                <w:color w:val="auto"/>
              </w:rPr>
            </w:pPr>
          </w:p>
        </w:tc>
      </w:tr>
      <w:tr>
        <w:trPr>
          <w:trHeight w:val="230"/>
        </w:trPr>
        <w:tc>
          <w:tcPr>
            <w:tcW w:w="6840" w:type="dxa"/>
            <w:vAlign w:val="bottom"/>
            <w:tcBorders>
              <w:bottom w:val="single" w:sz="8" w:color="D0EBF2"/>
            </w:tcBorders>
            <w:shd w:val="clear" w:color="auto" w:fill="FDFDFC"/>
          </w:tcPr>
          <w:p>
            <w:pPr>
              <w:ind w:left="260"/>
              <w:spacing w:after="0"/>
              <w:rPr>
                <w:sz w:val="20"/>
                <w:szCs w:val="20"/>
                <w:color w:val="auto"/>
              </w:rPr>
            </w:pPr>
            <w:r>
              <w:rPr>
                <w:rFonts w:ascii="Arial" w:cs="Arial" w:eastAsia="Arial" w:hAnsi="Arial"/>
                <w:sz w:val="19"/>
                <w:szCs w:val="19"/>
                <w:color w:val="231F20"/>
              </w:rPr>
              <w:t>Other temporary differences</w:t>
            </w:r>
          </w:p>
        </w:tc>
        <w:tc>
          <w:tcPr>
            <w:tcW w:w="160" w:type="dxa"/>
            <w:vAlign w:val="bottom"/>
            <w:tcBorders>
              <w:bottom w:val="single" w:sz="8" w:color="D0EBF2"/>
            </w:tcBorders>
            <w:shd w:val="clear" w:color="auto" w:fill="FDFDFC"/>
          </w:tcPr>
          <w:p>
            <w:pPr>
              <w:spacing w:after="0"/>
              <w:rPr>
                <w:sz w:val="20"/>
                <w:szCs w:val="20"/>
                <w:color w:val="auto"/>
              </w:rPr>
            </w:pPr>
          </w:p>
        </w:tc>
        <w:tc>
          <w:tcPr>
            <w:tcW w:w="320" w:type="dxa"/>
            <w:vAlign w:val="bottom"/>
            <w:tcBorders>
              <w:bottom w:val="single" w:sz="8" w:color="231F20"/>
            </w:tcBorders>
            <w:shd w:val="clear" w:color="auto" w:fill="FDFDFC"/>
          </w:tcPr>
          <w:p>
            <w:pPr>
              <w:spacing w:after="0"/>
              <w:rPr>
                <w:sz w:val="20"/>
                <w:szCs w:val="20"/>
                <w:color w:val="auto"/>
              </w:rPr>
            </w:pPr>
          </w:p>
        </w:tc>
        <w:tc>
          <w:tcPr>
            <w:tcW w:w="11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372</w:t>
            </w:r>
          </w:p>
        </w:tc>
        <w:tc>
          <w:tcPr>
            <w:tcW w:w="100" w:type="dxa"/>
            <w:vAlign w:val="bottom"/>
            <w:tcBorders>
              <w:bottom w:val="single" w:sz="8" w:color="D0EBF2"/>
            </w:tcBorders>
            <w:shd w:val="clear" w:color="auto" w:fill="FDFDFC"/>
          </w:tcPr>
          <w:p>
            <w:pPr>
              <w:spacing w:after="0"/>
              <w:rPr>
                <w:sz w:val="20"/>
                <w:szCs w:val="20"/>
                <w:color w:val="auto"/>
              </w:rPr>
            </w:pPr>
          </w:p>
        </w:tc>
        <w:tc>
          <w:tcPr>
            <w:tcW w:w="160" w:type="dxa"/>
            <w:vAlign w:val="bottom"/>
            <w:tcBorders>
              <w:bottom w:val="single" w:sz="8" w:color="D0EBF2"/>
            </w:tcBorders>
            <w:shd w:val="clear" w:color="auto" w:fill="FDFDFC"/>
          </w:tcPr>
          <w:p>
            <w:pPr>
              <w:spacing w:after="0"/>
              <w:rPr>
                <w:sz w:val="20"/>
                <w:szCs w:val="20"/>
                <w:color w:val="auto"/>
              </w:rPr>
            </w:pPr>
          </w:p>
        </w:tc>
        <w:tc>
          <w:tcPr>
            <w:tcW w:w="320" w:type="dxa"/>
            <w:vAlign w:val="bottom"/>
            <w:tcBorders>
              <w:bottom w:val="single" w:sz="8" w:color="231F20"/>
            </w:tcBorders>
            <w:shd w:val="clear" w:color="auto" w:fill="FDFDFC"/>
          </w:tcPr>
          <w:p>
            <w:pPr>
              <w:spacing w:after="0"/>
              <w:rPr>
                <w:sz w:val="20"/>
                <w:szCs w:val="20"/>
                <w:color w:val="auto"/>
              </w:rPr>
            </w:pPr>
          </w:p>
        </w:tc>
        <w:tc>
          <w:tcPr>
            <w:tcW w:w="11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259</w:t>
            </w:r>
          </w:p>
        </w:tc>
        <w:tc>
          <w:tcPr>
            <w:tcW w:w="100" w:type="dxa"/>
            <w:vAlign w:val="bottom"/>
            <w:tcBorders>
              <w:bottom w:val="single" w:sz="8" w:color="D0EBF2"/>
            </w:tcBorders>
            <w:shd w:val="clear" w:color="auto" w:fill="FDFDFC"/>
          </w:tcPr>
          <w:p>
            <w:pPr>
              <w:spacing w:after="0"/>
              <w:rPr>
                <w:sz w:val="20"/>
                <w:szCs w:val="20"/>
                <w:color w:val="auto"/>
              </w:rPr>
            </w:pPr>
          </w:p>
        </w:tc>
      </w:tr>
      <w:tr>
        <w:trPr>
          <w:trHeight w:val="220"/>
        </w:trPr>
        <w:tc>
          <w:tcPr>
            <w:tcW w:w="6840" w:type="dxa"/>
            <w:vAlign w:val="bottom"/>
            <w:shd w:val="clear" w:color="auto" w:fill="D0EBF2"/>
          </w:tcPr>
          <w:p>
            <w:pPr>
              <w:ind w:left="520"/>
              <w:spacing w:after="0"/>
              <w:rPr>
                <w:sz w:val="20"/>
                <w:szCs w:val="20"/>
                <w:color w:val="auto"/>
              </w:rPr>
            </w:pPr>
            <w:r>
              <w:rPr>
                <w:rFonts w:ascii="Arial" w:cs="Arial" w:eastAsia="Arial" w:hAnsi="Arial"/>
                <w:sz w:val="19"/>
                <w:szCs w:val="19"/>
                <w:color w:val="231F20"/>
              </w:rPr>
              <w:t>Total deferred tax assets</w:t>
            </w:r>
          </w:p>
        </w:tc>
        <w:tc>
          <w:tcPr>
            <w:tcW w:w="160" w:type="dxa"/>
            <w:vAlign w:val="bottom"/>
            <w:shd w:val="clear" w:color="auto" w:fill="D0EBF2"/>
          </w:tcPr>
          <w:p>
            <w:pPr>
              <w:spacing w:after="0"/>
              <w:rPr>
                <w:sz w:val="19"/>
                <w:szCs w:val="19"/>
                <w:color w:val="auto"/>
              </w:rPr>
            </w:pPr>
          </w:p>
        </w:tc>
        <w:tc>
          <w:tcPr>
            <w:tcW w:w="320" w:type="dxa"/>
            <w:vAlign w:val="bottom"/>
            <w:shd w:val="clear" w:color="auto" w:fill="D0EBF2"/>
          </w:tcPr>
          <w:p>
            <w:pPr>
              <w:spacing w:after="0"/>
              <w:rPr>
                <w:sz w:val="19"/>
                <w:szCs w:val="19"/>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64,233</w:t>
            </w:r>
          </w:p>
        </w:tc>
        <w:tc>
          <w:tcPr>
            <w:tcW w:w="100" w:type="dxa"/>
            <w:vAlign w:val="bottom"/>
            <w:shd w:val="clear" w:color="auto" w:fill="D0EBF2"/>
          </w:tcPr>
          <w:p>
            <w:pPr>
              <w:spacing w:after="0"/>
              <w:rPr>
                <w:sz w:val="19"/>
                <w:szCs w:val="19"/>
                <w:color w:val="auto"/>
              </w:rPr>
            </w:pPr>
          </w:p>
        </w:tc>
        <w:tc>
          <w:tcPr>
            <w:tcW w:w="160" w:type="dxa"/>
            <w:vAlign w:val="bottom"/>
            <w:shd w:val="clear" w:color="auto" w:fill="D0EBF2"/>
          </w:tcPr>
          <w:p>
            <w:pPr>
              <w:spacing w:after="0"/>
              <w:rPr>
                <w:sz w:val="19"/>
                <w:szCs w:val="19"/>
                <w:color w:val="auto"/>
              </w:rPr>
            </w:pPr>
          </w:p>
        </w:tc>
        <w:tc>
          <w:tcPr>
            <w:tcW w:w="320" w:type="dxa"/>
            <w:vAlign w:val="bottom"/>
            <w:shd w:val="clear" w:color="auto" w:fill="D0EBF2"/>
          </w:tcPr>
          <w:p>
            <w:pPr>
              <w:spacing w:after="0"/>
              <w:rPr>
                <w:sz w:val="19"/>
                <w:szCs w:val="19"/>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55,861</w:t>
            </w:r>
          </w:p>
        </w:tc>
        <w:tc>
          <w:tcPr>
            <w:tcW w:w="100" w:type="dxa"/>
            <w:vAlign w:val="bottom"/>
            <w:shd w:val="clear" w:color="auto" w:fill="D0EBF2"/>
          </w:tcPr>
          <w:p>
            <w:pPr>
              <w:spacing w:after="0"/>
              <w:rPr>
                <w:sz w:val="19"/>
                <w:szCs w:val="19"/>
                <w:color w:val="auto"/>
              </w:rPr>
            </w:pPr>
          </w:p>
        </w:tc>
      </w:tr>
      <w:tr>
        <w:trPr>
          <w:trHeight w:val="230"/>
        </w:trPr>
        <w:tc>
          <w:tcPr>
            <w:tcW w:w="684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9"/>
                <w:szCs w:val="19"/>
                <w:color w:val="231F20"/>
              </w:rPr>
              <w:t>Deferred tax asset valuation allowance</w:t>
            </w:r>
          </w:p>
        </w:tc>
        <w:tc>
          <w:tcPr>
            <w:tcW w:w="160" w:type="dxa"/>
            <w:vAlign w:val="bottom"/>
            <w:tcBorders>
              <w:bottom w:val="single" w:sz="8" w:color="D0EBF2"/>
            </w:tcBorders>
            <w:shd w:val="clear" w:color="auto" w:fill="FDFDFC"/>
          </w:tcPr>
          <w:p>
            <w:pPr>
              <w:spacing w:after="0"/>
              <w:rPr>
                <w:sz w:val="20"/>
                <w:szCs w:val="20"/>
                <w:color w:val="auto"/>
              </w:rPr>
            </w:pPr>
          </w:p>
        </w:tc>
        <w:tc>
          <w:tcPr>
            <w:tcW w:w="320" w:type="dxa"/>
            <w:vAlign w:val="bottom"/>
            <w:tcBorders>
              <w:bottom w:val="single" w:sz="8" w:color="231F20"/>
            </w:tcBorders>
            <w:shd w:val="clear" w:color="auto" w:fill="FDFDFC"/>
          </w:tcPr>
          <w:p>
            <w:pPr>
              <w:spacing w:after="0"/>
              <w:rPr>
                <w:sz w:val="20"/>
                <w:szCs w:val="20"/>
                <w:color w:val="auto"/>
              </w:rPr>
            </w:pPr>
          </w:p>
        </w:tc>
        <w:tc>
          <w:tcPr>
            <w:tcW w:w="11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(44,191)</w:t>
            </w:r>
          </w:p>
        </w:tc>
        <w:tc>
          <w:tcPr>
            <w:tcW w:w="100" w:type="dxa"/>
            <w:vAlign w:val="bottom"/>
            <w:tcBorders>
              <w:bottom w:val="single" w:sz="8" w:color="D0EBF2"/>
            </w:tcBorders>
            <w:shd w:val="clear" w:color="auto" w:fill="FDFDFC"/>
          </w:tcPr>
          <w:p>
            <w:pPr>
              <w:spacing w:after="0"/>
              <w:rPr>
                <w:sz w:val="20"/>
                <w:szCs w:val="20"/>
                <w:color w:val="auto"/>
              </w:rPr>
            </w:pPr>
          </w:p>
        </w:tc>
        <w:tc>
          <w:tcPr>
            <w:tcW w:w="160" w:type="dxa"/>
            <w:vAlign w:val="bottom"/>
            <w:tcBorders>
              <w:bottom w:val="single" w:sz="8" w:color="D0EBF2"/>
            </w:tcBorders>
            <w:shd w:val="clear" w:color="auto" w:fill="FDFDFC"/>
          </w:tcPr>
          <w:p>
            <w:pPr>
              <w:spacing w:after="0"/>
              <w:rPr>
                <w:sz w:val="20"/>
                <w:szCs w:val="20"/>
                <w:color w:val="auto"/>
              </w:rPr>
            </w:pPr>
          </w:p>
        </w:tc>
        <w:tc>
          <w:tcPr>
            <w:tcW w:w="320" w:type="dxa"/>
            <w:vAlign w:val="bottom"/>
            <w:tcBorders>
              <w:bottom w:val="single" w:sz="8" w:color="231F20"/>
            </w:tcBorders>
            <w:shd w:val="clear" w:color="auto" w:fill="FDFDFC"/>
          </w:tcPr>
          <w:p>
            <w:pPr>
              <w:spacing w:after="0"/>
              <w:rPr>
                <w:sz w:val="20"/>
                <w:szCs w:val="20"/>
                <w:color w:val="auto"/>
              </w:rPr>
            </w:pPr>
          </w:p>
        </w:tc>
        <w:tc>
          <w:tcPr>
            <w:tcW w:w="11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(40,444)</w:t>
            </w:r>
          </w:p>
        </w:tc>
        <w:tc>
          <w:tcPr>
            <w:tcW w:w="100" w:type="dxa"/>
            <w:vAlign w:val="bottom"/>
            <w:tcBorders>
              <w:bottom w:val="single" w:sz="8" w:color="D0EBF2"/>
            </w:tcBorders>
            <w:shd w:val="clear" w:color="auto" w:fill="FDFDFC"/>
          </w:tcPr>
          <w:p>
            <w:pPr>
              <w:spacing w:after="0"/>
              <w:rPr>
                <w:sz w:val="20"/>
                <w:szCs w:val="20"/>
                <w:color w:val="auto"/>
              </w:rPr>
            </w:pPr>
          </w:p>
        </w:tc>
      </w:tr>
      <w:tr>
        <w:trPr>
          <w:trHeight w:val="220"/>
        </w:trPr>
        <w:tc>
          <w:tcPr>
            <w:tcW w:w="6840" w:type="dxa"/>
            <w:vAlign w:val="bottom"/>
            <w:tcBorders>
              <w:bottom w:val="single" w:sz="8" w:color="FDFDFC"/>
            </w:tcBorders>
            <w:shd w:val="clear" w:color="auto" w:fill="D0EBF2"/>
          </w:tcPr>
          <w:p>
            <w:pPr>
              <w:spacing w:after="0"/>
              <w:rPr>
                <w:sz w:val="19"/>
                <w:szCs w:val="19"/>
                <w:color w:val="auto"/>
              </w:rPr>
            </w:pPr>
          </w:p>
        </w:tc>
        <w:tc>
          <w:tcPr>
            <w:tcW w:w="160" w:type="dxa"/>
            <w:vAlign w:val="bottom"/>
            <w:tcBorders>
              <w:bottom w:val="single" w:sz="8" w:color="FDFDFC"/>
            </w:tcBorders>
            <w:shd w:val="clear" w:color="auto" w:fill="D0EBF2"/>
          </w:tcPr>
          <w:p>
            <w:pPr>
              <w:spacing w:after="0"/>
              <w:rPr>
                <w:sz w:val="19"/>
                <w:szCs w:val="19"/>
                <w:color w:val="auto"/>
              </w:rPr>
            </w:pPr>
          </w:p>
        </w:tc>
        <w:tc>
          <w:tcPr>
            <w:tcW w:w="320" w:type="dxa"/>
            <w:vAlign w:val="bottom"/>
            <w:tcBorders>
              <w:bottom w:val="single" w:sz="8" w:color="231F20"/>
            </w:tcBorders>
            <w:shd w:val="clear" w:color="auto" w:fill="D0EBF2"/>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20,042</w:t>
            </w:r>
          </w:p>
        </w:tc>
        <w:tc>
          <w:tcPr>
            <w:tcW w:w="100" w:type="dxa"/>
            <w:vAlign w:val="bottom"/>
            <w:tcBorders>
              <w:bottom w:val="single" w:sz="8" w:color="FDFDFC"/>
            </w:tcBorders>
            <w:shd w:val="clear" w:color="auto" w:fill="D0EBF2"/>
          </w:tcPr>
          <w:p>
            <w:pPr>
              <w:spacing w:after="0"/>
              <w:rPr>
                <w:sz w:val="19"/>
                <w:szCs w:val="19"/>
                <w:color w:val="auto"/>
              </w:rPr>
            </w:pPr>
          </w:p>
        </w:tc>
        <w:tc>
          <w:tcPr>
            <w:tcW w:w="160" w:type="dxa"/>
            <w:vAlign w:val="bottom"/>
            <w:tcBorders>
              <w:bottom w:val="single" w:sz="8" w:color="FDFDFC"/>
            </w:tcBorders>
            <w:shd w:val="clear" w:color="auto" w:fill="D0EBF2"/>
          </w:tcPr>
          <w:p>
            <w:pPr>
              <w:spacing w:after="0"/>
              <w:rPr>
                <w:sz w:val="19"/>
                <w:szCs w:val="19"/>
                <w:color w:val="auto"/>
              </w:rPr>
            </w:pPr>
          </w:p>
        </w:tc>
        <w:tc>
          <w:tcPr>
            <w:tcW w:w="320" w:type="dxa"/>
            <w:vAlign w:val="bottom"/>
            <w:tcBorders>
              <w:bottom w:val="single" w:sz="8" w:color="231F20"/>
            </w:tcBorders>
            <w:shd w:val="clear" w:color="auto" w:fill="D0EBF2"/>
          </w:tcPr>
          <w:p>
            <w:pPr>
              <w:jc w:val="right"/>
              <w:ind w:right="126"/>
              <w:spacing w:after="0"/>
              <w:rPr>
                <w:sz w:val="20"/>
                <w:szCs w:val="20"/>
                <w:color w:val="auto"/>
              </w:rPr>
            </w:pPr>
            <w:r>
              <w:rPr>
                <w:rFonts w:ascii="Arial" w:cs="Arial" w:eastAsia="Arial" w:hAnsi="Arial"/>
                <w:sz w:val="19"/>
                <w:szCs w:val="19"/>
                <w:color w:val="231F20"/>
                <w:w w:val="75"/>
              </w:rPr>
              <w:t>$</w:t>
            </w:r>
          </w:p>
        </w:tc>
        <w:tc>
          <w:tcPr>
            <w:tcW w:w="110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15,417</w:t>
            </w:r>
          </w:p>
        </w:tc>
        <w:tc>
          <w:tcPr>
            <w:tcW w:w="100" w:type="dxa"/>
            <w:vAlign w:val="bottom"/>
            <w:tcBorders>
              <w:bottom w:val="single" w:sz="8" w:color="FDFDFC"/>
            </w:tcBorders>
            <w:shd w:val="clear" w:color="auto" w:fill="D0EBF2"/>
          </w:tcPr>
          <w:p>
            <w:pPr>
              <w:spacing w:after="0"/>
              <w:rPr>
                <w:sz w:val="19"/>
                <w:szCs w:val="19"/>
                <w:color w:val="auto"/>
              </w:rPr>
            </w:pPr>
          </w:p>
        </w:tc>
      </w:tr>
      <w:tr>
        <w:trPr>
          <w:trHeight w:val="220"/>
        </w:trPr>
        <w:tc>
          <w:tcPr>
            <w:tcW w:w="6840" w:type="dxa"/>
            <w:vAlign w:val="bottom"/>
            <w:shd w:val="clear" w:color="auto" w:fill="FDFDFC"/>
          </w:tcPr>
          <w:p>
            <w:pPr>
              <w:spacing w:after="0"/>
              <w:rPr>
                <w:sz w:val="20"/>
                <w:szCs w:val="20"/>
                <w:color w:val="auto"/>
              </w:rPr>
            </w:pPr>
            <w:r>
              <w:rPr>
                <w:rFonts w:ascii="Arial" w:cs="Arial" w:eastAsia="Arial" w:hAnsi="Arial"/>
                <w:sz w:val="19"/>
                <w:szCs w:val="19"/>
                <w:color w:val="231F20"/>
              </w:rPr>
              <w:t>Deferred tax liabilities:</w:t>
            </w:r>
          </w:p>
        </w:tc>
        <w:tc>
          <w:tcPr>
            <w:tcW w:w="160" w:type="dxa"/>
            <w:vAlign w:val="bottom"/>
            <w:shd w:val="clear" w:color="auto" w:fill="FDFDFC"/>
          </w:tcPr>
          <w:p>
            <w:pPr>
              <w:spacing w:after="0"/>
              <w:rPr>
                <w:sz w:val="19"/>
                <w:szCs w:val="19"/>
                <w:color w:val="auto"/>
              </w:rPr>
            </w:pPr>
          </w:p>
        </w:tc>
        <w:tc>
          <w:tcPr>
            <w:tcW w:w="320" w:type="dxa"/>
            <w:vAlign w:val="bottom"/>
            <w:shd w:val="clear" w:color="auto" w:fill="FDFDFC"/>
          </w:tcPr>
          <w:p>
            <w:pPr>
              <w:spacing w:after="0"/>
              <w:rPr>
                <w:sz w:val="19"/>
                <w:szCs w:val="19"/>
                <w:color w:val="auto"/>
              </w:rPr>
            </w:pPr>
          </w:p>
        </w:tc>
        <w:tc>
          <w:tcPr>
            <w:tcW w:w="1100" w:type="dxa"/>
            <w:vAlign w:val="bottom"/>
            <w:shd w:val="clear" w:color="auto" w:fill="FDFDFC"/>
          </w:tcPr>
          <w:p>
            <w:pPr>
              <w:spacing w:after="0"/>
              <w:rPr>
                <w:sz w:val="19"/>
                <w:szCs w:val="19"/>
                <w:color w:val="auto"/>
              </w:rPr>
            </w:pPr>
          </w:p>
        </w:tc>
        <w:tc>
          <w:tcPr>
            <w:tcW w:w="100" w:type="dxa"/>
            <w:vAlign w:val="bottom"/>
            <w:shd w:val="clear" w:color="auto" w:fill="FDFDFC"/>
          </w:tcPr>
          <w:p>
            <w:pPr>
              <w:spacing w:after="0"/>
              <w:rPr>
                <w:sz w:val="19"/>
                <w:szCs w:val="19"/>
                <w:color w:val="auto"/>
              </w:rPr>
            </w:pPr>
          </w:p>
        </w:tc>
        <w:tc>
          <w:tcPr>
            <w:tcW w:w="160" w:type="dxa"/>
            <w:vAlign w:val="bottom"/>
            <w:shd w:val="clear" w:color="auto" w:fill="FDFDFC"/>
          </w:tcPr>
          <w:p>
            <w:pPr>
              <w:spacing w:after="0"/>
              <w:rPr>
                <w:sz w:val="19"/>
                <w:szCs w:val="19"/>
                <w:color w:val="auto"/>
              </w:rPr>
            </w:pPr>
          </w:p>
        </w:tc>
        <w:tc>
          <w:tcPr>
            <w:tcW w:w="320" w:type="dxa"/>
            <w:vAlign w:val="bottom"/>
            <w:shd w:val="clear" w:color="auto" w:fill="FDFDFC"/>
          </w:tcPr>
          <w:p>
            <w:pPr>
              <w:spacing w:after="0"/>
              <w:rPr>
                <w:sz w:val="19"/>
                <w:szCs w:val="19"/>
                <w:color w:val="auto"/>
              </w:rPr>
            </w:pPr>
          </w:p>
        </w:tc>
        <w:tc>
          <w:tcPr>
            <w:tcW w:w="1100" w:type="dxa"/>
            <w:vAlign w:val="bottom"/>
            <w:shd w:val="clear" w:color="auto" w:fill="FDFDFC"/>
          </w:tcPr>
          <w:p>
            <w:pPr>
              <w:spacing w:after="0"/>
              <w:rPr>
                <w:sz w:val="19"/>
                <w:szCs w:val="19"/>
                <w:color w:val="auto"/>
              </w:rPr>
            </w:pPr>
          </w:p>
        </w:tc>
        <w:tc>
          <w:tcPr>
            <w:tcW w:w="100" w:type="dxa"/>
            <w:vAlign w:val="bottom"/>
            <w:shd w:val="clear" w:color="auto" w:fill="FDFDFC"/>
          </w:tcPr>
          <w:p>
            <w:pPr>
              <w:spacing w:after="0"/>
              <w:rPr>
                <w:sz w:val="19"/>
                <w:szCs w:val="19"/>
                <w:color w:val="auto"/>
              </w:rPr>
            </w:pPr>
          </w:p>
        </w:tc>
      </w:tr>
      <w:tr>
        <w:trPr>
          <w:trHeight w:val="230"/>
        </w:trPr>
        <w:tc>
          <w:tcPr>
            <w:tcW w:w="68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Intangible assets</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(25,008)</w:t>
            </w: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1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(15,234)</w:t>
            </w:r>
          </w:p>
        </w:tc>
        <w:tc>
          <w:tcPr>
            <w:tcW w:w="100" w:type="dxa"/>
            <w:vAlign w:val="bottom"/>
            <w:shd w:val="clear" w:color="auto" w:fill="D0EBF2"/>
          </w:tcPr>
          <w:p>
            <w:pPr>
              <w:spacing w:after="0"/>
              <w:rPr>
                <w:sz w:val="20"/>
                <w:szCs w:val="20"/>
                <w:color w:val="auto"/>
              </w:rPr>
            </w:pPr>
          </w:p>
        </w:tc>
      </w:tr>
      <w:tr>
        <w:trPr>
          <w:trHeight w:val="230"/>
        </w:trPr>
        <w:tc>
          <w:tcPr>
            <w:tcW w:w="68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Goodwill</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(1,318)</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(7,843)</w:t>
            </w:r>
          </w:p>
        </w:tc>
      </w:tr>
      <w:tr>
        <w:trPr>
          <w:trHeight w:val="230"/>
        </w:trPr>
        <w:tc>
          <w:tcPr>
            <w:tcW w:w="68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Right-of-use asset</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20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(669)</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20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(743)</w:t>
            </w:r>
          </w:p>
        </w:tc>
      </w:tr>
      <w:tr>
        <w:trPr>
          <w:trHeight w:val="230"/>
        </w:trPr>
        <w:tc>
          <w:tcPr>
            <w:tcW w:w="68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Deferred revenue</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120"/>
              <w:spacing w:after="0"/>
              <w:rPr>
                <w:sz w:val="20"/>
                <w:szCs w:val="20"/>
                <w:color w:val="auto"/>
              </w:rPr>
            </w:pPr>
            <w:r>
              <w:rPr>
                <w:rFonts w:ascii="Arial" w:cs="Arial" w:eastAsia="Arial" w:hAnsi="Arial"/>
                <w:sz w:val="19"/>
                <w:szCs w:val="19"/>
                <w:color w:val="231F20"/>
              </w:rPr>
              <w:t>—</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(2,387)</w:t>
            </w:r>
          </w:p>
        </w:tc>
      </w:tr>
      <w:tr>
        <w:trPr>
          <w:trHeight w:val="230"/>
        </w:trPr>
        <w:tc>
          <w:tcPr>
            <w:tcW w:w="6840" w:type="dxa"/>
            <w:vAlign w:val="bottom"/>
            <w:shd w:val="clear" w:color="auto" w:fill="D0EBF2"/>
          </w:tcPr>
          <w:p>
            <w:pPr>
              <w:ind w:left="260"/>
              <w:spacing w:after="0"/>
              <w:rPr>
                <w:sz w:val="20"/>
                <w:szCs w:val="20"/>
                <w:color w:val="auto"/>
              </w:rPr>
            </w:pPr>
            <w:r>
              <w:rPr>
                <w:rFonts w:ascii="Arial" w:cs="Arial" w:eastAsia="Arial" w:hAnsi="Arial"/>
                <w:sz w:val="19"/>
                <w:szCs w:val="19"/>
                <w:color w:val="231F20"/>
              </w:rPr>
              <w:t>Deferred contract costs</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20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(2,105)</w:t>
            </w:r>
          </w:p>
        </w:tc>
        <w:tc>
          <w:tcPr>
            <w:tcW w:w="16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200" w:type="dxa"/>
            <w:vAlign w:val="bottom"/>
            <w:gridSpan w:val="2"/>
            <w:shd w:val="clear" w:color="auto" w:fill="D0EBF2"/>
          </w:tcPr>
          <w:p>
            <w:pPr>
              <w:jc w:val="right"/>
              <w:ind w:right="40"/>
              <w:spacing w:after="0"/>
              <w:rPr>
                <w:sz w:val="20"/>
                <w:szCs w:val="20"/>
                <w:color w:val="auto"/>
              </w:rPr>
            </w:pPr>
            <w:r>
              <w:rPr>
                <w:rFonts w:ascii="Arial" w:cs="Arial" w:eastAsia="Arial" w:hAnsi="Arial"/>
                <w:sz w:val="19"/>
                <w:szCs w:val="19"/>
                <w:color w:val="231F20"/>
              </w:rPr>
              <w:t>(2,668)</w:t>
            </w:r>
          </w:p>
        </w:tc>
      </w:tr>
      <w:tr>
        <w:trPr>
          <w:trHeight w:val="230"/>
        </w:trPr>
        <w:tc>
          <w:tcPr>
            <w:tcW w:w="6840" w:type="dxa"/>
            <w:vAlign w:val="bottom"/>
            <w:shd w:val="clear" w:color="auto" w:fill="FDFDFC"/>
          </w:tcPr>
          <w:p>
            <w:pPr>
              <w:ind w:left="260"/>
              <w:spacing w:after="0"/>
              <w:rPr>
                <w:sz w:val="20"/>
                <w:szCs w:val="20"/>
                <w:color w:val="auto"/>
              </w:rPr>
            </w:pPr>
            <w:r>
              <w:rPr>
                <w:rFonts w:ascii="Arial" w:cs="Arial" w:eastAsia="Arial" w:hAnsi="Arial"/>
                <w:sz w:val="19"/>
                <w:szCs w:val="19"/>
                <w:color w:val="231F20"/>
              </w:rPr>
              <w:t>Other temporary differences</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(19)</w:t>
            </w:r>
          </w:p>
        </w:tc>
        <w:tc>
          <w:tcPr>
            <w:tcW w:w="16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(38)</w:t>
            </w:r>
          </w:p>
        </w:tc>
      </w:tr>
      <w:tr>
        <w:trPr>
          <w:trHeight w:val="245"/>
        </w:trPr>
        <w:tc>
          <w:tcPr>
            <w:tcW w:w="6840" w:type="dxa"/>
            <w:vAlign w:val="bottom"/>
            <w:tcBorders>
              <w:top w:val="single" w:sz="8" w:color="D0EBF2"/>
              <w:bottom w:val="single" w:sz="8" w:color="D0EBF2"/>
            </w:tcBorders>
            <w:shd w:val="clear" w:color="auto" w:fill="D0EBF2"/>
          </w:tcPr>
          <w:p>
            <w:pPr>
              <w:ind w:left="520"/>
              <w:spacing w:after="0"/>
              <w:rPr>
                <w:sz w:val="20"/>
                <w:szCs w:val="20"/>
                <w:color w:val="auto"/>
              </w:rPr>
            </w:pPr>
            <w:r>
              <w:rPr>
                <w:rFonts w:ascii="Arial" w:cs="Arial" w:eastAsia="Arial" w:hAnsi="Arial"/>
                <w:sz w:val="19"/>
                <w:szCs w:val="19"/>
                <w:color w:val="231F20"/>
              </w:rPr>
              <w:t>Total deferred tax liabilities</w:t>
            </w:r>
          </w:p>
        </w:tc>
        <w:tc>
          <w:tcPr>
            <w:tcW w:w="160" w:type="dxa"/>
            <w:vAlign w:val="bottom"/>
            <w:tcBorders>
              <w:top w:val="single" w:sz="8" w:color="D0EBF2"/>
              <w:bottom w:val="single" w:sz="8" w:color="D0EBF2"/>
            </w:tcBorders>
            <w:shd w:val="clear" w:color="auto" w:fill="D0EBF2"/>
          </w:tcPr>
          <w:p>
            <w:pPr>
              <w:spacing w:after="0"/>
              <w:rPr>
                <w:sz w:val="20"/>
                <w:szCs w:val="20"/>
                <w:color w:val="auto"/>
              </w:rPr>
            </w:pPr>
          </w:p>
        </w:tc>
        <w:tc>
          <w:tcPr>
            <w:tcW w:w="320" w:type="dxa"/>
            <w:vAlign w:val="bottom"/>
            <w:tcBorders>
              <w:top w:val="single" w:sz="8" w:color="231F20"/>
              <w:bottom w:val="single" w:sz="8" w:color="231F20"/>
            </w:tcBorders>
            <w:shd w:val="clear" w:color="auto" w:fill="D0EBF2"/>
          </w:tcPr>
          <w:p>
            <w:pPr>
              <w:spacing w:after="0"/>
              <w:rPr>
                <w:sz w:val="20"/>
                <w:szCs w:val="20"/>
                <w:color w:val="auto"/>
              </w:rPr>
            </w:pPr>
          </w:p>
        </w:tc>
        <w:tc>
          <w:tcPr>
            <w:tcW w:w="11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(29,119)</w:t>
            </w:r>
          </w:p>
        </w:tc>
        <w:tc>
          <w:tcPr>
            <w:tcW w:w="100" w:type="dxa"/>
            <w:vAlign w:val="bottom"/>
            <w:tcBorders>
              <w:top w:val="single" w:sz="8" w:color="D0EBF2"/>
              <w:bottom w:val="single" w:sz="8" w:color="D0EBF2"/>
            </w:tcBorders>
            <w:shd w:val="clear" w:color="auto" w:fill="D0EBF2"/>
          </w:tcPr>
          <w:p>
            <w:pPr>
              <w:spacing w:after="0"/>
              <w:rPr>
                <w:sz w:val="20"/>
                <w:szCs w:val="20"/>
                <w:color w:val="auto"/>
              </w:rPr>
            </w:pPr>
          </w:p>
        </w:tc>
        <w:tc>
          <w:tcPr>
            <w:tcW w:w="160" w:type="dxa"/>
            <w:vAlign w:val="bottom"/>
            <w:tcBorders>
              <w:top w:val="single" w:sz="8" w:color="D0EBF2"/>
              <w:bottom w:val="single" w:sz="8" w:color="D0EBF2"/>
            </w:tcBorders>
            <w:shd w:val="clear" w:color="auto" w:fill="D0EBF2"/>
          </w:tcPr>
          <w:p>
            <w:pPr>
              <w:spacing w:after="0"/>
              <w:rPr>
                <w:sz w:val="20"/>
                <w:szCs w:val="20"/>
                <w:color w:val="auto"/>
              </w:rPr>
            </w:pPr>
          </w:p>
        </w:tc>
        <w:tc>
          <w:tcPr>
            <w:tcW w:w="320" w:type="dxa"/>
            <w:vAlign w:val="bottom"/>
            <w:tcBorders>
              <w:top w:val="single" w:sz="8" w:color="231F20"/>
              <w:bottom w:val="single" w:sz="8" w:color="231F20"/>
            </w:tcBorders>
            <w:shd w:val="clear" w:color="auto" w:fill="D0EBF2"/>
          </w:tcPr>
          <w:p>
            <w:pPr>
              <w:spacing w:after="0"/>
              <w:rPr>
                <w:sz w:val="20"/>
                <w:szCs w:val="20"/>
                <w:color w:val="auto"/>
              </w:rPr>
            </w:pPr>
          </w:p>
        </w:tc>
        <w:tc>
          <w:tcPr>
            <w:tcW w:w="11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(28,913)</w:t>
            </w:r>
          </w:p>
        </w:tc>
        <w:tc>
          <w:tcPr>
            <w:tcW w:w="100" w:type="dxa"/>
            <w:vAlign w:val="bottom"/>
            <w:tcBorders>
              <w:top w:val="single" w:sz="8" w:color="D0EBF2"/>
              <w:bottom w:val="single" w:sz="8" w:color="D0EBF2"/>
            </w:tcBorders>
            <w:shd w:val="clear" w:color="auto" w:fill="D0EBF2"/>
          </w:tcPr>
          <w:p>
            <w:pPr>
              <w:spacing w:after="0"/>
              <w:rPr>
                <w:sz w:val="20"/>
                <w:szCs w:val="20"/>
                <w:color w:val="auto"/>
              </w:rPr>
            </w:pPr>
          </w:p>
        </w:tc>
      </w:tr>
      <w:tr>
        <w:trPr>
          <w:trHeight w:val="200"/>
        </w:trPr>
        <w:tc>
          <w:tcPr>
            <w:tcW w:w="6840" w:type="dxa"/>
            <w:vAlign w:val="bottom"/>
            <w:tcBorders>
              <w:top w:val="single" w:sz="8" w:color="FDFDFC"/>
            </w:tcBorders>
            <w:shd w:val="clear" w:color="auto" w:fill="FDFDFC"/>
          </w:tcPr>
          <w:p>
            <w:pPr>
              <w:ind w:left="520"/>
              <w:spacing w:after="0" w:line="200" w:lineRule="exact"/>
              <w:rPr>
                <w:sz w:val="20"/>
                <w:szCs w:val="20"/>
                <w:color w:val="auto"/>
              </w:rPr>
            </w:pPr>
            <w:r>
              <w:rPr>
                <w:rFonts w:ascii="Arial" w:cs="Arial" w:eastAsia="Arial" w:hAnsi="Arial"/>
                <w:sz w:val="19"/>
                <w:szCs w:val="19"/>
                <w:color w:val="231F20"/>
              </w:rPr>
              <w:t>Net deferred tax liabilities</w:t>
            </w:r>
          </w:p>
        </w:tc>
        <w:tc>
          <w:tcPr>
            <w:tcW w:w="160" w:type="dxa"/>
            <w:vAlign w:val="bottom"/>
            <w:tcBorders>
              <w:top w:val="single" w:sz="8" w:color="FDFDFC"/>
            </w:tcBorders>
            <w:shd w:val="clear" w:color="auto" w:fill="FDFDFC"/>
          </w:tcPr>
          <w:p>
            <w:pPr>
              <w:spacing w:after="0"/>
              <w:rPr>
                <w:sz w:val="17"/>
                <w:szCs w:val="17"/>
                <w:color w:val="auto"/>
              </w:rPr>
            </w:pPr>
          </w:p>
        </w:tc>
        <w:tc>
          <w:tcPr>
            <w:tcW w:w="320" w:type="dxa"/>
            <w:vAlign w:val="bottom"/>
            <w:tcBorders>
              <w:top w:val="single" w:sz="8" w:color="231F20"/>
              <w:bottom w:val="single" w:sz="8" w:color="231F20"/>
            </w:tcBorders>
            <w:shd w:val="clear" w:color="auto" w:fill="FDFDFC"/>
          </w:tcPr>
          <w:p>
            <w:pPr>
              <w:jc w:val="right"/>
              <w:ind w:right="126"/>
              <w:spacing w:after="0" w:line="200" w:lineRule="exact"/>
              <w:rPr>
                <w:sz w:val="20"/>
                <w:szCs w:val="20"/>
                <w:color w:val="auto"/>
              </w:rPr>
            </w:pPr>
            <w:r>
              <w:rPr>
                <w:rFonts w:ascii="Arial" w:cs="Arial" w:eastAsia="Arial" w:hAnsi="Arial"/>
                <w:sz w:val="19"/>
                <w:szCs w:val="19"/>
                <w:color w:val="231F20"/>
                <w:w w:val="75"/>
              </w:rPr>
              <w:t>$</w:t>
            </w:r>
          </w:p>
        </w:tc>
        <w:tc>
          <w:tcPr>
            <w:tcW w:w="110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rPr>
              <w:t>(9,077)</w:t>
            </w:r>
          </w:p>
        </w:tc>
        <w:tc>
          <w:tcPr>
            <w:tcW w:w="100" w:type="dxa"/>
            <w:vAlign w:val="bottom"/>
            <w:tcBorders>
              <w:top w:val="single" w:sz="8" w:color="FDFDFC"/>
            </w:tcBorders>
            <w:shd w:val="clear" w:color="auto" w:fill="FDFDFC"/>
          </w:tcPr>
          <w:p>
            <w:pPr>
              <w:spacing w:after="0"/>
              <w:rPr>
                <w:sz w:val="17"/>
                <w:szCs w:val="17"/>
                <w:color w:val="auto"/>
              </w:rPr>
            </w:pPr>
          </w:p>
        </w:tc>
        <w:tc>
          <w:tcPr>
            <w:tcW w:w="160" w:type="dxa"/>
            <w:vAlign w:val="bottom"/>
            <w:tcBorders>
              <w:top w:val="single" w:sz="8" w:color="FDFDFC"/>
            </w:tcBorders>
            <w:shd w:val="clear" w:color="auto" w:fill="FDFDFC"/>
          </w:tcPr>
          <w:p>
            <w:pPr>
              <w:spacing w:after="0"/>
              <w:rPr>
                <w:sz w:val="17"/>
                <w:szCs w:val="17"/>
                <w:color w:val="auto"/>
              </w:rPr>
            </w:pPr>
          </w:p>
        </w:tc>
        <w:tc>
          <w:tcPr>
            <w:tcW w:w="320" w:type="dxa"/>
            <w:vAlign w:val="bottom"/>
            <w:tcBorders>
              <w:top w:val="single" w:sz="8" w:color="231F20"/>
              <w:bottom w:val="single" w:sz="8" w:color="231F20"/>
            </w:tcBorders>
            <w:shd w:val="clear" w:color="auto" w:fill="FDFDFC"/>
          </w:tcPr>
          <w:p>
            <w:pPr>
              <w:jc w:val="right"/>
              <w:ind w:right="126"/>
              <w:spacing w:after="0" w:line="200" w:lineRule="exact"/>
              <w:rPr>
                <w:sz w:val="20"/>
                <w:szCs w:val="20"/>
                <w:color w:val="auto"/>
              </w:rPr>
            </w:pPr>
            <w:r>
              <w:rPr>
                <w:rFonts w:ascii="Arial" w:cs="Arial" w:eastAsia="Arial" w:hAnsi="Arial"/>
                <w:sz w:val="19"/>
                <w:szCs w:val="19"/>
                <w:color w:val="231F20"/>
                <w:w w:val="75"/>
              </w:rPr>
              <w:t>$</w:t>
            </w:r>
          </w:p>
        </w:tc>
        <w:tc>
          <w:tcPr>
            <w:tcW w:w="1100" w:type="dxa"/>
            <w:vAlign w:val="bottom"/>
            <w:tcBorders>
              <w:top w:val="single" w:sz="8" w:color="231F20"/>
              <w:bottom w:val="single" w:sz="8" w:color="231F20"/>
            </w:tcBorders>
            <w:shd w:val="clear" w:color="auto" w:fill="FDFDFC"/>
          </w:tcPr>
          <w:p>
            <w:pPr>
              <w:jc w:val="right"/>
              <w:spacing w:after="0" w:line="200" w:lineRule="exact"/>
              <w:rPr>
                <w:sz w:val="20"/>
                <w:szCs w:val="20"/>
                <w:color w:val="auto"/>
              </w:rPr>
            </w:pPr>
            <w:r>
              <w:rPr>
                <w:rFonts w:ascii="Arial" w:cs="Arial" w:eastAsia="Arial" w:hAnsi="Arial"/>
                <w:sz w:val="19"/>
                <w:szCs w:val="19"/>
                <w:color w:val="231F20"/>
              </w:rPr>
              <w:t>(13,496)</w:t>
            </w:r>
          </w:p>
        </w:tc>
        <w:tc>
          <w:tcPr>
            <w:tcW w:w="100" w:type="dxa"/>
            <w:vAlign w:val="bottom"/>
            <w:tcBorders>
              <w:top w:val="single" w:sz="8" w:color="FDFDFC"/>
            </w:tcBorders>
            <w:shd w:val="clear" w:color="auto" w:fill="FDFDFC"/>
          </w:tcPr>
          <w:p>
            <w:pPr>
              <w:spacing w:after="0"/>
              <w:rPr>
                <w:sz w:val="17"/>
                <w:szCs w:val="17"/>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right="60" w:firstLine="463"/>
        <w:spacing w:after="0" w:line="246" w:lineRule="auto"/>
        <w:rPr>
          <w:sz w:val="20"/>
          <w:szCs w:val="20"/>
          <w:color w:val="auto"/>
        </w:rPr>
      </w:pPr>
      <w:r>
        <w:rPr>
          <w:rFonts w:ascii="Arial" w:cs="Arial" w:eastAsia="Arial" w:hAnsi="Arial"/>
          <w:sz w:val="19"/>
          <w:szCs w:val="19"/>
          <w:color w:val="231F20"/>
        </w:rPr>
        <w:t>As of December 31, 2024, the Company had gross federal and state NOL carryforwards of $57.9 million and $88.3 million, respectively, out of which $1.1 million of federal NOL carryforwards and $87.0 million of state NOL carryforwards begin to expire in 2032 and 2029, respectively. Additionally, $56.8 million of federal NOL carryforwards and $1.2 million of state NOL carryforwards have indefinite lives. As of December 31, 2024, the Company has gross foreign NOL carryforwards of $4.9 million which have indefinite lives. The federal, state and foreign NOL carryforwards may be available to reduce future federal, state and foreign taxable income, respectively.</w:t>
      </w:r>
    </w:p>
    <w:p>
      <w:pPr>
        <w:spacing w:after="0" w:line="148" w:lineRule="exact"/>
        <w:rPr>
          <w:sz w:val="20"/>
          <w:szCs w:val="20"/>
          <w:color w:val="auto"/>
        </w:rPr>
      </w:pPr>
    </w:p>
    <w:p>
      <w:pPr>
        <w:ind w:right="20" w:firstLine="463"/>
        <w:spacing w:after="0" w:line="258" w:lineRule="auto"/>
        <w:rPr>
          <w:sz w:val="20"/>
          <w:szCs w:val="20"/>
          <w:color w:val="auto"/>
        </w:rPr>
      </w:pPr>
      <w:r>
        <w:rPr>
          <w:rFonts w:ascii="Arial" w:cs="Arial" w:eastAsia="Arial" w:hAnsi="Arial"/>
          <w:sz w:val="18"/>
          <w:szCs w:val="18"/>
          <w:color w:val="231F20"/>
        </w:rPr>
        <w:t>Ownership changes, as defined under Internal Revenue Code Section 382, and similar state provisions may limit the amount of federal and state NOL carryforwards that can be utilized annually to offset future federal and state taxable income. Generally, an ownership change occurs when the ownership percentage of 5% or greater stockholders increases by more than 50% over a three-year period. Accordingly, the purchase of the Company’s stock in amounts greater than specified levels could limit the Company’s ability to utilize federal and state NOL carryforwards for tax purposes. During 2022, the Company completed a Section 382 study and as a result of the ownership changes identified, $1.6 million of Flywire’s NOLs and $0.2 million of Simplee’s NOLs will expire unutilized, assuming sufficient taxable income is generated in the future. The Company completed its refresh of the Section 382 study through the 2023 tax year, and there are no additional limitations in using Federal and State NOL carryforwards. The Company expects to refresh the study in 2025.</w:t>
      </w:r>
    </w:p>
    <w:p>
      <w:pPr>
        <w:spacing w:after="0" w:line="141" w:lineRule="exact"/>
        <w:rPr>
          <w:sz w:val="20"/>
          <w:szCs w:val="20"/>
          <w:color w:val="auto"/>
        </w:rPr>
      </w:pPr>
    </w:p>
    <w:p>
      <w:pPr>
        <w:ind w:right="80" w:firstLine="463"/>
        <w:spacing w:after="0" w:line="246" w:lineRule="auto"/>
        <w:rPr>
          <w:sz w:val="20"/>
          <w:szCs w:val="20"/>
          <w:color w:val="auto"/>
        </w:rPr>
      </w:pPr>
      <w:r>
        <w:rPr>
          <w:rFonts w:ascii="Arial" w:cs="Arial" w:eastAsia="Arial" w:hAnsi="Arial"/>
          <w:sz w:val="19"/>
          <w:szCs w:val="19"/>
          <w:color w:val="231F20"/>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The Company has evaluated the positive and negative evidence bearing upon the realizability and determined that it is more likely than not that the Company will not realize the benefits of the deferred tax assets, and as a result, a valuation allowance has been established against federal, state and certain foreign deferred tax assets as of December 31, 2024 and 2023.</w:t>
      </w:r>
    </w:p>
    <w:p>
      <w:pPr>
        <w:spacing w:after="0" w:line="148" w:lineRule="exact"/>
        <w:rPr>
          <w:sz w:val="20"/>
          <w:szCs w:val="20"/>
          <w:color w:val="auto"/>
        </w:rPr>
      </w:pPr>
    </w:p>
    <w:p>
      <w:pPr>
        <w:ind w:right="40" w:firstLine="463"/>
        <w:spacing w:after="0" w:line="258" w:lineRule="auto"/>
        <w:rPr>
          <w:sz w:val="20"/>
          <w:szCs w:val="20"/>
          <w:color w:val="auto"/>
        </w:rPr>
      </w:pPr>
      <w:r>
        <w:rPr>
          <w:rFonts w:ascii="Arial" w:cs="Arial" w:eastAsia="Arial" w:hAnsi="Arial"/>
          <w:sz w:val="18"/>
          <w:szCs w:val="18"/>
          <w:color w:val="231F20"/>
        </w:rPr>
        <w:t>During the year ended December 31, 2024, the Company recorded a net increase in the valuation allowance of $3.7 million, which is primarily due to an increase of $4.8 million related to capitalized research and development costs and $7.0 research and development tax credit carryforwards identified during a comprehensive research and development study conducted during 2024, offset by a valuation allowance release of $1.0 million in a foreign jurisdiction and $4.9 million release of valuation allowance against deferred tax liabilities acquired in the Invoiced acquisition. During the year ended December 31, 2023, the Company recorded a net increase in the valuation allowance of $2.8 million, which is primarily due to an increase of $12.1 million related to capitalized research and development costs, offset by NOL utilization in the U.S. and the U.K. During the year ended December 31, 2022, the Company recorded a net increase in the valuation allowance of $13.8 million, which is primarily due to an increase of $12.7 million related to capitalized</w:t>
      </w:r>
    </w:p>
    <w:p>
      <w:pPr>
        <w:sectPr>
          <w:pgSz w:w="12240" w:h="15840" w:orient="portrait"/>
          <w:cols w:equalWidth="0" w:num="1">
            <w:col w:w="10200"/>
          </w:cols>
          <w:pgMar w:left="1020" w:top="1440" w:right="1020" w:bottom="572" w:gutter="0" w:footer="0" w:header="0"/>
        </w:sectPr>
      </w:pP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146</w:t>
      </w:r>
    </w:p>
    <w:p>
      <w:pPr>
        <w:sectPr>
          <w:pgSz w:w="12240" w:h="15840" w:orient="portrait"/>
          <w:cols w:equalWidth="0" w:num="1">
            <w:col w:w="10200"/>
          </w:cols>
          <w:pgMar w:left="1020" w:top="1440" w:right="1020" w:bottom="572" w:gutter="0" w:footer="0" w:header="0"/>
          <w:type w:val="continuous"/>
        </w:sectPr>
      </w:pPr>
    </w:p>
    <w:bookmarkStart w:id="147" w:name="page148"/>
    <w:bookmarkEnd w:id="147"/>
    <w:p>
      <w:pPr>
        <w:spacing w:after="0" w:line="97"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231F20"/>
        </w:rPr>
        <w:t>research and development costs in the U.S. The Company also recorded a valuation allowance of $1.3 million related to a foreign subsidiary, offset by a decrease of $0.2 million due to the release of valuation allowance in foreign entities. Changes in the valuation allowance are summarized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Borders>
              <w:bottom w:val="single" w:sz="8" w:color="FDFDFC"/>
            </w:tcBorders>
            <w:shd w:val="clear" w:color="auto" w:fill="FDFDFC"/>
          </w:tcPr>
          <w:p>
            <w:pPr>
              <w:spacing w:after="0"/>
              <w:rPr>
                <w:sz w:val="16"/>
                <w:szCs w:val="16"/>
                <w:color w:val="auto"/>
              </w:rPr>
            </w:pPr>
          </w:p>
        </w:tc>
        <w:tc>
          <w:tcPr>
            <w:tcW w:w="140" w:type="dxa"/>
            <w:vAlign w:val="bottom"/>
            <w:tcBorders>
              <w:bottom w:val="single" w:sz="8" w:color="FDFDFC"/>
            </w:tcBorders>
            <w:shd w:val="clear" w:color="auto" w:fill="FDFDFC"/>
          </w:tcPr>
          <w:p>
            <w:pPr>
              <w:spacing w:after="0"/>
              <w:rPr>
                <w:sz w:val="16"/>
                <w:szCs w:val="16"/>
                <w:color w:val="auto"/>
              </w:rPr>
            </w:pPr>
          </w:p>
        </w:tc>
        <w:tc>
          <w:tcPr>
            <w:tcW w:w="280" w:type="dxa"/>
            <w:vAlign w:val="bottom"/>
            <w:tcBorders>
              <w:bottom w:val="single" w:sz="8" w:color="231F20"/>
            </w:tcBorders>
            <w:shd w:val="clear" w:color="auto" w:fill="FDFDFC"/>
          </w:tcPr>
          <w:p>
            <w:pPr>
              <w:spacing w:after="0"/>
              <w:rPr>
                <w:sz w:val="16"/>
                <w:szCs w:val="16"/>
                <w:color w:val="auto"/>
              </w:rPr>
            </w:pPr>
          </w:p>
        </w:tc>
        <w:tc>
          <w:tcPr>
            <w:tcW w:w="2880" w:type="dxa"/>
            <w:vAlign w:val="bottom"/>
            <w:tcBorders>
              <w:bottom w:val="single" w:sz="8" w:color="231F20"/>
            </w:tcBorders>
            <w:gridSpan w:val="8"/>
            <w:shd w:val="clear" w:color="auto" w:fill="FDFDFC"/>
          </w:tcPr>
          <w:p>
            <w:pPr>
              <w:jc w:val="right"/>
              <w:ind w:right="86"/>
              <w:spacing w:after="0"/>
              <w:rPr>
                <w:sz w:val="20"/>
                <w:szCs w:val="20"/>
                <w:color w:val="auto"/>
              </w:rPr>
            </w:pPr>
            <w:r>
              <w:rPr>
                <w:rFonts w:ascii="Arial" w:cs="Arial" w:eastAsia="Arial" w:hAnsi="Arial"/>
                <w:sz w:val="15"/>
                <w:szCs w:val="15"/>
                <w:b w:val="1"/>
                <w:bCs w:val="1"/>
                <w:color w:val="231F20"/>
              </w:rPr>
              <w:t>Year Ended December 31,</w:t>
            </w:r>
          </w:p>
        </w:tc>
        <w:tc>
          <w:tcPr>
            <w:tcW w:w="9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80" w:type="dxa"/>
            <w:vAlign w:val="bottom"/>
            <w:tcBorders>
              <w:bottom w:val="single" w:sz="8" w:color="231F20"/>
            </w:tcBorders>
            <w:shd w:val="clear" w:color="auto" w:fill="FDFDFC"/>
          </w:tcPr>
          <w:p>
            <w:pPr>
              <w:spacing w:after="0"/>
              <w:rPr>
                <w:sz w:val="15"/>
                <w:szCs w:val="15"/>
                <w:color w:val="auto"/>
              </w:rPr>
            </w:pPr>
          </w:p>
        </w:tc>
        <w:tc>
          <w:tcPr>
            <w:tcW w:w="920" w:type="dxa"/>
            <w:vAlign w:val="bottom"/>
            <w:tcBorders>
              <w:bottom w:val="single" w:sz="8" w:color="231F20"/>
            </w:tcBorders>
            <w:shd w:val="clear" w:color="auto" w:fill="FDFDFC"/>
          </w:tcPr>
          <w:p>
            <w:pPr>
              <w:jc w:val="right"/>
              <w:ind w:right="333"/>
              <w:spacing w:after="0"/>
              <w:rPr>
                <w:sz w:val="20"/>
                <w:szCs w:val="20"/>
                <w:color w:val="auto"/>
              </w:rPr>
            </w:pPr>
            <w:r>
              <w:rPr>
                <w:rFonts w:ascii="Arial" w:cs="Arial" w:eastAsia="Arial" w:hAnsi="Arial"/>
                <w:sz w:val="15"/>
                <w:szCs w:val="15"/>
                <w:b w:val="1"/>
                <w:bCs w:val="1"/>
                <w:color w:val="231F20"/>
              </w:rPr>
              <w:t>2024</w:t>
            </w:r>
          </w:p>
        </w:tc>
        <w:tc>
          <w:tcPr>
            <w:tcW w:w="12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50"/>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50"/>
              <w:spacing w:after="0"/>
              <w:rPr>
                <w:sz w:val="20"/>
                <w:szCs w:val="20"/>
                <w:color w:val="auto"/>
              </w:rPr>
            </w:pPr>
            <w:r>
              <w:rPr>
                <w:rFonts w:ascii="Arial" w:cs="Arial" w:eastAsia="Arial" w:hAnsi="Arial"/>
                <w:sz w:val="15"/>
                <w:szCs w:val="15"/>
                <w:b w:val="1"/>
                <w:bCs w:val="1"/>
                <w:color w:val="231F20"/>
              </w:rPr>
              <w:t>2022</w:t>
            </w:r>
          </w:p>
        </w:tc>
        <w:tc>
          <w:tcPr>
            <w:tcW w:w="1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Valuation allowance at beginning of year</w:t>
            </w:r>
          </w:p>
        </w:tc>
        <w:tc>
          <w:tcPr>
            <w:tcW w:w="140" w:type="dxa"/>
            <w:vAlign w:val="bottom"/>
            <w:shd w:val="clear" w:color="auto" w:fill="D0EBF2"/>
          </w:tcPr>
          <w:p>
            <w:pPr>
              <w:spacing w:after="0"/>
              <w:rPr>
                <w:sz w:val="19"/>
                <w:szCs w:val="19"/>
                <w:color w:val="auto"/>
              </w:rPr>
            </w:pPr>
          </w:p>
        </w:tc>
        <w:tc>
          <w:tcPr>
            <w:tcW w:w="28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(40,444)</w:t>
            </w:r>
          </w:p>
        </w:tc>
        <w:tc>
          <w:tcPr>
            <w:tcW w:w="12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(37,627)</w:t>
            </w:r>
          </w:p>
        </w:tc>
        <w:tc>
          <w:tcPr>
            <w:tcW w:w="1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ind w:left="280"/>
              <w:spacing w:after="0"/>
              <w:rPr>
                <w:sz w:val="20"/>
                <w:szCs w:val="20"/>
                <w:color w:val="auto"/>
              </w:rPr>
            </w:pPr>
            <w:r>
              <w:rPr>
                <w:rFonts w:ascii="Arial" w:cs="Arial" w:eastAsia="Arial" w:hAnsi="Arial"/>
                <w:sz w:val="19"/>
                <w:szCs w:val="19"/>
                <w:color w:val="231F20"/>
                <w:w w:val="90"/>
              </w:rPr>
              <w:t>(23,864)</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FDFDFC"/>
          </w:tcPr>
          <w:p>
            <w:pPr>
              <w:spacing w:after="0" w:line="213" w:lineRule="exact"/>
              <w:rPr>
                <w:sz w:val="20"/>
                <w:szCs w:val="20"/>
                <w:color w:val="auto"/>
              </w:rPr>
            </w:pPr>
            <w:r>
              <w:rPr>
                <w:rFonts w:ascii="Arial" w:cs="Arial" w:eastAsia="Arial" w:hAnsi="Arial"/>
                <w:sz w:val="19"/>
                <w:szCs w:val="19"/>
                <w:color w:val="231F20"/>
              </w:rPr>
              <w:t>Change recorded to income tax provision as part of</w:t>
            </w:r>
          </w:p>
        </w:tc>
        <w:tc>
          <w:tcPr>
            <w:tcW w:w="140" w:type="dxa"/>
            <w:vAlign w:val="bottom"/>
            <w:shd w:val="clear" w:color="auto" w:fill="FDFDFC"/>
          </w:tcPr>
          <w:p>
            <w:pPr>
              <w:spacing w:after="0"/>
              <w:rPr>
                <w:sz w:val="18"/>
                <w:szCs w:val="18"/>
                <w:color w:val="auto"/>
              </w:rPr>
            </w:pPr>
          </w:p>
        </w:tc>
        <w:tc>
          <w:tcPr>
            <w:tcW w:w="280" w:type="dxa"/>
            <w:vAlign w:val="bottom"/>
            <w:shd w:val="clear" w:color="auto" w:fill="FDFDFC"/>
          </w:tcPr>
          <w:p>
            <w:pPr>
              <w:spacing w:after="0"/>
              <w:rPr>
                <w:sz w:val="18"/>
                <w:szCs w:val="18"/>
                <w:color w:val="auto"/>
              </w:rPr>
            </w:pPr>
          </w:p>
        </w:tc>
        <w:tc>
          <w:tcPr>
            <w:tcW w:w="1040" w:type="dxa"/>
            <w:vAlign w:val="bottom"/>
            <w:gridSpan w:val="2"/>
            <w:vMerge w:val="restart"/>
            <w:shd w:val="clear" w:color="auto" w:fill="FDFDFC"/>
          </w:tcPr>
          <w:p>
            <w:pPr>
              <w:jc w:val="right"/>
              <w:ind w:right="40"/>
              <w:spacing w:after="0"/>
              <w:rPr>
                <w:sz w:val="20"/>
                <w:szCs w:val="20"/>
                <w:color w:val="auto"/>
              </w:rPr>
            </w:pPr>
            <w:r>
              <w:rPr>
                <w:rFonts w:ascii="Arial" w:cs="Arial" w:eastAsia="Arial" w:hAnsi="Arial"/>
                <w:sz w:val="19"/>
                <w:szCs w:val="19"/>
                <w:color w:val="231F20"/>
              </w:rPr>
              <w:t>(3,747)</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vMerge w:val="restart"/>
            <w:shd w:val="clear" w:color="auto" w:fill="FDFDFC"/>
          </w:tcPr>
          <w:p>
            <w:pPr>
              <w:jc w:val="right"/>
              <w:ind w:right="40"/>
              <w:spacing w:after="0"/>
              <w:rPr>
                <w:sz w:val="20"/>
                <w:szCs w:val="20"/>
                <w:color w:val="auto"/>
              </w:rPr>
            </w:pPr>
            <w:r>
              <w:rPr>
                <w:rFonts w:ascii="Arial" w:cs="Arial" w:eastAsia="Arial" w:hAnsi="Arial"/>
                <w:sz w:val="19"/>
                <w:szCs w:val="19"/>
                <w:color w:val="231F20"/>
              </w:rPr>
              <w:t>(2,817)</w:t>
            </w:r>
          </w:p>
        </w:tc>
        <w:tc>
          <w:tcPr>
            <w:tcW w:w="14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1040" w:type="dxa"/>
            <w:vAlign w:val="bottom"/>
            <w:gridSpan w:val="2"/>
            <w:vMerge w:val="restart"/>
            <w:shd w:val="clear" w:color="auto" w:fill="FDFDFC"/>
          </w:tcPr>
          <w:p>
            <w:pPr>
              <w:ind w:left="280"/>
              <w:spacing w:after="0"/>
              <w:rPr>
                <w:sz w:val="20"/>
                <w:szCs w:val="20"/>
                <w:color w:val="auto"/>
              </w:rPr>
            </w:pPr>
            <w:r>
              <w:rPr>
                <w:rFonts w:ascii="Arial" w:cs="Arial" w:eastAsia="Arial" w:hAnsi="Arial"/>
                <w:sz w:val="19"/>
                <w:szCs w:val="19"/>
                <w:color w:val="231F20"/>
              </w:rPr>
              <w:t>(13,763)</w:t>
            </w:r>
          </w:p>
        </w:tc>
        <w:tc>
          <w:tcPr>
            <w:tcW w:w="0" w:type="dxa"/>
            <w:vAlign w:val="bottom"/>
          </w:tcPr>
          <w:p>
            <w:pPr>
              <w:spacing w:after="0"/>
              <w:rPr>
                <w:sz w:val="1"/>
                <w:szCs w:val="1"/>
                <w:color w:val="auto"/>
              </w:rPr>
            </w:pPr>
          </w:p>
        </w:tc>
      </w:tr>
      <w:tr>
        <w:trPr>
          <w:trHeight w:val="235"/>
        </w:trPr>
        <w:tc>
          <w:tcPr>
            <w:tcW w:w="5860" w:type="dxa"/>
            <w:vAlign w:val="bottom"/>
            <w:shd w:val="clear" w:color="auto" w:fill="FDFDFC"/>
          </w:tcPr>
          <w:p>
            <w:pPr>
              <w:ind w:left="160"/>
              <w:spacing w:after="0"/>
              <w:rPr>
                <w:sz w:val="20"/>
                <w:szCs w:val="20"/>
                <w:color w:val="auto"/>
              </w:rPr>
            </w:pPr>
            <w:r>
              <w:rPr>
                <w:rFonts w:ascii="Arial" w:cs="Arial" w:eastAsia="Arial" w:hAnsi="Arial"/>
                <w:sz w:val="19"/>
                <w:szCs w:val="19"/>
                <w:color w:val="231F20"/>
              </w:rPr>
              <w:t>operations</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40" w:type="dxa"/>
            <w:vAlign w:val="bottom"/>
            <w:gridSpan w:val="2"/>
            <w:vMerge w:val="continue"/>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040" w:type="dxa"/>
            <w:vAlign w:val="bottom"/>
            <w:gridSpan w:val="2"/>
            <w:vMerge w:val="continue"/>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040" w:type="dxa"/>
            <w:vAlign w:val="bottom"/>
            <w:gridSpan w:val="2"/>
            <w:vMerge w:val="continue"/>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60" w:type="dxa"/>
            <w:vAlign w:val="bottom"/>
            <w:tcBorders>
              <w:top w:val="single" w:sz="8" w:color="D0EBF2"/>
            </w:tcBorders>
            <w:shd w:val="clear" w:color="auto" w:fill="D0EBF2"/>
          </w:tcPr>
          <w:p>
            <w:pPr>
              <w:spacing w:after="0"/>
              <w:rPr>
                <w:sz w:val="20"/>
                <w:szCs w:val="20"/>
                <w:color w:val="auto"/>
              </w:rPr>
            </w:pPr>
            <w:r>
              <w:rPr>
                <w:rFonts w:ascii="Arial" w:cs="Arial" w:eastAsia="Arial" w:hAnsi="Arial"/>
                <w:sz w:val="19"/>
                <w:szCs w:val="19"/>
                <w:color w:val="231F20"/>
              </w:rPr>
              <w:t>Valuation allowance at end of year</w:t>
            </w:r>
          </w:p>
        </w:tc>
        <w:tc>
          <w:tcPr>
            <w:tcW w:w="140" w:type="dxa"/>
            <w:vAlign w:val="bottom"/>
            <w:tcBorders>
              <w:top w:val="single" w:sz="8" w:color="D0EBF2"/>
            </w:tcBorders>
            <w:shd w:val="clear" w:color="auto" w:fill="D0EBF2"/>
          </w:tcPr>
          <w:p>
            <w:pPr>
              <w:spacing w:after="0"/>
              <w:rPr>
                <w:sz w:val="19"/>
                <w:szCs w:val="19"/>
                <w:color w:val="auto"/>
              </w:rPr>
            </w:pPr>
          </w:p>
        </w:tc>
        <w:tc>
          <w:tcPr>
            <w:tcW w:w="280" w:type="dxa"/>
            <w:vAlign w:val="bottom"/>
            <w:tcBorders>
              <w:top w:val="single" w:sz="8" w:color="231F20"/>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(44,191)</w:t>
            </w:r>
          </w:p>
        </w:tc>
        <w:tc>
          <w:tcPr>
            <w:tcW w:w="120" w:type="dxa"/>
            <w:vAlign w:val="bottom"/>
            <w:tcBorders>
              <w:top w:val="single" w:sz="8" w:color="D0EBF2"/>
            </w:tcBorders>
            <w:shd w:val="clear" w:color="auto" w:fill="D0EBF2"/>
          </w:tcPr>
          <w:p>
            <w:pPr>
              <w:spacing w:after="0"/>
              <w:rPr>
                <w:sz w:val="19"/>
                <w:szCs w:val="19"/>
                <w:color w:val="auto"/>
              </w:rPr>
            </w:pPr>
          </w:p>
        </w:tc>
        <w:tc>
          <w:tcPr>
            <w:tcW w:w="140" w:type="dxa"/>
            <w:vAlign w:val="bottom"/>
            <w:tcBorders>
              <w:top w:val="single" w:sz="8" w:color="D0EBF2"/>
            </w:tcBorders>
            <w:shd w:val="clear" w:color="auto" w:fill="D0EBF2"/>
          </w:tcPr>
          <w:p>
            <w:pPr>
              <w:spacing w:after="0"/>
              <w:rPr>
                <w:sz w:val="19"/>
                <w:szCs w:val="19"/>
                <w:color w:val="auto"/>
              </w:rPr>
            </w:pPr>
          </w:p>
        </w:tc>
        <w:tc>
          <w:tcPr>
            <w:tcW w:w="260" w:type="dxa"/>
            <w:vAlign w:val="bottom"/>
            <w:tcBorders>
              <w:top w:val="single" w:sz="8" w:color="231F20"/>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(40,444)</w:t>
            </w:r>
          </w:p>
        </w:tc>
        <w:tc>
          <w:tcPr>
            <w:tcW w:w="100" w:type="dxa"/>
            <w:vAlign w:val="bottom"/>
            <w:tcBorders>
              <w:top w:val="single" w:sz="8" w:color="D0EBF2"/>
            </w:tcBorders>
            <w:shd w:val="clear" w:color="auto" w:fill="D0EBF2"/>
          </w:tcPr>
          <w:p>
            <w:pPr>
              <w:spacing w:after="0"/>
              <w:rPr>
                <w:sz w:val="19"/>
                <w:szCs w:val="19"/>
                <w:color w:val="auto"/>
              </w:rPr>
            </w:pPr>
          </w:p>
        </w:tc>
        <w:tc>
          <w:tcPr>
            <w:tcW w:w="140" w:type="dxa"/>
            <w:vAlign w:val="bottom"/>
            <w:tcBorders>
              <w:top w:val="single" w:sz="8" w:color="D0EBF2"/>
            </w:tcBorders>
            <w:shd w:val="clear" w:color="auto" w:fill="D0EBF2"/>
          </w:tcPr>
          <w:p>
            <w:pPr>
              <w:spacing w:after="0"/>
              <w:rPr>
                <w:sz w:val="19"/>
                <w:szCs w:val="19"/>
                <w:color w:val="auto"/>
              </w:rPr>
            </w:pPr>
          </w:p>
        </w:tc>
        <w:tc>
          <w:tcPr>
            <w:tcW w:w="260" w:type="dxa"/>
            <w:vAlign w:val="bottom"/>
            <w:tcBorders>
              <w:top w:val="single" w:sz="8" w:color="231F20"/>
              <w:bottom w:val="single" w:sz="8" w:color="231F20"/>
            </w:tcBorders>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top w:val="single" w:sz="8" w:color="231F20"/>
              <w:bottom w:val="single" w:sz="8" w:color="231F20"/>
            </w:tcBorders>
            <w:shd w:val="clear" w:color="auto" w:fill="D0EBF2"/>
          </w:tcPr>
          <w:p>
            <w:pPr>
              <w:ind w:left="280"/>
              <w:spacing w:after="0"/>
              <w:rPr>
                <w:sz w:val="20"/>
                <w:szCs w:val="20"/>
                <w:color w:val="auto"/>
              </w:rPr>
            </w:pPr>
            <w:r>
              <w:rPr>
                <w:rFonts w:ascii="Arial" w:cs="Arial" w:eastAsia="Arial" w:hAnsi="Arial"/>
                <w:sz w:val="19"/>
                <w:szCs w:val="19"/>
                <w:color w:val="231F20"/>
                <w:w w:val="90"/>
              </w:rPr>
              <w:t>(37,627)</w:t>
            </w:r>
          </w:p>
        </w:tc>
        <w:tc>
          <w:tcPr>
            <w:tcW w:w="10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20" w:firstLine="463"/>
        <w:spacing w:after="0" w:line="246" w:lineRule="auto"/>
        <w:rPr>
          <w:sz w:val="20"/>
          <w:szCs w:val="20"/>
          <w:color w:val="auto"/>
        </w:rPr>
      </w:pPr>
      <w:r>
        <w:rPr>
          <w:rFonts w:ascii="Arial" w:cs="Arial" w:eastAsia="Arial" w:hAnsi="Arial"/>
          <w:sz w:val="19"/>
          <w:szCs w:val="19"/>
          <w:color w:val="231F20"/>
        </w:rPr>
        <w:t>The Company permanently reinvests the earnings of its foreign subsidiaries. No additional income taxes have been provided on the indefinitely invested foreign earnings at December 31, 2024. The Company has approximately $51.2 million of unremitted earnings at December 31, 2024, which the Company believes to approximate the outside basis difference in its foreign subsidiaries. If these earnings were distributed, the Company could be subject to income taxes and foreign withholding taxes. As of December 31 2024, the amount of the unrecognized deferred taxes on these earnings are not material.</w:t>
      </w:r>
    </w:p>
    <w:p>
      <w:pPr>
        <w:spacing w:after="0" w:line="148" w:lineRule="exact"/>
        <w:rPr>
          <w:sz w:val="20"/>
          <w:szCs w:val="20"/>
          <w:color w:val="auto"/>
        </w:rPr>
      </w:pPr>
    </w:p>
    <w:p>
      <w:pPr>
        <w:ind w:right="140" w:firstLine="463"/>
        <w:spacing w:after="0" w:line="248" w:lineRule="auto"/>
        <w:rPr>
          <w:sz w:val="20"/>
          <w:szCs w:val="20"/>
          <w:color w:val="auto"/>
        </w:rPr>
      </w:pPr>
      <w:r>
        <w:rPr>
          <w:rFonts w:ascii="Arial" w:cs="Arial" w:eastAsia="Arial" w:hAnsi="Arial"/>
          <w:sz w:val="19"/>
          <w:szCs w:val="19"/>
          <w:color w:val="231F20"/>
        </w:rPr>
        <w:t>As of December 31, 2024, 2023 and 2022, the Company accrued $1.3 million, $0.8 million and $0.8 million related to uncertain tax positions, inclusive of interest and penalties, respectively, which includes potential tax benefits of $1.0 million, $0.5 million and $0.6 million, respectively, that, when recognized, would impact the effective tax rate. As of December 31, 2024, $0.8 million of the reserve is reflected as a reduction to deferred taxes and the remaining balance is recorded as a component of other liabilities in the consolidated balance sheet.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A reconciliation of the beginning and ending amount of unrecognized tax benefits is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Borders>
              <w:bottom w:val="single" w:sz="8" w:color="FDFDFC"/>
            </w:tcBorders>
            <w:shd w:val="clear" w:color="auto" w:fill="FDFDFC"/>
          </w:tcPr>
          <w:p>
            <w:pPr>
              <w:spacing w:after="0"/>
              <w:rPr>
                <w:sz w:val="16"/>
                <w:szCs w:val="16"/>
                <w:color w:val="auto"/>
              </w:rPr>
            </w:pPr>
          </w:p>
        </w:tc>
        <w:tc>
          <w:tcPr>
            <w:tcW w:w="140" w:type="dxa"/>
            <w:vAlign w:val="bottom"/>
            <w:tcBorders>
              <w:bottom w:val="single" w:sz="8" w:color="FDFDFC"/>
            </w:tcBorders>
            <w:shd w:val="clear" w:color="auto" w:fill="FDFDFC"/>
          </w:tcPr>
          <w:p>
            <w:pPr>
              <w:spacing w:after="0"/>
              <w:rPr>
                <w:sz w:val="16"/>
                <w:szCs w:val="16"/>
                <w:color w:val="auto"/>
              </w:rPr>
            </w:pPr>
          </w:p>
        </w:tc>
        <w:tc>
          <w:tcPr>
            <w:tcW w:w="280" w:type="dxa"/>
            <w:vAlign w:val="bottom"/>
            <w:tcBorders>
              <w:bottom w:val="single" w:sz="8" w:color="231F20"/>
            </w:tcBorders>
            <w:shd w:val="clear" w:color="auto" w:fill="FDFDFC"/>
          </w:tcPr>
          <w:p>
            <w:pPr>
              <w:spacing w:after="0"/>
              <w:rPr>
                <w:sz w:val="16"/>
                <w:szCs w:val="16"/>
                <w:color w:val="auto"/>
              </w:rPr>
            </w:pPr>
          </w:p>
        </w:tc>
        <w:tc>
          <w:tcPr>
            <w:tcW w:w="2880" w:type="dxa"/>
            <w:vAlign w:val="bottom"/>
            <w:tcBorders>
              <w:bottom w:val="single" w:sz="8" w:color="231F20"/>
            </w:tcBorders>
            <w:gridSpan w:val="8"/>
            <w:shd w:val="clear" w:color="auto" w:fill="FDFDFC"/>
          </w:tcPr>
          <w:p>
            <w:pPr>
              <w:jc w:val="right"/>
              <w:ind w:right="86"/>
              <w:spacing w:after="0"/>
              <w:rPr>
                <w:sz w:val="20"/>
                <w:szCs w:val="20"/>
                <w:color w:val="auto"/>
              </w:rPr>
            </w:pPr>
            <w:r>
              <w:rPr>
                <w:rFonts w:ascii="Arial" w:cs="Arial" w:eastAsia="Arial" w:hAnsi="Arial"/>
                <w:sz w:val="15"/>
                <w:szCs w:val="15"/>
                <w:b w:val="1"/>
                <w:bCs w:val="1"/>
                <w:color w:val="231F20"/>
              </w:rPr>
              <w:t>Year Ended December 31,</w:t>
            </w:r>
          </w:p>
        </w:tc>
        <w:tc>
          <w:tcPr>
            <w:tcW w:w="9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80" w:type="dxa"/>
            <w:vAlign w:val="bottom"/>
            <w:tcBorders>
              <w:bottom w:val="single" w:sz="8" w:color="231F20"/>
            </w:tcBorders>
            <w:shd w:val="clear" w:color="auto" w:fill="FDFDFC"/>
          </w:tcPr>
          <w:p>
            <w:pPr>
              <w:spacing w:after="0"/>
              <w:rPr>
                <w:sz w:val="15"/>
                <w:szCs w:val="15"/>
                <w:color w:val="auto"/>
              </w:rPr>
            </w:pPr>
          </w:p>
        </w:tc>
        <w:tc>
          <w:tcPr>
            <w:tcW w:w="920" w:type="dxa"/>
            <w:vAlign w:val="bottom"/>
            <w:tcBorders>
              <w:bottom w:val="single" w:sz="8" w:color="231F20"/>
            </w:tcBorders>
            <w:shd w:val="clear" w:color="auto" w:fill="FDFDFC"/>
          </w:tcPr>
          <w:p>
            <w:pPr>
              <w:jc w:val="right"/>
              <w:ind w:right="331"/>
              <w:spacing w:after="0"/>
              <w:rPr>
                <w:sz w:val="20"/>
                <w:szCs w:val="20"/>
                <w:color w:val="auto"/>
              </w:rPr>
            </w:pPr>
            <w:r>
              <w:rPr>
                <w:rFonts w:ascii="Arial" w:cs="Arial" w:eastAsia="Arial" w:hAnsi="Arial"/>
                <w:sz w:val="15"/>
                <w:szCs w:val="15"/>
                <w:b w:val="1"/>
                <w:bCs w:val="1"/>
                <w:color w:val="231F20"/>
              </w:rPr>
              <w:t>2024</w:t>
            </w:r>
          </w:p>
        </w:tc>
        <w:tc>
          <w:tcPr>
            <w:tcW w:w="12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48"/>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348"/>
              <w:spacing w:after="0"/>
              <w:rPr>
                <w:sz w:val="20"/>
                <w:szCs w:val="20"/>
                <w:color w:val="auto"/>
              </w:rPr>
            </w:pPr>
            <w:r>
              <w:rPr>
                <w:rFonts w:ascii="Arial" w:cs="Arial" w:eastAsia="Arial" w:hAnsi="Arial"/>
                <w:sz w:val="15"/>
                <w:szCs w:val="15"/>
                <w:b w:val="1"/>
                <w:bCs w:val="1"/>
                <w:color w:val="231F20"/>
              </w:rPr>
              <w:t>2022</w:t>
            </w:r>
          </w:p>
        </w:tc>
        <w:tc>
          <w:tcPr>
            <w:tcW w:w="1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860" w:type="dxa"/>
            <w:vAlign w:val="bottom"/>
            <w:shd w:val="clear" w:color="auto" w:fill="D0EBF2"/>
          </w:tcPr>
          <w:p>
            <w:pPr>
              <w:spacing w:after="0"/>
              <w:rPr>
                <w:sz w:val="20"/>
                <w:szCs w:val="20"/>
                <w:color w:val="auto"/>
              </w:rPr>
            </w:pPr>
            <w:r>
              <w:rPr>
                <w:rFonts w:ascii="Arial" w:cs="Arial" w:eastAsia="Arial" w:hAnsi="Arial"/>
                <w:sz w:val="19"/>
                <w:szCs w:val="19"/>
                <w:color w:val="231F20"/>
              </w:rPr>
              <w:t>Balance at beginning of year</w:t>
            </w:r>
          </w:p>
        </w:tc>
        <w:tc>
          <w:tcPr>
            <w:tcW w:w="140" w:type="dxa"/>
            <w:vAlign w:val="bottom"/>
            <w:shd w:val="clear" w:color="auto" w:fill="D0EBF2"/>
          </w:tcPr>
          <w:p>
            <w:pPr>
              <w:spacing w:after="0"/>
              <w:rPr>
                <w:sz w:val="19"/>
                <w:szCs w:val="19"/>
                <w:color w:val="auto"/>
              </w:rPr>
            </w:pPr>
          </w:p>
        </w:tc>
        <w:tc>
          <w:tcPr>
            <w:tcW w:w="28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620</w:t>
            </w:r>
          </w:p>
        </w:tc>
        <w:tc>
          <w:tcPr>
            <w:tcW w:w="12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659</w:t>
            </w:r>
          </w:p>
        </w:tc>
        <w:tc>
          <w:tcPr>
            <w:tcW w:w="10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19"/>
                <w:szCs w:val="19"/>
                <w:color w:val="auto"/>
              </w:rPr>
            </w:pPr>
          </w:p>
        </w:tc>
        <w:tc>
          <w:tcPr>
            <w:tcW w:w="260" w:type="dxa"/>
            <w:vAlign w:val="bottom"/>
            <w:shd w:val="clear" w:color="auto" w:fill="D0EBF2"/>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889</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spacing w:after="0"/>
              <w:rPr>
                <w:sz w:val="20"/>
                <w:szCs w:val="20"/>
                <w:color w:val="auto"/>
              </w:rPr>
            </w:pPr>
            <w:r>
              <w:rPr>
                <w:rFonts w:ascii="Arial" w:cs="Arial" w:eastAsia="Arial" w:hAnsi="Arial"/>
                <w:sz w:val="19"/>
                <w:szCs w:val="19"/>
                <w:color w:val="231F20"/>
              </w:rPr>
              <w:t>Settlements with taxing authorities</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9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D0EBF2"/>
          </w:tcPr>
          <w:p>
            <w:pPr>
              <w:spacing w:after="0" w:line="213" w:lineRule="exact"/>
              <w:rPr>
                <w:sz w:val="20"/>
                <w:szCs w:val="20"/>
                <w:color w:val="auto"/>
              </w:rPr>
            </w:pPr>
            <w:r>
              <w:rPr>
                <w:rFonts w:ascii="Arial" w:cs="Arial" w:eastAsia="Arial" w:hAnsi="Arial"/>
                <w:sz w:val="19"/>
                <w:szCs w:val="19"/>
                <w:color w:val="231F20"/>
              </w:rPr>
              <w:t>Increases (decreases) related to tax positions taken during</w:t>
            </w:r>
          </w:p>
        </w:tc>
        <w:tc>
          <w:tcPr>
            <w:tcW w:w="140" w:type="dxa"/>
            <w:vAlign w:val="bottom"/>
            <w:shd w:val="clear" w:color="auto" w:fill="D0EBF2"/>
          </w:tcPr>
          <w:p>
            <w:pPr>
              <w:spacing w:after="0"/>
              <w:rPr>
                <w:sz w:val="18"/>
                <w:szCs w:val="18"/>
                <w:color w:val="auto"/>
              </w:rPr>
            </w:pPr>
          </w:p>
        </w:tc>
        <w:tc>
          <w:tcPr>
            <w:tcW w:w="280" w:type="dxa"/>
            <w:vAlign w:val="bottom"/>
            <w:shd w:val="clear" w:color="auto" w:fill="D0EBF2"/>
          </w:tcPr>
          <w:p>
            <w:pPr>
              <w:spacing w:after="0"/>
              <w:rPr>
                <w:sz w:val="18"/>
                <w:szCs w:val="18"/>
                <w:color w:val="auto"/>
              </w:rPr>
            </w:pPr>
          </w:p>
        </w:tc>
        <w:tc>
          <w:tcPr>
            <w:tcW w:w="92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432</w:t>
            </w: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vMerge w:val="restart"/>
            <w:shd w:val="clear" w:color="auto" w:fill="D0EBF2"/>
          </w:tcPr>
          <w:p>
            <w:pPr>
              <w:jc w:val="right"/>
              <w:ind w:right="120"/>
              <w:spacing w:after="0"/>
              <w:rPr>
                <w:sz w:val="20"/>
                <w:szCs w:val="20"/>
                <w:color w:val="auto"/>
              </w:rPr>
            </w:pPr>
            <w:r>
              <w:rPr>
                <w:rFonts w:ascii="Arial" w:cs="Arial" w:eastAsia="Arial" w:hAnsi="Arial"/>
                <w:sz w:val="19"/>
                <w:szCs w:val="19"/>
                <w:color w:val="231F20"/>
              </w:rPr>
              <w:t>—</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vMerge w:val="restart"/>
            <w:shd w:val="clear" w:color="auto" w:fill="D0EBF2"/>
          </w:tcPr>
          <w:p>
            <w:pPr>
              <w:jc w:val="right"/>
              <w:ind w:right="40"/>
              <w:spacing w:after="0"/>
              <w:rPr>
                <w:sz w:val="20"/>
                <w:szCs w:val="20"/>
                <w:color w:val="auto"/>
              </w:rPr>
            </w:pPr>
            <w:r>
              <w:rPr>
                <w:rFonts w:ascii="Arial" w:cs="Arial" w:eastAsia="Arial" w:hAnsi="Arial"/>
                <w:sz w:val="19"/>
                <w:szCs w:val="19"/>
                <w:color w:val="231F20"/>
              </w:rPr>
              <w:t>(170)</w:t>
            </w:r>
          </w:p>
        </w:tc>
        <w:tc>
          <w:tcPr>
            <w:tcW w:w="0" w:type="dxa"/>
            <w:vAlign w:val="bottom"/>
          </w:tcPr>
          <w:p>
            <w:pPr>
              <w:spacing w:after="0"/>
              <w:rPr>
                <w:sz w:val="1"/>
                <w:szCs w:val="1"/>
                <w:color w:val="auto"/>
              </w:rPr>
            </w:pPr>
          </w:p>
        </w:tc>
      </w:tr>
      <w:tr>
        <w:trPr>
          <w:trHeight w:val="235"/>
        </w:trPr>
        <w:tc>
          <w:tcPr>
            <w:tcW w:w="5860" w:type="dxa"/>
            <w:vAlign w:val="bottom"/>
            <w:shd w:val="clear" w:color="auto" w:fill="D0EBF2"/>
          </w:tcPr>
          <w:p>
            <w:pPr>
              <w:ind w:left="160"/>
              <w:spacing w:after="0"/>
              <w:rPr>
                <w:sz w:val="20"/>
                <w:szCs w:val="20"/>
                <w:color w:val="auto"/>
              </w:rPr>
            </w:pPr>
            <w:r>
              <w:rPr>
                <w:rFonts w:ascii="Arial" w:cs="Arial" w:eastAsia="Arial" w:hAnsi="Arial"/>
                <w:sz w:val="19"/>
                <w:szCs w:val="19"/>
                <w:color w:val="231F20"/>
              </w:rPr>
              <w:t>prior years</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920" w:type="dxa"/>
            <w:vAlign w:val="bottom"/>
            <w:vMerge w:val="continue"/>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040" w:type="dxa"/>
            <w:vAlign w:val="bottom"/>
            <w:gridSpan w:val="2"/>
            <w:vMerge w:val="continue"/>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040" w:type="dxa"/>
            <w:vAlign w:val="bottom"/>
            <w:gridSpan w:val="2"/>
            <w:vMerge w:val="continue"/>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FDFDFC"/>
          </w:tcPr>
          <w:p>
            <w:pPr>
              <w:spacing w:after="0"/>
              <w:rPr>
                <w:sz w:val="20"/>
                <w:szCs w:val="20"/>
                <w:color w:val="auto"/>
              </w:rPr>
            </w:pPr>
            <w:r>
              <w:rPr>
                <w:rFonts w:ascii="Arial" w:cs="Arial" w:eastAsia="Arial" w:hAnsi="Arial"/>
                <w:sz w:val="19"/>
                <w:szCs w:val="19"/>
                <w:color w:val="231F20"/>
              </w:rPr>
              <w:t>Decreases related to lapses in statute of limitations</w:t>
            </w:r>
          </w:p>
        </w:tc>
        <w:tc>
          <w:tcPr>
            <w:tcW w:w="1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(133)</w:t>
            </w: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(39)</w:t>
            </w:r>
          </w:p>
        </w:tc>
        <w:tc>
          <w:tcPr>
            <w:tcW w:w="140" w:type="dxa"/>
            <w:vAlign w:val="bottom"/>
            <w:shd w:val="clear" w:color="auto" w:fill="FDFDFC"/>
          </w:tcPr>
          <w:p>
            <w:pPr>
              <w:spacing w:after="0"/>
              <w:rPr>
                <w:sz w:val="20"/>
                <w:szCs w:val="20"/>
                <w:color w:val="auto"/>
              </w:rPr>
            </w:pPr>
          </w:p>
        </w:tc>
        <w:tc>
          <w:tcPr>
            <w:tcW w:w="260" w:type="dxa"/>
            <w:vAlign w:val="bottom"/>
            <w:shd w:val="clear" w:color="auto" w:fill="FDFDFC"/>
          </w:tcPr>
          <w:p>
            <w:pPr>
              <w:spacing w:after="0"/>
              <w:rPr>
                <w:sz w:val="20"/>
                <w:szCs w:val="20"/>
                <w:color w:val="auto"/>
              </w:rPr>
            </w:pPr>
          </w:p>
        </w:tc>
        <w:tc>
          <w:tcPr>
            <w:tcW w:w="1040" w:type="dxa"/>
            <w:vAlign w:val="bottom"/>
            <w:gridSpan w:val="2"/>
            <w:shd w:val="clear" w:color="auto" w:fill="FDFDFC"/>
          </w:tcPr>
          <w:p>
            <w:pPr>
              <w:jc w:val="right"/>
              <w:ind w:right="40"/>
              <w:spacing w:after="0"/>
              <w:rPr>
                <w:sz w:val="20"/>
                <w:szCs w:val="20"/>
                <w:color w:val="auto"/>
              </w:rPr>
            </w:pPr>
            <w:r>
              <w:rPr>
                <w:rFonts w:ascii="Arial" w:cs="Arial" w:eastAsia="Arial" w:hAnsi="Arial"/>
                <w:sz w:val="19"/>
                <w:szCs w:val="19"/>
                <w:color w:val="231F20"/>
              </w:rPr>
              <w:t>(60)</w:t>
            </w:r>
          </w:p>
        </w:tc>
        <w:tc>
          <w:tcPr>
            <w:tcW w:w="0" w:type="dxa"/>
            <w:vAlign w:val="bottom"/>
          </w:tcPr>
          <w:p>
            <w:pPr>
              <w:spacing w:after="0"/>
              <w:rPr>
                <w:sz w:val="1"/>
                <w:szCs w:val="1"/>
                <w:color w:val="auto"/>
              </w:rPr>
            </w:pPr>
          </w:p>
        </w:tc>
      </w:tr>
      <w:tr>
        <w:trPr>
          <w:trHeight w:val="213"/>
        </w:trPr>
        <w:tc>
          <w:tcPr>
            <w:tcW w:w="5860" w:type="dxa"/>
            <w:vAlign w:val="bottom"/>
            <w:shd w:val="clear" w:color="auto" w:fill="D0EBF2"/>
          </w:tcPr>
          <w:p>
            <w:pPr>
              <w:spacing w:after="0" w:line="213" w:lineRule="exact"/>
              <w:rPr>
                <w:sz w:val="20"/>
                <w:szCs w:val="20"/>
                <w:color w:val="auto"/>
              </w:rPr>
            </w:pPr>
            <w:r>
              <w:rPr>
                <w:rFonts w:ascii="Arial" w:cs="Arial" w:eastAsia="Arial" w:hAnsi="Arial"/>
                <w:sz w:val="19"/>
                <w:szCs w:val="19"/>
                <w:color w:val="231F20"/>
              </w:rPr>
              <w:t>Increases related to tax positions taken</w:t>
            </w:r>
          </w:p>
        </w:tc>
        <w:tc>
          <w:tcPr>
            <w:tcW w:w="140" w:type="dxa"/>
            <w:vAlign w:val="bottom"/>
            <w:shd w:val="clear" w:color="auto" w:fill="D0EBF2"/>
          </w:tcPr>
          <w:p>
            <w:pPr>
              <w:spacing w:after="0"/>
              <w:rPr>
                <w:sz w:val="18"/>
                <w:szCs w:val="18"/>
                <w:color w:val="auto"/>
              </w:rPr>
            </w:pPr>
          </w:p>
        </w:tc>
        <w:tc>
          <w:tcPr>
            <w:tcW w:w="280" w:type="dxa"/>
            <w:vAlign w:val="bottom"/>
            <w:shd w:val="clear" w:color="auto" w:fill="D0EBF2"/>
          </w:tcPr>
          <w:p>
            <w:pPr>
              <w:spacing w:after="0"/>
              <w:rPr>
                <w:sz w:val="18"/>
                <w:szCs w:val="18"/>
                <w:color w:val="auto"/>
              </w:rPr>
            </w:pPr>
          </w:p>
        </w:tc>
        <w:tc>
          <w:tcPr>
            <w:tcW w:w="920" w:type="dxa"/>
            <w:vAlign w:val="bottom"/>
            <w:vMerge w:val="restart"/>
            <w:shd w:val="clear" w:color="auto" w:fill="D0EBF2"/>
          </w:tcPr>
          <w:p>
            <w:pPr>
              <w:jc w:val="right"/>
              <w:spacing w:after="0"/>
              <w:rPr>
                <w:sz w:val="20"/>
                <w:szCs w:val="20"/>
                <w:color w:val="auto"/>
              </w:rPr>
            </w:pPr>
            <w:r>
              <w:rPr>
                <w:rFonts w:ascii="Arial" w:cs="Arial" w:eastAsia="Arial" w:hAnsi="Arial"/>
                <w:sz w:val="19"/>
                <w:szCs w:val="19"/>
                <w:color w:val="231F20"/>
              </w:rPr>
              <w:t>205</w:t>
            </w: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vMerge w:val="restart"/>
            <w:shd w:val="clear" w:color="auto" w:fill="D0EBF2"/>
          </w:tcPr>
          <w:p>
            <w:pPr>
              <w:jc w:val="right"/>
              <w:ind w:right="120"/>
              <w:spacing w:after="0"/>
              <w:rPr>
                <w:sz w:val="20"/>
                <w:szCs w:val="20"/>
                <w:color w:val="auto"/>
              </w:rPr>
            </w:pPr>
            <w:r>
              <w:rPr>
                <w:rFonts w:ascii="Arial" w:cs="Arial" w:eastAsia="Arial" w:hAnsi="Arial"/>
                <w:sz w:val="19"/>
                <w:szCs w:val="19"/>
                <w:color w:val="231F20"/>
              </w:rPr>
              <w:t>—</w:t>
            </w:r>
          </w:p>
        </w:tc>
        <w:tc>
          <w:tcPr>
            <w:tcW w:w="14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1040" w:type="dxa"/>
            <w:vAlign w:val="bottom"/>
            <w:gridSpan w:val="2"/>
            <w:vMerge w:val="restart"/>
            <w:shd w:val="clear" w:color="auto" w:fill="D0EBF2"/>
          </w:tcPr>
          <w:p>
            <w:pPr>
              <w:jc w:val="right"/>
              <w:ind w:right="120"/>
              <w:spacing w:after="0"/>
              <w:rPr>
                <w:sz w:val="20"/>
                <w:szCs w:val="20"/>
                <w:color w:val="auto"/>
              </w:rPr>
            </w:pPr>
            <w:r>
              <w:rPr>
                <w:rFonts w:ascii="Arial" w:cs="Arial" w:eastAsia="Arial" w:hAnsi="Arial"/>
                <w:sz w:val="19"/>
                <w:szCs w:val="19"/>
                <w:color w:val="231F20"/>
              </w:rPr>
              <w:t>—</w:t>
            </w:r>
          </w:p>
        </w:tc>
        <w:tc>
          <w:tcPr>
            <w:tcW w:w="0" w:type="dxa"/>
            <w:vAlign w:val="bottom"/>
          </w:tcPr>
          <w:p>
            <w:pPr>
              <w:spacing w:after="0"/>
              <w:rPr>
                <w:sz w:val="1"/>
                <w:szCs w:val="1"/>
                <w:color w:val="auto"/>
              </w:rPr>
            </w:pPr>
          </w:p>
        </w:tc>
      </w:tr>
      <w:tr>
        <w:trPr>
          <w:trHeight w:val="235"/>
        </w:trPr>
        <w:tc>
          <w:tcPr>
            <w:tcW w:w="5860" w:type="dxa"/>
            <w:vAlign w:val="bottom"/>
            <w:shd w:val="clear" w:color="auto" w:fill="D0EBF2"/>
          </w:tcPr>
          <w:p>
            <w:pPr>
              <w:ind w:left="160"/>
              <w:spacing w:after="0"/>
              <w:rPr>
                <w:sz w:val="20"/>
                <w:szCs w:val="20"/>
                <w:color w:val="auto"/>
              </w:rPr>
            </w:pPr>
            <w:r>
              <w:rPr>
                <w:rFonts w:ascii="Arial" w:cs="Arial" w:eastAsia="Arial" w:hAnsi="Arial"/>
                <w:sz w:val="19"/>
                <w:szCs w:val="19"/>
                <w:color w:val="231F20"/>
              </w:rPr>
              <w:t>during the current year</w:t>
            </w:r>
          </w:p>
        </w:tc>
        <w:tc>
          <w:tcPr>
            <w:tcW w:w="14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920" w:type="dxa"/>
            <w:vAlign w:val="bottom"/>
            <w:vMerge w:val="continue"/>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040" w:type="dxa"/>
            <w:vAlign w:val="bottom"/>
            <w:gridSpan w:val="2"/>
            <w:vMerge w:val="continue"/>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260" w:type="dxa"/>
            <w:vAlign w:val="bottom"/>
            <w:shd w:val="clear" w:color="auto" w:fill="D0EBF2"/>
          </w:tcPr>
          <w:p>
            <w:pPr>
              <w:spacing w:after="0"/>
              <w:rPr>
                <w:sz w:val="20"/>
                <w:szCs w:val="20"/>
                <w:color w:val="auto"/>
              </w:rPr>
            </w:pPr>
          </w:p>
        </w:tc>
        <w:tc>
          <w:tcPr>
            <w:tcW w:w="1040" w:type="dxa"/>
            <w:vAlign w:val="bottom"/>
            <w:gridSpan w:val="2"/>
            <w:vMerge w:val="continue"/>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60" w:type="dxa"/>
            <w:vAlign w:val="bottom"/>
            <w:tcBorders>
              <w:top w:val="single" w:sz="8" w:color="FDFDFC"/>
            </w:tcBorders>
            <w:shd w:val="clear" w:color="auto" w:fill="FDFDFC"/>
          </w:tcPr>
          <w:p>
            <w:pPr>
              <w:spacing w:after="0"/>
              <w:rPr>
                <w:sz w:val="20"/>
                <w:szCs w:val="20"/>
                <w:color w:val="auto"/>
              </w:rPr>
            </w:pPr>
            <w:r>
              <w:rPr>
                <w:rFonts w:ascii="Arial" w:cs="Arial" w:eastAsia="Arial" w:hAnsi="Arial"/>
                <w:sz w:val="19"/>
                <w:szCs w:val="19"/>
                <w:color w:val="231F20"/>
              </w:rPr>
              <w:t>Balance at end of year</w:t>
            </w:r>
          </w:p>
        </w:tc>
        <w:tc>
          <w:tcPr>
            <w:tcW w:w="140" w:type="dxa"/>
            <w:vAlign w:val="bottom"/>
            <w:tcBorders>
              <w:top w:val="single" w:sz="8" w:color="FDFDFC"/>
            </w:tcBorders>
            <w:shd w:val="clear" w:color="auto" w:fill="FDFDFC"/>
          </w:tcPr>
          <w:p>
            <w:pPr>
              <w:spacing w:after="0"/>
              <w:rPr>
                <w:sz w:val="19"/>
                <w:szCs w:val="19"/>
                <w:color w:val="auto"/>
              </w:rPr>
            </w:pPr>
          </w:p>
        </w:tc>
        <w:tc>
          <w:tcPr>
            <w:tcW w:w="280" w:type="dxa"/>
            <w:vAlign w:val="bottom"/>
            <w:tcBorders>
              <w:top w:val="single" w:sz="8" w:color="231F20"/>
              <w:bottom w:val="single" w:sz="8" w:color="231F20"/>
            </w:tcBorders>
            <w:shd w:val="clear" w:color="auto" w:fill="FDFDFC"/>
          </w:tcPr>
          <w:p>
            <w:pPr>
              <w:jc w:val="right"/>
              <w:ind w:right="66"/>
              <w:spacing w:after="0"/>
              <w:rPr>
                <w:sz w:val="20"/>
                <w:szCs w:val="20"/>
                <w:color w:val="auto"/>
              </w:rPr>
            </w:pPr>
            <w:r>
              <w:rPr>
                <w:rFonts w:ascii="Arial" w:cs="Arial" w:eastAsia="Arial" w:hAnsi="Arial"/>
                <w:sz w:val="19"/>
                <w:szCs w:val="19"/>
                <w:color w:val="231F20"/>
                <w:w w:val="94"/>
              </w:rPr>
              <w:t>$</w:t>
            </w:r>
          </w:p>
        </w:tc>
        <w:tc>
          <w:tcPr>
            <w:tcW w:w="92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1,124</w:t>
            </w:r>
          </w:p>
        </w:tc>
        <w:tc>
          <w:tcPr>
            <w:tcW w:w="120" w:type="dxa"/>
            <w:vAlign w:val="bottom"/>
            <w:tcBorders>
              <w:top w:val="single" w:sz="8" w:color="FDFDFC"/>
            </w:tcBorders>
            <w:shd w:val="clear" w:color="auto" w:fill="FDFDFC"/>
          </w:tcPr>
          <w:p>
            <w:pPr>
              <w:spacing w:after="0"/>
              <w:rPr>
                <w:sz w:val="19"/>
                <w:szCs w:val="19"/>
                <w:color w:val="auto"/>
              </w:rPr>
            </w:pPr>
          </w:p>
        </w:tc>
        <w:tc>
          <w:tcPr>
            <w:tcW w:w="140" w:type="dxa"/>
            <w:vAlign w:val="bottom"/>
            <w:tcBorders>
              <w:top w:val="single" w:sz="8" w:color="FDFDFC"/>
            </w:tcBorders>
            <w:shd w:val="clear" w:color="auto" w:fill="FDFDFC"/>
          </w:tcPr>
          <w:p>
            <w:pPr>
              <w:spacing w:after="0"/>
              <w:rPr>
                <w:sz w:val="19"/>
                <w:szCs w:val="19"/>
                <w:color w:val="auto"/>
              </w:rPr>
            </w:pPr>
          </w:p>
        </w:tc>
        <w:tc>
          <w:tcPr>
            <w:tcW w:w="260" w:type="dxa"/>
            <w:vAlign w:val="bottom"/>
            <w:tcBorders>
              <w:top w:val="single" w:sz="8" w:color="231F20"/>
              <w:bottom w:val="single" w:sz="8" w:color="231F20"/>
            </w:tcBorders>
            <w:shd w:val="clear" w:color="auto" w:fill="FDFDFC"/>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620</w:t>
            </w:r>
          </w:p>
        </w:tc>
        <w:tc>
          <w:tcPr>
            <w:tcW w:w="100" w:type="dxa"/>
            <w:vAlign w:val="bottom"/>
            <w:tcBorders>
              <w:top w:val="single" w:sz="8" w:color="FDFDFC"/>
            </w:tcBorders>
            <w:shd w:val="clear" w:color="auto" w:fill="FDFDFC"/>
          </w:tcPr>
          <w:p>
            <w:pPr>
              <w:spacing w:after="0"/>
              <w:rPr>
                <w:sz w:val="19"/>
                <w:szCs w:val="19"/>
                <w:color w:val="auto"/>
              </w:rPr>
            </w:pPr>
          </w:p>
        </w:tc>
        <w:tc>
          <w:tcPr>
            <w:tcW w:w="140" w:type="dxa"/>
            <w:vAlign w:val="bottom"/>
            <w:tcBorders>
              <w:top w:val="single" w:sz="8" w:color="FDFDFC"/>
            </w:tcBorders>
            <w:shd w:val="clear" w:color="auto" w:fill="FDFDFC"/>
          </w:tcPr>
          <w:p>
            <w:pPr>
              <w:spacing w:after="0"/>
              <w:rPr>
                <w:sz w:val="19"/>
                <w:szCs w:val="19"/>
                <w:color w:val="auto"/>
              </w:rPr>
            </w:pPr>
          </w:p>
        </w:tc>
        <w:tc>
          <w:tcPr>
            <w:tcW w:w="260" w:type="dxa"/>
            <w:vAlign w:val="bottom"/>
            <w:tcBorders>
              <w:top w:val="single" w:sz="8" w:color="231F20"/>
              <w:bottom w:val="single" w:sz="8" w:color="231F20"/>
            </w:tcBorders>
            <w:shd w:val="clear" w:color="auto" w:fill="FDFDFC"/>
          </w:tcPr>
          <w:p>
            <w:pPr>
              <w:jc w:val="right"/>
              <w:ind w:right="66"/>
              <w:spacing w:after="0"/>
              <w:rPr>
                <w:sz w:val="20"/>
                <w:szCs w:val="20"/>
                <w:color w:val="auto"/>
              </w:rPr>
            </w:pPr>
            <w:r>
              <w:rPr>
                <w:rFonts w:ascii="Arial" w:cs="Arial" w:eastAsia="Arial" w:hAnsi="Arial"/>
                <w:sz w:val="19"/>
                <w:szCs w:val="19"/>
                <w:color w:val="231F20"/>
                <w:w w:val="75"/>
              </w:rPr>
              <w:t>$</w:t>
            </w:r>
          </w:p>
        </w:tc>
        <w:tc>
          <w:tcPr>
            <w:tcW w:w="94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659</w:t>
            </w:r>
          </w:p>
        </w:tc>
        <w:tc>
          <w:tcPr>
            <w:tcW w:w="100" w:type="dxa"/>
            <w:vAlign w:val="bottom"/>
            <w:tcBorders>
              <w:top w:val="single" w:sz="8" w:color="FDFDFC"/>
            </w:tcBorders>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40" w:firstLine="463"/>
        <w:spacing w:after="0" w:line="278" w:lineRule="auto"/>
        <w:rPr>
          <w:sz w:val="20"/>
          <w:szCs w:val="20"/>
          <w:color w:val="auto"/>
        </w:rPr>
      </w:pPr>
      <w:r>
        <w:rPr>
          <w:rFonts w:ascii="Arial" w:cs="Arial" w:eastAsia="Arial" w:hAnsi="Arial"/>
          <w:sz w:val="19"/>
          <w:szCs w:val="19"/>
          <w:color w:val="231F20"/>
        </w:rPr>
        <w:t>The Company expects a decrease of $0.2 million in uncertain tax positions in the next 12 months due to the lapse of statute of limitations.</w:t>
      </w:r>
    </w:p>
    <w:p>
      <w:pPr>
        <w:spacing w:after="0" w:line="117" w:lineRule="exact"/>
        <w:rPr>
          <w:sz w:val="20"/>
          <w:szCs w:val="20"/>
          <w:color w:val="auto"/>
        </w:rPr>
      </w:pPr>
    </w:p>
    <w:p>
      <w:pPr>
        <w:ind w:right="220" w:firstLine="463"/>
        <w:spacing w:after="0" w:line="251" w:lineRule="auto"/>
        <w:rPr>
          <w:sz w:val="20"/>
          <w:szCs w:val="20"/>
          <w:color w:val="auto"/>
        </w:rPr>
      </w:pPr>
      <w:r>
        <w:rPr>
          <w:rFonts w:ascii="Arial" w:cs="Arial" w:eastAsia="Arial" w:hAnsi="Arial"/>
          <w:sz w:val="19"/>
          <w:szCs w:val="19"/>
          <w:color w:val="231F20"/>
        </w:rPr>
        <w:t>The Company did not recognize any accrued interest and penalties for the years ended December 31, 2024, 2023 and 2022 related to the reserves for uncertain tax positions in the income tax provision. Included in the total reserve for uncertain tax positions are accrued interest and penalties of $0.2 million, $0.2 million and $0.2 million at December 31, 2024, 2023 and 2022, respectively.</w:t>
      </w:r>
    </w:p>
    <w:p>
      <w:pPr>
        <w:spacing w:after="0" w:line="144" w:lineRule="exact"/>
        <w:rPr>
          <w:sz w:val="20"/>
          <w:szCs w:val="20"/>
          <w:color w:val="auto"/>
        </w:rPr>
      </w:pPr>
    </w:p>
    <w:p>
      <w:pPr>
        <w:jc w:val="both"/>
        <w:ind w:right="260" w:firstLine="463"/>
        <w:spacing w:after="0" w:line="248" w:lineRule="auto"/>
        <w:rPr>
          <w:sz w:val="20"/>
          <w:szCs w:val="20"/>
          <w:color w:val="auto"/>
        </w:rPr>
      </w:pPr>
      <w:r>
        <w:rPr>
          <w:rFonts w:ascii="Arial" w:cs="Arial" w:eastAsia="Arial" w:hAnsi="Arial"/>
          <w:sz w:val="19"/>
          <w:szCs w:val="19"/>
          <w:color w:val="231F20"/>
        </w:rPr>
        <w:t>The Company files income tax returns as prescribed by the tax laws of the jurisdiction in which it operates. In the normal course of its business, the Company is subject to examination by federal, state and foreign jurisdictions, where applicable. The Company is open to future tax examinations from 2018 to the present; however, carryforward attributes that were generated prior to 2018 may still be adjusted upon examination by federal, state or local tax authorities to the extent they will be used in a future period.</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Note 16. Leases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Operating Leases</w:t>
      </w:r>
    </w:p>
    <w:p>
      <w:pPr>
        <w:spacing w:after="0" w:line="184" w:lineRule="exact"/>
        <w:rPr>
          <w:sz w:val="20"/>
          <w:szCs w:val="20"/>
          <w:color w:val="auto"/>
        </w:rPr>
      </w:pPr>
    </w:p>
    <w:p>
      <w:pPr>
        <w:ind w:right="40" w:firstLine="463"/>
        <w:spacing w:after="0" w:line="279" w:lineRule="auto"/>
        <w:rPr>
          <w:sz w:val="20"/>
          <w:szCs w:val="20"/>
          <w:color w:val="auto"/>
        </w:rPr>
      </w:pPr>
      <w:r>
        <w:rPr>
          <w:rFonts w:ascii="Arial" w:cs="Arial" w:eastAsia="Arial" w:hAnsi="Arial"/>
          <w:sz w:val="18"/>
          <w:szCs w:val="18"/>
          <w:color w:val="231F20"/>
        </w:rPr>
        <w:t>The Company leases certain real estate for its primary facilities under operating leases that expire at various dates between one and five years. These leases contain renewal options, and require the Company to pay operating costs, including property taxes, insurance, and maintenance. The terms of these lease agreements include free rent periods and</w:t>
      </w:r>
    </w:p>
    <w:p>
      <w:pPr>
        <w:sectPr>
          <w:pgSz w:w="12240" w:h="15840" w:orient="portrait"/>
          <w:cols w:equalWidth="0" w:num="1">
            <w:col w:w="10200"/>
          </w:cols>
          <w:pgMar w:left="1020" w:top="1440" w:right="1020" w:bottom="572"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147</w:t>
      </w:r>
    </w:p>
    <w:p>
      <w:pPr>
        <w:sectPr>
          <w:pgSz w:w="12240" w:h="15840" w:orient="portrait"/>
          <w:cols w:equalWidth="0" w:num="1">
            <w:col w:w="10200"/>
          </w:cols>
          <w:pgMar w:left="1020" w:top="1440" w:right="1020" w:bottom="572" w:gutter="0" w:footer="0" w:header="0"/>
          <w:type w:val="continuous"/>
        </w:sectPr>
      </w:pPr>
    </w:p>
    <w:bookmarkStart w:id="148" w:name="page149"/>
    <w:bookmarkEnd w:id="148"/>
    <w:p>
      <w:pPr>
        <w:spacing w:after="0" w:line="97" w:lineRule="exact"/>
        <w:rPr>
          <w:sz w:val="20"/>
          <w:szCs w:val="20"/>
          <w:color w:val="auto"/>
        </w:rPr>
      </w:pPr>
    </w:p>
    <w:p>
      <w:pPr>
        <w:ind w:right="280"/>
        <w:spacing w:after="0" w:line="278" w:lineRule="auto"/>
        <w:rPr>
          <w:sz w:val="20"/>
          <w:szCs w:val="20"/>
          <w:color w:val="auto"/>
        </w:rPr>
      </w:pPr>
      <w:r>
        <w:rPr>
          <w:rFonts w:ascii="Arial" w:cs="Arial" w:eastAsia="Arial" w:hAnsi="Arial"/>
          <w:sz w:val="19"/>
          <w:szCs w:val="19"/>
          <w:color w:val="231F20"/>
        </w:rPr>
        <w:t>annual rent increases. Operating lease expense is recognized on a straight-line basis over the term of the lease. There were no finance lease obligations as of December 31, 2024 and 2023.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ROU assets are included in Other assets and operating lease liabilities are included in Other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Borders>
              <w:top w:val="single" w:sz="8" w:color="FDFDFC"/>
              <w:bottom w:val="single" w:sz="8" w:color="D0EBF2"/>
            </w:tcBorders>
            <w:shd w:val="clear" w:color="auto" w:fill="FDFDFC"/>
          </w:tcPr>
          <w:p>
            <w:pPr>
              <w:spacing w:after="0"/>
              <w:rPr>
                <w:sz w:val="20"/>
                <w:szCs w:val="20"/>
                <w:color w:val="auto"/>
              </w:rPr>
            </w:pPr>
            <w:r>
              <w:rPr>
                <w:rFonts w:ascii="Arial" w:cs="Arial" w:eastAsia="Arial" w:hAnsi="Arial"/>
                <w:sz w:val="15"/>
                <w:szCs w:val="15"/>
                <w:b w:val="1"/>
                <w:bCs w:val="1"/>
                <w:color w:val="231F20"/>
              </w:rPr>
              <w:t>(amounts in thousands)</w:t>
            </w:r>
          </w:p>
        </w:tc>
        <w:tc>
          <w:tcPr>
            <w:tcW w:w="340" w:type="dxa"/>
            <w:vAlign w:val="bottom"/>
            <w:tcBorders>
              <w:top w:val="single" w:sz="8" w:color="231F20"/>
              <w:bottom w:val="single" w:sz="8" w:color="231F20"/>
            </w:tcBorders>
            <w:shd w:val="clear" w:color="auto" w:fill="FDFDFC"/>
          </w:tcPr>
          <w:p>
            <w:pPr>
              <w:spacing w:after="0"/>
              <w:rPr>
                <w:sz w:val="17"/>
                <w:szCs w:val="17"/>
                <w:color w:val="auto"/>
              </w:rPr>
            </w:pPr>
          </w:p>
        </w:tc>
        <w:tc>
          <w:tcPr>
            <w:tcW w:w="1120" w:type="dxa"/>
            <w:vAlign w:val="bottom"/>
            <w:tcBorders>
              <w:top w:val="single" w:sz="8" w:color="231F20"/>
              <w:bottom w:val="single" w:sz="8" w:color="231F20"/>
            </w:tcBorders>
            <w:shd w:val="clear" w:color="auto" w:fill="FDFDFC"/>
          </w:tcPr>
          <w:p>
            <w:pPr>
              <w:jc w:val="right"/>
              <w:ind w:right="470"/>
              <w:spacing w:after="0"/>
              <w:rPr>
                <w:sz w:val="20"/>
                <w:szCs w:val="20"/>
                <w:color w:val="auto"/>
              </w:rPr>
            </w:pPr>
            <w:r>
              <w:rPr>
                <w:rFonts w:ascii="Arial" w:cs="Arial" w:eastAsia="Arial" w:hAnsi="Arial"/>
                <w:sz w:val="15"/>
                <w:szCs w:val="15"/>
                <w:b w:val="1"/>
                <w:bCs w:val="1"/>
                <w:color w:val="231F20"/>
              </w:rPr>
              <w:t>2024</w:t>
            </w:r>
          </w:p>
        </w:tc>
        <w:tc>
          <w:tcPr>
            <w:tcW w:w="100" w:type="dxa"/>
            <w:vAlign w:val="bottom"/>
            <w:tcBorders>
              <w:top w:val="single" w:sz="8" w:color="FDFDFC"/>
              <w:bottom w:val="single" w:sz="8" w:color="D0EBF2"/>
            </w:tcBorders>
            <w:shd w:val="clear" w:color="auto" w:fill="FDFDFC"/>
          </w:tcPr>
          <w:p>
            <w:pPr>
              <w:spacing w:after="0"/>
              <w:rPr>
                <w:sz w:val="17"/>
                <w:szCs w:val="17"/>
                <w:color w:val="auto"/>
              </w:rPr>
            </w:pPr>
          </w:p>
        </w:tc>
        <w:tc>
          <w:tcPr>
            <w:tcW w:w="100" w:type="dxa"/>
            <w:vAlign w:val="bottom"/>
            <w:tcBorders>
              <w:top w:val="single" w:sz="8" w:color="FDFDFC"/>
              <w:bottom w:val="single" w:sz="8" w:color="D0EBF2"/>
            </w:tcBorders>
            <w:shd w:val="clear" w:color="auto" w:fill="FDFDFC"/>
          </w:tcPr>
          <w:p>
            <w:pPr>
              <w:spacing w:after="0"/>
              <w:rPr>
                <w:sz w:val="17"/>
                <w:szCs w:val="17"/>
                <w:color w:val="auto"/>
              </w:rPr>
            </w:pPr>
          </w:p>
        </w:tc>
        <w:tc>
          <w:tcPr>
            <w:tcW w:w="160" w:type="dxa"/>
            <w:vAlign w:val="bottom"/>
            <w:tcBorders>
              <w:top w:val="single" w:sz="8" w:color="231F20"/>
              <w:bottom w:val="single" w:sz="8" w:color="D0EBF2"/>
            </w:tcBorders>
            <w:shd w:val="clear" w:color="auto" w:fill="FDFDFC"/>
          </w:tcPr>
          <w:p>
            <w:pPr>
              <w:spacing w:after="0"/>
              <w:rPr>
                <w:sz w:val="17"/>
                <w:szCs w:val="17"/>
                <w:color w:val="auto"/>
              </w:rPr>
            </w:pPr>
          </w:p>
        </w:tc>
        <w:tc>
          <w:tcPr>
            <w:tcW w:w="20" w:type="dxa"/>
            <w:vAlign w:val="bottom"/>
            <w:tcBorders>
              <w:top w:val="single" w:sz="8" w:color="231F20"/>
              <w:bottom w:val="single" w:sz="8" w:color="D0EBF2"/>
            </w:tcBorders>
            <w:shd w:val="clear" w:color="auto" w:fill="FDFDFC"/>
          </w:tcPr>
          <w:p>
            <w:pPr>
              <w:spacing w:after="0"/>
              <w:rPr>
                <w:sz w:val="17"/>
                <w:szCs w:val="17"/>
                <w:color w:val="auto"/>
              </w:rPr>
            </w:pPr>
          </w:p>
        </w:tc>
        <w:tc>
          <w:tcPr>
            <w:tcW w:w="320" w:type="dxa"/>
            <w:vAlign w:val="bottom"/>
            <w:tcBorders>
              <w:top w:val="single" w:sz="8" w:color="231F20"/>
              <w:bottom w:val="single" w:sz="8" w:color="231F20"/>
            </w:tcBorders>
            <w:shd w:val="clear" w:color="auto" w:fill="FDFDFC"/>
          </w:tcPr>
          <w:p>
            <w:pPr>
              <w:spacing w:after="0"/>
              <w:rPr>
                <w:sz w:val="17"/>
                <w:szCs w:val="17"/>
                <w:color w:val="auto"/>
              </w:rPr>
            </w:pPr>
          </w:p>
        </w:tc>
        <w:tc>
          <w:tcPr>
            <w:tcW w:w="1120" w:type="dxa"/>
            <w:vAlign w:val="bottom"/>
            <w:tcBorders>
              <w:top w:val="single" w:sz="8" w:color="231F20"/>
              <w:bottom w:val="single" w:sz="8" w:color="231F20"/>
            </w:tcBorders>
            <w:shd w:val="clear" w:color="auto" w:fill="FDFDFC"/>
          </w:tcPr>
          <w:p>
            <w:pPr>
              <w:jc w:val="right"/>
              <w:ind w:right="467"/>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top w:val="single" w:sz="8" w:color="FDFDFC"/>
              <w:bottom w:val="single" w:sz="8" w:color="D0EBF2"/>
            </w:tcBorders>
            <w:shd w:val="clear" w:color="auto" w:fill="FDFDFC"/>
          </w:tcPr>
          <w:p>
            <w:pPr>
              <w:spacing w:after="0"/>
              <w:rPr>
                <w:sz w:val="17"/>
                <w:szCs w:val="17"/>
                <w:color w:val="auto"/>
              </w:rPr>
            </w:pPr>
          </w:p>
        </w:tc>
        <w:tc>
          <w:tcPr>
            <w:tcW w:w="100" w:type="dxa"/>
            <w:vAlign w:val="bottom"/>
            <w:tcBorders>
              <w:top w:val="single" w:sz="8" w:color="FDFDFC"/>
              <w:bottom w:val="single" w:sz="8" w:color="D0EBF2"/>
            </w:tcBorders>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D0EBF2"/>
          </w:tcPr>
          <w:p>
            <w:pPr>
              <w:spacing w:after="0"/>
              <w:rPr>
                <w:sz w:val="20"/>
                <w:szCs w:val="20"/>
                <w:color w:val="auto"/>
              </w:rPr>
            </w:pPr>
            <w:r>
              <w:rPr>
                <w:rFonts w:ascii="Arial" w:cs="Arial" w:eastAsia="Arial" w:hAnsi="Arial"/>
                <w:sz w:val="19"/>
                <w:szCs w:val="19"/>
                <w:color w:val="231F20"/>
              </w:rPr>
              <w:t>ROU assets</w:t>
            </w:r>
          </w:p>
        </w:tc>
        <w:tc>
          <w:tcPr>
            <w:tcW w:w="340" w:type="dxa"/>
            <w:vAlign w:val="bottom"/>
            <w:shd w:val="clear" w:color="auto" w:fill="D0EBF2"/>
          </w:tcPr>
          <w:p>
            <w:pPr>
              <w:jc w:val="right"/>
              <w:ind w:right="126"/>
              <w:spacing w:after="0"/>
              <w:rPr>
                <w:sz w:val="20"/>
                <w:szCs w:val="20"/>
                <w:color w:val="auto"/>
              </w:rPr>
            </w:pPr>
            <w:r>
              <w:rPr>
                <w:rFonts w:ascii="Arial" w:cs="Arial" w:eastAsia="Arial" w:hAnsi="Arial"/>
                <w:sz w:val="19"/>
                <w:szCs w:val="19"/>
                <w:color w:val="231F20"/>
                <w:w w:val="94"/>
              </w:rPr>
              <w:t>$</w:t>
            </w:r>
          </w:p>
        </w:tc>
        <w:tc>
          <w:tcPr>
            <w:tcW w:w="11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3,381</w:t>
            </w:r>
          </w:p>
        </w:tc>
        <w:tc>
          <w:tcPr>
            <w:tcW w:w="10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6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320" w:type="dxa"/>
            <w:vAlign w:val="bottom"/>
            <w:shd w:val="clear" w:color="auto" w:fill="D0EBF2"/>
          </w:tcPr>
          <w:p>
            <w:pPr>
              <w:jc w:val="right"/>
              <w:ind w:right="126"/>
              <w:spacing w:after="0"/>
              <w:rPr>
                <w:sz w:val="20"/>
                <w:szCs w:val="20"/>
                <w:color w:val="auto"/>
              </w:rPr>
            </w:pPr>
            <w:r>
              <w:rPr>
                <w:rFonts w:ascii="Arial" w:cs="Arial" w:eastAsia="Arial" w:hAnsi="Arial"/>
                <w:sz w:val="19"/>
                <w:szCs w:val="19"/>
                <w:color w:val="231F20"/>
                <w:w w:val="75"/>
              </w:rPr>
              <w:t>$</w:t>
            </w:r>
          </w:p>
        </w:tc>
        <w:tc>
          <w:tcPr>
            <w:tcW w:w="11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3,422</w:t>
            </w:r>
          </w:p>
        </w:tc>
        <w:tc>
          <w:tcPr>
            <w:tcW w:w="10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FDFDFC"/>
          </w:tcPr>
          <w:p>
            <w:pPr>
              <w:spacing w:after="0"/>
              <w:rPr>
                <w:sz w:val="20"/>
                <w:szCs w:val="20"/>
                <w:color w:val="auto"/>
              </w:rPr>
            </w:pPr>
            <w:r>
              <w:rPr>
                <w:rFonts w:ascii="Arial" w:cs="Arial" w:eastAsia="Arial" w:hAnsi="Arial"/>
                <w:sz w:val="19"/>
                <w:szCs w:val="19"/>
                <w:color w:val="231F20"/>
              </w:rPr>
              <w:t>Operating lease liabilities</w:t>
            </w:r>
          </w:p>
        </w:tc>
        <w:tc>
          <w:tcPr>
            <w:tcW w:w="34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3,534</w:t>
            </w: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3,551</w:t>
            </w: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D0EBF2"/>
          </w:tcPr>
          <w:p>
            <w:pPr>
              <w:spacing w:after="0"/>
              <w:rPr>
                <w:sz w:val="20"/>
                <w:szCs w:val="20"/>
                <w:color w:val="auto"/>
              </w:rPr>
            </w:pPr>
            <w:r>
              <w:rPr>
                <w:rFonts w:ascii="Arial" w:cs="Arial" w:eastAsia="Arial" w:hAnsi="Arial"/>
                <w:sz w:val="19"/>
                <w:szCs w:val="19"/>
                <w:color w:val="231F20"/>
              </w:rPr>
              <w:t>Weighted-average remaining lease terms</w:t>
            </w:r>
          </w:p>
        </w:tc>
        <w:tc>
          <w:tcPr>
            <w:tcW w:w="340" w:type="dxa"/>
            <w:vAlign w:val="bottom"/>
            <w:shd w:val="clear" w:color="auto" w:fill="D0EBF2"/>
          </w:tcPr>
          <w:p>
            <w:pPr>
              <w:spacing w:after="0"/>
              <w:rPr>
                <w:sz w:val="20"/>
                <w:szCs w:val="20"/>
                <w:color w:val="auto"/>
              </w:rPr>
            </w:pPr>
          </w:p>
        </w:tc>
        <w:tc>
          <w:tcPr>
            <w:tcW w:w="11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2.6</w:t>
            </w:r>
          </w:p>
        </w:tc>
        <w:tc>
          <w:tcPr>
            <w:tcW w:w="1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320" w:type="dxa"/>
            <w:vAlign w:val="bottom"/>
            <w:gridSpan w:val="3"/>
            <w:shd w:val="clear" w:color="auto" w:fill="D0EBF2"/>
          </w:tcPr>
          <w:p>
            <w:pPr>
              <w:jc w:val="right"/>
              <w:ind w:right="200"/>
              <w:spacing w:after="0"/>
              <w:rPr>
                <w:sz w:val="20"/>
                <w:szCs w:val="20"/>
                <w:color w:val="auto"/>
              </w:rPr>
            </w:pPr>
            <w:r>
              <w:rPr>
                <w:rFonts w:ascii="Arial" w:cs="Arial" w:eastAsia="Arial" w:hAnsi="Arial"/>
                <w:sz w:val="19"/>
                <w:szCs w:val="19"/>
                <w:color w:val="231F20"/>
              </w:rPr>
              <w:t>2.63 years</w:t>
            </w:r>
          </w:p>
        </w:tc>
        <w:tc>
          <w:tcPr>
            <w:tcW w:w="0" w:type="dxa"/>
            <w:vAlign w:val="bottom"/>
          </w:tcPr>
          <w:p>
            <w:pPr>
              <w:spacing w:after="0"/>
              <w:rPr>
                <w:sz w:val="1"/>
                <w:szCs w:val="1"/>
                <w:color w:val="auto"/>
              </w:rPr>
            </w:pPr>
          </w:p>
        </w:tc>
      </w:tr>
      <w:tr>
        <w:trPr>
          <w:trHeight w:val="230"/>
        </w:trPr>
        <w:tc>
          <w:tcPr>
            <w:tcW w:w="6720" w:type="dxa"/>
            <w:vAlign w:val="bottom"/>
            <w:shd w:val="clear" w:color="auto" w:fill="FDFDFC"/>
          </w:tcPr>
          <w:p>
            <w:pPr>
              <w:spacing w:after="0"/>
              <w:rPr>
                <w:sz w:val="20"/>
                <w:szCs w:val="20"/>
                <w:color w:val="auto"/>
              </w:rPr>
            </w:pPr>
            <w:r>
              <w:rPr>
                <w:rFonts w:ascii="Arial" w:cs="Arial" w:eastAsia="Arial" w:hAnsi="Arial"/>
                <w:sz w:val="19"/>
                <w:szCs w:val="19"/>
                <w:color w:val="231F20"/>
              </w:rPr>
              <w:t>Weighted-average discount rate</w:t>
            </w:r>
          </w:p>
        </w:tc>
        <w:tc>
          <w:tcPr>
            <w:tcW w:w="340" w:type="dxa"/>
            <w:vAlign w:val="bottom"/>
            <w:shd w:val="clear" w:color="auto" w:fill="FDFDFC"/>
          </w:tcPr>
          <w:p>
            <w:pPr>
              <w:spacing w:after="0"/>
              <w:rPr>
                <w:sz w:val="20"/>
                <w:szCs w:val="20"/>
                <w:color w:val="auto"/>
              </w:rPr>
            </w:pPr>
          </w:p>
        </w:tc>
        <w:tc>
          <w:tcPr>
            <w:tcW w:w="13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6.9%</w:t>
            </w:r>
          </w:p>
        </w:tc>
        <w:tc>
          <w:tcPr>
            <w:tcW w:w="16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320" w:type="dxa"/>
            <w:vAlign w:val="bottom"/>
            <w:gridSpan w:val="3"/>
            <w:shd w:val="clear" w:color="auto" w:fill="FDFDFC"/>
          </w:tcPr>
          <w:p>
            <w:pPr>
              <w:jc w:val="right"/>
              <w:ind w:right="20"/>
              <w:spacing w:after="0"/>
              <w:rPr>
                <w:sz w:val="20"/>
                <w:szCs w:val="20"/>
                <w:color w:val="auto"/>
              </w:rPr>
            </w:pPr>
            <w:r>
              <w:rPr>
                <w:rFonts w:ascii="Arial" w:cs="Arial" w:eastAsia="Arial" w:hAnsi="Arial"/>
                <w:sz w:val="19"/>
                <w:szCs w:val="19"/>
                <w:color w:val="231F20"/>
              </w:rPr>
              <w:t>6.4%</w:t>
            </w:r>
          </w:p>
        </w:tc>
        <w:tc>
          <w:tcPr>
            <w:tcW w:w="0" w:type="dxa"/>
            <w:vAlign w:val="bottom"/>
          </w:tcPr>
          <w:p>
            <w:pPr>
              <w:spacing w:after="0"/>
              <w:rPr>
                <w:sz w:val="1"/>
                <w:szCs w:val="1"/>
                <w:color w:val="auto"/>
              </w:rPr>
            </w:pPr>
          </w:p>
        </w:tc>
      </w:tr>
      <w:tr>
        <w:trPr>
          <w:trHeight w:val="426"/>
        </w:trPr>
        <w:tc>
          <w:tcPr>
            <w:tcW w:w="6720" w:type="dxa"/>
            <w:vAlign w:val="bottom"/>
          </w:tcPr>
          <w:p>
            <w:pPr>
              <w:ind w:left="460"/>
              <w:spacing w:after="0"/>
              <w:rPr>
                <w:sz w:val="20"/>
                <w:szCs w:val="20"/>
                <w:color w:val="auto"/>
              </w:rPr>
            </w:pPr>
            <w:r>
              <w:rPr>
                <w:rFonts w:ascii="Arial" w:cs="Arial" w:eastAsia="Arial" w:hAnsi="Arial"/>
                <w:sz w:val="19"/>
                <w:szCs w:val="19"/>
                <w:color w:val="231F20"/>
              </w:rPr>
              <w:t>Supplemental cash flow information related to leases was as follows: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720" w:type="dxa"/>
            <w:vAlign w:val="bottom"/>
            <w:tcBorders>
              <w:bottom w:val="single" w:sz="8" w:color="FDFDFC"/>
            </w:tcBorders>
          </w:tcPr>
          <w:p>
            <w:pPr>
              <w:spacing w:after="0"/>
              <w:rPr>
                <w:sz w:val="14"/>
                <w:szCs w:val="14"/>
                <w:color w:val="auto"/>
              </w:rPr>
            </w:pPr>
          </w:p>
        </w:tc>
        <w:tc>
          <w:tcPr>
            <w:tcW w:w="340" w:type="dxa"/>
            <w:vAlign w:val="bottom"/>
            <w:tcBorders>
              <w:bottom w:val="single" w:sz="8" w:color="231F20"/>
            </w:tcBorders>
          </w:tcPr>
          <w:p>
            <w:pPr>
              <w:spacing w:after="0"/>
              <w:rPr>
                <w:sz w:val="14"/>
                <w:szCs w:val="14"/>
                <w:color w:val="auto"/>
              </w:rPr>
            </w:pPr>
          </w:p>
        </w:tc>
        <w:tc>
          <w:tcPr>
            <w:tcW w:w="1120" w:type="dxa"/>
            <w:vAlign w:val="bottom"/>
            <w:tcBorders>
              <w:bottom w:val="single" w:sz="8" w:color="231F20"/>
            </w:tcBorders>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100" w:type="dxa"/>
            <w:vAlign w:val="bottom"/>
            <w:tcBorders>
              <w:bottom w:val="single" w:sz="8" w:color="FDFDFC"/>
            </w:tcBorders>
          </w:tcPr>
          <w:p>
            <w:pPr>
              <w:spacing w:after="0"/>
              <w:rPr>
                <w:sz w:val="14"/>
                <w:szCs w:val="14"/>
                <w:color w:val="auto"/>
              </w:rPr>
            </w:pPr>
          </w:p>
        </w:tc>
        <w:tc>
          <w:tcPr>
            <w:tcW w:w="16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320" w:type="dxa"/>
            <w:vAlign w:val="bottom"/>
            <w:tcBorders>
              <w:bottom w:val="single" w:sz="8" w:color="231F20"/>
            </w:tcBorders>
          </w:tcPr>
          <w:p>
            <w:pPr>
              <w:spacing w:after="0"/>
              <w:rPr>
                <w:sz w:val="14"/>
                <w:szCs w:val="14"/>
                <w:color w:val="auto"/>
              </w:rPr>
            </w:pPr>
          </w:p>
        </w:tc>
        <w:tc>
          <w:tcPr>
            <w:tcW w:w="1120" w:type="dxa"/>
            <w:vAlign w:val="bottom"/>
            <w:tcBorders>
              <w:bottom w:val="single" w:sz="8" w:color="231F20"/>
            </w:tcBorders>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100" w:type="dxa"/>
            <w:vAlign w:val="bottom"/>
            <w:tcBorders>
              <w:bottom w:val="single" w:sz="8" w:color="FDFD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2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5"/>
                <w:szCs w:val="15"/>
                <w:b w:val="1"/>
                <w:bCs w:val="1"/>
                <w:color w:val="231F20"/>
              </w:rPr>
              <w:t>(amounts in thousands)</w:t>
            </w:r>
          </w:p>
        </w:tc>
        <w:tc>
          <w:tcPr>
            <w:tcW w:w="340" w:type="dxa"/>
            <w:vAlign w:val="bottom"/>
            <w:tcBorders>
              <w:bottom w:val="single" w:sz="8" w:color="231F20"/>
            </w:tcBorders>
            <w:shd w:val="clear" w:color="auto" w:fill="FDFDFC"/>
          </w:tcPr>
          <w:p>
            <w:pPr>
              <w:spacing w:after="0"/>
              <w:rPr>
                <w:sz w:val="15"/>
                <w:szCs w:val="15"/>
                <w:color w:val="auto"/>
              </w:rPr>
            </w:pPr>
          </w:p>
        </w:tc>
        <w:tc>
          <w:tcPr>
            <w:tcW w:w="1120" w:type="dxa"/>
            <w:vAlign w:val="bottom"/>
            <w:tcBorders>
              <w:bottom w:val="single" w:sz="8" w:color="231F20"/>
            </w:tcBorders>
            <w:shd w:val="clear" w:color="auto" w:fill="FDFDFC"/>
          </w:tcPr>
          <w:p>
            <w:pPr>
              <w:jc w:val="right"/>
              <w:ind w:right="430"/>
              <w:spacing w:after="0"/>
              <w:rPr>
                <w:sz w:val="20"/>
                <w:szCs w:val="20"/>
                <w:color w:val="auto"/>
              </w:rPr>
            </w:pPr>
            <w:r>
              <w:rPr>
                <w:rFonts w:ascii="Arial" w:cs="Arial" w:eastAsia="Arial" w:hAnsi="Arial"/>
                <w:sz w:val="15"/>
                <w:szCs w:val="15"/>
                <w:b w:val="1"/>
                <w:bCs w:val="1"/>
                <w:color w:val="231F20"/>
              </w:rPr>
              <w:t>2024</w:t>
            </w:r>
          </w:p>
        </w:tc>
        <w:tc>
          <w:tcPr>
            <w:tcW w:w="10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16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231F20"/>
            </w:tcBorders>
            <w:shd w:val="clear" w:color="auto" w:fill="FDFDFC"/>
          </w:tcPr>
          <w:p>
            <w:pPr>
              <w:spacing w:after="0"/>
              <w:rPr>
                <w:sz w:val="15"/>
                <w:szCs w:val="15"/>
                <w:color w:val="auto"/>
              </w:rPr>
            </w:pPr>
          </w:p>
        </w:tc>
        <w:tc>
          <w:tcPr>
            <w:tcW w:w="320" w:type="dxa"/>
            <w:vAlign w:val="bottom"/>
            <w:tcBorders>
              <w:bottom w:val="single" w:sz="8" w:color="231F20"/>
            </w:tcBorders>
            <w:shd w:val="clear" w:color="auto" w:fill="FDFDFC"/>
          </w:tcPr>
          <w:p>
            <w:pPr>
              <w:spacing w:after="0"/>
              <w:rPr>
                <w:sz w:val="15"/>
                <w:szCs w:val="15"/>
                <w:color w:val="auto"/>
              </w:rPr>
            </w:pPr>
          </w:p>
        </w:tc>
        <w:tc>
          <w:tcPr>
            <w:tcW w:w="1120" w:type="dxa"/>
            <w:vAlign w:val="bottom"/>
            <w:tcBorders>
              <w:bottom w:val="single" w:sz="8" w:color="231F20"/>
            </w:tcBorders>
            <w:shd w:val="clear" w:color="auto" w:fill="FDFDFC"/>
          </w:tcPr>
          <w:p>
            <w:pPr>
              <w:jc w:val="right"/>
              <w:ind w:right="427"/>
              <w:spacing w:after="0"/>
              <w:rPr>
                <w:sz w:val="20"/>
                <w:szCs w:val="20"/>
                <w:color w:val="auto"/>
              </w:rPr>
            </w:pPr>
            <w:r>
              <w:rPr>
                <w:rFonts w:ascii="Arial" w:cs="Arial" w:eastAsia="Arial" w:hAnsi="Arial"/>
                <w:sz w:val="15"/>
                <w:szCs w:val="15"/>
                <w:b w:val="1"/>
                <w:bCs w:val="1"/>
                <w:color w:val="231F20"/>
              </w:rPr>
              <w:t>2023</w:t>
            </w:r>
          </w:p>
        </w:tc>
        <w:tc>
          <w:tcPr>
            <w:tcW w:w="10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720" w:type="dxa"/>
            <w:vAlign w:val="bottom"/>
            <w:shd w:val="clear" w:color="auto" w:fill="D0EBF2"/>
          </w:tcPr>
          <w:p>
            <w:pPr>
              <w:spacing w:after="0" w:line="203" w:lineRule="exact"/>
              <w:rPr>
                <w:sz w:val="20"/>
                <w:szCs w:val="20"/>
                <w:color w:val="auto"/>
              </w:rPr>
            </w:pPr>
            <w:r>
              <w:rPr>
                <w:rFonts w:ascii="Arial" w:cs="Arial" w:eastAsia="Arial" w:hAnsi="Arial"/>
                <w:sz w:val="19"/>
                <w:szCs w:val="19"/>
                <w:color w:val="231F20"/>
              </w:rPr>
              <w:t>Cash paid for amounts included in the measurement of operating</w:t>
            </w:r>
          </w:p>
        </w:tc>
        <w:tc>
          <w:tcPr>
            <w:tcW w:w="340" w:type="dxa"/>
            <w:vAlign w:val="bottom"/>
            <w:vMerge w:val="restart"/>
            <w:shd w:val="clear" w:color="auto" w:fill="D0EBF2"/>
          </w:tcPr>
          <w:p>
            <w:pPr>
              <w:jc w:val="right"/>
              <w:ind w:right="126"/>
              <w:spacing w:after="0"/>
              <w:rPr>
                <w:sz w:val="20"/>
                <w:szCs w:val="20"/>
                <w:color w:val="auto"/>
              </w:rPr>
            </w:pPr>
            <w:r>
              <w:rPr>
                <w:rFonts w:ascii="Arial" w:cs="Arial" w:eastAsia="Arial" w:hAnsi="Arial"/>
                <w:sz w:val="19"/>
                <w:szCs w:val="19"/>
                <w:color w:val="231F20"/>
                <w:w w:val="94"/>
              </w:rPr>
              <w:t>$</w:t>
            </w:r>
          </w:p>
        </w:tc>
        <w:tc>
          <w:tcPr>
            <w:tcW w:w="1220" w:type="dxa"/>
            <w:vAlign w:val="bottom"/>
            <w:gridSpan w:val="2"/>
            <w:vMerge w:val="restart"/>
            <w:shd w:val="clear" w:color="auto" w:fill="D0EBF2"/>
          </w:tcPr>
          <w:p>
            <w:pPr>
              <w:jc w:val="right"/>
              <w:ind w:right="20"/>
              <w:spacing w:after="0"/>
              <w:rPr>
                <w:sz w:val="20"/>
                <w:szCs w:val="20"/>
                <w:color w:val="auto"/>
              </w:rPr>
            </w:pPr>
            <w:r>
              <w:rPr>
                <w:rFonts w:ascii="Arial" w:cs="Arial" w:eastAsia="Arial" w:hAnsi="Arial"/>
                <w:sz w:val="19"/>
                <w:szCs w:val="19"/>
                <w:color w:val="231F20"/>
              </w:rPr>
              <w:t>1,842</w:t>
            </w:r>
          </w:p>
        </w:tc>
        <w:tc>
          <w:tcPr>
            <w:tcW w:w="100" w:type="dxa"/>
            <w:vAlign w:val="bottom"/>
            <w:shd w:val="clear" w:color="auto" w:fill="D0EBF2"/>
          </w:tcPr>
          <w:p>
            <w:pPr>
              <w:spacing w:after="0"/>
              <w:rPr>
                <w:sz w:val="17"/>
                <w:szCs w:val="17"/>
                <w:color w:val="auto"/>
              </w:rPr>
            </w:pPr>
          </w:p>
        </w:tc>
        <w:tc>
          <w:tcPr>
            <w:tcW w:w="160" w:type="dxa"/>
            <w:vAlign w:val="bottom"/>
            <w:shd w:val="clear" w:color="auto" w:fill="D0EBF2"/>
          </w:tcPr>
          <w:p>
            <w:pPr>
              <w:spacing w:after="0"/>
              <w:rPr>
                <w:sz w:val="17"/>
                <w:szCs w:val="17"/>
                <w:color w:val="auto"/>
              </w:rPr>
            </w:pPr>
          </w:p>
        </w:tc>
        <w:tc>
          <w:tcPr>
            <w:tcW w:w="340" w:type="dxa"/>
            <w:vAlign w:val="bottom"/>
            <w:gridSpan w:val="2"/>
            <w:vMerge w:val="restart"/>
            <w:shd w:val="clear" w:color="auto" w:fill="D0EBF2"/>
          </w:tcPr>
          <w:p>
            <w:pPr>
              <w:jc w:val="right"/>
              <w:ind w:right="126"/>
              <w:spacing w:after="0"/>
              <w:rPr>
                <w:sz w:val="20"/>
                <w:szCs w:val="20"/>
                <w:color w:val="auto"/>
              </w:rPr>
            </w:pPr>
            <w:r>
              <w:rPr>
                <w:rFonts w:ascii="Arial" w:cs="Arial" w:eastAsia="Arial" w:hAnsi="Arial"/>
                <w:sz w:val="19"/>
                <w:szCs w:val="19"/>
                <w:color w:val="231F20"/>
                <w:w w:val="94"/>
              </w:rPr>
              <w:t>$</w:t>
            </w:r>
          </w:p>
        </w:tc>
        <w:tc>
          <w:tcPr>
            <w:tcW w:w="1220" w:type="dxa"/>
            <w:vAlign w:val="bottom"/>
            <w:gridSpan w:val="2"/>
            <w:vMerge w:val="restart"/>
            <w:shd w:val="clear" w:color="auto" w:fill="D0EBF2"/>
          </w:tcPr>
          <w:p>
            <w:pPr>
              <w:jc w:val="right"/>
              <w:ind w:right="20"/>
              <w:spacing w:after="0"/>
              <w:rPr>
                <w:sz w:val="20"/>
                <w:szCs w:val="20"/>
                <w:color w:val="auto"/>
              </w:rPr>
            </w:pPr>
            <w:r>
              <w:rPr>
                <w:rFonts w:ascii="Arial" w:cs="Arial" w:eastAsia="Arial" w:hAnsi="Arial"/>
                <w:sz w:val="19"/>
                <w:szCs w:val="19"/>
                <w:color w:val="231F20"/>
              </w:rPr>
              <w:t>2,067</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720" w:type="dxa"/>
            <w:vAlign w:val="bottom"/>
            <w:shd w:val="clear" w:color="auto" w:fill="D0EBF2"/>
          </w:tcPr>
          <w:p>
            <w:pPr>
              <w:ind w:left="160"/>
              <w:spacing w:after="0"/>
              <w:rPr>
                <w:sz w:val="20"/>
                <w:szCs w:val="20"/>
                <w:color w:val="auto"/>
              </w:rPr>
            </w:pPr>
            <w:r>
              <w:rPr>
                <w:rFonts w:ascii="Arial" w:cs="Arial" w:eastAsia="Arial" w:hAnsi="Arial"/>
                <w:sz w:val="19"/>
                <w:szCs w:val="19"/>
                <w:color w:val="231F20"/>
              </w:rPr>
              <w:t>lease liabilities</w:t>
            </w:r>
          </w:p>
        </w:tc>
        <w:tc>
          <w:tcPr>
            <w:tcW w:w="340" w:type="dxa"/>
            <w:vAlign w:val="bottom"/>
            <w:vMerge w:val="continue"/>
            <w:shd w:val="clear" w:color="auto" w:fill="D0EBF2"/>
          </w:tcPr>
          <w:p>
            <w:pPr>
              <w:spacing w:after="0"/>
              <w:rPr>
                <w:sz w:val="20"/>
                <w:szCs w:val="20"/>
                <w:color w:val="auto"/>
              </w:rPr>
            </w:pPr>
          </w:p>
        </w:tc>
        <w:tc>
          <w:tcPr>
            <w:tcW w:w="1220" w:type="dxa"/>
            <w:vAlign w:val="bottom"/>
            <w:gridSpan w:val="2"/>
            <w:vMerge w:val="continue"/>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340" w:type="dxa"/>
            <w:vAlign w:val="bottom"/>
            <w:gridSpan w:val="2"/>
            <w:vMerge w:val="continue"/>
            <w:shd w:val="clear" w:color="auto" w:fill="D0EBF2"/>
          </w:tcPr>
          <w:p>
            <w:pPr>
              <w:spacing w:after="0"/>
              <w:rPr>
                <w:sz w:val="20"/>
                <w:szCs w:val="20"/>
                <w:color w:val="auto"/>
              </w:rPr>
            </w:pPr>
          </w:p>
        </w:tc>
        <w:tc>
          <w:tcPr>
            <w:tcW w:w="1220" w:type="dxa"/>
            <w:vAlign w:val="bottom"/>
            <w:gridSpan w:val="2"/>
            <w:vMerge w:val="continue"/>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FDFDFC"/>
          </w:tcPr>
          <w:p>
            <w:pPr>
              <w:spacing w:after="0"/>
              <w:rPr>
                <w:sz w:val="20"/>
                <w:szCs w:val="20"/>
                <w:color w:val="auto"/>
              </w:rPr>
            </w:pPr>
            <w:r>
              <w:rPr>
                <w:rFonts w:ascii="Arial" w:cs="Arial" w:eastAsia="Arial" w:hAnsi="Arial"/>
                <w:sz w:val="19"/>
                <w:szCs w:val="19"/>
                <w:color w:val="231F20"/>
              </w:rPr>
              <w:t>ROU assets obtained in exchange for operating lease liabilities</w:t>
            </w:r>
          </w:p>
        </w:tc>
        <w:tc>
          <w:tcPr>
            <w:tcW w:w="34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1,660</w:t>
            </w: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2,322</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8380" w:type="dxa"/>
            <w:vAlign w:val="bottom"/>
            <w:gridSpan w:val="5"/>
          </w:tcPr>
          <w:p>
            <w:pPr>
              <w:ind w:left="460"/>
              <w:spacing w:after="0"/>
              <w:rPr>
                <w:sz w:val="20"/>
                <w:szCs w:val="20"/>
                <w:color w:val="auto"/>
              </w:rPr>
            </w:pPr>
            <w:r>
              <w:rPr>
                <w:rFonts w:ascii="Arial" w:cs="Arial" w:eastAsia="Arial" w:hAnsi="Arial"/>
                <w:sz w:val="19"/>
                <w:szCs w:val="19"/>
                <w:color w:val="231F20"/>
              </w:rPr>
              <w:t>Future minimum lease payments as of December 31, 2024, were as follows (in thousands):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720" w:type="dxa"/>
            <w:vAlign w:val="bottom"/>
            <w:shd w:val="clear" w:color="auto" w:fill="FDFDFC"/>
          </w:tcPr>
          <w:p>
            <w:pPr>
              <w:spacing w:after="0"/>
              <w:rPr>
                <w:sz w:val="20"/>
                <w:szCs w:val="20"/>
                <w:color w:val="auto"/>
              </w:rPr>
            </w:pPr>
            <w:r>
              <w:rPr>
                <w:rFonts w:ascii="Arial" w:cs="Arial" w:eastAsia="Arial" w:hAnsi="Arial"/>
                <w:sz w:val="15"/>
                <w:szCs w:val="15"/>
                <w:b w:val="1"/>
                <w:bCs w:val="1"/>
                <w:color w:val="231F20"/>
              </w:rPr>
              <w:t>Years Ending December 31,</w:t>
            </w:r>
          </w:p>
        </w:tc>
        <w:tc>
          <w:tcPr>
            <w:tcW w:w="340" w:type="dxa"/>
            <w:vAlign w:val="bottom"/>
            <w:shd w:val="clear" w:color="auto" w:fill="FDFDFC"/>
          </w:tcPr>
          <w:p>
            <w:pPr>
              <w:spacing w:after="0"/>
              <w:rPr>
                <w:sz w:val="15"/>
                <w:szCs w:val="15"/>
                <w:color w:val="auto"/>
              </w:rPr>
            </w:pPr>
          </w:p>
        </w:tc>
        <w:tc>
          <w:tcPr>
            <w:tcW w:w="1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320" w:type="dxa"/>
            <w:vAlign w:val="bottom"/>
            <w:shd w:val="clear" w:color="auto" w:fill="FDFDFC"/>
          </w:tcPr>
          <w:p>
            <w:pPr>
              <w:spacing w:after="0"/>
              <w:rPr>
                <w:sz w:val="15"/>
                <w:szCs w:val="15"/>
                <w:color w:val="auto"/>
              </w:rPr>
            </w:pPr>
          </w:p>
        </w:tc>
        <w:tc>
          <w:tcPr>
            <w:tcW w:w="1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720" w:type="dxa"/>
            <w:vAlign w:val="bottom"/>
            <w:shd w:val="clear" w:color="auto" w:fill="FDFDFC"/>
          </w:tcPr>
          <w:p>
            <w:pPr>
              <w:spacing w:after="0"/>
              <w:rPr>
                <w:sz w:val="20"/>
                <w:szCs w:val="20"/>
                <w:color w:val="auto"/>
              </w:rPr>
            </w:pPr>
            <w:r>
              <w:rPr>
                <w:rFonts w:ascii="Arial" w:cs="Arial" w:eastAsia="Arial" w:hAnsi="Arial"/>
                <w:sz w:val="19"/>
                <w:szCs w:val="19"/>
                <w:color w:val="231F20"/>
              </w:rPr>
              <w:t>2025</w:t>
            </w:r>
          </w:p>
        </w:tc>
        <w:tc>
          <w:tcPr>
            <w:tcW w:w="340" w:type="dxa"/>
            <w:vAlign w:val="bottom"/>
            <w:shd w:val="clear" w:color="auto" w:fill="FDFDFC"/>
          </w:tcPr>
          <w:p>
            <w:pPr>
              <w:spacing w:after="0"/>
              <w:rPr>
                <w:sz w:val="20"/>
                <w:szCs w:val="20"/>
                <w:color w:val="auto"/>
              </w:rPr>
            </w:pPr>
          </w:p>
        </w:tc>
        <w:tc>
          <w:tcPr>
            <w:tcW w:w="11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2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1,904</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D0EBF2"/>
          </w:tcPr>
          <w:p>
            <w:pPr>
              <w:spacing w:after="0"/>
              <w:rPr>
                <w:sz w:val="20"/>
                <w:szCs w:val="20"/>
                <w:color w:val="auto"/>
              </w:rPr>
            </w:pPr>
            <w:r>
              <w:rPr>
                <w:rFonts w:ascii="Arial" w:cs="Arial" w:eastAsia="Arial" w:hAnsi="Arial"/>
                <w:sz w:val="19"/>
                <w:szCs w:val="19"/>
                <w:color w:val="231F20"/>
              </w:rPr>
              <w:t>2026</w:t>
            </w:r>
          </w:p>
        </w:tc>
        <w:tc>
          <w:tcPr>
            <w:tcW w:w="340" w:type="dxa"/>
            <w:vAlign w:val="bottom"/>
            <w:shd w:val="clear" w:color="auto" w:fill="D0EBF2"/>
          </w:tcPr>
          <w:p>
            <w:pPr>
              <w:spacing w:after="0"/>
              <w:rPr>
                <w:sz w:val="20"/>
                <w:szCs w:val="20"/>
                <w:color w:val="auto"/>
              </w:rPr>
            </w:pPr>
          </w:p>
        </w:tc>
        <w:tc>
          <w:tcPr>
            <w:tcW w:w="11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22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926</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FDFDFC"/>
          </w:tcPr>
          <w:p>
            <w:pPr>
              <w:spacing w:after="0"/>
              <w:rPr>
                <w:sz w:val="20"/>
                <w:szCs w:val="20"/>
                <w:color w:val="auto"/>
              </w:rPr>
            </w:pPr>
            <w:r>
              <w:rPr>
                <w:rFonts w:ascii="Arial" w:cs="Arial" w:eastAsia="Arial" w:hAnsi="Arial"/>
                <w:sz w:val="19"/>
                <w:szCs w:val="19"/>
                <w:color w:val="231F20"/>
              </w:rPr>
              <w:t>2027</w:t>
            </w:r>
          </w:p>
        </w:tc>
        <w:tc>
          <w:tcPr>
            <w:tcW w:w="340" w:type="dxa"/>
            <w:vAlign w:val="bottom"/>
            <w:shd w:val="clear" w:color="auto" w:fill="FDFDFC"/>
          </w:tcPr>
          <w:p>
            <w:pPr>
              <w:spacing w:after="0"/>
              <w:rPr>
                <w:sz w:val="20"/>
                <w:szCs w:val="20"/>
                <w:color w:val="auto"/>
              </w:rPr>
            </w:pPr>
          </w:p>
        </w:tc>
        <w:tc>
          <w:tcPr>
            <w:tcW w:w="11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654</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D0EBF2"/>
          </w:tcPr>
          <w:p>
            <w:pPr>
              <w:spacing w:after="0"/>
              <w:rPr>
                <w:sz w:val="20"/>
                <w:szCs w:val="20"/>
                <w:color w:val="auto"/>
              </w:rPr>
            </w:pPr>
            <w:r>
              <w:rPr>
                <w:rFonts w:ascii="Arial" w:cs="Arial" w:eastAsia="Arial" w:hAnsi="Arial"/>
                <w:sz w:val="19"/>
                <w:szCs w:val="19"/>
                <w:color w:val="231F20"/>
              </w:rPr>
              <w:t>2028</w:t>
            </w:r>
          </w:p>
        </w:tc>
        <w:tc>
          <w:tcPr>
            <w:tcW w:w="340" w:type="dxa"/>
            <w:vAlign w:val="bottom"/>
            <w:shd w:val="clear" w:color="auto" w:fill="D0EBF2"/>
          </w:tcPr>
          <w:p>
            <w:pPr>
              <w:spacing w:after="0"/>
              <w:rPr>
                <w:sz w:val="20"/>
                <w:szCs w:val="20"/>
                <w:color w:val="auto"/>
              </w:rPr>
            </w:pPr>
          </w:p>
        </w:tc>
        <w:tc>
          <w:tcPr>
            <w:tcW w:w="11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220" w:type="dxa"/>
            <w:vAlign w:val="bottom"/>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319</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FDFDFC"/>
          </w:tcPr>
          <w:p>
            <w:pPr>
              <w:spacing w:after="0"/>
              <w:rPr>
                <w:sz w:val="20"/>
                <w:szCs w:val="20"/>
                <w:color w:val="auto"/>
              </w:rPr>
            </w:pPr>
            <w:r>
              <w:rPr>
                <w:rFonts w:ascii="Arial" w:cs="Arial" w:eastAsia="Arial" w:hAnsi="Arial"/>
                <w:sz w:val="19"/>
                <w:szCs w:val="19"/>
                <w:color w:val="231F20"/>
              </w:rPr>
              <w:t>2029</w:t>
            </w:r>
          </w:p>
        </w:tc>
        <w:tc>
          <w:tcPr>
            <w:tcW w:w="340" w:type="dxa"/>
            <w:vAlign w:val="bottom"/>
            <w:shd w:val="clear" w:color="auto" w:fill="FDFDFC"/>
          </w:tcPr>
          <w:p>
            <w:pPr>
              <w:spacing w:after="0"/>
              <w:rPr>
                <w:sz w:val="20"/>
                <w:szCs w:val="20"/>
                <w:color w:val="auto"/>
              </w:rPr>
            </w:pPr>
          </w:p>
        </w:tc>
        <w:tc>
          <w:tcPr>
            <w:tcW w:w="11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74</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D0EBF2"/>
          </w:tcPr>
          <w:p>
            <w:pPr>
              <w:spacing w:after="0"/>
              <w:rPr>
                <w:sz w:val="20"/>
                <w:szCs w:val="20"/>
                <w:color w:val="auto"/>
              </w:rPr>
            </w:pPr>
            <w:r>
              <w:rPr>
                <w:rFonts w:ascii="Arial" w:cs="Arial" w:eastAsia="Arial" w:hAnsi="Arial"/>
                <w:sz w:val="19"/>
                <w:szCs w:val="19"/>
                <w:color w:val="231F20"/>
              </w:rPr>
              <w:t>Thereafter</w:t>
            </w:r>
          </w:p>
        </w:tc>
        <w:tc>
          <w:tcPr>
            <w:tcW w:w="340" w:type="dxa"/>
            <w:vAlign w:val="bottom"/>
            <w:shd w:val="clear" w:color="auto" w:fill="D0EBF2"/>
          </w:tcPr>
          <w:p>
            <w:pPr>
              <w:spacing w:after="0"/>
              <w:rPr>
                <w:sz w:val="20"/>
                <w:szCs w:val="20"/>
                <w:color w:val="auto"/>
              </w:rPr>
            </w:pPr>
          </w:p>
        </w:tc>
        <w:tc>
          <w:tcPr>
            <w:tcW w:w="11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320" w:type="dxa"/>
            <w:vAlign w:val="bottom"/>
            <w:shd w:val="clear" w:color="auto" w:fill="D0EBF2"/>
          </w:tcPr>
          <w:p>
            <w:pPr>
              <w:spacing w:after="0"/>
              <w:rPr>
                <w:sz w:val="20"/>
                <w:szCs w:val="20"/>
                <w:color w:val="auto"/>
              </w:rPr>
            </w:pPr>
          </w:p>
        </w:tc>
        <w:tc>
          <w:tcPr>
            <w:tcW w:w="1320" w:type="dxa"/>
            <w:vAlign w:val="bottom"/>
            <w:gridSpan w:val="3"/>
            <w:shd w:val="clear" w:color="auto" w:fill="D0EBF2"/>
          </w:tcPr>
          <w:p>
            <w:pPr>
              <w:jc w:val="right"/>
              <w:ind w:right="120"/>
              <w:spacing w:after="0"/>
              <w:rPr>
                <w:sz w:val="20"/>
                <w:szCs w:val="20"/>
                <w:color w:val="auto"/>
              </w:rPr>
            </w:pPr>
            <w:r>
              <w:rPr>
                <w:rFonts w:ascii="Arial" w:cs="Arial" w:eastAsia="Arial" w:hAnsi="Arial"/>
                <w:sz w:val="19"/>
                <w:szCs w:val="19"/>
                <w:color w:val="231F20"/>
              </w:rPr>
              <w:t>—</w:t>
            </w:r>
          </w:p>
        </w:tc>
        <w:tc>
          <w:tcPr>
            <w:tcW w:w="0" w:type="dxa"/>
            <w:vAlign w:val="bottom"/>
          </w:tcPr>
          <w:p>
            <w:pPr>
              <w:spacing w:after="0"/>
              <w:rPr>
                <w:sz w:val="1"/>
                <w:szCs w:val="1"/>
                <w:color w:val="auto"/>
              </w:rPr>
            </w:pPr>
          </w:p>
        </w:tc>
      </w:tr>
      <w:tr>
        <w:trPr>
          <w:trHeight w:val="220"/>
        </w:trPr>
        <w:tc>
          <w:tcPr>
            <w:tcW w:w="6720" w:type="dxa"/>
            <w:vAlign w:val="bottom"/>
            <w:tcBorders>
              <w:top w:val="single" w:sz="8" w:color="FDFDFC"/>
              <w:bottom w:val="single" w:sz="8" w:color="D0EBF2"/>
            </w:tcBorders>
            <w:shd w:val="clear" w:color="auto" w:fill="FDFDFC"/>
          </w:tcPr>
          <w:p>
            <w:pPr>
              <w:ind w:left="140"/>
              <w:spacing w:after="0"/>
              <w:rPr>
                <w:sz w:val="20"/>
                <w:szCs w:val="20"/>
                <w:color w:val="auto"/>
              </w:rPr>
            </w:pPr>
            <w:r>
              <w:rPr>
                <w:rFonts w:ascii="Arial" w:cs="Arial" w:eastAsia="Arial" w:hAnsi="Arial"/>
                <w:sz w:val="19"/>
                <w:szCs w:val="19"/>
                <w:color w:val="231F20"/>
              </w:rPr>
              <w:t>Total undiscounted lease payments</w:t>
            </w:r>
          </w:p>
        </w:tc>
        <w:tc>
          <w:tcPr>
            <w:tcW w:w="340" w:type="dxa"/>
            <w:vAlign w:val="bottom"/>
            <w:tcBorders>
              <w:top w:val="single" w:sz="8" w:color="FDFDFC"/>
              <w:bottom w:val="single" w:sz="8" w:color="D0EBF2"/>
            </w:tcBorders>
            <w:shd w:val="clear" w:color="auto" w:fill="FDFDFC"/>
          </w:tcPr>
          <w:p>
            <w:pPr>
              <w:spacing w:after="0"/>
              <w:rPr>
                <w:sz w:val="19"/>
                <w:szCs w:val="19"/>
                <w:color w:val="auto"/>
              </w:rPr>
            </w:pPr>
          </w:p>
        </w:tc>
        <w:tc>
          <w:tcPr>
            <w:tcW w:w="1120" w:type="dxa"/>
            <w:vAlign w:val="bottom"/>
            <w:tcBorders>
              <w:top w:val="single" w:sz="8" w:color="FDFDFC"/>
              <w:bottom w:val="single" w:sz="8" w:color="D0EBF2"/>
            </w:tcBorders>
            <w:shd w:val="clear" w:color="auto" w:fill="FDFDFC"/>
          </w:tcPr>
          <w:p>
            <w:pPr>
              <w:spacing w:after="0"/>
              <w:rPr>
                <w:sz w:val="19"/>
                <w:szCs w:val="19"/>
                <w:color w:val="auto"/>
              </w:rPr>
            </w:pPr>
          </w:p>
        </w:tc>
        <w:tc>
          <w:tcPr>
            <w:tcW w:w="100" w:type="dxa"/>
            <w:vAlign w:val="bottom"/>
            <w:tcBorders>
              <w:top w:val="single" w:sz="8" w:color="FDFDFC"/>
              <w:bottom w:val="single" w:sz="8" w:color="D0EBF2"/>
            </w:tcBorders>
            <w:shd w:val="clear" w:color="auto" w:fill="FDFDFC"/>
          </w:tcPr>
          <w:p>
            <w:pPr>
              <w:spacing w:after="0"/>
              <w:rPr>
                <w:sz w:val="19"/>
                <w:szCs w:val="19"/>
                <w:color w:val="auto"/>
              </w:rPr>
            </w:pPr>
          </w:p>
        </w:tc>
        <w:tc>
          <w:tcPr>
            <w:tcW w:w="100" w:type="dxa"/>
            <w:vAlign w:val="bottom"/>
            <w:tcBorders>
              <w:top w:val="single" w:sz="8" w:color="FDFDFC"/>
              <w:bottom w:val="single" w:sz="8" w:color="D0EBF2"/>
            </w:tcBorders>
            <w:shd w:val="clear" w:color="auto" w:fill="FDFDFC"/>
          </w:tcPr>
          <w:p>
            <w:pPr>
              <w:spacing w:after="0"/>
              <w:rPr>
                <w:sz w:val="19"/>
                <w:szCs w:val="19"/>
                <w:color w:val="auto"/>
              </w:rPr>
            </w:pPr>
          </w:p>
        </w:tc>
        <w:tc>
          <w:tcPr>
            <w:tcW w:w="16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20" w:type="dxa"/>
            <w:vAlign w:val="bottom"/>
            <w:tcBorders>
              <w:top w:val="single" w:sz="8" w:color="231F20"/>
              <w:bottom w:val="single" w:sz="8" w:color="231F20"/>
            </w:tcBorders>
            <w:shd w:val="clear" w:color="auto" w:fill="FDFDFC"/>
          </w:tcPr>
          <w:p>
            <w:pPr>
              <w:spacing w:after="0"/>
              <w:rPr>
                <w:sz w:val="19"/>
                <w:szCs w:val="19"/>
                <w:color w:val="auto"/>
              </w:rPr>
            </w:pPr>
          </w:p>
        </w:tc>
        <w:tc>
          <w:tcPr>
            <w:tcW w:w="320" w:type="dxa"/>
            <w:vAlign w:val="bottom"/>
            <w:tcBorders>
              <w:top w:val="single" w:sz="8" w:color="231F20"/>
              <w:bottom w:val="single" w:sz="8" w:color="231F20"/>
            </w:tcBorders>
            <w:shd w:val="clear" w:color="auto" w:fill="FDFDFC"/>
          </w:tcPr>
          <w:p>
            <w:pPr>
              <w:spacing w:after="0"/>
              <w:rPr>
                <w:sz w:val="19"/>
                <w:szCs w:val="19"/>
                <w:color w:val="auto"/>
              </w:rPr>
            </w:pPr>
          </w:p>
        </w:tc>
        <w:tc>
          <w:tcPr>
            <w:tcW w:w="1220" w:type="dxa"/>
            <w:vAlign w:val="bottom"/>
            <w:tcBorders>
              <w:top w:val="single" w:sz="8" w:color="231F20"/>
              <w:bottom w:val="single" w:sz="8" w:color="231F20"/>
            </w:tcBorders>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3,877</w:t>
            </w:r>
          </w:p>
        </w:tc>
        <w:tc>
          <w:tcPr>
            <w:tcW w:w="100" w:type="dxa"/>
            <w:vAlign w:val="bottom"/>
            <w:tcBorders>
              <w:top w:val="single" w:sz="8" w:color="FDFDFC"/>
              <w:bottom w:val="single" w:sz="8" w:color="D0EBF2"/>
            </w:tcBorders>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20" w:type="dxa"/>
            <w:vAlign w:val="bottom"/>
            <w:tcBorders>
              <w:bottom w:val="single" w:sz="8" w:color="FDFDFC"/>
            </w:tcBorders>
            <w:shd w:val="clear" w:color="auto" w:fill="D0EBF2"/>
          </w:tcPr>
          <w:p>
            <w:pPr>
              <w:ind w:left="140"/>
              <w:spacing w:after="0"/>
              <w:rPr>
                <w:sz w:val="20"/>
                <w:szCs w:val="20"/>
                <w:color w:val="auto"/>
              </w:rPr>
            </w:pPr>
            <w:r>
              <w:rPr>
                <w:rFonts w:ascii="Arial" w:cs="Arial" w:eastAsia="Arial" w:hAnsi="Arial"/>
                <w:sz w:val="19"/>
                <w:szCs w:val="19"/>
                <w:color w:val="231F20"/>
              </w:rPr>
              <w:t>Less - present value discount</w:t>
            </w:r>
          </w:p>
        </w:tc>
        <w:tc>
          <w:tcPr>
            <w:tcW w:w="340" w:type="dxa"/>
            <w:vAlign w:val="bottom"/>
            <w:tcBorders>
              <w:bottom w:val="single" w:sz="8" w:color="FDFDFC"/>
            </w:tcBorders>
            <w:shd w:val="clear" w:color="auto" w:fill="D0EBF2"/>
          </w:tcPr>
          <w:p>
            <w:pPr>
              <w:spacing w:after="0"/>
              <w:rPr>
                <w:sz w:val="19"/>
                <w:szCs w:val="19"/>
                <w:color w:val="auto"/>
              </w:rPr>
            </w:pPr>
          </w:p>
        </w:tc>
        <w:tc>
          <w:tcPr>
            <w:tcW w:w="1120" w:type="dxa"/>
            <w:vAlign w:val="bottom"/>
            <w:tcBorders>
              <w:bottom w:val="single" w:sz="8" w:color="FDFDFC"/>
            </w:tcBorders>
            <w:shd w:val="clear" w:color="auto" w:fill="D0EBF2"/>
          </w:tcPr>
          <w:p>
            <w:pPr>
              <w:spacing w:after="0"/>
              <w:rPr>
                <w:sz w:val="19"/>
                <w:szCs w:val="19"/>
                <w:color w:val="auto"/>
              </w:rPr>
            </w:pPr>
          </w:p>
        </w:tc>
        <w:tc>
          <w:tcPr>
            <w:tcW w:w="100" w:type="dxa"/>
            <w:vAlign w:val="bottom"/>
            <w:tcBorders>
              <w:bottom w:val="single" w:sz="8" w:color="FDFDFC"/>
            </w:tcBorders>
            <w:shd w:val="clear" w:color="auto" w:fill="D0EBF2"/>
          </w:tcPr>
          <w:p>
            <w:pPr>
              <w:spacing w:after="0"/>
              <w:rPr>
                <w:sz w:val="19"/>
                <w:szCs w:val="19"/>
                <w:color w:val="auto"/>
              </w:rPr>
            </w:pPr>
          </w:p>
        </w:tc>
        <w:tc>
          <w:tcPr>
            <w:tcW w:w="100" w:type="dxa"/>
            <w:vAlign w:val="bottom"/>
            <w:tcBorders>
              <w:bottom w:val="single" w:sz="8" w:color="FDFDFC"/>
            </w:tcBorders>
            <w:shd w:val="clear" w:color="auto" w:fill="D0EBF2"/>
          </w:tcPr>
          <w:p>
            <w:pPr>
              <w:spacing w:after="0"/>
              <w:rPr>
                <w:sz w:val="19"/>
                <w:szCs w:val="19"/>
                <w:color w:val="auto"/>
              </w:rPr>
            </w:pPr>
          </w:p>
        </w:tc>
        <w:tc>
          <w:tcPr>
            <w:tcW w:w="160" w:type="dxa"/>
            <w:vAlign w:val="bottom"/>
            <w:tcBorders>
              <w:bottom w:val="single" w:sz="8" w:color="231F20"/>
            </w:tcBorders>
            <w:shd w:val="clear" w:color="auto" w:fill="D0EBF2"/>
          </w:tcPr>
          <w:p>
            <w:pPr>
              <w:spacing w:after="0"/>
              <w:rPr>
                <w:sz w:val="19"/>
                <w:szCs w:val="19"/>
                <w:color w:val="auto"/>
              </w:rPr>
            </w:pPr>
          </w:p>
        </w:tc>
        <w:tc>
          <w:tcPr>
            <w:tcW w:w="20" w:type="dxa"/>
            <w:vAlign w:val="bottom"/>
            <w:tcBorders>
              <w:bottom w:val="single" w:sz="8" w:color="231F20"/>
            </w:tcBorders>
            <w:shd w:val="clear" w:color="auto" w:fill="D0EBF2"/>
          </w:tcPr>
          <w:p>
            <w:pPr>
              <w:spacing w:after="0"/>
              <w:rPr>
                <w:sz w:val="19"/>
                <w:szCs w:val="19"/>
                <w:color w:val="auto"/>
              </w:rPr>
            </w:pPr>
          </w:p>
        </w:tc>
        <w:tc>
          <w:tcPr>
            <w:tcW w:w="320" w:type="dxa"/>
            <w:vAlign w:val="bottom"/>
            <w:tcBorders>
              <w:bottom w:val="single" w:sz="8" w:color="231F20"/>
            </w:tcBorders>
            <w:shd w:val="clear" w:color="auto" w:fill="D0EBF2"/>
          </w:tcPr>
          <w:p>
            <w:pPr>
              <w:spacing w:after="0"/>
              <w:rPr>
                <w:sz w:val="19"/>
                <w:szCs w:val="19"/>
                <w:color w:val="auto"/>
              </w:rPr>
            </w:pPr>
          </w:p>
        </w:tc>
        <w:tc>
          <w:tcPr>
            <w:tcW w:w="1220" w:type="dxa"/>
            <w:vAlign w:val="bottom"/>
            <w:tcBorders>
              <w:bottom w:val="single" w:sz="8" w:color="231F20"/>
            </w:tcBorders>
            <w:gridSpan w:val="2"/>
            <w:shd w:val="clear" w:color="auto" w:fill="D0EBF2"/>
          </w:tcPr>
          <w:p>
            <w:pPr>
              <w:jc w:val="right"/>
              <w:ind w:right="20"/>
              <w:spacing w:after="0"/>
              <w:rPr>
                <w:sz w:val="20"/>
                <w:szCs w:val="20"/>
                <w:color w:val="auto"/>
              </w:rPr>
            </w:pPr>
            <w:r>
              <w:rPr>
                <w:rFonts w:ascii="Arial" w:cs="Arial" w:eastAsia="Arial" w:hAnsi="Arial"/>
                <w:sz w:val="19"/>
                <w:szCs w:val="19"/>
                <w:color w:val="231F20"/>
              </w:rPr>
              <w:t>343</w:t>
            </w:r>
          </w:p>
        </w:tc>
        <w:tc>
          <w:tcPr>
            <w:tcW w:w="100" w:type="dxa"/>
            <w:vAlign w:val="bottom"/>
            <w:tcBorders>
              <w:bottom w:val="single" w:sz="8" w:color="FDFDFC"/>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FDFDFC"/>
          </w:tcPr>
          <w:p>
            <w:pPr>
              <w:ind w:left="140"/>
              <w:spacing w:after="0"/>
              <w:rPr>
                <w:sz w:val="20"/>
                <w:szCs w:val="20"/>
                <w:color w:val="auto"/>
              </w:rPr>
            </w:pPr>
            <w:r>
              <w:rPr>
                <w:rFonts w:ascii="Arial" w:cs="Arial" w:eastAsia="Arial" w:hAnsi="Arial"/>
                <w:sz w:val="19"/>
                <w:szCs w:val="19"/>
                <w:color w:val="231F20"/>
              </w:rPr>
              <w:t>Lease liability, at present value</w:t>
            </w:r>
          </w:p>
        </w:tc>
        <w:tc>
          <w:tcPr>
            <w:tcW w:w="340" w:type="dxa"/>
            <w:vAlign w:val="bottom"/>
            <w:shd w:val="clear" w:color="auto" w:fill="FDFDFC"/>
          </w:tcPr>
          <w:p>
            <w:pPr>
              <w:spacing w:after="0"/>
              <w:rPr>
                <w:sz w:val="19"/>
                <w:szCs w:val="19"/>
                <w:color w:val="auto"/>
              </w:rPr>
            </w:pPr>
          </w:p>
        </w:tc>
        <w:tc>
          <w:tcPr>
            <w:tcW w:w="1120" w:type="dxa"/>
            <w:vAlign w:val="bottom"/>
            <w:shd w:val="clear" w:color="auto" w:fill="FDFDFC"/>
          </w:tcPr>
          <w:p>
            <w:pPr>
              <w:spacing w:after="0"/>
              <w:rPr>
                <w:sz w:val="19"/>
                <w:szCs w:val="19"/>
                <w:color w:val="auto"/>
              </w:rPr>
            </w:pPr>
          </w:p>
        </w:tc>
        <w:tc>
          <w:tcPr>
            <w:tcW w:w="100" w:type="dxa"/>
            <w:vAlign w:val="bottom"/>
            <w:shd w:val="clear" w:color="auto" w:fill="FDFDFC"/>
          </w:tcPr>
          <w:p>
            <w:pPr>
              <w:spacing w:after="0"/>
              <w:rPr>
                <w:sz w:val="19"/>
                <w:szCs w:val="19"/>
                <w:color w:val="auto"/>
              </w:rPr>
            </w:pPr>
          </w:p>
        </w:tc>
        <w:tc>
          <w:tcPr>
            <w:tcW w:w="100" w:type="dxa"/>
            <w:vAlign w:val="bottom"/>
            <w:shd w:val="clear" w:color="auto" w:fill="FDFDFC"/>
          </w:tcPr>
          <w:p>
            <w:pPr>
              <w:spacing w:after="0"/>
              <w:rPr>
                <w:sz w:val="19"/>
                <w:szCs w:val="19"/>
                <w:color w:val="auto"/>
              </w:rPr>
            </w:pPr>
          </w:p>
        </w:tc>
        <w:tc>
          <w:tcPr>
            <w:tcW w:w="16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20" w:type="dxa"/>
            <w:vAlign w:val="bottom"/>
            <w:tcBorders>
              <w:bottom w:val="single" w:sz="8" w:color="231F20"/>
            </w:tcBorders>
            <w:shd w:val="clear" w:color="auto" w:fill="FDFDFC"/>
          </w:tcPr>
          <w:p>
            <w:pPr>
              <w:spacing w:after="0"/>
              <w:rPr>
                <w:sz w:val="19"/>
                <w:szCs w:val="19"/>
                <w:color w:val="auto"/>
              </w:rPr>
            </w:pPr>
          </w:p>
        </w:tc>
        <w:tc>
          <w:tcPr>
            <w:tcW w:w="320" w:type="dxa"/>
            <w:vAlign w:val="bottom"/>
            <w:tcBorders>
              <w:bottom w:val="single" w:sz="8" w:color="231F20"/>
            </w:tcBorders>
            <w:shd w:val="clear" w:color="auto" w:fill="FDFDFC"/>
          </w:tcPr>
          <w:p>
            <w:pPr>
              <w:spacing w:after="0"/>
              <w:rPr>
                <w:sz w:val="19"/>
                <w:szCs w:val="19"/>
                <w:color w:val="auto"/>
              </w:rPr>
            </w:pPr>
          </w:p>
        </w:tc>
        <w:tc>
          <w:tcPr>
            <w:tcW w:w="1220" w:type="dxa"/>
            <w:vAlign w:val="bottom"/>
            <w:tcBorders>
              <w:bottom w:val="single" w:sz="8" w:color="231F20"/>
            </w:tcBorders>
            <w:gridSpan w:val="2"/>
            <w:shd w:val="clear" w:color="auto" w:fill="FDFDFC"/>
          </w:tcPr>
          <w:p>
            <w:pPr>
              <w:jc w:val="right"/>
              <w:ind w:right="20"/>
              <w:spacing w:after="0"/>
              <w:rPr>
                <w:sz w:val="20"/>
                <w:szCs w:val="20"/>
                <w:color w:val="auto"/>
              </w:rPr>
            </w:pPr>
            <w:r>
              <w:rPr>
                <w:rFonts w:ascii="Arial" w:cs="Arial" w:eastAsia="Arial" w:hAnsi="Arial"/>
                <w:sz w:val="19"/>
                <w:szCs w:val="19"/>
                <w:color w:val="231F20"/>
              </w:rPr>
              <w:t>3,534</w:t>
            </w:r>
          </w:p>
        </w:tc>
        <w:tc>
          <w:tcPr>
            <w:tcW w:w="100" w:type="dxa"/>
            <w:vAlign w:val="bottom"/>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gridSpan w:val="5"/>
            <w:vMerge w:val="restart"/>
          </w:tcPr>
          <w:p>
            <w:pPr>
              <w:ind w:left="460"/>
              <w:spacing w:after="0"/>
              <w:rPr>
                <w:sz w:val="20"/>
                <w:szCs w:val="20"/>
                <w:color w:val="auto"/>
              </w:rPr>
            </w:pPr>
            <w:r>
              <w:rPr>
                <w:rFonts w:ascii="Arial" w:cs="Arial" w:eastAsia="Arial" w:hAnsi="Arial"/>
                <w:sz w:val="19"/>
                <w:szCs w:val="19"/>
                <w:color w:val="231F20"/>
              </w:rPr>
              <w:t>Future minimum lease payments as of December 31, 2023 were as follows (in thousands):</w:t>
            </w:r>
          </w:p>
        </w:tc>
        <w:tc>
          <w:tcPr>
            <w:tcW w:w="1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838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shd w:val="clear" w:color="auto" w:fill="FDFDFC"/>
          </w:tcPr>
          <w:p>
            <w:pPr>
              <w:spacing w:after="0" w:line="156" w:lineRule="exact"/>
              <w:rPr>
                <w:sz w:val="20"/>
                <w:szCs w:val="20"/>
                <w:color w:val="auto"/>
              </w:rPr>
            </w:pPr>
            <w:r>
              <w:rPr>
                <w:rFonts w:ascii="Arial" w:cs="Arial" w:eastAsia="Arial" w:hAnsi="Arial"/>
                <w:sz w:val="15"/>
                <w:szCs w:val="15"/>
                <w:b w:val="1"/>
                <w:bCs w:val="1"/>
                <w:color w:val="231F20"/>
              </w:rPr>
              <w:t>Years Ending December 31,</w:t>
            </w:r>
          </w:p>
        </w:tc>
        <w:tc>
          <w:tcPr>
            <w:tcW w:w="340" w:type="dxa"/>
            <w:vAlign w:val="bottom"/>
            <w:shd w:val="clear" w:color="auto" w:fill="FDFDFC"/>
          </w:tcPr>
          <w:p>
            <w:pPr>
              <w:spacing w:after="0"/>
              <w:rPr>
                <w:sz w:val="13"/>
                <w:szCs w:val="13"/>
                <w:color w:val="auto"/>
              </w:rPr>
            </w:pPr>
          </w:p>
        </w:tc>
        <w:tc>
          <w:tcPr>
            <w:tcW w:w="112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16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320" w:type="dxa"/>
            <w:vAlign w:val="bottom"/>
            <w:shd w:val="clear" w:color="auto" w:fill="FDFDFC"/>
          </w:tcPr>
          <w:p>
            <w:pPr>
              <w:spacing w:after="0"/>
              <w:rPr>
                <w:sz w:val="13"/>
                <w:szCs w:val="13"/>
                <w:color w:val="auto"/>
              </w:rPr>
            </w:pPr>
          </w:p>
        </w:tc>
        <w:tc>
          <w:tcPr>
            <w:tcW w:w="112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6720" w:type="dxa"/>
            <w:vAlign w:val="bottom"/>
            <w:shd w:val="clear" w:color="auto" w:fill="FDFDFC"/>
          </w:tcPr>
          <w:p>
            <w:pPr>
              <w:spacing w:after="0"/>
              <w:rPr>
                <w:sz w:val="20"/>
                <w:szCs w:val="20"/>
                <w:color w:val="auto"/>
              </w:rPr>
            </w:pPr>
            <w:r>
              <w:rPr>
                <w:rFonts w:ascii="Arial" w:cs="Arial" w:eastAsia="Arial" w:hAnsi="Arial"/>
                <w:sz w:val="19"/>
                <w:szCs w:val="19"/>
                <w:color w:val="231F20"/>
              </w:rPr>
              <w:t>2024</w:t>
            </w:r>
          </w:p>
        </w:tc>
        <w:tc>
          <w:tcPr>
            <w:tcW w:w="340" w:type="dxa"/>
            <w:vAlign w:val="bottom"/>
            <w:shd w:val="clear" w:color="auto" w:fill="FDFDFC"/>
          </w:tcPr>
          <w:p>
            <w:pPr>
              <w:spacing w:after="0"/>
              <w:rPr>
                <w:sz w:val="20"/>
                <w:szCs w:val="20"/>
                <w:color w:val="auto"/>
              </w:rPr>
            </w:pPr>
          </w:p>
        </w:tc>
        <w:tc>
          <w:tcPr>
            <w:tcW w:w="11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jc w:val="right"/>
              <w:spacing w:after="0"/>
              <w:rPr>
                <w:sz w:val="20"/>
                <w:szCs w:val="20"/>
                <w:color w:val="auto"/>
              </w:rPr>
            </w:pPr>
            <w:r>
              <w:rPr>
                <w:rFonts w:ascii="Arial" w:cs="Arial" w:eastAsia="Arial" w:hAnsi="Arial"/>
                <w:sz w:val="19"/>
                <w:szCs w:val="19"/>
                <w:color w:val="231F20"/>
                <w:w w:val="75"/>
              </w:rPr>
              <w:t>$</w:t>
            </w:r>
          </w:p>
        </w:tc>
        <w:tc>
          <w:tcPr>
            <w:tcW w:w="20" w:type="dxa"/>
            <w:vAlign w:val="bottom"/>
            <w:shd w:val="clear" w:color="auto" w:fill="FDFDFC"/>
          </w:tcPr>
          <w:p>
            <w:pPr>
              <w:spacing w:after="0"/>
              <w:rPr>
                <w:sz w:val="20"/>
                <w:szCs w:val="20"/>
                <w:color w:val="auto"/>
              </w:rPr>
            </w:pPr>
          </w:p>
        </w:tc>
        <w:tc>
          <w:tcPr>
            <w:tcW w:w="32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spacing w:after="0"/>
              <w:rPr>
                <w:sz w:val="20"/>
                <w:szCs w:val="20"/>
                <w:color w:val="auto"/>
              </w:rPr>
            </w:pPr>
            <w:r>
              <w:rPr>
                <w:rFonts w:ascii="Arial" w:cs="Arial" w:eastAsia="Arial" w:hAnsi="Arial"/>
                <w:sz w:val="19"/>
                <w:szCs w:val="19"/>
                <w:color w:val="231F20"/>
              </w:rPr>
              <w:t>1,643</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72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2025</w:t>
            </w:r>
          </w:p>
        </w:tc>
        <w:tc>
          <w:tcPr>
            <w:tcW w:w="340" w:type="dxa"/>
            <w:vAlign w:val="bottom"/>
            <w:shd w:val="clear" w:color="auto" w:fill="D0EBF2"/>
          </w:tcPr>
          <w:p>
            <w:pPr>
              <w:spacing w:after="0"/>
              <w:rPr>
                <w:sz w:val="18"/>
                <w:szCs w:val="18"/>
                <w:color w:val="auto"/>
              </w:rPr>
            </w:pPr>
          </w:p>
        </w:tc>
        <w:tc>
          <w:tcPr>
            <w:tcW w:w="11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20" w:type="dxa"/>
            <w:vAlign w:val="bottom"/>
            <w:shd w:val="clear" w:color="auto" w:fill="D0EBF2"/>
          </w:tcPr>
          <w:p>
            <w:pPr>
              <w:spacing w:after="0"/>
              <w:rPr>
                <w:sz w:val="18"/>
                <w:szCs w:val="18"/>
                <w:color w:val="auto"/>
              </w:rPr>
            </w:pPr>
          </w:p>
        </w:tc>
        <w:tc>
          <w:tcPr>
            <w:tcW w:w="320" w:type="dxa"/>
            <w:vAlign w:val="bottom"/>
            <w:shd w:val="clear" w:color="auto" w:fill="D0EBF2"/>
          </w:tcPr>
          <w:p>
            <w:pPr>
              <w:spacing w:after="0"/>
              <w:rPr>
                <w:sz w:val="18"/>
                <w:szCs w:val="18"/>
                <w:color w:val="auto"/>
              </w:rPr>
            </w:pPr>
          </w:p>
        </w:tc>
        <w:tc>
          <w:tcPr>
            <w:tcW w:w="1220" w:type="dxa"/>
            <w:vAlign w:val="bottom"/>
            <w:gridSpan w:val="2"/>
            <w:shd w:val="clear" w:color="auto" w:fill="D0EBF2"/>
          </w:tcPr>
          <w:p>
            <w:pPr>
              <w:jc w:val="right"/>
              <w:spacing w:after="0" w:line="217" w:lineRule="exact"/>
              <w:rPr>
                <w:sz w:val="20"/>
                <w:szCs w:val="20"/>
                <w:color w:val="auto"/>
              </w:rPr>
            </w:pPr>
            <w:r>
              <w:rPr>
                <w:rFonts w:ascii="Arial" w:cs="Arial" w:eastAsia="Arial" w:hAnsi="Arial"/>
                <w:sz w:val="19"/>
                <w:szCs w:val="19"/>
                <w:color w:val="231F20"/>
              </w:rPr>
              <w:t>1,202</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2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2026</w:t>
            </w:r>
          </w:p>
        </w:tc>
        <w:tc>
          <w:tcPr>
            <w:tcW w:w="340" w:type="dxa"/>
            <w:vAlign w:val="bottom"/>
            <w:shd w:val="clear" w:color="auto" w:fill="FDFDFC"/>
          </w:tcPr>
          <w:p>
            <w:pPr>
              <w:spacing w:after="0"/>
              <w:rPr>
                <w:sz w:val="18"/>
                <w:szCs w:val="18"/>
                <w:color w:val="auto"/>
              </w:rPr>
            </w:pPr>
          </w:p>
        </w:tc>
        <w:tc>
          <w:tcPr>
            <w:tcW w:w="1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320" w:type="dxa"/>
            <w:vAlign w:val="bottom"/>
            <w:shd w:val="clear" w:color="auto" w:fill="FDFDFC"/>
          </w:tcPr>
          <w:p>
            <w:pPr>
              <w:spacing w:after="0"/>
              <w:rPr>
                <w:sz w:val="18"/>
                <w:szCs w:val="18"/>
                <w:color w:val="auto"/>
              </w:rPr>
            </w:pPr>
          </w:p>
        </w:tc>
        <w:tc>
          <w:tcPr>
            <w:tcW w:w="1220" w:type="dxa"/>
            <w:vAlign w:val="bottom"/>
            <w:gridSpan w:val="2"/>
            <w:shd w:val="clear" w:color="auto" w:fill="FDFDFC"/>
          </w:tcPr>
          <w:p>
            <w:pPr>
              <w:jc w:val="right"/>
              <w:spacing w:after="0" w:line="217" w:lineRule="exact"/>
              <w:rPr>
                <w:sz w:val="20"/>
                <w:szCs w:val="20"/>
                <w:color w:val="auto"/>
              </w:rPr>
            </w:pPr>
            <w:r>
              <w:rPr>
                <w:rFonts w:ascii="Arial" w:cs="Arial" w:eastAsia="Arial" w:hAnsi="Arial"/>
                <w:sz w:val="19"/>
                <w:szCs w:val="19"/>
                <w:color w:val="231F20"/>
              </w:rPr>
              <w:t>676</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2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2027</w:t>
            </w:r>
          </w:p>
        </w:tc>
        <w:tc>
          <w:tcPr>
            <w:tcW w:w="340" w:type="dxa"/>
            <w:vAlign w:val="bottom"/>
            <w:shd w:val="clear" w:color="auto" w:fill="D0EBF2"/>
          </w:tcPr>
          <w:p>
            <w:pPr>
              <w:spacing w:after="0"/>
              <w:rPr>
                <w:sz w:val="18"/>
                <w:szCs w:val="18"/>
                <w:color w:val="auto"/>
              </w:rPr>
            </w:pPr>
          </w:p>
        </w:tc>
        <w:tc>
          <w:tcPr>
            <w:tcW w:w="11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20" w:type="dxa"/>
            <w:vAlign w:val="bottom"/>
            <w:shd w:val="clear" w:color="auto" w:fill="D0EBF2"/>
          </w:tcPr>
          <w:p>
            <w:pPr>
              <w:spacing w:after="0"/>
              <w:rPr>
                <w:sz w:val="18"/>
                <w:szCs w:val="18"/>
                <w:color w:val="auto"/>
              </w:rPr>
            </w:pPr>
          </w:p>
        </w:tc>
        <w:tc>
          <w:tcPr>
            <w:tcW w:w="320" w:type="dxa"/>
            <w:vAlign w:val="bottom"/>
            <w:shd w:val="clear" w:color="auto" w:fill="D0EBF2"/>
          </w:tcPr>
          <w:p>
            <w:pPr>
              <w:spacing w:after="0"/>
              <w:rPr>
                <w:sz w:val="18"/>
                <w:szCs w:val="18"/>
                <w:color w:val="auto"/>
              </w:rPr>
            </w:pPr>
          </w:p>
        </w:tc>
        <w:tc>
          <w:tcPr>
            <w:tcW w:w="1220" w:type="dxa"/>
            <w:vAlign w:val="bottom"/>
            <w:gridSpan w:val="2"/>
            <w:shd w:val="clear" w:color="auto" w:fill="D0EBF2"/>
          </w:tcPr>
          <w:p>
            <w:pPr>
              <w:jc w:val="right"/>
              <w:spacing w:after="0" w:line="217" w:lineRule="exact"/>
              <w:rPr>
                <w:sz w:val="20"/>
                <w:szCs w:val="20"/>
                <w:color w:val="auto"/>
              </w:rPr>
            </w:pPr>
            <w:r>
              <w:rPr>
                <w:rFonts w:ascii="Arial" w:cs="Arial" w:eastAsia="Arial" w:hAnsi="Arial"/>
                <w:sz w:val="19"/>
                <w:szCs w:val="19"/>
                <w:color w:val="231F20"/>
              </w:rPr>
              <w:t>319</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2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2028</w:t>
            </w:r>
          </w:p>
        </w:tc>
        <w:tc>
          <w:tcPr>
            <w:tcW w:w="340" w:type="dxa"/>
            <w:vAlign w:val="bottom"/>
            <w:shd w:val="clear" w:color="auto" w:fill="FDFDFC"/>
          </w:tcPr>
          <w:p>
            <w:pPr>
              <w:spacing w:after="0"/>
              <w:rPr>
                <w:sz w:val="18"/>
                <w:szCs w:val="18"/>
                <w:color w:val="auto"/>
              </w:rPr>
            </w:pPr>
          </w:p>
        </w:tc>
        <w:tc>
          <w:tcPr>
            <w:tcW w:w="1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320" w:type="dxa"/>
            <w:vAlign w:val="bottom"/>
            <w:shd w:val="clear" w:color="auto" w:fill="FDFDFC"/>
          </w:tcPr>
          <w:p>
            <w:pPr>
              <w:spacing w:after="0"/>
              <w:rPr>
                <w:sz w:val="18"/>
                <w:szCs w:val="18"/>
                <w:color w:val="auto"/>
              </w:rPr>
            </w:pPr>
          </w:p>
        </w:tc>
        <w:tc>
          <w:tcPr>
            <w:tcW w:w="1320" w:type="dxa"/>
            <w:vAlign w:val="bottom"/>
            <w:gridSpan w:val="3"/>
            <w:shd w:val="clear" w:color="auto" w:fill="FDFDFC"/>
          </w:tcPr>
          <w:p>
            <w:pPr>
              <w:jc w:val="right"/>
              <w:ind w:right="100"/>
              <w:spacing w:after="0" w:line="217" w:lineRule="exact"/>
              <w:rPr>
                <w:sz w:val="20"/>
                <w:szCs w:val="20"/>
                <w:color w:val="auto"/>
              </w:rPr>
            </w:pPr>
            <w:r>
              <w:rPr>
                <w:rFonts w:ascii="Arial" w:cs="Arial" w:eastAsia="Arial" w:hAnsi="Arial"/>
                <w:sz w:val="19"/>
                <w:szCs w:val="19"/>
                <w:color w:val="231F20"/>
              </w:rPr>
              <w:t>—</w:t>
            </w:r>
          </w:p>
        </w:tc>
        <w:tc>
          <w:tcPr>
            <w:tcW w:w="0" w:type="dxa"/>
            <w:vAlign w:val="bottom"/>
          </w:tcPr>
          <w:p>
            <w:pPr>
              <w:spacing w:after="0"/>
              <w:rPr>
                <w:sz w:val="1"/>
                <w:szCs w:val="1"/>
                <w:color w:val="auto"/>
              </w:rPr>
            </w:pPr>
          </w:p>
        </w:tc>
      </w:tr>
      <w:tr>
        <w:trPr>
          <w:trHeight w:val="217"/>
        </w:trPr>
        <w:tc>
          <w:tcPr>
            <w:tcW w:w="6720" w:type="dxa"/>
            <w:vAlign w:val="bottom"/>
            <w:shd w:val="clear" w:color="auto" w:fill="D0EBF2"/>
          </w:tcPr>
          <w:p>
            <w:pPr>
              <w:spacing w:after="0" w:line="217" w:lineRule="exact"/>
              <w:rPr>
                <w:sz w:val="20"/>
                <w:szCs w:val="20"/>
                <w:color w:val="auto"/>
              </w:rPr>
            </w:pPr>
            <w:r>
              <w:rPr>
                <w:rFonts w:ascii="Arial" w:cs="Arial" w:eastAsia="Arial" w:hAnsi="Arial"/>
                <w:sz w:val="19"/>
                <w:szCs w:val="19"/>
                <w:color w:val="231F20"/>
              </w:rPr>
              <w:t>Thereafter</w:t>
            </w:r>
          </w:p>
        </w:tc>
        <w:tc>
          <w:tcPr>
            <w:tcW w:w="340" w:type="dxa"/>
            <w:vAlign w:val="bottom"/>
            <w:shd w:val="clear" w:color="auto" w:fill="D0EBF2"/>
          </w:tcPr>
          <w:p>
            <w:pPr>
              <w:spacing w:after="0"/>
              <w:rPr>
                <w:sz w:val="18"/>
                <w:szCs w:val="18"/>
                <w:color w:val="auto"/>
              </w:rPr>
            </w:pPr>
          </w:p>
        </w:tc>
        <w:tc>
          <w:tcPr>
            <w:tcW w:w="11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20" w:type="dxa"/>
            <w:vAlign w:val="bottom"/>
            <w:shd w:val="clear" w:color="auto" w:fill="D0EBF2"/>
          </w:tcPr>
          <w:p>
            <w:pPr>
              <w:spacing w:after="0"/>
              <w:rPr>
                <w:sz w:val="18"/>
                <w:szCs w:val="18"/>
                <w:color w:val="auto"/>
              </w:rPr>
            </w:pPr>
          </w:p>
        </w:tc>
        <w:tc>
          <w:tcPr>
            <w:tcW w:w="320" w:type="dxa"/>
            <w:vAlign w:val="bottom"/>
            <w:shd w:val="clear" w:color="auto" w:fill="D0EBF2"/>
          </w:tcPr>
          <w:p>
            <w:pPr>
              <w:spacing w:after="0"/>
              <w:rPr>
                <w:sz w:val="18"/>
                <w:szCs w:val="18"/>
                <w:color w:val="auto"/>
              </w:rPr>
            </w:pPr>
          </w:p>
        </w:tc>
        <w:tc>
          <w:tcPr>
            <w:tcW w:w="1320" w:type="dxa"/>
            <w:vAlign w:val="bottom"/>
            <w:gridSpan w:val="3"/>
            <w:shd w:val="clear" w:color="auto" w:fill="D0EBF2"/>
          </w:tcPr>
          <w:p>
            <w:pPr>
              <w:jc w:val="right"/>
              <w:ind w:right="100"/>
              <w:spacing w:after="0" w:line="217" w:lineRule="exact"/>
              <w:rPr>
                <w:sz w:val="20"/>
                <w:szCs w:val="20"/>
                <w:color w:val="auto"/>
              </w:rPr>
            </w:pPr>
            <w:r>
              <w:rPr>
                <w:rFonts w:ascii="Arial" w:cs="Arial" w:eastAsia="Arial" w:hAnsi="Arial"/>
                <w:sz w:val="19"/>
                <w:szCs w:val="19"/>
                <w:color w:val="231F20"/>
              </w:rPr>
              <w:t>—</w:t>
            </w:r>
          </w:p>
        </w:tc>
        <w:tc>
          <w:tcPr>
            <w:tcW w:w="0" w:type="dxa"/>
            <w:vAlign w:val="bottom"/>
          </w:tcPr>
          <w:p>
            <w:pPr>
              <w:spacing w:after="0"/>
              <w:rPr>
                <w:sz w:val="1"/>
                <w:szCs w:val="1"/>
                <w:color w:val="auto"/>
              </w:rPr>
            </w:pPr>
          </w:p>
        </w:tc>
      </w:tr>
      <w:tr>
        <w:trPr>
          <w:trHeight w:val="207"/>
        </w:trPr>
        <w:tc>
          <w:tcPr>
            <w:tcW w:w="6720" w:type="dxa"/>
            <w:vAlign w:val="bottom"/>
            <w:tcBorders>
              <w:top w:val="single" w:sz="8" w:color="FDFDFC"/>
              <w:bottom w:val="single" w:sz="8" w:color="D0EBF2"/>
            </w:tcBorders>
            <w:shd w:val="clear" w:color="auto" w:fill="FDFDFC"/>
          </w:tcPr>
          <w:p>
            <w:pPr>
              <w:ind w:left="140"/>
              <w:spacing w:after="0" w:line="206" w:lineRule="exact"/>
              <w:rPr>
                <w:sz w:val="20"/>
                <w:szCs w:val="20"/>
                <w:color w:val="auto"/>
              </w:rPr>
            </w:pPr>
            <w:r>
              <w:rPr>
                <w:rFonts w:ascii="Arial" w:cs="Arial" w:eastAsia="Arial" w:hAnsi="Arial"/>
                <w:sz w:val="19"/>
                <w:szCs w:val="19"/>
                <w:color w:val="231F20"/>
              </w:rPr>
              <w:t>Total undiscounted lease payments</w:t>
            </w:r>
          </w:p>
        </w:tc>
        <w:tc>
          <w:tcPr>
            <w:tcW w:w="340" w:type="dxa"/>
            <w:vAlign w:val="bottom"/>
            <w:tcBorders>
              <w:top w:val="single" w:sz="8" w:color="FDFDFC"/>
              <w:bottom w:val="single" w:sz="8" w:color="D0EBF2"/>
            </w:tcBorders>
            <w:shd w:val="clear" w:color="auto" w:fill="FDFDFC"/>
          </w:tcPr>
          <w:p>
            <w:pPr>
              <w:spacing w:after="0"/>
              <w:rPr>
                <w:sz w:val="17"/>
                <w:szCs w:val="17"/>
                <w:color w:val="auto"/>
              </w:rPr>
            </w:pPr>
          </w:p>
        </w:tc>
        <w:tc>
          <w:tcPr>
            <w:tcW w:w="1120" w:type="dxa"/>
            <w:vAlign w:val="bottom"/>
            <w:tcBorders>
              <w:top w:val="single" w:sz="8" w:color="FDFDFC"/>
              <w:bottom w:val="single" w:sz="8" w:color="D0EBF2"/>
            </w:tcBorders>
            <w:shd w:val="clear" w:color="auto" w:fill="FDFDFC"/>
          </w:tcPr>
          <w:p>
            <w:pPr>
              <w:spacing w:after="0"/>
              <w:rPr>
                <w:sz w:val="17"/>
                <w:szCs w:val="17"/>
                <w:color w:val="auto"/>
              </w:rPr>
            </w:pPr>
          </w:p>
        </w:tc>
        <w:tc>
          <w:tcPr>
            <w:tcW w:w="100" w:type="dxa"/>
            <w:vAlign w:val="bottom"/>
            <w:tcBorders>
              <w:top w:val="single" w:sz="8" w:color="FDFDFC"/>
              <w:bottom w:val="single" w:sz="8" w:color="D0EBF2"/>
            </w:tcBorders>
            <w:shd w:val="clear" w:color="auto" w:fill="FDFDFC"/>
          </w:tcPr>
          <w:p>
            <w:pPr>
              <w:spacing w:after="0"/>
              <w:rPr>
                <w:sz w:val="17"/>
                <w:szCs w:val="17"/>
                <w:color w:val="auto"/>
              </w:rPr>
            </w:pPr>
          </w:p>
        </w:tc>
        <w:tc>
          <w:tcPr>
            <w:tcW w:w="100" w:type="dxa"/>
            <w:vAlign w:val="bottom"/>
            <w:tcBorders>
              <w:top w:val="single" w:sz="8" w:color="FDFDFC"/>
              <w:bottom w:val="single" w:sz="8" w:color="D0EBF2"/>
            </w:tcBorders>
            <w:shd w:val="clear" w:color="auto" w:fill="FDFDFC"/>
          </w:tcPr>
          <w:p>
            <w:pPr>
              <w:spacing w:after="0"/>
              <w:rPr>
                <w:sz w:val="17"/>
                <w:szCs w:val="17"/>
                <w:color w:val="auto"/>
              </w:rPr>
            </w:pPr>
          </w:p>
        </w:tc>
        <w:tc>
          <w:tcPr>
            <w:tcW w:w="16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w w:val="75"/>
              </w:rPr>
              <w:t>$</w:t>
            </w:r>
          </w:p>
        </w:tc>
        <w:tc>
          <w:tcPr>
            <w:tcW w:w="20" w:type="dxa"/>
            <w:vAlign w:val="bottom"/>
            <w:tcBorders>
              <w:top w:val="single" w:sz="8" w:color="231F20"/>
              <w:bottom w:val="single" w:sz="8" w:color="231F20"/>
            </w:tcBorders>
            <w:shd w:val="clear" w:color="auto" w:fill="FDFDFC"/>
          </w:tcPr>
          <w:p>
            <w:pPr>
              <w:spacing w:after="0"/>
              <w:rPr>
                <w:sz w:val="17"/>
                <w:szCs w:val="17"/>
                <w:color w:val="auto"/>
              </w:rPr>
            </w:pPr>
          </w:p>
        </w:tc>
        <w:tc>
          <w:tcPr>
            <w:tcW w:w="320" w:type="dxa"/>
            <w:vAlign w:val="bottom"/>
            <w:tcBorders>
              <w:top w:val="single" w:sz="8" w:color="231F20"/>
              <w:bottom w:val="single" w:sz="8" w:color="231F20"/>
            </w:tcBorders>
            <w:shd w:val="clear" w:color="auto" w:fill="FDFDFC"/>
          </w:tcPr>
          <w:p>
            <w:pPr>
              <w:spacing w:after="0"/>
              <w:rPr>
                <w:sz w:val="17"/>
                <w:szCs w:val="17"/>
                <w:color w:val="auto"/>
              </w:rPr>
            </w:pPr>
          </w:p>
        </w:tc>
        <w:tc>
          <w:tcPr>
            <w:tcW w:w="1220" w:type="dxa"/>
            <w:vAlign w:val="bottom"/>
            <w:tcBorders>
              <w:top w:val="single" w:sz="8" w:color="231F20"/>
              <w:bottom w:val="single" w:sz="8" w:color="231F20"/>
            </w:tcBorders>
            <w:gridSpan w:val="2"/>
            <w:shd w:val="clear" w:color="auto" w:fill="FDFDFC"/>
          </w:tcPr>
          <w:p>
            <w:pPr>
              <w:jc w:val="right"/>
              <w:spacing w:after="0" w:line="206" w:lineRule="exact"/>
              <w:rPr>
                <w:sz w:val="20"/>
                <w:szCs w:val="20"/>
                <w:color w:val="auto"/>
              </w:rPr>
            </w:pPr>
            <w:r>
              <w:rPr>
                <w:rFonts w:ascii="Arial" w:cs="Arial" w:eastAsia="Arial" w:hAnsi="Arial"/>
                <w:sz w:val="19"/>
                <w:szCs w:val="19"/>
                <w:color w:val="231F20"/>
              </w:rPr>
              <w:t>3,840</w:t>
            </w:r>
          </w:p>
        </w:tc>
        <w:tc>
          <w:tcPr>
            <w:tcW w:w="100" w:type="dxa"/>
            <w:vAlign w:val="bottom"/>
            <w:tcBorders>
              <w:top w:val="single" w:sz="8" w:color="FDFDFC"/>
              <w:bottom w:val="single" w:sz="8" w:color="D0EBF2"/>
            </w:tcBorders>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20" w:type="dxa"/>
            <w:vAlign w:val="bottom"/>
            <w:tcBorders>
              <w:bottom w:val="single" w:sz="8" w:color="FDFDFC"/>
            </w:tcBorders>
            <w:shd w:val="clear" w:color="auto" w:fill="D0EBF2"/>
          </w:tcPr>
          <w:p>
            <w:pPr>
              <w:ind w:left="140"/>
              <w:spacing w:after="0" w:line="207" w:lineRule="exact"/>
              <w:rPr>
                <w:sz w:val="20"/>
                <w:szCs w:val="20"/>
                <w:color w:val="auto"/>
              </w:rPr>
            </w:pPr>
            <w:r>
              <w:rPr>
                <w:rFonts w:ascii="Arial" w:cs="Arial" w:eastAsia="Arial" w:hAnsi="Arial"/>
                <w:sz w:val="19"/>
                <w:szCs w:val="19"/>
                <w:color w:val="231F20"/>
              </w:rPr>
              <w:t>Less - present value discount</w:t>
            </w:r>
          </w:p>
        </w:tc>
        <w:tc>
          <w:tcPr>
            <w:tcW w:w="340" w:type="dxa"/>
            <w:vAlign w:val="bottom"/>
            <w:tcBorders>
              <w:bottom w:val="single" w:sz="8" w:color="FDFDFC"/>
            </w:tcBorders>
            <w:shd w:val="clear" w:color="auto" w:fill="D0EBF2"/>
          </w:tcPr>
          <w:p>
            <w:pPr>
              <w:spacing w:after="0"/>
              <w:rPr>
                <w:sz w:val="17"/>
                <w:szCs w:val="17"/>
                <w:color w:val="auto"/>
              </w:rPr>
            </w:pPr>
          </w:p>
        </w:tc>
        <w:tc>
          <w:tcPr>
            <w:tcW w:w="1120" w:type="dxa"/>
            <w:vAlign w:val="bottom"/>
            <w:tcBorders>
              <w:bottom w:val="single" w:sz="8" w:color="FDFDFC"/>
            </w:tcBorders>
            <w:shd w:val="clear" w:color="auto" w:fill="D0EBF2"/>
          </w:tcPr>
          <w:p>
            <w:pPr>
              <w:spacing w:after="0"/>
              <w:rPr>
                <w:sz w:val="17"/>
                <w:szCs w:val="17"/>
                <w:color w:val="auto"/>
              </w:rPr>
            </w:pPr>
          </w:p>
        </w:tc>
        <w:tc>
          <w:tcPr>
            <w:tcW w:w="100" w:type="dxa"/>
            <w:vAlign w:val="bottom"/>
            <w:tcBorders>
              <w:bottom w:val="single" w:sz="8" w:color="FDFDFC"/>
            </w:tcBorders>
            <w:shd w:val="clear" w:color="auto" w:fill="D0EBF2"/>
          </w:tcPr>
          <w:p>
            <w:pPr>
              <w:spacing w:after="0"/>
              <w:rPr>
                <w:sz w:val="17"/>
                <w:szCs w:val="17"/>
                <w:color w:val="auto"/>
              </w:rPr>
            </w:pPr>
          </w:p>
        </w:tc>
        <w:tc>
          <w:tcPr>
            <w:tcW w:w="100" w:type="dxa"/>
            <w:vAlign w:val="bottom"/>
            <w:tcBorders>
              <w:bottom w:val="single" w:sz="8" w:color="FDFDFC"/>
            </w:tcBorders>
            <w:shd w:val="clear" w:color="auto" w:fill="D0EBF2"/>
          </w:tcPr>
          <w:p>
            <w:pPr>
              <w:spacing w:after="0"/>
              <w:rPr>
                <w:sz w:val="17"/>
                <w:szCs w:val="17"/>
                <w:color w:val="auto"/>
              </w:rPr>
            </w:pPr>
          </w:p>
        </w:tc>
        <w:tc>
          <w:tcPr>
            <w:tcW w:w="160" w:type="dxa"/>
            <w:vAlign w:val="bottom"/>
            <w:tcBorders>
              <w:bottom w:val="single" w:sz="8" w:color="231F20"/>
            </w:tcBorders>
            <w:shd w:val="clear" w:color="auto" w:fill="D0EBF2"/>
          </w:tcPr>
          <w:p>
            <w:pPr>
              <w:spacing w:after="0"/>
              <w:rPr>
                <w:sz w:val="17"/>
                <w:szCs w:val="17"/>
                <w:color w:val="auto"/>
              </w:rPr>
            </w:pPr>
          </w:p>
        </w:tc>
        <w:tc>
          <w:tcPr>
            <w:tcW w:w="20" w:type="dxa"/>
            <w:vAlign w:val="bottom"/>
            <w:tcBorders>
              <w:bottom w:val="single" w:sz="8" w:color="231F20"/>
            </w:tcBorders>
            <w:shd w:val="clear" w:color="auto" w:fill="D0EBF2"/>
          </w:tcPr>
          <w:p>
            <w:pPr>
              <w:spacing w:after="0"/>
              <w:rPr>
                <w:sz w:val="17"/>
                <w:szCs w:val="17"/>
                <w:color w:val="auto"/>
              </w:rPr>
            </w:pPr>
          </w:p>
        </w:tc>
        <w:tc>
          <w:tcPr>
            <w:tcW w:w="320" w:type="dxa"/>
            <w:vAlign w:val="bottom"/>
            <w:tcBorders>
              <w:bottom w:val="single" w:sz="8" w:color="231F20"/>
            </w:tcBorders>
            <w:shd w:val="clear" w:color="auto" w:fill="D0EBF2"/>
          </w:tcPr>
          <w:p>
            <w:pPr>
              <w:spacing w:after="0"/>
              <w:rPr>
                <w:sz w:val="17"/>
                <w:szCs w:val="17"/>
                <w:color w:val="auto"/>
              </w:rPr>
            </w:pPr>
          </w:p>
        </w:tc>
        <w:tc>
          <w:tcPr>
            <w:tcW w:w="1220" w:type="dxa"/>
            <w:vAlign w:val="bottom"/>
            <w:tcBorders>
              <w:bottom w:val="single" w:sz="8" w:color="231F20"/>
            </w:tcBorders>
            <w:gridSpan w:val="2"/>
            <w:shd w:val="clear" w:color="auto" w:fill="D0EBF2"/>
          </w:tcPr>
          <w:p>
            <w:pPr>
              <w:jc w:val="right"/>
              <w:spacing w:after="0" w:line="207" w:lineRule="exact"/>
              <w:rPr>
                <w:sz w:val="20"/>
                <w:szCs w:val="20"/>
                <w:color w:val="auto"/>
              </w:rPr>
            </w:pPr>
            <w:r>
              <w:rPr>
                <w:rFonts w:ascii="Arial" w:cs="Arial" w:eastAsia="Arial" w:hAnsi="Arial"/>
                <w:sz w:val="19"/>
                <w:szCs w:val="19"/>
                <w:color w:val="231F20"/>
              </w:rPr>
              <w:t>320</w:t>
            </w:r>
          </w:p>
        </w:tc>
        <w:tc>
          <w:tcPr>
            <w:tcW w:w="100" w:type="dxa"/>
            <w:vAlign w:val="bottom"/>
            <w:tcBorders>
              <w:bottom w:val="single" w:sz="8" w:color="FDFDFC"/>
            </w:tcBorders>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20" w:type="dxa"/>
            <w:vAlign w:val="bottom"/>
            <w:shd w:val="clear" w:color="auto" w:fill="FDFDFC"/>
          </w:tcPr>
          <w:p>
            <w:pPr>
              <w:ind w:left="140"/>
              <w:spacing w:after="0" w:line="206" w:lineRule="exact"/>
              <w:rPr>
                <w:sz w:val="20"/>
                <w:szCs w:val="20"/>
                <w:color w:val="auto"/>
              </w:rPr>
            </w:pPr>
            <w:r>
              <w:rPr>
                <w:rFonts w:ascii="Arial" w:cs="Arial" w:eastAsia="Arial" w:hAnsi="Arial"/>
                <w:sz w:val="19"/>
                <w:szCs w:val="19"/>
                <w:color w:val="231F20"/>
              </w:rPr>
              <w:t>Lease liability, at present value</w:t>
            </w:r>
          </w:p>
        </w:tc>
        <w:tc>
          <w:tcPr>
            <w:tcW w:w="340" w:type="dxa"/>
            <w:vAlign w:val="bottom"/>
            <w:shd w:val="clear" w:color="auto" w:fill="FDFDFC"/>
          </w:tcPr>
          <w:p>
            <w:pPr>
              <w:spacing w:after="0"/>
              <w:rPr>
                <w:sz w:val="17"/>
                <w:szCs w:val="17"/>
                <w:color w:val="auto"/>
              </w:rPr>
            </w:pPr>
          </w:p>
        </w:tc>
        <w:tc>
          <w:tcPr>
            <w:tcW w:w="1120" w:type="dxa"/>
            <w:vAlign w:val="bottom"/>
            <w:shd w:val="clear" w:color="auto" w:fill="FDFDFC"/>
          </w:tcPr>
          <w:p>
            <w:pPr>
              <w:spacing w:after="0"/>
              <w:rPr>
                <w:sz w:val="17"/>
                <w:szCs w:val="17"/>
                <w:color w:val="auto"/>
              </w:rPr>
            </w:pPr>
          </w:p>
        </w:tc>
        <w:tc>
          <w:tcPr>
            <w:tcW w:w="100" w:type="dxa"/>
            <w:vAlign w:val="bottom"/>
            <w:shd w:val="clear" w:color="auto" w:fill="FDFDFC"/>
          </w:tcPr>
          <w:p>
            <w:pPr>
              <w:spacing w:after="0"/>
              <w:rPr>
                <w:sz w:val="17"/>
                <w:szCs w:val="17"/>
                <w:color w:val="auto"/>
              </w:rPr>
            </w:pPr>
          </w:p>
        </w:tc>
        <w:tc>
          <w:tcPr>
            <w:tcW w:w="100" w:type="dxa"/>
            <w:vAlign w:val="bottom"/>
            <w:shd w:val="clear" w:color="auto" w:fill="FDFDFC"/>
          </w:tcPr>
          <w:p>
            <w:pPr>
              <w:spacing w:after="0"/>
              <w:rPr>
                <w:sz w:val="17"/>
                <w:szCs w:val="17"/>
                <w:color w:val="auto"/>
              </w:rPr>
            </w:pPr>
          </w:p>
        </w:tc>
        <w:tc>
          <w:tcPr>
            <w:tcW w:w="160" w:type="dxa"/>
            <w:vAlign w:val="bottom"/>
            <w:tcBorders>
              <w:bottom w:val="single" w:sz="8" w:color="231F20"/>
            </w:tcBorders>
            <w:shd w:val="clear" w:color="auto" w:fill="FDFDFC"/>
          </w:tcPr>
          <w:p>
            <w:pPr>
              <w:jc w:val="right"/>
              <w:spacing w:after="0" w:line="206" w:lineRule="exact"/>
              <w:rPr>
                <w:sz w:val="20"/>
                <w:szCs w:val="20"/>
                <w:color w:val="auto"/>
              </w:rPr>
            </w:pPr>
            <w:r>
              <w:rPr>
                <w:rFonts w:ascii="Arial" w:cs="Arial" w:eastAsia="Arial" w:hAnsi="Arial"/>
                <w:sz w:val="19"/>
                <w:szCs w:val="19"/>
                <w:color w:val="231F20"/>
                <w:w w:val="75"/>
              </w:rPr>
              <w:t>$</w:t>
            </w:r>
          </w:p>
        </w:tc>
        <w:tc>
          <w:tcPr>
            <w:tcW w:w="20" w:type="dxa"/>
            <w:vAlign w:val="bottom"/>
            <w:tcBorders>
              <w:bottom w:val="single" w:sz="8" w:color="231F20"/>
            </w:tcBorders>
            <w:shd w:val="clear" w:color="auto" w:fill="FDFDFC"/>
          </w:tcPr>
          <w:p>
            <w:pPr>
              <w:spacing w:after="0"/>
              <w:rPr>
                <w:sz w:val="17"/>
                <w:szCs w:val="17"/>
                <w:color w:val="auto"/>
              </w:rPr>
            </w:pPr>
          </w:p>
        </w:tc>
        <w:tc>
          <w:tcPr>
            <w:tcW w:w="320" w:type="dxa"/>
            <w:vAlign w:val="bottom"/>
            <w:tcBorders>
              <w:bottom w:val="single" w:sz="8" w:color="231F20"/>
            </w:tcBorders>
            <w:shd w:val="clear" w:color="auto" w:fill="FDFDFC"/>
          </w:tcPr>
          <w:p>
            <w:pPr>
              <w:spacing w:after="0"/>
              <w:rPr>
                <w:sz w:val="17"/>
                <w:szCs w:val="17"/>
                <w:color w:val="auto"/>
              </w:rPr>
            </w:pPr>
          </w:p>
        </w:tc>
        <w:tc>
          <w:tcPr>
            <w:tcW w:w="1220" w:type="dxa"/>
            <w:vAlign w:val="bottom"/>
            <w:tcBorders>
              <w:bottom w:val="single" w:sz="8" w:color="231F20"/>
            </w:tcBorders>
            <w:gridSpan w:val="2"/>
            <w:shd w:val="clear" w:color="auto" w:fill="FDFDFC"/>
          </w:tcPr>
          <w:p>
            <w:pPr>
              <w:jc w:val="right"/>
              <w:spacing w:after="0" w:line="206" w:lineRule="exact"/>
              <w:rPr>
                <w:sz w:val="20"/>
                <w:szCs w:val="20"/>
                <w:color w:val="auto"/>
              </w:rPr>
            </w:pPr>
            <w:r>
              <w:rPr>
                <w:rFonts w:ascii="Arial" w:cs="Arial" w:eastAsia="Arial" w:hAnsi="Arial"/>
                <w:sz w:val="19"/>
                <w:szCs w:val="19"/>
                <w:color w:val="231F20"/>
              </w:rPr>
              <w:t>3,520</w:t>
            </w:r>
          </w:p>
        </w:tc>
        <w:tc>
          <w:tcPr>
            <w:tcW w:w="100" w:type="dxa"/>
            <w:vAlign w:val="bottom"/>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20" w:firstLine="463"/>
        <w:spacing w:after="0" w:line="278" w:lineRule="auto"/>
        <w:rPr>
          <w:sz w:val="20"/>
          <w:szCs w:val="20"/>
          <w:color w:val="auto"/>
        </w:rPr>
      </w:pPr>
      <w:r>
        <w:rPr>
          <w:rFonts w:ascii="Arial" w:cs="Arial" w:eastAsia="Arial" w:hAnsi="Arial"/>
          <w:sz w:val="19"/>
          <w:szCs w:val="19"/>
          <w:color w:val="231F20"/>
        </w:rPr>
        <w:t>The components of operating lease expense during the year ended December 31, 2024, 2023 and 2022 are shown on the table below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220" w:type="dxa"/>
            <w:vAlign w:val="bottom"/>
            <w:tcBorders>
              <w:bottom w:val="single" w:sz="8" w:color="D0EBF2"/>
            </w:tcBorders>
            <w:shd w:val="clear" w:color="auto" w:fill="FDFDFC"/>
          </w:tcPr>
          <w:p>
            <w:pPr>
              <w:spacing w:after="0"/>
              <w:rPr>
                <w:sz w:val="20"/>
                <w:szCs w:val="20"/>
                <w:color w:val="auto"/>
              </w:rPr>
            </w:pPr>
            <w:r>
              <w:rPr>
                <w:rFonts w:ascii="Arial" w:cs="Arial" w:eastAsia="Arial" w:hAnsi="Arial"/>
                <w:sz w:val="15"/>
                <w:szCs w:val="15"/>
                <w:b w:val="1"/>
                <w:bCs w:val="1"/>
                <w:color w:val="231F20"/>
              </w:rPr>
              <w:t>(amounts in thousands)</w:t>
            </w:r>
          </w:p>
        </w:tc>
        <w:tc>
          <w:tcPr>
            <w:tcW w:w="1560" w:type="dxa"/>
            <w:vAlign w:val="bottom"/>
            <w:tcBorders>
              <w:bottom w:val="single" w:sz="8" w:color="D0EBF2"/>
            </w:tcBorders>
            <w:shd w:val="clear" w:color="auto" w:fill="FDFDFC"/>
          </w:tcPr>
          <w:p>
            <w:pPr>
              <w:spacing w:after="0"/>
              <w:rPr>
                <w:sz w:val="23"/>
                <w:szCs w:val="23"/>
                <w:color w:val="auto"/>
              </w:rPr>
            </w:pPr>
          </w:p>
        </w:tc>
        <w:tc>
          <w:tcPr>
            <w:tcW w:w="280" w:type="dxa"/>
            <w:vAlign w:val="bottom"/>
            <w:tcBorders>
              <w:bottom w:val="single" w:sz="8" w:color="231F20"/>
            </w:tcBorders>
            <w:shd w:val="clear" w:color="auto" w:fill="FDFDFC"/>
          </w:tcPr>
          <w:p>
            <w:pPr>
              <w:spacing w:after="0"/>
              <w:rPr>
                <w:sz w:val="23"/>
                <w:szCs w:val="23"/>
                <w:color w:val="auto"/>
              </w:rPr>
            </w:pPr>
          </w:p>
        </w:tc>
        <w:tc>
          <w:tcPr>
            <w:tcW w:w="1020" w:type="dxa"/>
            <w:vAlign w:val="bottom"/>
            <w:tcBorders>
              <w:bottom w:val="single" w:sz="8" w:color="231F20"/>
            </w:tcBorders>
            <w:shd w:val="clear" w:color="auto" w:fill="FDFDFC"/>
          </w:tcPr>
          <w:p>
            <w:pPr>
              <w:jc w:val="right"/>
              <w:ind w:right="409"/>
              <w:spacing w:after="0"/>
              <w:rPr>
                <w:sz w:val="20"/>
                <w:szCs w:val="20"/>
                <w:color w:val="auto"/>
              </w:rPr>
            </w:pPr>
            <w:r>
              <w:rPr>
                <w:rFonts w:ascii="Arial" w:cs="Arial" w:eastAsia="Arial" w:hAnsi="Arial"/>
                <w:sz w:val="15"/>
                <w:szCs w:val="15"/>
                <w:b w:val="1"/>
                <w:bCs w:val="1"/>
                <w:color w:val="231F20"/>
              </w:rPr>
              <w:t>2024</w:t>
            </w:r>
          </w:p>
        </w:tc>
        <w:tc>
          <w:tcPr>
            <w:tcW w:w="220" w:type="dxa"/>
            <w:vAlign w:val="bottom"/>
            <w:tcBorders>
              <w:bottom w:val="single" w:sz="8" w:color="D0EBF2"/>
            </w:tcBorders>
            <w:shd w:val="clear" w:color="auto" w:fill="FDFDFC"/>
          </w:tcPr>
          <w:p>
            <w:pPr>
              <w:spacing w:after="0"/>
              <w:rPr>
                <w:sz w:val="23"/>
                <w:szCs w:val="23"/>
                <w:color w:val="auto"/>
              </w:rPr>
            </w:pPr>
          </w:p>
        </w:tc>
        <w:tc>
          <w:tcPr>
            <w:tcW w:w="280" w:type="dxa"/>
            <w:vAlign w:val="bottom"/>
            <w:tcBorders>
              <w:bottom w:val="single" w:sz="8" w:color="231F20"/>
            </w:tcBorders>
            <w:shd w:val="clear" w:color="auto" w:fill="FDFDFC"/>
          </w:tcPr>
          <w:p>
            <w:pPr>
              <w:spacing w:after="0"/>
              <w:rPr>
                <w:sz w:val="23"/>
                <w:szCs w:val="23"/>
                <w:color w:val="auto"/>
              </w:rPr>
            </w:pPr>
          </w:p>
        </w:tc>
        <w:tc>
          <w:tcPr>
            <w:tcW w:w="1000" w:type="dxa"/>
            <w:vAlign w:val="bottom"/>
            <w:tcBorders>
              <w:bottom w:val="single" w:sz="8" w:color="231F20"/>
            </w:tcBorders>
            <w:shd w:val="clear" w:color="auto" w:fill="FDFDFC"/>
          </w:tcPr>
          <w:p>
            <w:pPr>
              <w:jc w:val="right"/>
              <w:ind w:right="389"/>
              <w:spacing w:after="0"/>
              <w:rPr>
                <w:sz w:val="20"/>
                <w:szCs w:val="20"/>
                <w:color w:val="auto"/>
              </w:rPr>
            </w:pPr>
            <w:r>
              <w:rPr>
                <w:rFonts w:ascii="Arial" w:cs="Arial" w:eastAsia="Arial" w:hAnsi="Arial"/>
                <w:sz w:val="15"/>
                <w:szCs w:val="15"/>
                <w:b w:val="1"/>
                <w:bCs w:val="1"/>
                <w:color w:val="231F20"/>
              </w:rPr>
              <w:t>2023</w:t>
            </w:r>
          </w:p>
        </w:tc>
        <w:tc>
          <w:tcPr>
            <w:tcW w:w="240" w:type="dxa"/>
            <w:vAlign w:val="bottom"/>
            <w:tcBorders>
              <w:bottom w:val="single" w:sz="8" w:color="D0EBF2"/>
            </w:tcBorders>
            <w:shd w:val="clear" w:color="auto" w:fill="FDFDFC"/>
          </w:tcPr>
          <w:p>
            <w:pPr>
              <w:spacing w:after="0"/>
              <w:rPr>
                <w:sz w:val="23"/>
                <w:szCs w:val="23"/>
                <w:color w:val="auto"/>
              </w:rPr>
            </w:pPr>
          </w:p>
        </w:tc>
        <w:tc>
          <w:tcPr>
            <w:tcW w:w="280" w:type="dxa"/>
            <w:vAlign w:val="bottom"/>
            <w:tcBorders>
              <w:bottom w:val="single" w:sz="8" w:color="231F20"/>
            </w:tcBorders>
            <w:shd w:val="clear" w:color="auto" w:fill="FDFDFC"/>
          </w:tcPr>
          <w:p>
            <w:pPr>
              <w:spacing w:after="0"/>
              <w:rPr>
                <w:sz w:val="23"/>
                <w:szCs w:val="23"/>
                <w:color w:val="auto"/>
              </w:rPr>
            </w:pPr>
          </w:p>
        </w:tc>
        <w:tc>
          <w:tcPr>
            <w:tcW w:w="1000" w:type="dxa"/>
            <w:vAlign w:val="bottom"/>
            <w:tcBorders>
              <w:bottom w:val="single" w:sz="8" w:color="231F20"/>
            </w:tcBorders>
            <w:shd w:val="clear" w:color="auto" w:fill="FDFDFC"/>
          </w:tcPr>
          <w:p>
            <w:pPr>
              <w:jc w:val="right"/>
              <w:ind w:right="389"/>
              <w:spacing w:after="0"/>
              <w:rPr>
                <w:sz w:val="20"/>
                <w:szCs w:val="20"/>
                <w:color w:val="auto"/>
              </w:rPr>
            </w:pPr>
            <w:r>
              <w:rPr>
                <w:rFonts w:ascii="Arial" w:cs="Arial" w:eastAsia="Arial" w:hAnsi="Arial"/>
                <w:sz w:val="15"/>
                <w:szCs w:val="15"/>
                <w:b w:val="1"/>
                <w:bCs w:val="1"/>
                <w:color w:val="231F20"/>
              </w:rPr>
              <w:t>2022</w:t>
            </w:r>
          </w:p>
        </w:tc>
        <w:tc>
          <w:tcPr>
            <w:tcW w:w="100" w:type="dxa"/>
            <w:vAlign w:val="bottom"/>
            <w:tcBorders>
              <w:bottom w:val="single" w:sz="8" w:color="D0EBF2"/>
            </w:tcBorders>
            <w:shd w:val="clear" w:color="auto" w:fill="FDFDFC"/>
          </w:tcPr>
          <w:p>
            <w:pPr>
              <w:spacing w:after="0"/>
              <w:rPr>
                <w:sz w:val="23"/>
                <w:szCs w:val="23"/>
                <w:color w:val="auto"/>
              </w:rPr>
            </w:pPr>
          </w:p>
        </w:tc>
      </w:tr>
      <w:tr>
        <w:trPr>
          <w:trHeight w:val="220"/>
        </w:trPr>
        <w:tc>
          <w:tcPr>
            <w:tcW w:w="4220" w:type="dxa"/>
            <w:vAlign w:val="bottom"/>
            <w:shd w:val="clear" w:color="auto" w:fill="D0EBF2"/>
          </w:tcPr>
          <w:p>
            <w:pPr>
              <w:spacing w:after="0"/>
              <w:rPr>
                <w:sz w:val="20"/>
                <w:szCs w:val="20"/>
                <w:color w:val="auto"/>
              </w:rPr>
            </w:pPr>
            <w:r>
              <w:rPr>
                <w:rFonts w:ascii="Arial" w:cs="Arial" w:eastAsia="Arial" w:hAnsi="Arial"/>
                <w:sz w:val="19"/>
                <w:szCs w:val="19"/>
                <w:color w:val="231F20"/>
              </w:rPr>
              <w:t>Operating lease expense</w:t>
            </w:r>
          </w:p>
        </w:tc>
        <w:tc>
          <w:tcPr>
            <w:tcW w:w="1560" w:type="dxa"/>
            <w:vAlign w:val="bottom"/>
            <w:shd w:val="clear" w:color="auto" w:fill="D0EBF2"/>
          </w:tcPr>
          <w:p>
            <w:pPr>
              <w:spacing w:after="0"/>
              <w:rPr>
                <w:sz w:val="19"/>
                <w:szCs w:val="19"/>
                <w:color w:val="auto"/>
              </w:rPr>
            </w:pPr>
          </w:p>
        </w:tc>
        <w:tc>
          <w:tcPr>
            <w:tcW w:w="280" w:type="dxa"/>
            <w:vAlign w:val="bottom"/>
            <w:shd w:val="clear" w:color="auto" w:fill="D0EBF2"/>
          </w:tcPr>
          <w:p>
            <w:pPr>
              <w:jc w:val="right"/>
              <w:ind w:right="86"/>
              <w:spacing w:after="0"/>
              <w:rPr>
                <w:sz w:val="20"/>
                <w:szCs w:val="20"/>
                <w:color w:val="auto"/>
              </w:rPr>
            </w:pPr>
            <w:r>
              <w:rPr>
                <w:rFonts w:ascii="Arial" w:cs="Arial" w:eastAsia="Arial" w:hAnsi="Arial"/>
                <w:sz w:val="19"/>
                <w:szCs w:val="19"/>
                <w:color w:val="231F20"/>
                <w:w w:val="75"/>
              </w:rPr>
              <w:t>$</w:t>
            </w:r>
          </w:p>
        </w:tc>
        <w:tc>
          <w:tcPr>
            <w:tcW w:w="102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1,973</w:t>
            </w:r>
          </w:p>
        </w:tc>
        <w:tc>
          <w:tcPr>
            <w:tcW w:w="220" w:type="dxa"/>
            <w:vAlign w:val="bottom"/>
            <w:shd w:val="clear" w:color="auto" w:fill="D0EBF2"/>
          </w:tcPr>
          <w:p>
            <w:pPr>
              <w:spacing w:after="0"/>
              <w:rPr>
                <w:sz w:val="19"/>
                <w:szCs w:val="19"/>
                <w:color w:val="auto"/>
              </w:rPr>
            </w:pPr>
          </w:p>
        </w:tc>
        <w:tc>
          <w:tcPr>
            <w:tcW w:w="280" w:type="dxa"/>
            <w:vAlign w:val="bottom"/>
            <w:shd w:val="clear" w:color="auto" w:fill="D0EBF2"/>
          </w:tcPr>
          <w:p>
            <w:pPr>
              <w:jc w:val="right"/>
              <w:ind w:right="86"/>
              <w:spacing w:after="0"/>
              <w:rPr>
                <w:sz w:val="20"/>
                <w:szCs w:val="20"/>
                <w:color w:val="auto"/>
              </w:rPr>
            </w:pPr>
            <w:r>
              <w:rPr>
                <w:rFonts w:ascii="Arial" w:cs="Arial" w:eastAsia="Arial" w:hAnsi="Arial"/>
                <w:sz w:val="19"/>
                <w:szCs w:val="19"/>
                <w:color w:val="231F20"/>
                <w:w w:val="75"/>
              </w:rPr>
              <w:t>$</w:t>
            </w:r>
          </w:p>
        </w:tc>
        <w:tc>
          <w:tcPr>
            <w:tcW w:w="10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1,691</w:t>
            </w:r>
          </w:p>
        </w:tc>
        <w:tc>
          <w:tcPr>
            <w:tcW w:w="240" w:type="dxa"/>
            <w:vAlign w:val="bottom"/>
            <w:shd w:val="clear" w:color="auto" w:fill="D0EBF2"/>
          </w:tcPr>
          <w:p>
            <w:pPr>
              <w:spacing w:after="0"/>
              <w:rPr>
                <w:sz w:val="19"/>
                <w:szCs w:val="19"/>
                <w:color w:val="auto"/>
              </w:rPr>
            </w:pPr>
          </w:p>
        </w:tc>
        <w:tc>
          <w:tcPr>
            <w:tcW w:w="280" w:type="dxa"/>
            <w:vAlign w:val="bottom"/>
            <w:shd w:val="clear" w:color="auto" w:fill="D0EBF2"/>
          </w:tcPr>
          <w:p>
            <w:pPr>
              <w:jc w:val="right"/>
              <w:ind w:right="86"/>
              <w:spacing w:after="0"/>
              <w:rPr>
                <w:sz w:val="20"/>
                <w:szCs w:val="20"/>
                <w:color w:val="auto"/>
              </w:rPr>
            </w:pPr>
            <w:r>
              <w:rPr>
                <w:rFonts w:ascii="Arial" w:cs="Arial" w:eastAsia="Arial" w:hAnsi="Arial"/>
                <w:sz w:val="19"/>
                <w:szCs w:val="19"/>
                <w:color w:val="231F20"/>
                <w:w w:val="75"/>
              </w:rPr>
              <w:t>$</w:t>
            </w:r>
          </w:p>
        </w:tc>
        <w:tc>
          <w:tcPr>
            <w:tcW w:w="1000" w:type="dxa"/>
            <w:vAlign w:val="bottom"/>
            <w:shd w:val="clear" w:color="auto" w:fill="D0EBF2"/>
          </w:tcPr>
          <w:p>
            <w:pPr>
              <w:jc w:val="right"/>
              <w:spacing w:after="0"/>
              <w:rPr>
                <w:sz w:val="20"/>
                <w:szCs w:val="20"/>
                <w:color w:val="auto"/>
              </w:rPr>
            </w:pPr>
            <w:r>
              <w:rPr>
                <w:rFonts w:ascii="Arial" w:cs="Arial" w:eastAsia="Arial" w:hAnsi="Arial"/>
                <w:sz w:val="19"/>
                <w:szCs w:val="19"/>
                <w:color w:val="231F20"/>
              </w:rPr>
              <w:t>1,615</w:t>
            </w:r>
          </w:p>
        </w:tc>
        <w:tc>
          <w:tcPr>
            <w:tcW w:w="100" w:type="dxa"/>
            <w:vAlign w:val="bottom"/>
            <w:shd w:val="clear" w:color="auto" w:fill="D0EBF2"/>
          </w:tcPr>
          <w:p>
            <w:pPr>
              <w:spacing w:after="0"/>
              <w:rPr>
                <w:sz w:val="19"/>
                <w:szCs w:val="19"/>
                <w:color w:val="auto"/>
              </w:rPr>
            </w:pPr>
          </w:p>
        </w:tc>
      </w:tr>
      <w:tr>
        <w:trPr>
          <w:trHeight w:val="230"/>
        </w:trPr>
        <w:tc>
          <w:tcPr>
            <w:tcW w:w="4220" w:type="dxa"/>
            <w:vAlign w:val="bottom"/>
            <w:shd w:val="clear" w:color="auto" w:fill="FDFDFC"/>
          </w:tcPr>
          <w:p>
            <w:pPr>
              <w:spacing w:after="0"/>
              <w:rPr>
                <w:sz w:val="20"/>
                <w:szCs w:val="20"/>
                <w:color w:val="auto"/>
              </w:rPr>
            </w:pPr>
            <w:r>
              <w:rPr>
                <w:rFonts w:ascii="Arial" w:cs="Arial" w:eastAsia="Arial" w:hAnsi="Arial"/>
                <w:sz w:val="19"/>
                <w:szCs w:val="19"/>
                <w:color w:val="231F20"/>
              </w:rPr>
              <w:t>Short-term lease expense</w:t>
            </w:r>
          </w:p>
        </w:tc>
        <w:tc>
          <w:tcPr>
            <w:tcW w:w="156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2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118</w:t>
            </w:r>
          </w:p>
        </w:tc>
        <w:tc>
          <w:tcPr>
            <w:tcW w:w="22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159</w:t>
            </w:r>
          </w:p>
        </w:tc>
        <w:tc>
          <w:tcPr>
            <w:tcW w:w="24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00" w:type="dxa"/>
            <w:vAlign w:val="bottom"/>
            <w:shd w:val="clear" w:color="auto" w:fill="FDFDFC"/>
          </w:tcPr>
          <w:p>
            <w:pPr>
              <w:jc w:val="right"/>
              <w:spacing w:after="0"/>
              <w:rPr>
                <w:sz w:val="20"/>
                <w:szCs w:val="20"/>
                <w:color w:val="auto"/>
              </w:rPr>
            </w:pPr>
            <w:r>
              <w:rPr>
                <w:rFonts w:ascii="Arial" w:cs="Arial" w:eastAsia="Arial" w:hAnsi="Arial"/>
                <w:sz w:val="19"/>
                <w:szCs w:val="19"/>
                <w:color w:val="231F20"/>
              </w:rPr>
              <w:t>473</w:t>
            </w:r>
          </w:p>
        </w:tc>
        <w:tc>
          <w:tcPr>
            <w:tcW w:w="100" w:type="dxa"/>
            <w:vAlign w:val="bottom"/>
            <w:shd w:val="clear" w:color="auto" w:fill="FDFDFC"/>
          </w:tcPr>
          <w:p>
            <w:pPr>
              <w:spacing w:after="0"/>
              <w:rPr>
                <w:sz w:val="20"/>
                <w:szCs w:val="20"/>
                <w:color w:val="auto"/>
              </w:rPr>
            </w:pPr>
          </w:p>
        </w:tc>
      </w:tr>
      <w:tr>
        <w:trPr>
          <w:trHeight w:val="230"/>
        </w:trPr>
        <w:tc>
          <w:tcPr>
            <w:tcW w:w="4220" w:type="dxa"/>
            <w:vAlign w:val="bottom"/>
            <w:tcBorders>
              <w:bottom w:val="single" w:sz="8" w:color="FDFDFC"/>
            </w:tcBorders>
            <w:shd w:val="clear" w:color="auto" w:fill="D0EBF2"/>
          </w:tcPr>
          <w:p>
            <w:pPr>
              <w:spacing w:after="0"/>
              <w:rPr>
                <w:sz w:val="20"/>
                <w:szCs w:val="20"/>
                <w:color w:val="auto"/>
              </w:rPr>
            </w:pPr>
            <w:r>
              <w:rPr>
                <w:rFonts w:ascii="Arial" w:cs="Arial" w:eastAsia="Arial" w:hAnsi="Arial"/>
                <w:sz w:val="19"/>
                <w:szCs w:val="19"/>
                <w:color w:val="231F20"/>
              </w:rPr>
              <w:t>Variable lease expense</w:t>
            </w:r>
          </w:p>
        </w:tc>
        <w:tc>
          <w:tcPr>
            <w:tcW w:w="1560" w:type="dxa"/>
            <w:vAlign w:val="bottom"/>
            <w:tcBorders>
              <w:bottom w:val="single" w:sz="8" w:color="FDFDFC"/>
            </w:tcBorders>
            <w:shd w:val="clear" w:color="auto" w:fill="D0EBF2"/>
          </w:tcPr>
          <w:p>
            <w:pPr>
              <w:spacing w:after="0"/>
              <w:rPr>
                <w:sz w:val="20"/>
                <w:szCs w:val="20"/>
                <w:color w:val="auto"/>
              </w:rPr>
            </w:pPr>
          </w:p>
        </w:tc>
        <w:tc>
          <w:tcPr>
            <w:tcW w:w="280" w:type="dxa"/>
            <w:vAlign w:val="bottom"/>
            <w:tcBorders>
              <w:bottom w:val="single" w:sz="8" w:color="231F20"/>
            </w:tcBorders>
            <w:shd w:val="clear" w:color="auto" w:fill="D0EBF2"/>
          </w:tcPr>
          <w:p>
            <w:pPr>
              <w:spacing w:after="0"/>
              <w:rPr>
                <w:sz w:val="20"/>
                <w:szCs w:val="20"/>
                <w:color w:val="auto"/>
              </w:rPr>
            </w:pPr>
          </w:p>
        </w:tc>
        <w:tc>
          <w:tcPr>
            <w:tcW w:w="102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279</w:t>
            </w:r>
          </w:p>
        </w:tc>
        <w:tc>
          <w:tcPr>
            <w:tcW w:w="220" w:type="dxa"/>
            <w:vAlign w:val="bottom"/>
            <w:tcBorders>
              <w:bottom w:val="single" w:sz="8" w:color="FDFDFC"/>
            </w:tcBorders>
            <w:shd w:val="clear" w:color="auto" w:fill="D0EBF2"/>
          </w:tcPr>
          <w:p>
            <w:pPr>
              <w:spacing w:after="0"/>
              <w:rPr>
                <w:sz w:val="20"/>
                <w:szCs w:val="20"/>
                <w:color w:val="auto"/>
              </w:rPr>
            </w:pPr>
          </w:p>
        </w:tc>
        <w:tc>
          <w:tcPr>
            <w:tcW w:w="280" w:type="dxa"/>
            <w:vAlign w:val="bottom"/>
            <w:tcBorders>
              <w:bottom w:val="single" w:sz="8" w:color="231F20"/>
            </w:tcBorders>
            <w:shd w:val="clear" w:color="auto" w:fill="D0EBF2"/>
          </w:tcPr>
          <w:p>
            <w:pPr>
              <w:spacing w:after="0"/>
              <w:rPr>
                <w:sz w:val="20"/>
                <w:szCs w:val="20"/>
                <w:color w:val="auto"/>
              </w:rPr>
            </w:pPr>
          </w:p>
        </w:tc>
        <w:tc>
          <w:tcPr>
            <w:tcW w:w="100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237</w:t>
            </w:r>
          </w:p>
        </w:tc>
        <w:tc>
          <w:tcPr>
            <w:tcW w:w="240" w:type="dxa"/>
            <w:vAlign w:val="bottom"/>
            <w:tcBorders>
              <w:bottom w:val="single" w:sz="8" w:color="FDFDFC"/>
            </w:tcBorders>
            <w:shd w:val="clear" w:color="auto" w:fill="D0EBF2"/>
          </w:tcPr>
          <w:p>
            <w:pPr>
              <w:spacing w:after="0"/>
              <w:rPr>
                <w:sz w:val="20"/>
                <w:szCs w:val="20"/>
                <w:color w:val="auto"/>
              </w:rPr>
            </w:pPr>
          </w:p>
        </w:tc>
        <w:tc>
          <w:tcPr>
            <w:tcW w:w="280" w:type="dxa"/>
            <w:vAlign w:val="bottom"/>
            <w:tcBorders>
              <w:bottom w:val="single" w:sz="8" w:color="231F20"/>
            </w:tcBorders>
            <w:shd w:val="clear" w:color="auto" w:fill="D0EBF2"/>
          </w:tcPr>
          <w:p>
            <w:pPr>
              <w:spacing w:after="0"/>
              <w:rPr>
                <w:sz w:val="20"/>
                <w:szCs w:val="20"/>
                <w:color w:val="auto"/>
              </w:rPr>
            </w:pPr>
          </w:p>
        </w:tc>
        <w:tc>
          <w:tcPr>
            <w:tcW w:w="1000" w:type="dxa"/>
            <w:vAlign w:val="bottom"/>
            <w:tcBorders>
              <w:bottom w:val="single" w:sz="8" w:color="231F20"/>
            </w:tcBorders>
            <w:shd w:val="clear" w:color="auto" w:fill="D0EBF2"/>
          </w:tcPr>
          <w:p>
            <w:pPr>
              <w:jc w:val="right"/>
              <w:spacing w:after="0"/>
              <w:rPr>
                <w:sz w:val="20"/>
                <w:szCs w:val="20"/>
                <w:color w:val="auto"/>
              </w:rPr>
            </w:pPr>
            <w:r>
              <w:rPr>
                <w:rFonts w:ascii="Arial" w:cs="Arial" w:eastAsia="Arial" w:hAnsi="Arial"/>
                <w:sz w:val="19"/>
                <w:szCs w:val="19"/>
                <w:color w:val="231F20"/>
              </w:rPr>
              <w:t>218</w:t>
            </w:r>
          </w:p>
        </w:tc>
        <w:tc>
          <w:tcPr>
            <w:tcW w:w="100" w:type="dxa"/>
            <w:vAlign w:val="bottom"/>
            <w:tcBorders>
              <w:bottom w:val="single" w:sz="8" w:color="FDFDFC"/>
            </w:tcBorders>
            <w:shd w:val="clear" w:color="auto" w:fill="D0EBF2"/>
          </w:tcPr>
          <w:p>
            <w:pPr>
              <w:spacing w:after="0"/>
              <w:rPr>
                <w:sz w:val="20"/>
                <w:szCs w:val="20"/>
                <w:color w:val="auto"/>
              </w:rPr>
            </w:pPr>
          </w:p>
        </w:tc>
      </w:tr>
      <w:tr>
        <w:trPr>
          <w:trHeight w:val="240"/>
        </w:trPr>
        <w:tc>
          <w:tcPr>
            <w:tcW w:w="4220" w:type="dxa"/>
            <w:vAlign w:val="bottom"/>
            <w:tcBorders>
              <w:bottom w:val="single" w:sz="8" w:color="FDFDFC"/>
            </w:tcBorders>
            <w:shd w:val="clear" w:color="auto" w:fill="FDFDFC"/>
          </w:tcPr>
          <w:p>
            <w:pPr>
              <w:ind w:left="140"/>
              <w:spacing w:after="0"/>
              <w:rPr>
                <w:sz w:val="20"/>
                <w:szCs w:val="20"/>
                <w:color w:val="auto"/>
              </w:rPr>
            </w:pPr>
            <w:r>
              <w:rPr>
                <w:rFonts w:ascii="Arial" w:cs="Arial" w:eastAsia="Arial" w:hAnsi="Arial"/>
                <w:sz w:val="19"/>
                <w:szCs w:val="19"/>
                <w:color w:val="231F20"/>
              </w:rPr>
              <w:t>Total operating lease expense</w:t>
            </w:r>
          </w:p>
        </w:tc>
        <w:tc>
          <w:tcPr>
            <w:tcW w:w="1560" w:type="dxa"/>
            <w:vAlign w:val="bottom"/>
            <w:tcBorders>
              <w:bottom w:val="single" w:sz="8" w:color="FDFDFC"/>
            </w:tcBorders>
            <w:shd w:val="clear" w:color="auto" w:fill="FDFDFC"/>
          </w:tcPr>
          <w:p>
            <w:pPr>
              <w:spacing w:after="0"/>
              <w:rPr>
                <w:sz w:val="20"/>
                <w:szCs w:val="20"/>
                <w:color w:val="auto"/>
              </w:rPr>
            </w:pPr>
          </w:p>
        </w:tc>
        <w:tc>
          <w:tcPr>
            <w:tcW w:w="280" w:type="dxa"/>
            <w:vAlign w:val="bottom"/>
            <w:tcBorders>
              <w:bottom w:val="single" w:sz="8" w:color="231F20"/>
            </w:tcBorders>
            <w:shd w:val="clear" w:color="auto" w:fill="FDFDFC"/>
          </w:tcPr>
          <w:p>
            <w:pPr>
              <w:jc w:val="right"/>
              <w:ind w:right="86"/>
              <w:spacing w:after="0"/>
              <w:rPr>
                <w:sz w:val="20"/>
                <w:szCs w:val="20"/>
                <w:color w:val="auto"/>
              </w:rPr>
            </w:pPr>
            <w:r>
              <w:rPr>
                <w:rFonts w:ascii="Arial" w:cs="Arial" w:eastAsia="Arial" w:hAnsi="Arial"/>
                <w:sz w:val="19"/>
                <w:szCs w:val="19"/>
                <w:color w:val="231F20"/>
                <w:w w:val="75"/>
              </w:rPr>
              <w:t>$</w:t>
            </w:r>
          </w:p>
        </w:tc>
        <w:tc>
          <w:tcPr>
            <w:tcW w:w="102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2,370</w:t>
            </w:r>
          </w:p>
        </w:tc>
        <w:tc>
          <w:tcPr>
            <w:tcW w:w="220" w:type="dxa"/>
            <w:vAlign w:val="bottom"/>
            <w:tcBorders>
              <w:bottom w:val="single" w:sz="8" w:color="FDFDFC"/>
            </w:tcBorders>
            <w:shd w:val="clear" w:color="auto" w:fill="FDFDFC"/>
          </w:tcPr>
          <w:p>
            <w:pPr>
              <w:spacing w:after="0"/>
              <w:rPr>
                <w:sz w:val="20"/>
                <w:szCs w:val="20"/>
                <w:color w:val="auto"/>
              </w:rPr>
            </w:pPr>
          </w:p>
        </w:tc>
        <w:tc>
          <w:tcPr>
            <w:tcW w:w="280" w:type="dxa"/>
            <w:vAlign w:val="bottom"/>
            <w:tcBorders>
              <w:bottom w:val="single" w:sz="8" w:color="231F20"/>
            </w:tcBorders>
            <w:shd w:val="clear" w:color="auto" w:fill="FDFDFC"/>
          </w:tcPr>
          <w:p>
            <w:pPr>
              <w:jc w:val="right"/>
              <w:ind w:right="86"/>
              <w:spacing w:after="0"/>
              <w:rPr>
                <w:sz w:val="20"/>
                <w:szCs w:val="20"/>
                <w:color w:val="auto"/>
              </w:rPr>
            </w:pPr>
            <w:r>
              <w:rPr>
                <w:rFonts w:ascii="Arial" w:cs="Arial" w:eastAsia="Arial" w:hAnsi="Arial"/>
                <w:sz w:val="19"/>
                <w:szCs w:val="19"/>
                <w:color w:val="231F20"/>
                <w:w w:val="75"/>
              </w:rPr>
              <w:t>$</w:t>
            </w:r>
          </w:p>
        </w:tc>
        <w:tc>
          <w:tcPr>
            <w:tcW w:w="10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2,087</w:t>
            </w:r>
          </w:p>
        </w:tc>
        <w:tc>
          <w:tcPr>
            <w:tcW w:w="240" w:type="dxa"/>
            <w:vAlign w:val="bottom"/>
            <w:tcBorders>
              <w:bottom w:val="single" w:sz="8" w:color="FDFDFC"/>
            </w:tcBorders>
            <w:shd w:val="clear" w:color="auto" w:fill="FDFDFC"/>
          </w:tcPr>
          <w:p>
            <w:pPr>
              <w:spacing w:after="0"/>
              <w:rPr>
                <w:sz w:val="20"/>
                <w:szCs w:val="20"/>
                <w:color w:val="auto"/>
              </w:rPr>
            </w:pPr>
          </w:p>
        </w:tc>
        <w:tc>
          <w:tcPr>
            <w:tcW w:w="280" w:type="dxa"/>
            <w:vAlign w:val="bottom"/>
            <w:tcBorders>
              <w:bottom w:val="single" w:sz="8" w:color="231F20"/>
            </w:tcBorders>
            <w:shd w:val="clear" w:color="auto" w:fill="FDFDFC"/>
          </w:tcPr>
          <w:p>
            <w:pPr>
              <w:jc w:val="right"/>
              <w:ind w:right="86"/>
              <w:spacing w:after="0"/>
              <w:rPr>
                <w:sz w:val="20"/>
                <w:szCs w:val="20"/>
                <w:color w:val="auto"/>
              </w:rPr>
            </w:pPr>
            <w:r>
              <w:rPr>
                <w:rFonts w:ascii="Arial" w:cs="Arial" w:eastAsia="Arial" w:hAnsi="Arial"/>
                <w:sz w:val="19"/>
                <w:szCs w:val="19"/>
                <w:color w:val="231F20"/>
                <w:w w:val="75"/>
              </w:rPr>
              <w:t>$</w:t>
            </w:r>
          </w:p>
        </w:tc>
        <w:tc>
          <w:tcPr>
            <w:tcW w:w="1000" w:type="dxa"/>
            <w:vAlign w:val="bottom"/>
            <w:tcBorders>
              <w:bottom w:val="single" w:sz="8" w:color="231F20"/>
            </w:tcBorders>
            <w:shd w:val="clear" w:color="auto" w:fill="FDFDFC"/>
          </w:tcPr>
          <w:p>
            <w:pPr>
              <w:jc w:val="right"/>
              <w:spacing w:after="0"/>
              <w:rPr>
                <w:sz w:val="20"/>
                <w:szCs w:val="20"/>
                <w:color w:val="auto"/>
              </w:rPr>
            </w:pPr>
            <w:r>
              <w:rPr>
                <w:rFonts w:ascii="Arial" w:cs="Arial" w:eastAsia="Arial" w:hAnsi="Arial"/>
                <w:sz w:val="19"/>
                <w:szCs w:val="19"/>
                <w:color w:val="231F20"/>
              </w:rPr>
              <w:t>2,306</w:t>
            </w:r>
          </w:p>
        </w:tc>
        <w:tc>
          <w:tcPr>
            <w:tcW w:w="100" w:type="dxa"/>
            <w:vAlign w:val="bottom"/>
            <w:tcBorders>
              <w:bottom w:val="single" w:sz="8" w:color="FDFDFC"/>
            </w:tcBorders>
            <w:shd w:val="clear" w:color="auto" w:fill="FDFDFC"/>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Note 17. Commitments and Contingencies</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148</w:t>
      </w:r>
    </w:p>
    <w:p>
      <w:pPr>
        <w:sectPr>
          <w:pgSz w:w="12240" w:h="15840" w:orient="portrait"/>
          <w:cols w:equalWidth="0" w:num="1">
            <w:col w:w="10200"/>
          </w:cols>
          <w:pgMar w:left="1020" w:top="1440" w:right="1020" w:bottom="572" w:gutter="0" w:footer="0" w:header="0"/>
          <w:type w:val="continuous"/>
        </w:sectPr>
      </w:pPr>
    </w:p>
    <w:bookmarkStart w:id="149" w:name="page150"/>
    <w:bookmarkEnd w:id="149"/>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Legal proceedings</w:t>
      </w:r>
    </w:p>
    <w:p>
      <w:pPr>
        <w:spacing w:after="0" w:line="184" w:lineRule="exact"/>
        <w:rPr>
          <w:sz w:val="20"/>
          <w:szCs w:val="20"/>
          <w:color w:val="auto"/>
        </w:rPr>
      </w:pPr>
    </w:p>
    <w:p>
      <w:pPr>
        <w:ind w:right="160" w:firstLine="463"/>
        <w:spacing w:after="0" w:line="245" w:lineRule="auto"/>
        <w:rPr>
          <w:sz w:val="20"/>
          <w:szCs w:val="20"/>
          <w:color w:val="auto"/>
        </w:rPr>
      </w:pPr>
      <w:r>
        <w:rPr>
          <w:rFonts w:ascii="Arial" w:cs="Arial" w:eastAsia="Arial" w:hAnsi="Arial"/>
          <w:sz w:val="19"/>
          <w:szCs w:val="19"/>
          <w:color w:val="231F20"/>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148" w:lineRule="exact"/>
        <w:rPr>
          <w:sz w:val="20"/>
          <w:szCs w:val="20"/>
          <w:color w:val="auto"/>
        </w:rPr>
      </w:pPr>
    </w:p>
    <w:p>
      <w:pPr>
        <w:jc w:val="both"/>
        <w:ind w:right="640" w:firstLine="463"/>
        <w:spacing w:after="0" w:line="258" w:lineRule="auto"/>
        <w:rPr>
          <w:sz w:val="20"/>
          <w:szCs w:val="20"/>
          <w:color w:val="auto"/>
        </w:rPr>
      </w:pPr>
      <w:r>
        <w:rPr>
          <w:rFonts w:ascii="Arial" w:cs="Arial" w:eastAsia="Arial" w:hAnsi="Arial"/>
          <w:sz w:val="19"/>
          <w:szCs w:val="19"/>
          <w:color w:val="231F20"/>
        </w:rPr>
        <w:t>As of December 31, 2024, the Company was not a party to any litigation the outcome of which, the Company believes, if determined adversely to it, would individually or in the aggregate, have a material adverse effect on its financial position, results of operations, or cash flows.</w:t>
      </w:r>
    </w:p>
    <w:p>
      <w:pPr>
        <w:spacing w:after="0" w:line="136" w:lineRule="exact"/>
        <w:rPr>
          <w:sz w:val="20"/>
          <w:szCs w:val="20"/>
          <w:color w:val="auto"/>
        </w:rPr>
      </w:pPr>
    </w:p>
    <w:p>
      <w:pPr>
        <w:ind w:firstLine="463"/>
        <w:spacing w:after="0" w:line="243" w:lineRule="auto"/>
        <w:rPr>
          <w:sz w:val="20"/>
          <w:szCs w:val="20"/>
          <w:color w:val="auto"/>
        </w:rPr>
      </w:pPr>
      <w:r>
        <w:rPr>
          <w:rFonts w:ascii="Arial" w:cs="Arial" w:eastAsia="Arial" w:hAnsi="Arial"/>
          <w:sz w:val="19"/>
          <w:szCs w:val="19"/>
          <w:color w:val="231F20"/>
        </w:rPr>
        <w:t>In the course of enhancing its sanctions compliance function, the Company initiated an internal review that identified issues related to the Company’s compliance with sanctions promulgated by OFAC, including payments that may have originated from sanctioned jurisdictions or sanctioned persons. Although Flywire continues to evaluate whether these or other transactions constitute potential violations of sanctions (including whether certain of these payments may have been authorized by general licenses or license exemptions under the relevant sanctions regulations), Flywire has made voluntary submissions to OFAC to report the apparent violations and provide supplemental information. Flywire is currently engaging with OFAC to resolve these matters. Based upon the results of the internal investigation completed to date, the Company does not believe that the amount of any loss incurred as a result of this matter would be material to its business, financial condition,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Indemnification</w:t>
      </w:r>
    </w:p>
    <w:p>
      <w:pPr>
        <w:spacing w:after="0" w:line="184" w:lineRule="exact"/>
        <w:rPr>
          <w:sz w:val="20"/>
          <w:szCs w:val="20"/>
          <w:color w:val="auto"/>
        </w:rPr>
      </w:pPr>
    </w:p>
    <w:p>
      <w:pPr>
        <w:ind w:right="20" w:firstLine="463"/>
        <w:spacing w:after="0" w:line="243" w:lineRule="auto"/>
        <w:rPr>
          <w:sz w:val="20"/>
          <w:szCs w:val="20"/>
          <w:color w:val="auto"/>
        </w:rPr>
      </w:pPr>
      <w:r>
        <w:rPr>
          <w:rFonts w:ascii="Arial" w:cs="Arial" w:eastAsia="Arial" w:hAnsi="Arial"/>
          <w:sz w:val="19"/>
          <w:szCs w:val="19"/>
          <w:color w:val="231F20"/>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consolidated financial statements as of December 31, 2024 and 2023.</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Note 18. Employee Benefit Plan</w:t>
      </w:r>
    </w:p>
    <w:p>
      <w:pPr>
        <w:spacing w:after="0" w:line="192" w:lineRule="exact"/>
        <w:rPr>
          <w:sz w:val="20"/>
          <w:szCs w:val="20"/>
          <w:color w:val="auto"/>
        </w:rPr>
      </w:pPr>
    </w:p>
    <w:p>
      <w:pPr>
        <w:ind w:firstLine="463"/>
        <w:spacing w:after="0" w:line="248" w:lineRule="auto"/>
        <w:rPr>
          <w:sz w:val="20"/>
          <w:szCs w:val="20"/>
          <w:color w:val="auto"/>
        </w:rPr>
      </w:pPr>
      <w:r>
        <w:rPr>
          <w:rFonts w:ascii="Arial" w:cs="Arial" w:eastAsia="Arial" w:hAnsi="Arial"/>
          <w:sz w:val="19"/>
          <w:szCs w:val="19"/>
          <w:color w:val="231F20"/>
        </w:rPr>
        <w:t>The Company has established a defined contribution savings plan under Section 401(k) of the Internal Revenue Code. This plan covers all employees who meet minimum age and service requirements and allows participants to defer a portion of their annual compensation on a pre-tax basis. Matching contributions to the plan may be made at the discretion of the Company’s board of directors. The Company made contributions of $1.5 million, $1.4 million and $1.2 million to the plan during the years ended December 31, 2024, 2023 and 2022,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Note 19. Subsequent Event</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9"/>
          <w:szCs w:val="19"/>
          <w:b w:val="1"/>
          <w:bCs w:val="1"/>
          <w:i w:val="1"/>
          <w:iCs w:val="1"/>
          <w:color w:val="231F20"/>
        </w:rPr>
        <w:t>Sertifi Acquisition</w:t>
      </w:r>
    </w:p>
    <w:p>
      <w:pPr>
        <w:spacing w:after="0" w:line="184" w:lineRule="exact"/>
        <w:rPr>
          <w:sz w:val="20"/>
          <w:szCs w:val="20"/>
          <w:color w:val="auto"/>
        </w:rPr>
      </w:pPr>
    </w:p>
    <w:p>
      <w:pPr>
        <w:ind w:right="60" w:firstLine="463"/>
        <w:spacing w:after="0" w:line="255" w:lineRule="auto"/>
        <w:rPr>
          <w:sz w:val="20"/>
          <w:szCs w:val="20"/>
          <w:color w:val="auto"/>
        </w:rPr>
      </w:pPr>
      <w:r>
        <w:rPr>
          <w:rFonts w:ascii="Arial" w:cs="Arial" w:eastAsia="Arial" w:hAnsi="Arial"/>
          <w:sz w:val="18"/>
          <w:szCs w:val="18"/>
          <w:color w:val="231F20"/>
        </w:rPr>
        <w:t>On February 24, 2025 (the Closing), Flywire Corporation (Flywire or the Company) entered into a Purchase and Sale Agreement (the Agreement) to acquire the business of Sertifi LLC (Sertifi), pursuant to which Flywire acquired Sertifi for upfront cash consideration of $330 million, subject to certain post-closing adjustments set forth in the Agreement, and contingent consideration of up to $10 million upon the completion or satisfaction of certain technical and commercial milestones by Sertifi. Sertifi is a vertical software and payments platform digitizing hospitality-specific workflows and associated payments. Pursuant to the Agreement, Flywire also agreed to issue a number of restricted stock units with an aggregate value equal to $10 million to certain of the continuing employees of Sertifi on the terms and conditions set forth in the Agreement. The Company paid the upfront cash consideration through a combination of cash on hand and</w:t>
      </w:r>
    </w:p>
    <w:p>
      <w:pPr>
        <w:spacing w:after="0" w:line="2"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231F20"/>
        </w:rPr>
        <w:t>$125 million borrowed from its existing 2024 Revolving Credit Facility. The Agreement contains various representations, warranties, covenants, and indemnification obligations of the parties that are customary in transactions of this type. In</w:t>
      </w:r>
    </w:p>
    <w:p>
      <w:pPr>
        <w:sectPr>
          <w:pgSz w:w="12240" w:h="15840" w:orient="portrait"/>
          <w:cols w:equalWidth="0" w:num="1">
            <w:col w:w="10180"/>
          </w:cols>
          <w:pgMar w:left="1020" w:top="1440" w:right="1040" w:bottom="572"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149</w:t>
      </w:r>
    </w:p>
    <w:p>
      <w:pPr>
        <w:sectPr>
          <w:pgSz w:w="12240" w:h="15840" w:orient="portrait"/>
          <w:cols w:equalWidth="0" w:num="1">
            <w:col w:w="10180"/>
          </w:cols>
          <w:pgMar w:left="1020" w:top="1440" w:right="1040" w:bottom="572" w:gutter="0" w:footer="0" w:header="0"/>
          <w:type w:val="continuous"/>
        </w:sectPr>
      </w:pPr>
    </w:p>
    <w:bookmarkStart w:id="150" w:name="page151"/>
    <w:bookmarkEnd w:id="150"/>
    <w:p>
      <w:pPr>
        <w:spacing w:after="0" w:line="97" w:lineRule="exact"/>
        <w:rPr>
          <w:sz w:val="20"/>
          <w:szCs w:val="20"/>
          <w:color w:val="auto"/>
        </w:rPr>
      </w:pPr>
    </w:p>
    <w:p>
      <w:pPr>
        <w:ind w:right="640"/>
        <w:spacing w:after="0" w:line="307" w:lineRule="auto"/>
        <w:rPr>
          <w:sz w:val="20"/>
          <w:szCs w:val="20"/>
          <w:color w:val="auto"/>
        </w:rPr>
      </w:pPr>
      <w:r>
        <w:rPr>
          <w:rFonts w:ascii="Arial" w:cs="Arial" w:eastAsia="Arial" w:hAnsi="Arial"/>
          <w:sz w:val="18"/>
          <w:szCs w:val="18"/>
          <w:color w:val="231F20"/>
        </w:rPr>
        <w:t>connection with the Closing, Flywire bound a representations and warranties insurance policy insuring breaches of Seller’s representations and warranties in the Agreement and certain indemnifiable tax matters under the policy.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9"/>
          <w:szCs w:val="19"/>
          <w:b w:val="1"/>
          <w:bCs w:val="1"/>
          <w:i w:val="1"/>
          <w:iCs w:val="1"/>
          <w:color w:val="231F20"/>
        </w:rPr>
        <w:t>Restructuring Plan</w:t>
      </w:r>
    </w:p>
    <w:p>
      <w:pPr>
        <w:spacing w:after="0" w:line="184" w:lineRule="exact"/>
        <w:rPr>
          <w:sz w:val="20"/>
          <w:szCs w:val="20"/>
          <w:color w:val="auto"/>
        </w:rPr>
      </w:pPr>
    </w:p>
    <w:p>
      <w:pPr>
        <w:ind w:right="160" w:firstLine="463"/>
        <w:spacing w:after="0" w:line="251" w:lineRule="auto"/>
        <w:rPr>
          <w:sz w:val="20"/>
          <w:szCs w:val="20"/>
          <w:color w:val="auto"/>
        </w:rPr>
      </w:pPr>
      <w:r>
        <w:rPr>
          <w:rFonts w:ascii="Arial" w:cs="Arial" w:eastAsia="Arial" w:hAnsi="Arial"/>
          <w:sz w:val="19"/>
          <w:szCs w:val="19"/>
          <w:color w:val="231F20"/>
        </w:rPr>
        <w:t>On February 23, 2025, the board of directors of the Company approved a restructuring plan that is designed to improve operational efficiencies, reduce operating costs and better align the Company’s workforce with current business needs, top strategic priorities and key growth opportunities (collectively, the Restructuring Plan). The Restructuring Plan includes reduction of the Company’s workforce by approximately 10%.</w:t>
      </w:r>
    </w:p>
    <w:p>
      <w:pPr>
        <w:spacing w:after="0" w:line="144" w:lineRule="exact"/>
        <w:rPr>
          <w:sz w:val="20"/>
          <w:szCs w:val="20"/>
          <w:color w:val="auto"/>
        </w:rPr>
      </w:pPr>
    </w:p>
    <w:p>
      <w:pPr>
        <w:ind w:firstLine="463"/>
        <w:spacing w:after="0" w:line="245" w:lineRule="auto"/>
        <w:rPr>
          <w:sz w:val="20"/>
          <w:szCs w:val="20"/>
          <w:color w:val="auto"/>
        </w:rPr>
      </w:pPr>
      <w:r>
        <w:rPr>
          <w:rFonts w:ascii="Arial" w:cs="Arial" w:eastAsia="Arial" w:hAnsi="Arial"/>
          <w:sz w:val="19"/>
          <w:szCs w:val="19"/>
          <w:color w:val="231F20"/>
        </w:rPr>
        <w:t>The Company estimates that it will incur approximately $7.0 million to $9.0 million in charges in connection with the Restructuring Plan, consisting of cash expenditures for employee transition, notice period and severance payments and employee benefits and related facilitation costs, as well as non-cash expenditures related to acceleration of vesting of share-based awards. Of this amount, approximately $5.0 million to $6.0 million is expected to result in future cash outlays. The Company expects that the majority of the restructuring charges will be incurred in the first and second quarter of 2025 and that the execution of the Restructuring Plan, including cash payments, will be substantially complete by the end of the third quarter of 2025.</w:t>
      </w:r>
    </w:p>
    <w:p>
      <w:pPr>
        <w:spacing w:after="0" w:line="148" w:lineRule="exact"/>
        <w:rPr>
          <w:sz w:val="20"/>
          <w:szCs w:val="20"/>
          <w:color w:val="auto"/>
        </w:rPr>
      </w:pPr>
    </w:p>
    <w:p>
      <w:pPr>
        <w:ind w:right="100" w:firstLine="463"/>
        <w:spacing w:after="0" w:line="251" w:lineRule="auto"/>
        <w:rPr>
          <w:sz w:val="20"/>
          <w:szCs w:val="20"/>
          <w:color w:val="auto"/>
        </w:rPr>
      </w:pPr>
      <w:r>
        <w:rPr>
          <w:rFonts w:ascii="Arial" w:cs="Arial" w:eastAsia="Arial" w:hAnsi="Arial"/>
          <w:sz w:val="19"/>
          <w:szCs w:val="19"/>
          <w:color w:val="231F20"/>
        </w:rPr>
        <w:t>Potential position eliminations in each country are subject to local law and consultation requirements, which may extend this process beyond the third quarter of 2025 in certain countries. The charges that we expect to incur are subject to a number of assumptions, including local law requirements in various jurisdictions, and actual expenses may differ materially from the estimates disclosed above.</w:t>
      </w:r>
    </w:p>
    <w:p>
      <w:pPr>
        <w:sectPr>
          <w:pgSz w:w="12240" w:h="15840" w:orient="portrait"/>
          <w:cols w:equalWidth="0" w:num="1">
            <w:col w:w="10180"/>
          </w:cols>
          <w:pgMar w:left="1020" w:top="1440" w:right="104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150</w:t>
      </w:r>
    </w:p>
    <w:p>
      <w:pPr>
        <w:sectPr>
          <w:pgSz w:w="12240" w:h="15840" w:orient="portrait"/>
          <w:cols w:equalWidth="0" w:num="1">
            <w:col w:w="10180"/>
          </w:cols>
          <w:pgMar w:left="1020" w:top="1440" w:right="1040" w:bottom="572" w:gutter="0" w:footer="0" w:header="0"/>
          <w:type w:val="continuous"/>
        </w:sectPr>
      </w:pPr>
    </w:p>
    <w:bookmarkStart w:id="151" w:name="page152"/>
    <w:bookmarkEnd w:id="151"/>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9. Changes in and Disagreements With Accountants on Accounting and Financial Disclosure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None.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9A. Controls and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Evaluation of Disclosure Controls and Procedures</w:t>
      </w:r>
    </w:p>
    <w:p>
      <w:pPr>
        <w:spacing w:after="0" w:line="192" w:lineRule="exact"/>
        <w:rPr>
          <w:sz w:val="20"/>
          <w:szCs w:val="20"/>
          <w:color w:val="auto"/>
        </w:rPr>
      </w:pPr>
    </w:p>
    <w:p>
      <w:pPr>
        <w:ind w:right="20" w:firstLine="463"/>
        <w:spacing w:after="0" w:line="241" w:lineRule="auto"/>
        <w:rPr>
          <w:sz w:val="20"/>
          <w:szCs w:val="20"/>
          <w:color w:val="auto"/>
        </w:rPr>
      </w:pPr>
      <w:r>
        <w:rPr>
          <w:rFonts w:ascii="Arial" w:cs="Arial" w:eastAsia="Arial" w:hAnsi="Arial"/>
          <w:sz w:val="19"/>
          <w:szCs w:val="19"/>
          <w:color w:val="231F20"/>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December 31, 2024, the end of the period covered by this Annual Report on Form 10-K, our disclosure controls and procedures were effective at the reasonable assurance level.</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Management’s Annual Report on Internal Control Over Financial Reporting</w:t>
      </w:r>
    </w:p>
    <w:p>
      <w:pPr>
        <w:spacing w:after="0" w:line="192" w:lineRule="exact"/>
        <w:rPr>
          <w:sz w:val="20"/>
          <w:szCs w:val="20"/>
          <w:color w:val="auto"/>
        </w:rPr>
      </w:pPr>
    </w:p>
    <w:p>
      <w:pPr>
        <w:ind w:right="200" w:firstLine="463"/>
        <w:spacing w:after="0" w:line="245" w:lineRule="auto"/>
        <w:rPr>
          <w:sz w:val="20"/>
          <w:szCs w:val="20"/>
          <w:color w:val="auto"/>
        </w:rPr>
      </w:pPr>
      <w:r>
        <w:rPr>
          <w:rFonts w:ascii="Arial" w:cs="Arial" w:eastAsia="Arial" w:hAnsi="Arial"/>
          <w:sz w:val="19"/>
          <w:szCs w:val="19"/>
          <w:color w:val="231F20"/>
        </w:rPr>
        <w:t>Our management is responsible for establishing and maintaining adequate internal control over financial reporting, as defined in Rule 13a-15(f) and 15d- 15(f) under the Exchange Act. Management, with the participation of our Chief Executive Officer and Chief Financial Officer, has assessed the effectiveness of our internal control over financial reporting as of December 31, 2024 based on the 2013 framework established in the “Internal Control-Integrated Framework,” issued by the Committee of Sponsoring Organizations of the Treadway Commission. Based on this evaluation under the framework, management has concluded that our internal control over financial reporting as of December 31, 2024 was effective.</w:t>
      </w:r>
    </w:p>
    <w:p>
      <w:pPr>
        <w:spacing w:after="0" w:line="148" w:lineRule="exact"/>
        <w:rPr>
          <w:sz w:val="20"/>
          <w:szCs w:val="20"/>
          <w:color w:val="auto"/>
        </w:rPr>
      </w:pPr>
    </w:p>
    <w:p>
      <w:pPr>
        <w:ind w:firstLine="463"/>
        <w:spacing w:after="0" w:line="248" w:lineRule="auto"/>
        <w:rPr>
          <w:sz w:val="20"/>
          <w:szCs w:val="20"/>
          <w:color w:val="auto"/>
        </w:rPr>
      </w:pPr>
      <w:r>
        <w:rPr>
          <w:rFonts w:ascii="Arial" w:cs="Arial" w:eastAsia="Arial" w:hAnsi="Arial"/>
          <w:sz w:val="19"/>
          <w:szCs w:val="19"/>
          <w:color w:val="231F20"/>
        </w:rPr>
        <w:t>On August 2, 2024, Flywire acquired all of the issued and outstanding shares of Invoiced. As permitted by Securities and Exchange Commission staff guidance, companies are permitted to exclude acquisitions from their assessment of internal control over financial reporting for the first year of acquisition. We have excluded Invoiced from our assessment of internal control over financial reporting as of December 31, 2024. Invoiced accounted for less than 1% of total assets as of December 31, 2024 and less than 1% of revenues for the fiscal year ended on December 31, 2024.</w:t>
      </w:r>
    </w:p>
    <w:p>
      <w:pPr>
        <w:spacing w:after="0" w:line="146"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The effectiveness of our internal control over financial reporting as of December 31, 2024 has been audited by PricewaterhouseCoopers LLP, an independent registered public accounting firm, as stated in their report which appears in Part II, Item 8 of this Annual Report on Form 10-K.</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Changes in Internal Control Over Financial Reporting</w:t>
      </w:r>
    </w:p>
    <w:p>
      <w:pPr>
        <w:spacing w:after="0" w:line="192" w:lineRule="exact"/>
        <w:rPr>
          <w:sz w:val="20"/>
          <w:szCs w:val="20"/>
          <w:color w:val="auto"/>
        </w:rPr>
      </w:pPr>
    </w:p>
    <w:p>
      <w:pPr>
        <w:ind w:right="280" w:firstLine="463"/>
        <w:spacing w:after="0" w:line="279" w:lineRule="auto"/>
        <w:rPr>
          <w:sz w:val="20"/>
          <w:szCs w:val="20"/>
          <w:color w:val="auto"/>
        </w:rPr>
      </w:pPr>
      <w:r>
        <w:rPr>
          <w:rFonts w:ascii="Arial" w:cs="Arial" w:eastAsia="Arial" w:hAnsi="Arial"/>
          <w:sz w:val="18"/>
          <w:szCs w:val="18"/>
          <w:color w:val="231F20"/>
        </w:rPr>
        <w:t>There were no changes in our internal control over financial reporting identified in connection with the evaluation required by Rule 13a-15(d) and 15d-15(d) of the Exchange Act that occurred during the quarter ended December 31, 2024 that has materially affected, or is reasonably likely to materially affect, our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Inherent Limitations on Effectiveness of Controls</w:t>
      </w:r>
    </w:p>
    <w:p>
      <w:pPr>
        <w:spacing w:after="0" w:line="192" w:lineRule="exact"/>
        <w:rPr>
          <w:sz w:val="20"/>
          <w:szCs w:val="20"/>
          <w:color w:val="auto"/>
        </w:rPr>
      </w:pPr>
    </w:p>
    <w:p>
      <w:pPr>
        <w:ind w:right="40" w:firstLine="463"/>
        <w:spacing w:after="0" w:line="258" w:lineRule="auto"/>
        <w:rPr>
          <w:sz w:val="20"/>
          <w:szCs w:val="20"/>
          <w:color w:val="auto"/>
        </w:rPr>
      </w:pPr>
      <w:r>
        <w:rPr>
          <w:rFonts w:ascii="Arial" w:cs="Arial" w:eastAsia="Arial" w:hAnsi="Arial"/>
          <w:sz w:val="18"/>
          <w:szCs w:val="18"/>
          <w:color w:val="231F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w:t>
      </w:r>
    </w:p>
    <w:p>
      <w:pPr>
        <w:sectPr>
          <w:pgSz w:w="12240" w:h="15840" w:orient="portrait"/>
          <w:cols w:equalWidth="0" w:num="1">
            <w:col w:w="10200"/>
          </w:cols>
          <w:pgMar w:left="1020" w:top="1440" w:right="1020" w:bottom="572"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151</w:t>
      </w:r>
    </w:p>
    <w:p>
      <w:pPr>
        <w:sectPr>
          <w:pgSz w:w="12240" w:h="15840" w:orient="portrait"/>
          <w:cols w:equalWidth="0" w:num="1">
            <w:col w:w="10200"/>
          </w:cols>
          <w:pgMar w:left="1020" w:top="1440" w:right="1020" w:bottom="572" w:gutter="0" w:footer="0" w:header="0"/>
          <w:type w:val="continuous"/>
        </w:sectPr>
      </w:pPr>
    </w:p>
    <w:bookmarkStart w:id="152" w:name="page153"/>
    <w:bookmarkEnd w:id="152"/>
    <w:p>
      <w:pPr>
        <w:spacing w:after="0" w:line="97"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231F20"/>
        </w:rPr>
        <w:t>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9B. Other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Rule 10b-5 Trading Plan</w:t>
      </w:r>
    </w:p>
    <w:p>
      <w:pPr>
        <w:spacing w:after="0" w:line="184"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During the period covered by this Annual Report on Form 10-K, other than as set forth below, no director or officer of the Company “adopted” or terminated a “Rule 10b5-1 trading arrangement” or “non-Rule 10b5-1 trading arrangement” as each term is defined in Item 408(a) of Regulation S-K.</w:t>
      </w:r>
    </w:p>
    <w:p>
      <w:pPr>
        <w:spacing w:after="0" w:line="136" w:lineRule="exact"/>
        <w:rPr>
          <w:sz w:val="20"/>
          <w:szCs w:val="20"/>
          <w:color w:val="auto"/>
        </w:rPr>
      </w:pPr>
    </w:p>
    <w:p>
      <w:pPr>
        <w:ind w:firstLine="463"/>
        <w:spacing w:after="0" w:line="248" w:lineRule="auto"/>
        <w:rPr>
          <w:sz w:val="20"/>
          <w:szCs w:val="20"/>
          <w:color w:val="auto"/>
        </w:rPr>
      </w:pPr>
      <w:r>
        <w:rPr>
          <w:rFonts w:ascii="Arial" w:cs="Arial" w:eastAsia="Arial" w:hAnsi="Arial"/>
          <w:sz w:val="19"/>
          <w:szCs w:val="19"/>
          <w:color w:val="231F20"/>
        </w:rPr>
        <w:t>On November 19, 2024, Michael Massaro, our Chief Executive Officer and Director, adopted a trading arrangement for the sale of shares of our common stock (a "Rule 10b-5 Trading Plan") that is intended to satisfy the affirmative defense conditions of Securities Exchange Act Rule 10b5-1(c). Mr. Massaro's Rule 10b-5 Trading Plan provides for the sale of up to 550,000 shares of common stock pursuant to the terms of the plan. The plan is effective through February 6, 2026 unless earlier terminated in accordance with the terms of the plan.</w:t>
      </w:r>
    </w:p>
    <w:p>
      <w:pPr>
        <w:spacing w:after="0" w:line="146" w:lineRule="exact"/>
        <w:rPr>
          <w:sz w:val="20"/>
          <w:szCs w:val="20"/>
          <w:color w:val="auto"/>
        </w:rPr>
      </w:pPr>
    </w:p>
    <w:p>
      <w:pPr>
        <w:ind w:right="120" w:firstLine="463"/>
        <w:spacing w:after="0" w:line="251" w:lineRule="auto"/>
        <w:rPr>
          <w:sz w:val="20"/>
          <w:szCs w:val="20"/>
          <w:color w:val="auto"/>
        </w:rPr>
      </w:pPr>
      <w:r>
        <w:rPr>
          <w:rFonts w:ascii="Arial" w:cs="Arial" w:eastAsia="Arial" w:hAnsi="Arial"/>
          <w:sz w:val="19"/>
          <w:szCs w:val="19"/>
          <w:color w:val="231F20"/>
        </w:rPr>
        <w:t>On November 15, 2024, Cosmin Pitigoi, our Chief Financial Officer, adopted a Rule 10b-5 Trading Plan that is intended to satisfy the affirmative defense conditions of Securities Exchange Act Rule 10b5-1(c). Mr. Pitigoi's Rule 10b-5 Trading Plan provides for the sale of up to 75,869 shares of common stock pursuant to the terms of the plan. The plan is effective through November 14, 2025 unless earlier terminated in accordance with the terms of the plan.</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9C. Disclosure Regarding Foreign Jurisdictions that Prevent Inspections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None.</w:t>
      </w:r>
    </w:p>
    <w:p>
      <w:pPr>
        <w:sectPr>
          <w:pgSz w:w="12240" w:h="15840" w:orient="portrait"/>
          <w:cols w:equalWidth="0" w:num="1">
            <w:col w:w="10180"/>
          </w:cols>
          <w:pgMar w:left="1020" w:top="1440" w:right="104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152</w:t>
      </w:r>
    </w:p>
    <w:p>
      <w:pPr>
        <w:sectPr>
          <w:pgSz w:w="12240" w:h="15840" w:orient="portrait"/>
          <w:cols w:equalWidth="0" w:num="1">
            <w:col w:w="10180"/>
          </w:cols>
          <w:pgMar w:left="1020" w:top="1440" w:right="1040" w:bottom="572" w:gutter="0" w:footer="0" w:header="0"/>
          <w:type w:val="continuous"/>
        </w:sectPr>
      </w:pPr>
    </w:p>
    <w:bookmarkStart w:id="153" w:name="page154"/>
    <w:bookmarkEnd w:id="153"/>
    <w:p>
      <w:pPr>
        <w:spacing w:after="0" w:line="93"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231F20"/>
        </w:rPr>
        <w:t>PART III</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10. Directors, Executive Officers and Corporate Governance</w:t>
      </w:r>
    </w:p>
    <w:p>
      <w:pPr>
        <w:spacing w:after="0" w:line="192" w:lineRule="exact"/>
        <w:rPr>
          <w:sz w:val="20"/>
          <w:szCs w:val="20"/>
          <w:color w:val="auto"/>
        </w:rPr>
      </w:pPr>
    </w:p>
    <w:p>
      <w:pPr>
        <w:ind w:right="40" w:firstLine="463"/>
        <w:spacing w:after="0" w:line="246" w:lineRule="auto"/>
        <w:rPr>
          <w:sz w:val="20"/>
          <w:szCs w:val="20"/>
          <w:color w:val="auto"/>
        </w:rPr>
      </w:pPr>
      <w:r>
        <w:rPr>
          <w:rFonts w:ascii="Arial" w:cs="Arial" w:eastAsia="Arial" w:hAnsi="Arial"/>
          <w:sz w:val="19"/>
          <w:szCs w:val="19"/>
          <w:color w:val="231F20"/>
        </w:rPr>
        <w:t>The Company has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19.1 to this Form 10-K</w:t>
      </w:r>
      <w:r>
        <w:rPr>
          <w:rFonts w:ascii="Arial" w:cs="Arial" w:eastAsia="Arial" w:hAnsi="Arial"/>
          <w:sz w:val="17"/>
          <w:szCs w:val="17"/>
          <w:color w:val="231F20"/>
        </w:rPr>
        <w:t>.</w:t>
      </w:r>
    </w:p>
    <w:p>
      <w:pPr>
        <w:spacing w:after="0" w:line="148" w:lineRule="exact"/>
        <w:rPr>
          <w:sz w:val="20"/>
          <w:szCs w:val="20"/>
          <w:color w:val="auto"/>
        </w:rPr>
      </w:pPr>
    </w:p>
    <w:p>
      <w:pPr>
        <w:ind w:right="200" w:firstLine="463"/>
        <w:spacing w:after="0" w:line="258" w:lineRule="auto"/>
        <w:rPr>
          <w:sz w:val="20"/>
          <w:szCs w:val="20"/>
          <w:color w:val="auto"/>
        </w:rPr>
      </w:pPr>
      <w:r>
        <w:rPr>
          <w:rFonts w:ascii="Arial" w:cs="Arial" w:eastAsia="Arial" w:hAnsi="Arial"/>
          <w:sz w:val="19"/>
          <w:szCs w:val="19"/>
          <w:color w:val="231F20"/>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2024.</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11. Executive Compensation</w:t>
      </w:r>
    </w:p>
    <w:p>
      <w:pPr>
        <w:spacing w:after="0" w:line="192" w:lineRule="exact"/>
        <w:rPr>
          <w:sz w:val="20"/>
          <w:szCs w:val="20"/>
          <w:color w:val="auto"/>
        </w:rPr>
      </w:pPr>
    </w:p>
    <w:p>
      <w:pPr>
        <w:ind w:right="200" w:firstLine="463"/>
        <w:spacing w:after="0" w:line="258" w:lineRule="auto"/>
        <w:rPr>
          <w:sz w:val="20"/>
          <w:szCs w:val="20"/>
          <w:color w:val="auto"/>
        </w:rPr>
      </w:pPr>
      <w:r>
        <w:rPr>
          <w:rFonts w:ascii="Arial" w:cs="Arial" w:eastAsia="Arial" w:hAnsi="Arial"/>
          <w:sz w:val="19"/>
          <w:szCs w:val="19"/>
          <w:color w:val="231F20"/>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2024.</w:t>
      </w:r>
    </w:p>
    <w:p>
      <w:pPr>
        <w:spacing w:after="0" w:line="132" w:lineRule="exact"/>
        <w:rPr>
          <w:sz w:val="20"/>
          <w:szCs w:val="20"/>
          <w:color w:val="auto"/>
        </w:rPr>
      </w:pPr>
    </w:p>
    <w:p>
      <w:pPr>
        <w:ind w:right="460"/>
        <w:spacing w:after="0" w:line="448" w:lineRule="auto"/>
        <w:rPr>
          <w:sz w:val="20"/>
          <w:szCs w:val="20"/>
          <w:color w:val="auto"/>
        </w:rPr>
      </w:pPr>
      <w:r>
        <w:rPr>
          <w:rFonts w:ascii="Arial" w:cs="Arial" w:eastAsia="Arial" w:hAnsi="Arial"/>
          <w:sz w:val="19"/>
          <w:szCs w:val="19"/>
          <w:b w:val="1"/>
          <w:bCs w:val="1"/>
          <w:color w:val="231F20"/>
        </w:rPr>
        <w:t>Item 12. Security Ownership of Certain Beneficial Owners and Management and Related Stockholder Matters Securities Authorized for Issuance under Equity Compensation Plans</w:t>
      </w:r>
    </w:p>
    <w:p>
      <w:pPr>
        <w:spacing w:after="0" w:line="1" w:lineRule="exact"/>
        <w:rPr>
          <w:sz w:val="20"/>
          <w:szCs w:val="20"/>
          <w:color w:val="auto"/>
        </w:rPr>
      </w:pPr>
    </w:p>
    <w:p>
      <w:pPr>
        <w:ind w:right="100" w:firstLine="463"/>
        <w:spacing w:after="0" w:line="248" w:lineRule="auto"/>
        <w:rPr>
          <w:sz w:val="20"/>
          <w:szCs w:val="20"/>
          <w:color w:val="auto"/>
        </w:rPr>
      </w:pPr>
      <w:r>
        <w:rPr>
          <w:rFonts w:ascii="Arial" w:cs="Arial" w:eastAsia="Arial" w:hAnsi="Arial"/>
          <w:sz w:val="19"/>
          <w:szCs w:val="19"/>
          <w:color w:val="231F20"/>
        </w:rPr>
        <w:t>The following table provides information as of December 31, 2024, with respect to shares of our common stock that may be issued, subject to certain vesting requirements, under our existing equity compensation plans, including our 2009 Equity Incentive Plan, which was adopted in 2009 and amended and restated in 2011 (as amended and restated, the 2009 Plan), our 2018 Stock Incentive Plan (2018 Plan), 2021 Equity Incentive Plan (2021 Plan) and Employee Stock Purchase Plan (ESPP).</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8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2160" w:type="dxa"/>
            <w:vAlign w:val="bottom"/>
            <w:gridSpan w:val="3"/>
            <w:shd w:val="clear" w:color="auto" w:fill="FDFDFC"/>
          </w:tcPr>
          <w:p>
            <w:pPr>
              <w:jc w:val="center"/>
              <w:ind w:right="260"/>
              <w:spacing w:after="0"/>
              <w:rPr>
                <w:sz w:val="20"/>
                <w:szCs w:val="20"/>
                <w:color w:val="auto"/>
              </w:rPr>
            </w:pPr>
            <w:r>
              <w:rPr>
                <w:rFonts w:ascii="Arial" w:cs="Arial" w:eastAsia="Arial" w:hAnsi="Arial"/>
                <w:sz w:val="15"/>
                <w:szCs w:val="15"/>
                <w:b w:val="1"/>
                <w:bCs w:val="1"/>
                <w:color w:val="231F20"/>
                <w:w w:val="91"/>
              </w:rPr>
              <w:t>A</w:t>
            </w:r>
          </w:p>
        </w:tc>
        <w:tc>
          <w:tcPr>
            <w:tcW w:w="2160" w:type="dxa"/>
            <w:vAlign w:val="bottom"/>
            <w:gridSpan w:val="2"/>
            <w:shd w:val="clear" w:color="auto" w:fill="FDFDFC"/>
          </w:tcPr>
          <w:p>
            <w:pPr>
              <w:jc w:val="center"/>
              <w:ind w:right="260"/>
              <w:spacing w:after="0"/>
              <w:rPr>
                <w:sz w:val="20"/>
                <w:szCs w:val="20"/>
                <w:color w:val="auto"/>
              </w:rPr>
            </w:pPr>
            <w:r>
              <w:rPr>
                <w:rFonts w:ascii="Arial" w:cs="Arial" w:eastAsia="Arial" w:hAnsi="Arial"/>
                <w:sz w:val="15"/>
                <w:szCs w:val="15"/>
                <w:b w:val="1"/>
                <w:bCs w:val="1"/>
                <w:color w:val="231F20"/>
                <w:w w:val="91"/>
              </w:rPr>
              <w:t>B</w:t>
            </w:r>
          </w:p>
        </w:tc>
        <w:tc>
          <w:tcPr>
            <w:tcW w:w="2240" w:type="dxa"/>
            <w:vAlign w:val="bottom"/>
            <w:gridSpan w:val="2"/>
            <w:shd w:val="clear" w:color="auto" w:fill="FDFDFC"/>
          </w:tcPr>
          <w:p>
            <w:pPr>
              <w:jc w:val="center"/>
              <w:ind w:right="320"/>
              <w:spacing w:after="0"/>
              <w:rPr>
                <w:sz w:val="20"/>
                <w:szCs w:val="20"/>
                <w:color w:val="auto"/>
              </w:rPr>
            </w:pPr>
            <w:r>
              <w:rPr>
                <w:rFonts w:ascii="Arial" w:cs="Arial" w:eastAsia="Arial" w:hAnsi="Arial"/>
                <w:sz w:val="15"/>
                <w:szCs w:val="15"/>
                <w:b w:val="1"/>
                <w:bCs w:val="1"/>
                <w:color w:val="231F20"/>
              </w:rPr>
              <w:t>C</w:t>
            </w:r>
          </w:p>
        </w:tc>
        <w:tc>
          <w:tcPr>
            <w:tcW w:w="0" w:type="dxa"/>
            <w:vAlign w:val="bottom"/>
          </w:tcPr>
          <w:p>
            <w:pPr>
              <w:spacing w:after="0"/>
              <w:rPr>
                <w:sz w:val="1"/>
                <w:szCs w:val="1"/>
                <w:color w:val="auto"/>
              </w:rPr>
            </w:pPr>
          </w:p>
        </w:tc>
      </w:tr>
      <w:tr>
        <w:trPr>
          <w:trHeight w:val="199"/>
        </w:trPr>
        <w:tc>
          <w:tcPr>
            <w:tcW w:w="3480" w:type="dxa"/>
            <w:vAlign w:val="bottom"/>
            <w:shd w:val="clear" w:color="auto" w:fill="FDFDFC"/>
          </w:tcPr>
          <w:p>
            <w:pPr>
              <w:spacing w:after="0"/>
              <w:rPr>
                <w:sz w:val="17"/>
                <w:szCs w:val="17"/>
                <w:color w:val="auto"/>
              </w:rPr>
            </w:pPr>
          </w:p>
        </w:tc>
        <w:tc>
          <w:tcPr>
            <w:tcW w:w="160" w:type="dxa"/>
            <w:vAlign w:val="bottom"/>
            <w:shd w:val="clear" w:color="auto" w:fill="FDFDFC"/>
          </w:tcPr>
          <w:p>
            <w:pPr>
              <w:spacing w:after="0"/>
              <w:rPr>
                <w:sz w:val="17"/>
                <w:szCs w:val="17"/>
                <w:color w:val="auto"/>
              </w:rPr>
            </w:pPr>
          </w:p>
        </w:tc>
        <w:tc>
          <w:tcPr>
            <w:tcW w:w="190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60" w:type="dxa"/>
            <w:vAlign w:val="bottom"/>
            <w:shd w:val="clear" w:color="auto" w:fill="FDFDFC"/>
          </w:tcPr>
          <w:p>
            <w:pPr>
              <w:spacing w:after="0"/>
              <w:rPr>
                <w:sz w:val="17"/>
                <w:szCs w:val="17"/>
                <w:color w:val="auto"/>
              </w:rPr>
            </w:pPr>
          </w:p>
        </w:tc>
        <w:tc>
          <w:tcPr>
            <w:tcW w:w="2020" w:type="dxa"/>
            <w:vAlign w:val="bottom"/>
            <w:shd w:val="clear" w:color="auto" w:fill="D0EBF2"/>
          </w:tcPr>
          <w:p>
            <w:pPr>
              <w:spacing w:after="0"/>
              <w:rPr>
                <w:sz w:val="17"/>
                <w:szCs w:val="17"/>
                <w:color w:val="auto"/>
              </w:rPr>
            </w:pPr>
          </w:p>
        </w:tc>
        <w:tc>
          <w:tcPr>
            <w:tcW w:w="140" w:type="dxa"/>
            <w:vAlign w:val="bottom"/>
            <w:shd w:val="clear" w:color="auto" w:fill="FDFDFC"/>
          </w:tcPr>
          <w:p>
            <w:pPr>
              <w:spacing w:after="0"/>
              <w:rPr>
                <w:sz w:val="17"/>
                <w:szCs w:val="17"/>
                <w:color w:val="auto"/>
              </w:rPr>
            </w:pPr>
          </w:p>
        </w:tc>
        <w:tc>
          <w:tcPr>
            <w:tcW w:w="2020" w:type="dxa"/>
            <w:vAlign w:val="bottom"/>
            <w:shd w:val="clear" w:color="auto" w:fill="D0EBF2"/>
          </w:tcPr>
          <w:p>
            <w:pPr>
              <w:jc w:val="center"/>
              <w:ind w:right="7"/>
              <w:spacing w:after="0" w:line="200" w:lineRule="exact"/>
              <w:rPr>
                <w:sz w:val="20"/>
                <w:szCs w:val="20"/>
                <w:color w:val="auto"/>
              </w:rPr>
            </w:pPr>
            <w:r>
              <w:rPr>
                <w:rFonts w:ascii="Arial" w:cs="Arial" w:eastAsia="Arial" w:hAnsi="Arial"/>
                <w:sz w:val="19"/>
                <w:szCs w:val="19"/>
                <w:color w:val="231F20"/>
                <w:w w:val="99"/>
              </w:rPr>
              <w:t>Number of</w:t>
            </w:r>
          </w:p>
        </w:tc>
        <w:tc>
          <w:tcPr>
            <w:tcW w:w="220" w:type="dxa"/>
            <w:vAlign w:val="bottom"/>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9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2020" w:type="dxa"/>
            <w:vAlign w:val="bottom"/>
            <w:shd w:val="clear" w:color="auto" w:fill="D0EBF2"/>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020" w:type="dxa"/>
            <w:vAlign w:val="bottom"/>
            <w:shd w:val="clear" w:color="auto" w:fill="D0EBF2"/>
          </w:tcPr>
          <w:p>
            <w:pPr>
              <w:jc w:val="center"/>
              <w:ind w:right="7"/>
              <w:spacing w:after="0" w:line="217" w:lineRule="exact"/>
              <w:rPr>
                <w:sz w:val="20"/>
                <w:szCs w:val="20"/>
                <w:color w:val="auto"/>
              </w:rPr>
            </w:pPr>
            <w:r>
              <w:rPr>
                <w:rFonts w:ascii="Arial" w:cs="Arial" w:eastAsia="Arial" w:hAnsi="Arial"/>
                <w:sz w:val="19"/>
                <w:szCs w:val="19"/>
                <w:color w:val="231F20"/>
              </w:rPr>
              <w:t>Securities</w:t>
            </w:r>
          </w:p>
        </w:tc>
        <w:tc>
          <w:tcPr>
            <w:tcW w:w="22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9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2020" w:type="dxa"/>
            <w:vAlign w:val="bottom"/>
            <w:shd w:val="clear" w:color="auto" w:fill="D0EBF2"/>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020" w:type="dxa"/>
            <w:vAlign w:val="bottom"/>
            <w:shd w:val="clear" w:color="auto" w:fill="D0EBF2"/>
          </w:tcPr>
          <w:p>
            <w:pPr>
              <w:jc w:val="center"/>
              <w:ind w:right="7"/>
              <w:spacing w:after="0" w:line="217" w:lineRule="exact"/>
              <w:rPr>
                <w:sz w:val="20"/>
                <w:szCs w:val="20"/>
                <w:color w:val="auto"/>
              </w:rPr>
            </w:pPr>
            <w:r>
              <w:rPr>
                <w:rFonts w:ascii="Arial" w:cs="Arial" w:eastAsia="Arial" w:hAnsi="Arial"/>
                <w:sz w:val="19"/>
                <w:szCs w:val="19"/>
                <w:color w:val="231F20"/>
              </w:rPr>
              <w:t>Remaining</w:t>
            </w:r>
          </w:p>
        </w:tc>
        <w:tc>
          <w:tcPr>
            <w:tcW w:w="22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9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2020" w:type="dxa"/>
            <w:vAlign w:val="bottom"/>
            <w:shd w:val="clear" w:color="auto" w:fill="D0EBF2"/>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020" w:type="dxa"/>
            <w:vAlign w:val="bottom"/>
            <w:shd w:val="clear" w:color="auto" w:fill="D0EBF2"/>
          </w:tcPr>
          <w:p>
            <w:pPr>
              <w:jc w:val="center"/>
              <w:ind w:right="7"/>
              <w:spacing w:after="0" w:line="217" w:lineRule="exact"/>
              <w:rPr>
                <w:sz w:val="20"/>
                <w:szCs w:val="20"/>
                <w:color w:val="auto"/>
              </w:rPr>
            </w:pPr>
            <w:r>
              <w:rPr>
                <w:rFonts w:ascii="Arial" w:cs="Arial" w:eastAsia="Arial" w:hAnsi="Arial"/>
                <w:sz w:val="19"/>
                <w:szCs w:val="19"/>
                <w:color w:val="231F20"/>
                <w:w w:val="98"/>
              </w:rPr>
              <w:t>Available</w:t>
            </w:r>
          </w:p>
        </w:tc>
        <w:tc>
          <w:tcPr>
            <w:tcW w:w="22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900" w:type="dxa"/>
            <w:vAlign w:val="bottom"/>
            <w:vMerge w:val="restart"/>
            <w:shd w:val="clear" w:color="auto" w:fill="D0EBF2"/>
          </w:tcPr>
          <w:p>
            <w:pPr>
              <w:jc w:val="center"/>
              <w:spacing w:after="0"/>
              <w:rPr>
                <w:sz w:val="20"/>
                <w:szCs w:val="20"/>
                <w:color w:val="auto"/>
              </w:rPr>
            </w:pPr>
            <w:r>
              <w:rPr>
                <w:rFonts w:ascii="Arial" w:cs="Arial" w:eastAsia="Arial" w:hAnsi="Arial"/>
                <w:sz w:val="19"/>
                <w:szCs w:val="19"/>
                <w:color w:val="231F20"/>
                <w:w w:val="99"/>
              </w:rPr>
              <w:t>Number of</w:t>
            </w:r>
          </w:p>
        </w:tc>
        <w:tc>
          <w:tcPr>
            <w:tcW w:w="100" w:type="dxa"/>
            <w:vAlign w:val="bottom"/>
            <w:shd w:val="clear" w:color="auto" w:fill="D0EBF2"/>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2020" w:type="dxa"/>
            <w:vAlign w:val="bottom"/>
            <w:vMerge w:val="restart"/>
            <w:shd w:val="clear" w:color="auto" w:fill="D0EBF2"/>
          </w:tcPr>
          <w:p>
            <w:pPr>
              <w:jc w:val="center"/>
              <w:ind w:right="28"/>
              <w:spacing w:after="0"/>
              <w:rPr>
                <w:sz w:val="20"/>
                <w:szCs w:val="20"/>
                <w:color w:val="auto"/>
              </w:rPr>
            </w:pPr>
            <w:r>
              <w:rPr>
                <w:rFonts w:ascii="Arial" w:cs="Arial" w:eastAsia="Arial" w:hAnsi="Arial"/>
                <w:sz w:val="19"/>
                <w:szCs w:val="19"/>
                <w:color w:val="231F20"/>
                <w:w w:val="99"/>
              </w:rPr>
              <w:t>Weighted-</w:t>
            </w:r>
          </w:p>
        </w:tc>
        <w:tc>
          <w:tcPr>
            <w:tcW w:w="140" w:type="dxa"/>
            <w:vAlign w:val="bottom"/>
            <w:shd w:val="clear" w:color="auto" w:fill="FDFDFC"/>
          </w:tcPr>
          <w:p>
            <w:pPr>
              <w:spacing w:after="0"/>
              <w:rPr>
                <w:sz w:val="18"/>
                <w:szCs w:val="18"/>
                <w:color w:val="auto"/>
              </w:rPr>
            </w:pPr>
          </w:p>
        </w:tc>
        <w:tc>
          <w:tcPr>
            <w:tcW w:w="2020" w:type="dxa"/>
            <w:vAlign w:val="bottom"/>
            <w:shd w:val="clear" w:color="auto" w:fill="D0EBF2"/>
          </w:tcPr>
          <w:p>
            <w:pPr>
              <w:jc w:val="center"/>
              <w:spacing w:after="0" w:line="217" w:lineRule="exact"/>
              <w:rPr>
                <w:sz w:val="20"/>
                <w:szCs w:val="20"/>
                <w:color w:val="auto"/>
              </w:rPr>
            </w:pPr>
            <w:r>
              <w:rPr>
                <w:rFonts w:ascii="Arial" w:cs="Arial" w:eastAsia="Arial" w:hAnsi="Arial"/>
                <w:sz w:val="19"/>
                <w:szCs w:val="19"/>
                <w:color w:val="231F20"/>
                <w:w w:val="99"/>
              </w:rPr>
              <w:t>for Future</w:t>
            </w:r>
          </w:p>
        </w:tc>
        <w:tc>
          <w:tcPr>
            <w:tcW w:w="22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900" w:type="dxa"/>
            <w:vAlign w:val="bottom"/>
            <w:vMerge w:val="continue"/>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2020" w:type="dxa"/>
            <w:vAlign w:val="bottom"/>
            <w:vMerge w:val="continue"/>
            <w:shd w:val="clear" w:color="auto" w:fill="D0EBF2"/>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2020" w:type="dxa"/>
            <w:vAlign w:val="bottom"/>
            <w:shd w:val="clear" w:color="auto" w:fill="D0EBF2"/>
          </w:tcPr>
          <w:p>
            <w:pPr>
              <w:jc w:val="center"/>
              <w:ind w:right="7"/>
              <w:spacing w:after="0" w:line="217" w:lineRule="exact"/>
              <w:rPr>
                <w:sz w:val="20"/>
                <w:szCs w:val="20"/>
                <w:color w:val="auto"/>
              </w:rPr>
            </w:pPr>
            <w:r>
              <w:rPr>
                <w:rFonts w:ascii="Arial" w:cs="Arial" w:eastAsia="Arial" w:hAnsi="Arial"/>
                <w:sz w:val="19"/>
                <w:szCs w:val="19"/>
                <w:color w:val="231F20"/>
                <w:w w:val="99"/>
              </w:rPr>
              <w:t>Issuance</w:t>
            </w:r>
          </w:p>
        </w:tc>
        <w:tc>
          <w:tcPr>
            <w:tcW w:w="22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900" w:type="dxa"/>
            <w:vAlign w:val="bottom"/>
            <w:shd w:val="clear" w:color="auto" w:fill="D0EBF2"/>
          </w:tcPr>
          <w:p>
            <w:pPr>
              <w:jc w:val="center"/>
              <w:spacing w:after="0" w:line="217" w:lineRule="exact"/>
              <w:rPr>
                <w:sz w:val="20"/>
                <w:szCs w:val="20"/>
                <w:color w:val="auto"/>
              </w:rPr>
            </w:pPr>
            <w:r>
              <w:rPr>
                <w:rFonts w:ascii="Arial" w:cs="Arial" w:eastAsia="Arial" w:hAnsi="Arial"/>
                <w:sz w:val="19"/>
                <w:szCs w:val="19"/>
                <w:color w:val="231F20"/>
                <w:w w:val="99"/>
              </w:rPr>
              <w:t>Securities to</w:t>
            </w:r>
          </w:p>
        </w:tc>
        <w:tc>
          <w:tcPr>
            <w:tcW w:w="100" w:type="dxa"/>
            <w:vAlign w:val="bottom"/>
            <w:shd w:val="clear" w:color="auto" w:fill="D0EBF2"/>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2020" w:type="dxa"/>
            <w:vAlign w:val="bottom"/>
            <w:shd w:val="clear" w:color="auto" w:fill="D0EBF2"/>
          </w:tcPr>
          <w:p>
            <w:pPr>
              <w:jc w:val="center"/>
              <w:ind w:right="28"/>
              <w:spacing w:after="0" w:line="217" w:lineRule="exact"/>
              <w:rPr>
                <w:sz w:val="20"/>
                <w:szCs w:val="20"/>
                <w:color w:val="auto"/>
              </w:rPr>
            </w:pPr>
            <w:r>
              <w:rPr>
                <w:rFonts w:ascii="Arial" w:cs="Arial" w:eastAsia="Arial" w:hAnsi="Arial"/>
                <w:sz w:val="19"/>
                <w:szCs w:val="19"/>
                <w:color w:val="231F20"/>
                <w:w w:val="98"/>
              </w:rPr>
              <w:t>Average</w:t>
            </w:r>
          </w:p>
        </w:tc>
        <w:tc>
          <w:tcPr>
            <w:tcW w:w="140" w:type="dxa"/>
            <w:vAlign w:val="bottom"/>
            <w:shd w:val="clear" w:color="auto" w:fill="FDFDFC"/>
          </w:tcPr>
          <w:p>
            <w:pPr>
              <w:spacing w:after="0"/>
              <w:rPr>
                <w:sz w:val="18"/>
                <w:szCs w:val="18"/>
                <w:color w:val="auto"/>
              </w:rPr>
            </w:pPr>
          </w:p>
        </w:tc>
        <w:tc>
          <w:tcPr>
            <w:tcW w:w="2020" w:type="dxa"/>
            <w:vAlign w:val="bottom"/>
            <w:shd w:val="clear" w:color="auto" w:fill="D0EBF2"/>
          </w:tcPr>
          <w:p>
            <w:pPr>
              <w:jc w:val="center"/>
              <w:ind w:right="7"/>
              <w:spacing w:after="0" w:line="217" w:lineRule="exact"/>
              <w:rPr>
                <w:sz w:val="20"/>
                <w:szCs w:val="20"/>
                <w:color w:val="auto"/>
              </w:rPr>
            </w:pPr>
            <w:r>
              <w:rPr>
                <w:rFonts w:ascii="Arial" w:cs="Arial" w:eastAsia="Arial" w:hAnsi="Arial"/>
                <w:sz w:val="19"/>
                <w:szCs w:val="19"/>
                <w:color w:val="231F20"/>
                <w:w w:val="98"/>
              </w:rPr>
              <w:t>Under Equity</w:t>
            </w:r>
          </w:p>
        </w:tc>
        <w:tc>
          <w:tcPr>
            <w:tcW w:w="22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900" w:type="dxa"/>
            <w:vAlign w:val="bottom"/>
            <w:shd w:val="clear" w:color="auto" w:fill="D0EBF2"/>
          </w:tcPr>
          <w:p>
            <w:pPr>
              <w:jc w:val="center"/>
              <w:spacing w:after="0" w:line="217" w:lineRule="exact"/>
              <w:rPr>
                <w:sz w:val="20"/>
                <w:szCs w:val="20"/>
                <w:color w:val="auto"/>
              </w:rPr>
            </w:pPr>
            <w:r>
              <w:rPr>
                <w:rFonts w:ascii="Arial" w:cs="Arial" w:eastAsia="Arial" w:hAnsi="Arial"/>
                <w:sz w:val="19"/>
                <w:szCs w:val="19"/>
                <w:color w:val="231F20"/>
                <w:w w:val="99"/>
              </w:rPr>
              <w:t>be Issued</w:t>
            </w:r>
          </w:p>
        </w:tc>
        <w:tc>
          <w:tcPr>
            <w:tcW w:w="100" w:type="dxa"/>
            <w:vAlign w:val="bottom"/>
            <w:shd w:val="clear" w:color="auto" w:fill="D0EBF2"/>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2020" w:type="dxa"/>
            <w:vAlign w:val="bottom"/>
            <w:shd w:val="clear" w:color="auto" w:fill="D0EBF2"/>
          </w:tcPr>
          <w:p>
            <w:pPr>
              <w:jc w:val="center"/>
              <w:ind w:right="28"/>
              <w:spacing w:after="0" w:line="217" w:lineRule="exact"/>
              <w:rPr>
                <w:sz w:val="20"/>
                <w:szCs w:val="20"/>
                <w:color w:val="auto"/>
              </w:rPr>
            </w:pPr>
            <w:r>
              <w:rPr>
                <w:rFonts w:ascii="Arial" w:cs="Arial" w:eastAsia="Arial" w:hAnsi="Arial"/>
                <w:sz w:val="19"/>
                <w:szCs w:val="19"/>
                <w:color w:val="231F20"/>
                <w:w w:val="99"/>
              </w:rPr>
              <w:t>Exercise Price of</w:t>
            </w:r>
          </w:p>
        </w:tc>
        <w:tc>
          <w:tcPr>
            <w:tcW w:w="140" w:type="dxa"/>
            <w:vAlign w:val="bottom"/>
            <w:shd w:val="clear" w:color="auto" w:fill="FDFDFC"/>
          </w:tcPr>
          <w:p>
            <w:pPr>
              <w:spacing w:after="0"/>
              <w:rPr>
                <w:sz w:val="18"/>
                <w:szCs w:val="18"/>
                <w:color w:val="auto"/>
              </w:rPr>
            </w:pPr>
          </w:p>
        </w:tc>
        <w:tc>
          <w:tcPr>
            <w:tcW w:w="2020" w:type="dxa"/>
            <w:vAlign w:val="bottom"/>
            <w:shd w:val="clear" w:color="auto" w:fill="D0EBF2"/>
          </w:tcPr>
          <w:p>
            <w:pPr>
              <w:jc w:val="center"/>
              <w:spacing w:after="0" w:line="217" w:lineRule="exact"/>
              <w:rPr>
                <w:sz w:val="20"/>
                <w:szCs w:val="20"/>
                <w:color w:val="auto"/>
              </w:rPr>
            </w:pPr>
            <w:r>
              <w:rPr>
                <w:rFonts w:ascii="Arial" w:cs="Arial" w:eastAsia="Arial" w:hAnsi="Arial"/>
                <w:sz w:val="19"/>
                <w:szCs w:val="19"/>
                <w:color w:val="231F20"/>
                <w:w w:val="99"/>
              </w:rPr>
              <w:t>Compensation</w:t>
            </w:r>
          </w:p>
        </w:tc>
        <w:tc>
          <w:tcPr>
            <w:tcW w:w="22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900" w:type="dxa"/>
            <w:vAlign w:val="bottom"/>
            <w:shd w:val="clear" w:color="auto" w:fill="D0EBF2"/>
          </w:tcPr>
          <w:p>
            <w:pPr>
              <w:jc w:val="center"/>
              <w:spacing w:after="0" w:line="217" w:lineRule="exact"/>
              <w:rPr>
                <w:sz w:val="20"/>
                <w:szCs w:val="20"/>
                <w:color w:val="auto"/>
              </w:rPr>
            </w:pPr>
            <w:r>
              <w:rPr>
                <w:rFonts w:ascii="Arial" w:cs="Arial" w:eastAsia="Arial" w:hAnsi="Arial"/>
                <w:sz w:val="19"/>
                <w:szCs w:val="19"/>
                <w:color w:val="231F20"/>
                <w:w w:val="98"/>
              </w:rPr>
              <w:t>Upon Exercise</w:t>
            </w:r>
          </w:p>
        </w:tc>
        <w:tc>
          <w:tcPr>
            <w:tcW w:w="100" w:type="dxa"/>
            <w:vAlign w:val="bottom"/>
            <w:shd w:val="clear" w:color="auto" w:fill="D0EBF2"/>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2020" w:type="dxa"/>
            <w:vAlign w:val="bottom"/>
            <w:shd w:val="clear" w:color="auto" w:fill="D0EBF2"/>
          </w:tcPr>
          <w:p>
            <w:pPr>
              <w:jc w:val="center"/>
              <w:ind w:right="28"/>
              <w:spacing w:after="0" w:line="217" w:lineRule="exact"/>
              <w:rPr>
                <w:sz w:val="20"/>
                <w:szCs w:val="20"/>
                <w:color w:val="auto"/>
              </w:rPr>
            </w:pPr>
            <w:r>
              <w:rPr>
                <w:rFonts w:ascii="Arial" w:cs="Arial" w:eastAsia="Arial" w:hAnsi="Arial"/>
                <w:sz w:val="19"/>
                <w:szCs w:val="19"/>
                <w:color w:val="231F20"/>
                <w:w w:val="99"/>
              </w:rPr>
              <w:t>Outstanding</w:t>
            </w:r>
          </w:p>
        </w:tc>
        <w:tc>
          <w:tcPr>
            <w:tcW w:w="140" w:type="dxa"/>
            <w:vAlign w:val="bottom"/>
            <w:shd w:val="clear" w:color="auto" w:fill="FDFDFC"/>
          </w:tcPr>
          <w:p>
            <w:pPr>
              <w:spacing w:after="0"/>
              <w:rPr>
                <w:sz w:val="18"/>
                <w:szCs w:val="18"/>
                <w:color w:val="auto"/>
              </w:rPr>
            </w:pPr>
          </w:p>
        </w:tc>
        <w:tc>
          <w:tcPr>
            <w:tcW w:w="2020" w:type="dxa"/>
            <w:vAlign w:val="bottom"/>
            <w:shd w:val="clear" w:color="auto" w:fill="D0EBF2"/>
          </w:tcPr>
          <w:p>
            <w:pPr>
              <w:jc w:val="center"/>
              <w:ind w:right="7"/>
              <w:spacing w:after="0" w:line="217" w:lineRule="exact"/>
              <w:rPr>
                <w:sz w:val="20"/>
                <w:szCs w:val="20"/>
                <w:color w:val="auto"/>
              </w:rPr>
            </w:pPr>
            <w:r>
              <w:rPr>
                <w:rFonts w:ascii="Arial" w:cs="Arial" w:eastAsia="Arial" w:hAnsi="Arial"/>
                <w:sz w:val="19"/>
                <w:szCs w:val="19"/>
                <w:color w:val="231F20"/>
                <w:w w:val="98"/>
              </w:rPr>
              <w:t>Plans (Excluding</w:t>
            </w:r>
          </w:p>
        </w:tc>
        <w:tc>
          <w:tcPr>
            <w:tcW w:w="22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900" w:type="dxa"/>
            <w:vAlign w:val="bottom"/>
            <w:shd w:val="clear" w:color="auto" w:fill="D0EBF2"/>
          </w:tcPr>
          <w:p>
            <w:pPr>
              <w:jc w:val="center"/>
              <w:spacing w:after="0" w:line="217" w:lineRule="exact"/>
              <w:rPr>
                <w:sz w:val="20"/>
                <w:szCs w:val="20"/>
                <w:color w:val="auto"/>
              </w:rPr>
            </w:pPr>
            <w:r>
              <w:rPr>
                <w:rFonts w:ascii="Arial" w:cs="Arial" w:eastAsia="Arial" w:hAnsi="Arial"/>
                <w:sz w:val="19"/>
                <w:szCs w:val="19"/>
                <w:color w:val="231F20"/>
                <w:w w:val="98"/>
              </w:rPr>
              <w:t>of Outstanding</w:t>
            </w:r>
          </w:p>
        </w:tc>
        <w:tc>
          <w:tcPr>
            <w:tcW w:w="100" w:type="dxa"/>
            <w:vAlign w:val="bottom"/>
            <w:shd w:val="clear" w:color="auto" w:fill="D0EBF2"/>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2020" w:type="dxa"/>
            <w:vAlign w:val="bottom"/>
            <w:shd w:val="clear" w:color="auto" w:fill="D0EBF2"/>
          </w:tcPr>
          <w:p>
            <w:pPr>
              <w:jc w:val="center"/>
              <w:ind w:right="28"/>
              <w:spacing w:after="0" w:line="217" w:lineRule="exact"/>
              <w:rPr>
                <w:sz w:val="20"/>
                <w:szCs w:val="20"/>
                <w:color w:val="auto"/>
              </w:rPr>
            </w:pPr>
            <w:r>
              <w:rPr>
                <w:rFonts w:ascii="Arial" w:cs="Arial" w:eastAsia="Arial" w:hAnsi="Arial"/>
                <w:sz w:val="19"/>
                <w:szCs w:val="19"/>
                <w:color w:val="231F20"/>
                <w:w w:val="98"/>
              </w:rPr>
              <w:t>Options,</w:t>
            </w:r>
          </w:p>
        </w:tc>
        <w:tc>
          <w:tcPr>
            <w:tcW w:w="140" w:type="dxa"/>
            <w:vAlign w:val="bottom"/>
            <w:shd w:val="clear" w:color="auto" w:fill="FDFDFC"/>
          </w:tcPr>
          <w:p>
            <w:pPr>
              <w:spacing w:after="0"/>
              <w:rPr>
                <w:sz w:val="18"/>
                <w:szCs w:val="18"/>
                <w:color w:val="auto"/>
              </w:rPr>
            </w:pPr>
          </w:p>
        </w:tc>
        <w:tc>
          <w:tcPr>
            <w:tcW w:w="2020" w:type="dxa"/>
            <w:vAlign w:val="bottom"/>
            <w:shd w:val="clear" w:color="auto" w:fill="D0EBF2"/>
          </w:tcPr>
          <w:p>
            <w:pPr>
              <w:jc w:val="center"/>
              <w:ind w:right="7"/>
              <w:spacing w:after="0" w:line="217" w:lineRule="exact"/>
              <w:rPr>
                <w:sz w:val="20"/>
                <w:szCs w:val="20"/>
                <w:color w:val="auto"/>
              </w:rPr>
            </w:pPr>
            <w:r>
              <w:rPr>
                <w:rFonts w:ascii="Arial" w:cs="Arial" w:eastAsia="Arial" w:hAnsi="Arial"/>
                <w:sz w:val="19"/>
                <w:szCs w:val="19"/>
                <w:color w:val="231F20"/>
              </w:rPr>
              <w:t>Securities</w:t>
            </w:r>
          </w:p>
        </w:tc>
        <w:tc>
          <w:tcPr>
            <w:tcW w:w="22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vMerge w:val="restart"/>
            <w:shd w:val="clear" w:color="auto" w:fill="FDFDFC"/>
          </w:tcPr>
          <w:p>
            <w:pPr>
              <w:spacing w:after="0"/>
              <w:rPr>
                <w:sz w:val="20"/>
                <w:szCs w:val="20"/>
                <w:color w:val="auto"/>
              </w:rPr>
            </w:pPr>
            <w:r>
              <w:rPr>
                <w:rFonts w:ascii="Arial" w:cs="Arial" w:eastAsia="Arial" w:hAnsi="Arial"/>
                <w:sz w:val="19"/>
                <w:szCs w:val="19"/>
                <w:b w:val="1"/>
                <w:bCs w:val="1"/>
                <w:color w:val="231F20"/>
              </w:rPr>
              <w:t>Plan Category</w:t>
            </w:r>
          </w:p>
        </w:tc>
        <w:tc>
          <w:tcPr>
            <w:tcW w:w="160" w:type="dxa"/>
            <w:vAlign w:val="bottom"/>
            <w:shd w:val="clear" w:color="auto" w:fill="FDFDFC"/>
          </w:tcPr>
          <w:p>
            <w:pPr>
              <w:spacing w:after="0"/>
              <w:rPr>
                <w:sz w:val="18"/>
                <w:szCs w:val="18"/>
                <w:color w:val="auto"/>
              </w:rPr>
            </w:pPr>
          </w:p>
        </w:tc>
        <w:tc>
          <w:tcPr>
            <w:tcW w:w="1900" w:type="dxa"/>
            <w:vAlign w:val="bottom"/>
            <w:shd w:val="clear" w:color="auto" w:fill="D0EBF2"/>
          </w:tcPr>
          <w:p>
            <w:pPr>
              <w:jc w:val="center"/>
              <w:spacing w:after="0" w:line="217" w:lineRule="exact"/>
              <w:rPr>
                <w:sz w:val="20"/>
                <w:szCs w:val="20"/>
                <w:color w:val="auto"/>
              </w:rPr>
            </w:pPr>
            <w:r>
              <w:rPr>
                <w:rFonts w:ascii="Arial" w:cs="Arial" w:eastAsia="Arial" w:hAnsi="Arial"/>
                <w:sz w:val="19"/>
                <w:szCs w:val="19"/>
                <w:color w:val="231F20"/>
                <w:w w:val="99"/>
              </w:rPr>
              <w:t>Options, Warrants,</w:t>
            </w:r>
          </w:p>
        </w:tc>
        <w:tc>
          <w:tcPr>
            <w:tcW w:w="100" w:type="dxa"/>
            <w:vAlign w:val="bottom"/>
            <w:shd w:val="clear" w:color="auto" w:fill="D0EBF2"/>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2020" w:type="dxa"/>
            <w:vAlign w:val="bottom"/>
            <w:shd w:val="clear" w:color="auto" w:fill="D0EBF2"/>
          </w:tcPr>
          <w:p>
            <w:pPr>
              <w:jc w:val="center"/>
              <w:ind w:right="28"/>
              <w:spacing w:after="0" w:line="217" w:lineRule="exact"/>
              <w:rPr>
                <w:sz w:val="20"/>
                <w:szCs w:val="20"/>
                <w:color w:val="auto"/>
              </w:rPr>
            </w:pPr>
            <w:r>
              <w:rPr>
                <w:rFonts w:ascii="Arial" w:cs="Arial" w:eastAsia="Arial" w:hAnsi="Arial"/>
                <w:sz w:val="19"/>
                <w:szCs w:val="19"/>
                <w:color w:val="231F20"/>
                <w:w w:val="98"/>
              </w:rPr>
              <w:t>Warrants, and</w:t>
            </w:r>
          </w:p>
        </w:tc>
        <w:tc>
          <w:tcPr>
            <w:tcW w:w="140" w:type="dxa"/>
            <w:vAlign w:val="bottom"/>
            <w:shd w:val="clear" w:color="auto" w:fill="FDFDFC"/>
          </w:tcPr>
          <w:p>
            <w:pPr>
              <w:spacing w:after="0"/>
              <w:rPr>
                <w:sz w:val="18"/>
                <w:szCs w:val="18"/>
                <w:color w:val="auto"/>
              </w:rPr>
            </w:pPr>
          </w:p>
        </w:tc>
        <w:tc>
          <w:tcPr>
            <w:tcW w:w="2020" w:type="dxa"/>
            <w:vAlign w:val="bottom"/>
            <w:shd w:val="clear" w:color="auto" w:fill="D0EBF2"/>
          </w:tcPr>
          <w:p>
            <w:pPr>
              <w:jc w:val="center"/>
              <w:ind w:right="7"/>
              <w:spacing w:after="0" w:line="217" w:lineRule="exact"/>
              <w:rPr>
                <w:sz w:val="20"/>
                <w:szCs w:val="20"/>
                <w:color w:val="auto"/>
              </w:rPr>
            </w:pPr>
            <w:r>
              <w:rPr>
                <w:rFonts w:ascii="Arial" w:cs="Arial" w:eastAsia="Arial" w:hAnsi="Arial"/>
                <w:sz w:val="19"/>
                <w:szCs w:val="19"/>
                <w:color w:val="231F20"/>
                <w:w w:val="99"/>
              </w:rPr>
              <w:t>Reflected in</w:t>
            </w:r>
          </w:p>
        </w:tc>
        <w:tc>
          <w:tcPr>
            <w:tcW w:w="22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480" w:type="dxa"/>
            <w:vAlign w:val="bottom"/>
            <w:vMerge w:val="continue"/>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1900" w:type="dxa"/>
            <w:vAlign w:val="bottom"/>
            <w:shd w:val="clear" w:color="auto" w:fill="D0EBF2"/>
          </w:tcPr>
          <w:p>
            <w:pPr>
              <w:jc w:val="center"/>
              <w:spacing w:after="0"/>
              <w:rPr>
                <w:sz w:val="20"/>
                <w:szCs w:val="20"/>
                <w:color w:val="auto"/>
              </w:rPr>
            </w:pPr>
            <w:r>
              <w:rPr>
                <w:rFonts w:ascii="Arial" w:cs="Arial" w:eastAsia="Arial" w:hAnsi="Arial"/>
                <w:sz w:val="19"/>
                <w:szCs w:val="19"/>
                <w:color w:val="231F20"/>
                <w:w w:val="99"/>
              </w:rPr>
              <w:t>and Rights</w:t>
            </w:r>
          </w:p>
        </w:tc>
        <w:tc>
          <w:tcPr>
            <w:tcW w:w="100" w:type="dxa"/>
            <w:vAlign w:val="bottom"/>
            <w:shd w:val="clear" w:color="auto" w:fill="D0EBF2"/>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2020" w:type="dxa"/>
            <w:vAlign w:val="bottom"/>
            <w:shd w:val="clear" w:color="auto" w:fill="D0EBF2"/>
          </w:tcPr>
          <w:p>
            <w:pPr>
              <w:jc w:val="center"/>
              <w:ind w:right="28"/>
              <w:spacing w:after="0"/>
              <w:rPr>
                <w:sz w:val="20"/>
                <w:szCs w:val="20"/>
                <w:color w:val="auto"/>
              </w:rPr>
            </w:pPr>
            <w:r>
              <w:rPr>
                <w:rFonts w:ascii="Arial" w:cs="Arial" w:eastAsia="Arial" w:hAnsi="Arial"/>
                <w:sz w:val="19"/>
                <w:szCs w:val="19"/>
                <w:color w:val="231F20"/>
              </w:rPr>
              <w:t>Rights</w:t>
            </w:r>
          </w:p>
        </w:tc>
        <w:tc>
          <w:tcPr>
            <w:tcW w:w="140" w:type="dxa"/>
            <w:vAlign w:val="bottom"/>
            <w:shd w:val="clear" w:color="auto" w:fill="FDFDFC"/>
          </w:tcPr>
          <w:p>
            <w:pPr>
              <w:spacing w:after="0"/>
              <w:rPr>
                <w:sz w:val="20"/>
                <w:szCs w:val="20"/>
                <w:color w:val="auto"/>
              </w:rPr>
            </w:pPr>
          </w:p>
        </w:tc>
        <w:tc>
          <w:tcPr>
            <w:tcW w:w="2020" w:type="dxa"/>
            <w:vAlign w:val="bottom"/>
            <w:shd w:val="clear" w:color="auto" w:fill="D0EBF2"/>
          </w:tcPr>
          <w:p>
            <w:pPr>
              <w:jc w:val="center"/>
              <w:ind w:right="7"/>
              <w:spacing w:after="0"/>
              <w:rPr>
                <w:sz w:val="20"/>
                <w:szCs w:val="20"/>
                <w:color w:val="auto"/>
              </w:rPr>
            </w:pPr>
            <w:r>
              <w:rPr>
                <w:rFonts w:ascii="Arial" w:cs="Arial" w:eastAsia="Arial" w:hAnsi="Arial"/>
                <w:sz w:val="19"/>
                <w:szCs w:val="19"/>
                <w:color w:val="231F20"/>
                <w:w w:val="99"/>
              </w:rPr>
              <w:t>Column (A)</w:t>
            </w:r>
          </w:p>
        </w:tc>
        <w:tc>
          <w:tcPr>
            <w:tcW w:w="22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480" w:type="dxa"/>
            <w:vAlign w:val="bottom"/>
            <w:shd w:val="clear" w:color="auto" w:fill="FDFDFC"/>
          </w:tcPr>
          <w:p>
            <w:pPr>
              <w:spacing w:after="0" w:line="200" w:lineRule="exact"/>
              <w:rPr>
                <w:sz w:val="20"/>
                <w:szCs w:val="20"/>
                <w:color w:val="auto"/>
              </w:rPr>
            </w:pPr>
            <w:r>
              <w:rPr>
                <w:rFonts w:ascii="Arial" w:cs="Arial" w:eastAsia="Arial" w:hAnsi="Arial"/>
                <w:sz w:val="19"/>
                <w:szCs w:val="19"/>
                <w:color w:val="231F20"/>
              </w:rPr>
              <w:t>Equity compensation plans</w:t>
            </w:r>
          </w:p>
        </w:tc>
        <w:tc>
          <w:tcPr>
            <w:tcW w:w="160" w:type="dxa"/>
            <w:vAlign w:val="bottom"/>
            <w:shd w:val="clear" w:color="auto" w:fill="FDFDFC"/>
          </w:tcPr>
          <w:p>
            <w:pPr>
              <w:spacing w:after="0"/>
              <w:rPr>
                <w:sz w:val="17"/>
                <w:szCs w:val="17"/>
                <w:color w:val="auto"/>
              </w:rPr>
            </w:pPr>
          </w:p>
        </w:tc>
        <w:tc>
          <w:tcPr>
            <w:tcW w:w="1900" w:type="dxa"/>
            <w:vAlign w:val="bottom"/>
            <w:vMerge w:val="restart"/>
            <w:shd w:val="clear" w:color="auto" w:fill="FDFDFC"/>
          </w:tcPr>
          <w:p>
            <w:pPr>
              <w:jc w:val="right"/>
              <w:spacing w:after="0"/>
              <w:rPr>
                <w:sz w:val="20"/>
                <w:szCs w:val="20"/>
                <w:color w:val="auto"/>
              </w:rPr>
            </w:pPr>
            <w:r>
              <w:rPr>
                <w:rFonts w:ascii="Arial" w:cs="Arial" w:eastAsia="Arial" w:hAnsi="Arial"/>
                <w:sz w:val="19"/>
                <w:szCs w:val="19"/>
                <w:color w:val="231F20"/>
              </w:rPr>
              <w:t>12,216,207</w:t>
            </w:r>
          </w:p>
        </w:tc>
        <w:tc>
          <w:tcPr>
            <w:tcW w:w="100" w:type="dxa"/>
            <w:vAlign w:val="bottom"/>
            <w:shd w:val="clear" w:color="auto" w:fill="FDFDFC"/>
          </w:tcPr>
          <w:p>
            <w:pPr>
              <w:spacing w:after="0"/>
              <w:rPr>
                <w:sz w:val="17"/>
                <w:szCs w:val="17"/>
                <w:color w:val="auto"/>
              </w:rPr>
            </w:pPr>
          </w:p>
        </w:tc>
        <w:tc>
          <w:tcPr>
            <w:tcW w:w="160" w:type="dxa"/>
            <w:vAlign w:val="bottom"/>
            <w:shd w:val="clear" w:color="auto" w:fill="FDFDFC"/>
          </w:tcPr>
          <w:p>
            <w:pPr>
              <w:spacing w:after="0"/>
              <w:rPr>
                <w:sz w:val="17"/>
                <w:szCs w:val="17"/>
                <w:color w:val="auto"/>
              </w:rPr>
            </w:pPr>
          </w:p>
        </w:tc>
        <w:tc>
          <w:tcPr>
            <w:tcW w:w="2160" w:type="dxa"/>
            <w:vAlign w:val="bottom"/>
            <w:gridSpan w:val="2"/>
            <w:vMerge w:val="restart"/>
            <w:shd w:val="clear" w:color="auto" w:fill="FDFDFC"/>
          </w:tcPr>
          <w:p>
            <w:pPr>
              <w:jc w:val="right"/>
              <w:spacing w:after="0"/>
              <w:rPr>
                <w:sz w:val="20"/>
                <w:szCs w:val="20"/>
                <w:color w:val="auto"/>
              </w:rPr>
            </w:pPr>
            <w:r>
              <w:rPr>
                <w:rFonts w:ascii="Arial" w:cs="Arial" w:eastAsia="Arial" w:hAnsi="Arial"/>
                <w:sz w:val="19"/>
                <w:szCs w:val="19"/>
                <w:color w:val="231F20"/>
              </w:rPr>
              <w:t xml:space="preserve">7.98 </w:t>
            </w:r>
            <w:r>
              <w:rPr>
                <w:rFonts w:ascii="Arial" w:cs="Arial" w:eastAsia="Arial" w:hAnsi="Arial"/>
                <w:sz w:val="11"/>
                <w:szCs w:val="11"/>
                <w:color w:val="231F20"/>
              </w:rPr>
              <w:t>(2)</w:t>
            </w:r>
          </w:p>
        </w:tc>
        <w:tc>
          <w:tcPr>
            <w:tcW w:w="2240" w:type="dxa"/>
            <w:vAlign w:val="bottom"/>
            <w:gridSpan w:val="2"/>
            <w:vMerge w:val="restart"/>
            <w:shd w:val="clear" w:color="auto" w:fill="FDFDFC"/>
          </w:tcPr>
          <w:p>
            <w:pPr>
              <w:jc w:val="right"/>
              <w:ind w:right="40"/>
              <w:spacing w:after="0"/>
              <w:rPr>
                <w:sz w:val="20"/>
                <w:szCs w:val="20"/>
                <w:color w:val="auto"/>
              </w:rPr>
            </w:pPr>
            <w:r>
              <w:rPr>
                <w:rFonts w:ascii="Arial" w:cs="Arial" w:eastAsia="Arial" w:hAnsi="Arial"/>
                <w:sz w:val="19"/>
                <w:szCs w:val="19"/>
                <w:color w:val="231F20"/>
              </w:rPr>
              <w:t xml:space="preserve">21,734,540  </w:t>
            </w:r>
            <w:r>
              <w:rPr>
                <w:rFonts w:ascii="Arial" w:cs="Arial" w:eastAsia="Arial" w:hAnsi="Arial"/>
                <w:sz w:val="11"/>
                <w:szCs w:val="11"/>
                <w:color w:val="231F20"/>
              </w:rPr>
              <w:t>(3)</w:t>
            </w:r>
          </w:p>
        </w:tc>
        <w:tc>
          <w:tcPr>
            <w:tcW w:w="0" w:type="dxa"/>
            <w:vAlign w:val="bottom"/>
          </w:tcPr>
          <w:p>
            <w:pPr>
              <w:spacing w:after="0"/>
              <w:rPr>
                <w:sz w:val="1"/>
                <w:szCs w:val="1"/>
                <w:color w:val="auto"/>
              </w:rPr>
            </w:pPr>
          </w:p>
        </w:tc>
      </w:tr>
      <w:tr>
        <w:trPr>
          <w:trHeight w:val="235"/>
        </w:trPr>
        <w:tc>
          <w:tcPr>
            <w:tcW w:w="3480" w:type="dxa"/>
            <w:vAlign w:val="bottom"/>
            <w:shd w:val="clear" w:color="auto" w:fill="FDFDFC"/>
          </w:tcPr>
          <w:p>
            <w:pPr>
              <w:ind w:left="160"/>
              <w:spacing w:after="0"/>
              <w:rPr>
                <w:sz w:val="20"/>
                <w:szCs w:val="20"/>
                <w:color w:val="auto"/>
              </w:rPr>
            </w:pPr>
            <w:r>
              <w:rPr>
                <w:rFonts w:ascii="Arial" w:cs="Arial" w:eastAsia="Arial" w:hAnsi="Arial"/>
                <w:sz w:val="19"/>
                <w:szCs w:val="19"/>
                <w:color w:val="231F20"/>
              </w:rPr>
              <w:t>approved by security holders</w:t>
            </w:r>
          </w:p>
        </w:tc>
        <w:tc>
          <w:tcPr>
            <w:tcW w:w="160" w:type="dxa"/>
            <w:vAlign w:val="bottom"/>
            <w:shd w:val="clear" w:color="auto" w:fill="FDFDFC"/>
          </w:tcPr>
          <w:p>
            <w:pPr>
              <w:spacing w:after="0"/>
              <w:rPr>
                <w:sz w:val="20"/>
                <w:szCs w:val="20"/>
                <w:color w:val="auto"/>
              </w:rPr>
            </w:pPr>
          </w:p>
        </w:tc>
        <w:tc>
          <w:tcPr>
            <w:tcW w:w="1900" w:type="dxa"/>
            <w:vAlign w:val="bottom"/>
            <w:vMerge w:val="continue"/>
            <w:shd w:val="clear" w:color="auto" w:fill="FDFDFC"/>
          </w:tcPr>
          <w:p>
            <w:pPr>
              <w:spacing w:after="0"/>
              <w:rPr>
                <w:sz w:val="20"/>
                <w:szCs w:val="20"/>
                <w:color w:val="auto"/>
              </w:rPr>
            </w:pPr>
          </w:p>
        </w:tc>
        <w:tc>
          <w:tcPr>
            <w:tcW w:w="260" w:type="dxa"/>
            <w:vAlign w:val="bottom"/>
            <w:gridSpan w:val="2"/>
            <w:shd w:val="clear" w:color="auto" w:fill="FDFDFC"/>
          </w:tcPr>
          <w:p>
            <w:pPr>
              <w:jc w:val="right"/>
              <w:spacing w:after="0"/>
              <w:rPr>
                <w:sz w:val="20"/>
                <w:szCs w:val="20"/>
                <w:color w:val="auto"/>
              </w:rPr>
            </w:pPr>
            <w:r>
              <w:rPr>
                <w:rFonts w:ascii="Arial" w:cs="Arial" w:eastAsia="Arial" w:hAnsi="Arial"/>
                <w:sz w:val="11"/>
                <w:szCs w:val="11"/>
                <w:color w:val="231F20"/>
              </w:rPr>
              <w:t>(1)</w:t>
            </w:r>
          </w:p>
        </w:tc>
        <w:tc>
          <w:tcPr>
            <w:tcW w:w="2160" w:type="dxa"/>
            <w:vAlign w:val="bottom"/>
            <w:gridSpan w:val="2"/>
            <w:vMerge w:val="continue"/>
            <w:shd w:val="clear" w:color="auto" w:fill="FDFDFC"/>
          </w:tcPr>
          <w:p>
            <w:pPr>
              <w:spacing w:after="0"/>
              <w:rPr>
                <w:sz w:val="20"/>
                <w:szCs w:val="20"/>
                <w:color w:val="auto"/>
              </w:rPr>
            </w:pPr>
          </w:p>
        </w:tc>
        <w:tc>
          <w:tcPr>
            <w:tcW w:w="2240" w:type="dxa"/>
            <w:vAlign w:val="bottom"/>
            <w:gridSpan w:val="2"/>
            <w:vMerge w:val="continue"/>
            <w:shd w:val="clear" w:color="auto" w:fill="FDFDFC"/>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160"/>
        <w:spacing w:after="0" w:line="251" w:lineRule="auto"/>
        <w:tabs>
          <w:tab w:leader="none" w:pos="227" w:val="left"/>
        </w:tabs>
        <w:numPr>
          <w:ilvl w:val="0"/>
          <w:numId w:val="63"/>
        </w:numPr>
        <w:rPr>
          <w:rFonts w:ascii="Arial" w:cs="Arial" w:eastAsia="Arial" w:hAnsi="Arial"/>
          <w:sz w:val="15"/>
          <w:szCs w:val="15"/>
          <w:color w:val="231F20"/>
        </w:rPr>
      </w:pPr>
      <w:r>
        <w:rPr>
          <w:rFonts w:ascii="Arial" w:cs="Arial" w:eastAsia="Arial" w:hAnsi="Arial"/>
          <w:sz w:val="15"/>
          <w:szCs w:val="15"/>
          <w:color w:val="231F20"/>
        </w:rPr>
        <w:t>Of these shares, 6,016,838 were underlying then outstanding restricted stock units and 529,897 were subject to options then outstanding under the 2021 Plan; 4,868,236 were subject to options then outstanding under the 2018 Plan; and 801,236 were subject to options then outstanding under the 2009 Plan.</w:t>
      </w:r>
    </w:p>
    <w:p>
      <w:pPr>
        <w:ind w:left="220" w:hanging="220"/>
        <w:spacing w:after="0"/>
        <w:tabs>
          <w:tab w:leader="none" w:pos="220" w:val="left"/>
        </w:tabs>
        <w:numPr>
          <w:ilvl w:val="0"/>
          <w:numId w:val="63"/>
        </w:numPr>
        <w:rPr>
          <w:rFonts w:ascii="Arial" w:cs="Arial" w:eastAsia="Arial" w:hAnsi="Arial"/>
          <w:sz w:val="15"/>
          <w:szCs w:val="15"/>
          <w:color w:val="231F20"/>
        </w:rPr>
      </w:pPr>
      <w:r>
        <w:rPr>
          <w:rFonts w:ascii="Arial" w:cs="Arial" w:eastAsia="Arial" w:hAnsi="Arial"/>
          <w:sz w:val="15"/>
          <w:szCs w:val="15"/>
          <w:color w:val="231F20"/>
        </w:rPr>
        <w:t>Does not take into account restricted stock units, which have no exercise price.</w:t>
      </w:r>
    </w:p>
    <w:p>
      <w:pPr>
        <w:spacing w:after="0" w:line="1" w:lineRule="exact"/>
        <w:rPr>
          <w:rFonts w:ascii="Arial" w:cs="Arial" w:eastAsia="Arial" w:hAnsi="Arial"/>
          <w:sz w:val="15"/>
          <w:szCs w:val="15"/>
          <w:color w:val="231F20"/>
        </w:rPr>
      </w:pPr>
    </w:p>
    <w:p>
      <w:pPr>
        <w:ind w:right="120"/>
        <w:spacing w:after="0" w:line="243" w:lineRule="auto"/>
        <w:tabs>
          <w:tab w:leader="none" w:pos="227" w:val="left"/>
        </w:tabs>
        <w:numPr>
          <w:ilvl w:val="0"/>
          <w:numId w:val="63"/>
        </w:numPr>
        <w:rPr>
          <w:rFonts w:ascii="Arial" w:cs="Arial" w:eastAsia="Arial" w:hAnsi="Arial"/>
          <w:sz w:val="15"/>
          <w:szCs w:val="15"/>
          <w:color w:val="231F20"/>
        </w:rPr>
      </w:pPr>
      <w:r>
        <w:rPr>
          <w:rFonts w:ascii="Arial" w:cs="Arial" w:eastAsia="Arial" w:hAnsi="Arial"/>
          <w:sz w:val="15"/>
          <w:szCs w:val="15"/>
          <w:color w:val="231F20"/>
        </w:rPr>
        <w:t>Represents 17,135,599 shares of common stock available for issuance under our 2021 Plan and 4,598,941 shares of common stock available for issuance under our ESPP. No shares are available for future issuance under our 2009 Plan or 2018 Plan. Our 2021 Plan provides for annual increases in the number of shares available for issuance thereunder on the first day of each fiscal year equal to the lower of: (a) 5% of the total number of shares of common stock and non-voting common stock outstanding on the last business day of the prior fiscal year; or (b) such other amount as our board of directors may determine. Our ESPP provides for annual increases in the number of shares available for issuance thereunder on the first day of each fiscal year equal to the least of: (x) 2,000,000 shares; (y) 1% of the shares of common stock and non-voting common stock issued and outstanding on the last business day of the prior fiscal year; or (z) the number of shares determined by our board of directors. On January 1, 2025, an additional 6,202,810 shares became available for future issuance under the 2021 Plan and an additional 1,240,562 shares became available for future issuance under the ESPP. The additional shares from the annual increase on January 1, 2025 are not included in the table above.</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153</w:t>
      </w:r>
    </w:p>
    <w:p>
      <w:pPr>
        <w:sectPr>
          <w:pgSz w:w="12240" w:h="15840" w:orient="portrait"/>
          <w:cols w:equalWidth="0" w:num="1">
            <w:col w:w="10200"/>
          </w:cols>
          <w:pgMar w:left="1020" w:top="1440" w:right="1020" w:bottom="572" w:gutter="0" w:footer="0" w:header="0"/>
          <w:type w:val="continuous"/>
        </w:sectPr>
      </w:pPr>
    </w:p>
    <w:bookmarkStart w:id="154" w:name="page155"/>
    <w:bookmarkEnd w:id="154"/>
    <w:p>
      <w:pPr>
        <w:spacing w:after="0" w:line="97" w:lineRule="exact"/>
        <w:rPr>
          <w:sz w:val="20"/>
          <w:szCs w:val="20"/>
          <w:color w:val="auto"/>
        </w:rPr>
      </w:pPr>
    </w:p>
    <w:p>
      <w:pPr>
        <w:jc w:val="both"/>
        <w:ind w:right="100" w:firstLine="463"/>
        <w:spacing w:after="0" w:line="258" w:lineRule="auto"/>
        <w:rPr>
          <w:sz w:val="20"/>
          <w:szCs w:val="20"/>
          <w:color w:val="auto"/>
        </w:rPr>
      </w:pPr>
      <w:r>
        <w:rPr>
          <w:rFonts w:ascii="Arial" w:cs="Arial" w:eastAsia="Arial" w:hAnsi="Arial"/>
          <w:sz w:val="19"/>
          <w:szCs w:val="19"/>
          <w:color w:val="231F20"/>
        </w:rPr>
        <w:t>The information required under this item not otherwise provided herein is incorporated herein by reference to the Company’s definitive proxy statement pursuant to Regulation 14A, which proxy statement will be filed with the SEC not later than 120 days after the close of the Company’s fiscal year ended December 31, 2024.</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13. Certain Relationships and Related Transactions, and Director Independence</w:t>
      </w:r>
    </w:p>
    <w:p>
      <w:pPr>
        <w:spacing w:after="0" w:line="192"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2024.</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14. Principal Accounting Fees and Services</w:t>
      </w:r>
    </w:p>
    <w:p>
      <w:pPr>
        <w:spacing w:after="0" w:line="192" w:lineRule="exact"/>
        <w:rPr>
          <w:sz w:val="20"/>
          <w:szCs w:val="20"/>
          <w:color w:val="auto"/>
        </w:rPr>
      </w:pPr>
    </w:p>
    <w:p>
      <w:pPr>
        <w:ind w:firstLine="463"/>
        <w:spacing w:after="0" w:line="258" w:lineRule="auto"/>
        <w:rPr>
          <w:sz w:val="20"/>
          <w:szCs w:val="20"/>
          <w:color w:val="auto"/>
        </w:rPr>
      </w:pPr>
      <w:r>
        <w:rPr>
          <w:rFonts w:ascii="Arial" w:cs="Arial" w:eastAsia="Arial" w:hAnsi="Arial"/>
          <w:sz w:val="19"/>
          <w:szCs w:val="19"/>
          <w:color w:val="231F20"/>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2024.</w:t>
      </w:r>
    </w:p>
    <w:p>
      <w:pPr>
        <w:sectPr>
          <w:pgSz w:w="12240" w:h="15840" w:orient="portrait"/>
          <w:cols w:equalWidth="0" w:num="1">
            <w:col w:w="10000"/>
          </w:cols>
          <w:pgMar w:left="1020" w:top="1440" w:right="12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231F20"/>
        </w:rPr>
        <w:t>154</w:t>
      </w:r>
    </w:p>
    <w:p>
      <w:pPr>
        <w:sectPr>
          <w:pgSz w:w="12240" w:h="15840" w:orient="portrait"/>
          <w:cols w:equalWidth="0" w:num="1">
            <w:col w:w="10000"/>
          </w:cols>
          <w:pgMar w:left="1020" w:top="1440" w:right="1220" w:bottom="572" w:gutter="0" w:footer="0" w:header="0"/>
          <w:type w:val="continuous"/>
        </w:sectPr>
      </w:pPr>
    </w:p>
    <w:bookmarkStart w:id="155" w:name="page156"/>
    <w:bookmarkEnd w:id="155"/>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PART IV</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15. Exhibits, Financial Statement Schedules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9"/>
          <w:szCs w:val="19"/>
          <w:color w:val="231F20"/>
        </w:rPr>
        <w:t>The following documents are filed as a part of this Annual Report on Form 10-K:</w:t>
      </w:r>
    </w:p>
    <w:p>
      <w:pPr>
        <w:spacing w:after="0" w:line="112" w:lineRule="exact"/>
        <w:rPr>
          <w:sz w:val="20"/>
          <w:szCs w:val="20"/>
          <w:color w:val="auto"/>
        </w:rPr>
      </w:pPr>
    </w:p>
    <w:p>
      <w:pPr>
        <w:ind w:left="920" w:hanging="458"/>
        <w:spacing w:after="0"/>
        <w:tabs>
          <w:tab w:leader="none" w:pos="920" w:val="left"/>
        </w:tabs>
        <w:numPr>
          <w:ilvl w:val="0"/>
          <w:numId w:val="64"/>
        </w:numPr>
        <w:rPr>
          <w:rFonts w:ascii="Arial" w:cs="Arial" w:eastAsia="Arial" w:hAnsi="Arial"/>
          <w:sz w:val="19"/>
          <w:szCs w:val="19"/>
          <w:color w:val="231F20"/>
        </w:rPr>
      </w:pPr>
      <w:r>
        <w:rPr>
          <w:rFonts w:ascii="Arial" w:cs="Arial" w:eastAsia="Arial" w:hAnsi="Arial"/>
          <w:sz w:val="19"/>
          <w:szCs w:val="19"/>
          <w:color w:val="231F20"/>
        </w:rPr>
        <w:t>Consolidated Financial Statements</w:t>
      </w:r>
    </w:p>
    <w:p>
      <w:pPr>
        <w:spacing w:after="0" w:line="187" w:lineRule="exact"/>
        <w:rPr>
          <w:rFonts w:ascii="Arial" w:cs="Arial" w:eastAsia="Arial" w:hAnsi="Arial"/>
          <w:sz w:val="19"/>
          <w:szCs w:val="19"/>
          <w:color w:val="231F20"/>
        </w:rPr>
      </w:pPr>
    </w:p>
    <w:p>
      <w:pPr>
        <w:ind w:left="920" w:right="500"/>
        <w:spacing w:after="0" w:line="278" w:lineRule="auto"/>
        <w:rPr>
          <w:rFonts w:ascii="Arial" w:cs="Arial" w:eastAsia="Arial" w:hAnsi="Arial"/>
          <w:sz w:val="19"/>
          <w:szCs w:val="19"/>
          <w:color w:val="231F20"/>
        </w:rPr>
      </w:pPr>
      <w:r>
        <w:rPr>
          <w:rFonts w:ascii="Arial" w:cs="Arial" w:eastAsia="Arial" w:hAnsi="Arial"/>
          <w:sz w:val="19"/>
          <w:szCs w:val="19"/>
          <w:color w:val="231F20"/>
        </w:rPr>
        <w:t>The consolidated financial statements are filed as part of this Annual Report on Form 10-K under “Item 8. Financial Statements and Supplementary Data.”</w:t>
      </w:r>
    </w:p>
    <w:p>
      <w:pPr>
        <w:spacing w:after="0" w:line="41" w:lineRule="exact"/>
        <w:rPr>
          <w:rFonts w:ascii="Arial" w:cs="Arial" w:eastAsia="Arial" w:hAnsi="Arial"/>
          <w:sz w:val="19"/>
          <w:szCs w:val="19"/>
          <w:color w:val="231F20"/>
        </w:rPr>
      </w:pPr>
    </w:p>
    <w:p>
      <w:pPr>
        <w:ind w:left="920" w:hanging="458"/>
        <w:spacing w:after="0"/>
        <w:tabs>
          <w:tab w:leader="none" w:pos="920" w:val="left"/>
        </w:tabs>
        <w:numPr>
          <w:ilvl w:val="0"/>
          <w:numId w:val="64"/>
        </w:numPr>
        <w:rPr>
          <w:rFonts w:ascii="Arial" w:cs="Arial" w:eastAsia="Arial" w:hAnsi="Arial"/>
          <w:sz w:val="19"/>
          <w:szCs w:val="19"/>
          <w:color w:val="231F20"/>
        </w:rPr>
      </w:pPr>
      <w:r>
        <w:rPr>
          <w:rFonts w:ascii="Arial" w:cs="Arial" w:eastAsia="Arial" w:hAnsi="Arial"/>
          <w:sz w:val="19"/>
          <w:szCs w:val="19"/>
          <w:color w:val="231F20"/>
        </w:rPr>
        <w:t>Financial Statement Schedules</w:t>
      </w:r>
    </w:p>
    <w:p>
      <w:pPr>
        <w:spacing w:after="0" w:line="187" w:lineRule="exact"/>
        <w:rPr>
          <w:rFonts w:ascii="Arial" w:cs="Arial" w:eastAsia="Arial" w:hAnsi="Arial"/>
          <w:sz w:val="19"/>
          <w:szCs w:val="19"/>
          <w:color w:val="231F20"/>
        </w:rPr>
      </w:pPr>
    </w:p>
    <w:p>
      <w:pPr>
        <w:ind w:left="920" w:right="640"/>
        <w:spacing w:after="0" w:line="258" w:lineRule="auto"/>
        <w:rPr>
          <w:rFonts w:ascii="Arial" w:cs="Arial" w:eastAsia="Arial" w:hAnsi="Arial"/>
          <w:sz w:val="19"/>
          <w:szCs w:val="19"/>
          <w:color w:val="231F20"/>
        </w:rPr>
      </w:pPr>
      <w:r>
        <w:rPr>
          <w:rFonts w:ascii="Arial" w:cs="Arial" w:eastAsia="Arial" w:hAnsi="Arial"/>
          <w:sz w:val="19"/>
          <w:szCs w:val="19"/>
          <w:color w:val="231F20"/>
        </w:rPr>
        <w:t>All financial statement schedules have been omitted as the information is not required under the related instructions or is not applicable or because the information required is already included in the financial statements or in the notes to those financial statements.</w:t>
      </w:r>
    </w:p>
    <w:p>
      <w:pPr>
        <w:spacing w:after="0" w:line="60" w:lineRule="exact"/>
        <w:rPr>
          <w:rFonts w:ascii="Arial" w:cs="Arial" w:eastAsia="Arial" w:hAnsi="Arial"/>
          <w:sz w:val="19"/>
          <w:szCs w:val="19"/>
          <w:color w:val="231F20"/>
        </w:rPr>
      </w:pPr>
    </w:p>
    <w:p>
      <w:pPr>
        <w:ind w:left="920" w:hanging="458"/>
        <w:spacing w:after="0"/>
        <w:tabs>
          <w:tab w:leader="none" w:pos="920" w:val="left"/>
        </w:tabs>
        <w:numPr>
          <w:ilvl w:val="0"/>
          <w:numId w:val="64"/>
        </w:numPr>
        <w:rPr>
          <w:rFonts w:ascii="Arial" w:cs="Arial" w:eastAsia="Arial" w:hAnsi="Arial"/>
          <w:sz w:val="19"/>
          <w:szCs w:val="19"/>
          <w:color w:val="231F20"/>
        </w:rPr>
      </w:pPr>
      <w:r>
        <w:rPr>
          <w:rFonts w:ascii="Arial" w:cs="Arial" w:eastAsia="Arial" w:hAnsi="Arial"/>
          <w:sz w:val="19"/>
          <w:szCs w:val="19"/>
          <w:color w:val="231F20"/>
        </w:rPr>
        <w:t>Exhibits</w:t>
      </w:r>
    </w:p>
    <w:p>
      <w:pPr>
        <w:spacing w:after="0" w:line="187" w:lineRule="exact"/>
        <w:rPr>
          <w:rFonts w:ascii="Arial" w:cs="Arial" w:eastAsia="Arial" w:hAnsi="Arial"/>
          <w:sz w:val="19"/>
          <w:szCs w:val="19"/>
          <w:color w:val="231F20"/>
        </w:rPr>
      </w:pPr>
    </w:p>
    <w:p>
      <w:pPr>
        <w:ind w:left="920" w:right="180"/>
        <w:spacing w:after="0" w:line="278" w:lineRule="auto"/>
        <w:rPr>
          <w:rFonts w:ascii="Arial" w:cs="Arial" w:eastAsia="Arial" w:hAnsi="Arial"/>
          <w:sz w:val="19"/>
          <w:szCs w:val="19"/>
          <w:color w:val="231F20"/>
        </w:rPr>
      </w:pPr>
      <w:r>
        <w:rPr>
          <w:rFonts w:ascii="Arial" w:cs="Arial" w:eastAsia="Arial" w:hAnsi="Arial"/>
          <w:sz w:val="19"/>
          <w:szCs w:val="19"/>
          <w:color w:val="231F20"/>
        </w:rPr>
        <w:t>The exhibits listed in the following Exhibit Index are filed herewith as part of this Annual Report on Form 10-K or are incorporated herein by reference, in each case as indicated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ind w:left="3300"/>
              <w:spacing w:after="0"/>
              <w:rPr>
                <w:sz w:val="20"/>
                <w:szCs w:val="20"/>
                <w:color w:val="auto"/>
              </w:rPr>
            </w:pPr>
            <w:r>
              <w:rPr>
                <w:rFonts w:ascii="Arial" w:cs="Arial" w:eastAsia="Arial" w:hAnsi="Arial"/>
                <w:sz w:val="19"/>
                <w:szCs w:val="19"/>
                <w:b w:val="1"/>
                <w:bCs w:val="1"/>
                <w:color w:val="231F20"/>
              </w:rPr>
              <w:t>Exhibit Index</w:t>
            </w:r>
          </w:p>
        </w:tc>
        <w:tc>
          <w:tcPr>
            <w:tcW w:w="0" w:type="dxa"/>
            <w:vAlign w:val="bottom"/>
          </w:tcPr>
          <w:p>
            <w:pPr>
              <w:spacing w:after="0"/>
              <w:rPr>
                <w:sz w:val="1"/>
                <w:szCs w:val="1"/>
                <w:color w:val="auto"/>
              </w:rPr>
            </w:pPr>
          </w:p>
        </w:tc>
      </w:tr>
      <w:tr>
        <w:trPr>
          <w:trHeight w:val="171"/>
        </w:trPr>
        <w:tc>
          <w:tcPr>
            <w:tcW w:w="1120" w:type="dxa"/>
            <w:vAlign w:val="bottom"/>
            <w:shd w:val="clear" w:color="auto" w:fill="FDFDFC"/>
          </w:tcPr>
          <w:p>
            <w:pPr>
              <w:ind w:left="300"/>
              <w:spacing w:after="0" w:line="171" w:lineRule="exact"/>
              <w:rPr>
                <w:sz w:val="20"/>
                <w:szCs w:val="20"/>
                <w:color w:val="auto"/>
              </w:rPr>
            </w:pPr>
            <w:r>
              <w:rPr>
                <w:rFonts w:ascii="Arial" w:cs="Arial" w:eastAsia="Arial" w:hAnsi="Arial"/>
                <w:sz w:val="15"/>
                <w:szCs w:val="15"/>
                <w:b w:val="1"/>
                <w:bCs w:val="1"/>
                <w:color w:val="231F20"/>
              </w:rPr>
              <w:t>Exhibit</w:t>
            </w:r>
          </w:p>
        </w:tc>
        <w:tc>
          <w:tcPr>
            <w:tcW w:w="100" w:type="dxa"/>
            <w:vAlign w:val="bottom"/>
            <w:shd w:val="clear" w:color="auto" w:fill="FDFDFC"/>
          </w:tcPr>
          <w:p>
            <w:pPr>
              <w:spacing w:after="0"/>
              <w:rPr>
                <w:sz w:val="14"/>
                <w:szCs w:val="14"/>
                <w:color w:val="auto"/>
              </w:rPr>
            </w:pPr>
          </w:p>
        </w:tc>
        <w:tc>
          <w:tcPr>
            <w:tcW w:w="8980" w:type="dxa"/>
            <w:vAlign w:val="bottom"/>
            <w:vMerge w:val="restart"/>
            <w:shd w:val="clear" w:color="auto" w:fill="FDFDFC"/>
          </w:tcPr>
          <w:p>
            <w:pPr>
              <w:ind w:left="4060"/>
              <w:spacing w:after="0"/>
              <w:rPr>
                <w:sz w:val="20"/>
                <w:szCs w:val="20"/>
                <w:color w:val="auto"/>
              </w:rPr>
            </w:pPr>
            <w:r>
              <w:rPr>
                <w:rFonts w:ascii="Arial" w:cs="Arial" w:eastAsia="Arial" w:hAnsi="Arial"/>
                <w:sz w:val="15"/>
                <w:szCs w:val="15"/>
                <w:b w:val="1"/>
                <w:bCs w:val="1"/>
                <w:color w:val="231F20"/>
              </w:rPr>
              <w:t>Description</w:t>
            </w:r>
          </w:p>
        </w:tc>
        <w:tc>
          <w:tcPr>
            <w:tcW w:w="0" w:type="dxa"/>
            <w:vAlign w:val="bottom"/>
          </w:tcPr>
          <w:p>
            <w:pPr>
              <w:spacing w:after="0"/>
              <w:rPr>
                <w:sz w:val="1"/>
                <w:szCs w:val="1"/>
                <w:color w:val="auto"/>
              </w:rPr>
            </w:pPr>
          </w:p>
        </w:tc>
      </w:tr>
      <w:tr>
        <w:trPr>
          <w:trHeight w:val="191"/>
        </w:trPr>
        <w:tc>
          <w:tcPr>
            <w:tcW w:w="1120" w:type="dxa"/>
            <w:vAlign w:val="bottom"/>
            <w:tcBorders>
              <w:bottom w:val="single" w:sz="8" w:color="231F20"/>
            </w:tcBorders>
            <w:shd w:val="clear" w:color="auto" w:fill="FDFDFC"/>
          </w:tcPr>
          <w:p>
            <w:pPr>
              <w:ind w:left="260"/>
              <w:spacing w:after="0"/>
              <w:rPr>
                <w:sz w:val="20"/>
                <w:szCs w:val="20"/>
                <w:color w:val="auto"/>
              </w:rPr>
            </w:pPr>
            <w:r>
              <w:rPr>
                <w:rFonts w:ascii="Arial" w:cs="Arial" w:eastAsia="Arial" w:hAnsi="Arial"/>
                <w:sz w:val="15"/>
                <w:szCs w:val="15"/>
                <w:b w:val="1"/>
                <w:bCs w:val="1"/>
                <w:color w:val="231F20"/>
              </w:rPr>
              <w:t>Number</w:t>
            </w:r>
          </w:p>
        </w:tc>
        <w:tc>
          <w:tcPr>
            <w:tcW w:w="100" w:type="dxa"/>
            <w:vAlign w:val="bottom"/>
            <w:tcBorders>
              <w:bottom w:val="single" w:sz="8" w:color="FDFDFC"/>
            </w:tcBorders>
            <w:shd w:val="clear" w:color="auto" w:fill="FDFDFC"/>
          </w:tcPr>
          <w:p>
            <w:pPr>
              <w:spacing w:after="0"/>
              <w:rPr>
                <w:sz w:val="16"/>
                <w:szCs w:val="16"/>
                <w:color w:val="auto"/>
              </w:rPr>
            </w:pPr>
          </w:p>
        </w:tc>
        <w:tc>
          <w:tcPr>
            <w:tcW w:w="8980" w:type="dxa"/>
            <w:vAlign w:val="bottom"/>
            <w:tcBorders>
              <w:bottom w:val="single" w:sz="8" w:color="231F20"/>
            </w:tcBorders>
            <w:vMerge w:val="continue"/>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3.1</w:t>
            </w:r>
          </w:p>
        </w:tc>
        <w:tc>
          <w:tcPr>
            <w:tcW w:w="100" w:type="dxa"/>
            <w:vAlign w:val="bottom"/>
            <w:shd w:val="clear" w:color="auto" w:fill="FDFDFC"/>
          </w:tcPr>
          <w:p>
            <w:pPr>
              <w:spacing w:after="0"/>
              <w:rPr>
                <w:sz w:val="24"/>
                <w:szCs w:val="24"/>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Amended and Restated Certificate of Incorporation of Flywire Corporation, incorporated by reference to</w:t>
            </w:r>
          </w:p>
        </w:tc>
        <w:tc>
          <w:tcPr>
            <w:tcW w:w="0" w:type="dxa"/>
            <w:vAlign w:val="bottom"/>
          </w:tcPr>
          <w:p>
            <w:pPr>
              <w:spacing w:after="0"/>
              <w:rPr>
                <w:sz w:val="1"/>
                <w:szCs w:val="1"/>
                <w:color w:val="auto"/>
              </w:rPr>
            </w:pPr>
          </w:p>
        </w:tc>
      </w:tr>
      <w:tr>
        <w:trPr>
          <w:trHeight w:val="255"/>
        </w:trPr>
        <w:tc>
          <w:tcPr>
            <w:tcW w:w="1120" w:type="dxa"/>
            <w:vAlign w:val="bottom"/>
            <w:shd w:val="clear" w:color="auto" w:fill="FDFDFC"/>
          </w:tcPr>
          <w:p>
            <w:pPr>
              <w:spacing w:after="0"/>
              <w:rPr>
                <w:sz w:val="22"/>
                <w:szCs w:val="22"/>
                <w:color w:val="auto"/>
              </w:rPr>
            </w:pPr>
          </w:p>
        </w:tc>
        <w:tc>
          <w:tcPr>
            <w:tcW w:w="100" w:type="dxa"/>
            <w:vAlign w:val="bottom"/>
            <w:shd w:val="clear" w:color="auto" w:fill="FDFDFC"/>
          </w:tcPr>
          <w:p>
            <w:pPr>
              <w:spacing w:after="0"/>
              <w:rPr>
                <w:sz w:val="22"/>
                <w:szCs w:val="22"/>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Exhibit 3.1 to the Registrant’s Current Report on Form 8-K filed on June 1, 2021.</w:t>
            </w:r>
          </w:p>
        </w:tc>
        <w:tc>
          <w:tcPr>
            <w:tcW w:w="0" w:type="dxa"/>
            <w:vAlign w:val="bottom"/>
          </w:tcPr>
          <w:p>
            <w:pPr>
              <w:spacing w:after="0"/>
              <w:rPr>
                <w:sz w:val="1"/>
                <w:szCs w:val="1"/>
                <w:color w:val="auto"/>
              </w:rPr>
            </w:pP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3.2</w:t>
            </w:r>
          </w:p>
        </w:tc>
        <w:tc>
          <w:tcPr>
            <w:tcW w:w="100" w:type="dxa"/>
            <w:vAlign w:val="bottom"/>
            <w:shd w:val="clear" w:color="auto" w:fill="FDFDFC"/>
          </w:tcPr>
          <w:p>
            <w:pPr>
              <w:spacing w:after="0"/>
              <w:rPr>
                <w:sz w:val="24"/>
                <w:szCs w:val="24"/>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Amended and Restated Bylaws of Flywire Corporation, incorporated by reference to Exhibit 3.1 to the</w:t>
            </w:r>
          </w:p>
        </w:tc>
        <w:tc>
          <w:tcPr>
            <w:tcW w:w="0" w:type="dxa"/>
            <w:vAlign w:val="bottom"/>
          </w:tcPr>
          <w:p>
            <w:pPr>
              <w:spacing w:after="0"/>
              <w:rPr>
                <w:sz w:val="1"/>
                <w:szCs w:val="1"/>
                <w:color w:val="auto"/>
              </w:rPr>
            </w:pPr>
          </w:p>
        </w:tc>
      </w:tr>
      <w:tr>
        <w:trPr>
          <w:trHeight w:val="255"/>
        </w:trPr>
        <w:tc>
          <w:tcPr>
            <w:tcW w:w="1120" w:type="dxa"/>
            <w:vAlign w:val="bottom"/>
            <w:shd w:val="clear" w:color="auto" w:fill="FDFDFC"/>
          </w:tcPr>
          <w:p>
            <w:pPr>
              <w:spacing w:after="0"/>
              <w:rPr>
                <w:sz w:val="22"/>
                <w:szCs w:val="22"/>
                <w:color w:val="auto"/>
              </w:rPr>
            </w:pPr>
          </w:p>
        </w:tc>
        <w:tc>
          <w:tcPr>
            <w:tcW w:w="100" w:type="dxa"/>
            <w:vAlign w:val="bottom"/>
            <w:shd w:val="clear" w:color="auto" w:fill="FDFDFC"/>
          </w:tcPr>
          <w:p>
            <w:pPr>
              <w:spacing w:after="0"/>
              <w:rPr>
                <w:sz w:val="22"/>
                <w:szCs w:val="22"/>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Registrant’s Current Report on Form 8-K filed on March 19, 2024.</w:t>
            </w:r>
          </w:p>
        </w:tc>
        <w:tc>
          <w:tcPr>
            <w:tcW w:w="0" w:type="dxa"/>
            <w:vAlign w:val="bottom"/>
          </w:tcPr>
          <w:p>
            <w:pPr>
              <w:spacing w:after="0"/>
              <w:rPr>
                <w:sz w:val="1"/>
                <w:szCs w:val="1"/>
                <w:color w:val="auto"/>
              </w:rPr>
            </w:pP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4.1</w:t>
            </w:r>
          </w:p>
        </w:tc>
        <w:tc>
          <w:tcPr>
            <w:tcW w:w="100" w:type="dxa"/>
            <w:vAlign w:val="bottom"/>
            <w:shd w:val="clear" w:color="auto" w:fill="FDFDFC"/>
          </w:tcPr>
          <w:p>
            <w:pPr>
              <w:spacing w:after="0"/>
              <w:rPr>
                <w:sz w:val="24"/>
                <w:szCs w:val="24"/>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Description of Securities of Flywire Corporation, incorporated by reference to Exhibit 4.1 to the Registrant's</w:t>
            </w:r>
          </w:p>
        </w:tc>
        <w:tc>
          <w:tcPr>
            <w:tcW w:w="0" w:type="dxa"/>
            <w:vAlign w:val="bottom"/>
          </w:tcPr>
          <w:p>
            <w:pPr>
              <w:spacing w:after="0"/>
              <w:rPr>
                <w:sz w:val="1"/>
                <w:szCs w:val="1"/>
                <w:color w:val="auto"/>
              </w:rPr>
            </w:pPr>
          </w:p>
        </w:tc>
      </w:tr>
      <w:tr>
        <w:trPr>
          <w:trHeight w:val="255"/>
        </w:trPr>
        <w:tc>
          <w:tcPr>
            <w:tcW w:w="1120" w:type="dxa"/>
            <w:vAlign w:val="bottom"/>
            <w:shd w:val="clear" w:color="auto" w:fill="FDFDFC"/>
          </w:tcPr>
          <w:p>
            <w:pPr>
              <w:spacing w:after="0"/>
              <w:rPr>
                <w:sz w:val="22"/>
                <w:szCs w:val="22"/>
                <w:color w:val="auto"/>
              </w:rPr>
            </w:pPr>
          </w:p>
        </w:tc>
        <w:tc>
          <w:tcPr>
            <w:tcW w:w="100" w:type="dxa"/>
            <w:vAlign w:val="bottom"/>
            <w:shd w:val="clear" w:color="auto" w:fill="FDFDFC"/>
          </w:tcPr>
          <w:p>
            <w:pPr>
              <w:spacing w:after="0"/>
              <w:rPr>
                <w:sz w:val="22"/>
                <w:szCs w:val="22"/>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Annual Report on Form 10-K for the year ended December 31, 2021 filed on March 29, 2022.</w:t>
            </w:r>
          </w:p>
        </w:tc>
        <w:tc>
          <w:tcPr>
            <w:tcW w:w="0" w:type="dxa"/>
            <w:vAlign w:val="bottom"/>
          </w:tcPr>
          <w:p>
            <w:pPr>
              <w:spacing w:after="0"/>
              <w:rPr>
                <w:sz w:val="1"/>
                <w:szCs w:val="1"/>
                <w:color w:val="auto"/>
              </w:rPr>
            </w:pP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4.2</w:t>
            </w:r>
          </w:p>
        </w:tc>
        <w:tc>
          <w:tcPr>
            <w:tcW w:w="100" w:type="dxa"/>
            <w:vAlign w:val="bottom"/>
            <w:shd w:val="clear" w:color="auto" w:fill="FDFDFC"/>
          </w:tcPr>
          <w:p>
            <w:pPr>
              <w:spacing w:after="0"/>
              <w:rPr>
                <w:sz w:val="24"/>
                <w:szCs w:val="24"/>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17489D"/>
              </w:rPr>
              <w:t>Amended and Restated Investors’ Rights Agreement, dated February 23, 2021, by and among the</w:t>
            </w:r>
          </w:p>
        </w:tc>
        <w:tc>
          <w:tcPr>
            <w:tcW w:w="0" w:type="dxa"/>
            <w:vAlign w:val="bottom"/>
          </w:tcPr>
          <w:p>
            <w:pPr>
              <w:spacing w:after="0"/>
              <w:rPr>
                <w:sz w:val="1"/>
                <w:szCs w:val="1"/>
                <w:color w:val="auto"/>
              </w:rPr>
            </w:pPr>
          </w:p>
        </w:tc>
      </w:tr>
      <w:tr>
        <w:trPr>
          <w:trHeight w:val="217"/>
        </w:trPr>
        <w:tc>
          <w:tcPr>
            <w:tcW w:w="1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8980" w:type="dxa"/>
            <w:vAlign w:val="bottom"/>
            <w:shd w:val="clear" w:color="auto" w:fill="FDFDFC"/>
          </w:tcPr>
          <w:p>
            <w:pPr>
              <w:spacing w:after="0" w:line="217" w:lineRule="exact"/>
              <w:rPr>
                <w:sz w:val="20"/>
                <w:szCs w:val="20"/>
                <w:color w:val="auto"/>
              </w:rPr>
            </w:pPr>
            <w:r>
              <w:rPr>
                <w:rFonts w:ascii="Arial" w:cs="Arial" w:eastAsia="Arial" w:hAnsi="Arial"/>
                <w:sz w:val="19"/>
                <w:szCs w:val="19"/>
                <w:color w:val="17489D"/>
              </w:rPr>
              <w:t>Registrant and certain security holders of the Registrant, as amended, incorporated by reference to Exhibit</w:t>
            </w:r>
          </w:p>
        </w:tc>
        <w:tc>
          <w:tcPr>
            <w:tcW w:w="0" w:type="dxa"/>
            <w:vAlign w:val="bottom"/>
          </w:tcPr>
          <w:p>
            <w:pPr>
              <w:spacing w:after="0"/>
              <w:rPr>
                <w:sz w:val="1"/>
                <w:szCs w:val="1"/>
                <w:color w:val="auto"/>
              </w:rPr>
            </w:pPr>
          </w:p>
        </w:tc>
      </w:tr>
      <w:tr>
        <w:trPr>
          <w:trHeight w:val="255"/>
        </w:trPr>
        <w:tc>
          <w:tcPr>
            <w:tcW w:w="1120" w:type="dxa"/>
            <w:vAlign w:val="bottom"/>
            <w:shd w:val="clear" w:color="auto" w:fill="FDFDFC"/>
          </w:tcPr>
          <w:p>
            <w:pPr>
              <w:spacing w:after="0"/>
              <w:rPr>
                <w:sz w:val="22"/>
                <w:szCs w:val="22"/>
                <w:color w:val="auto"/>
              </w:rPr>
            </w:pPr>
          </w:p>
        </w:tc>
        <w:tc>
          <w:tcPr>
            <w:tcW w:w="100" w:type="dxa"/>
            <w:vAlign w:val="bottom"/>
            <w:shd w:val="clear" w:color="auto" w:fill="FDFDFC"/>
          </w:tcPr>
          <w:p>
            <w:pPr>
              <w:spacing w:after="0"/>
              <w:rPr>
                <w:sz w:val="22"/>
                <w:szCs w:val="22"/>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17489D"/>
              </w:rPr>
              <w:t>4.2 to the Registrant's Registration Statement on Form S-1 filed on May 3, 2021.</w:t>
            </w:r>
          </w:p>
        </w:tc>
        <w:tc>
          <w:tcPr>
            <w:tcW w:w="0" w:type="dxa"/>
            <w:vAlign w:val="bottom"/>
          </w:tcPr>
          <w:p>
            <w:pPr>
              <w:spacing w:after="0"/>
              <w:rPr>
                <w:sz w:val="1"/>
                <w:szCs w:val="1"/>
                <w:color w:val="auto"/>
              </w:rPr>
            </w:pP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10.1</w:t>
            </w:r>
          </w:p>
        </w:tc>
        <w:tc>
          <w:tcPr>
            <w:tcW w:w="100" w:type="dxa"/>
            <w:vAlign w:val="bottom"/>
            <w:shd w:val="clear" w:color="auto" w:fill="FDFDFC"/>
          </w:tcPr>
          <w:p>
            <w:pPr>
              <w:spacing w:after="0"/>
              <w:rPr>
                <w:sz w:val="24"/>
                <w:szCs w:val="24"/>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Form of Indemnification Agreement, incorporated by reference to Exhibit 10.1 to the Registrant's</w:t>
            </w:r>
          </w:p>
        </w:tc>
        <w:tc>
          <w:tcPr>
            <w:tcW w:w="0" w:type="dxa"/>
            <w:vAlign w:val="bottom"/>
          </w:tcPr>
          <w:p>
            <w:pPr>
              <w:spacing w:after="0"/>
              <w:rPr>
                <w:sz w:val="1"/>
                <w:szCs w:val="1"/>
                <w:color w:val="auto"/>
              </w:rPr>
            </w:pPr>
          </w:p>
        </w:tc>
      </w:tr>
      <w:tr>
        <w:trPr>
          <w:trHeight w:val="255"/>
        </w:trPr>
        <w:tc>
          <w:tcPr>
            <w:tcW w:w="1120" w:type="dxa"/>
            <w:vAlign w:val="bottom"/>
            <w:shd w:val="clear" w:color="auto" w:fill="FDFDFC"/>
          </w:tcPr>
          <w:p>
            <w:pPr>
              <w:spacing w:after="0"/>
              <w:rPr>
                <w:sz w:val="22"/>
                <w:szCs w:val="22"/>
                <w:color w:val="auto"/>
              </w:rPr>
            </w:pPr>
          </w:p>
        </w:tc>
        <w:tc>
          <w:tcPr>
            <w:tcW w:w="100" w:type="dxa"/>
            <w:vAlign w:val="bottom"/>
            <w:shd w:val="clear" w:color="auto" w:fill="FDFDFC"/>
          </w:tcPr>
          <w:p>
            <w:pPr>
              <w:spacing w:after="0"/>
              <w:rPr>
                <w:sz w:val="22"/>
                <w:szCs w:val="22"/>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Registration Statement on Form S-1/A filed on May 18, 2021.</w:t>
            </w:r>
          </w:p>
        </w:tc>
        <w:tc>
          <w:tcPr>
            <w:tcW w:w="0" w:type="dxa"/>
            <w:vAlign w:val="bottom"/>
          </w:tcPr>
          <w:p>
            <w:pPr>
              <w:spacing w:after="0"/>
              <w:rPr>
                <w:sz w:val="1"/>
                <w:szCs w:val="1"/>
                <w:color w:val="auto"/>
              </w:rPr>
            </w:pP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10.2#</w:t>
            </w:r>
          </w:p>
        </w:tc>
        <w:tc>
          <w:tcPr>
            <w:tcW w:w="100" w:type="dxa"/>
            <w:vAlign w:val="bottom"/>
            <w:shd w:val="clear" w:color="auto" w:fill="FDFDFC"/>
          </w:tcPr>
          <w:p>
            <w:pPr>
              <w:spacing w:after="0"/>
              <w:rPr>
                <w:sz w:val="24"/>
                <w:szCs w:val="24"/>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Amended and Restated 2009 Equity Incentive Plan and forms of agreements thereafter, incorporated by</w:t>
            </w:r>
          </w:p>
        </w:tc>
        <w:tc>
          <w:tcPr>
            <w:tcW w:w="0" w:type="dxa"/>
            <w:vAlign w:val="bottom"/>
          </w:tcPr>
          <w:p>
            <w:pPr>
              <w:spacing w:after="0"/>
              <w:rPr>
                <w:sz w:val="1"/>
                <w:szCs w:val="1"/>
                <w:color w:val="auto"/>
              </w:rPr>
            </w:pPr>
          </w:p>
        </w:tc>
      </w:tr>
      <w:tr>
        <w:trPr>
          <w:trHeight w:val="217"/>
        </w:trPr>
        <w:tc>
          <w:tcPr>
            <w:tcW w:w="1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898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w w:val="99"/>
              </w:rPr>
              <w:t>reference to Exhibit 10.2 to the Registrant's Annual Report on Form 10-K for the year ended December 31,</w:t>
            </w:r>
          </w:p>
        </w:tc>
        <w:tc>
          <w:tcPr>
            <w:tcW w:w="0" w:type="dxa"/>
            <w:vAlign w:val="bottom"/>
          </w:tcPr>
          <w:p>
            <w:pPr>
              <w:spacing w:after="0"/>
              <w:rPr>
                <w:sz w:val="1"/>
                <w:szCs w:val="1"/>
                <w:color w:val="auto"/>
              </w:rPr>
            </w:pPr>
          </w:p>
        </w:tc>
      </w:tr>
      <w:tr>
        <w:trPr>
          <w:trHeight w:val="255"/>
        </w:trPr>
        <w:tc>
          <w:tcPr>
            <w:tcW w:w="1120" w:type="dxa"/>
            <w:vAlign w:val="bottom"/>
            <w:shd w:val="clear" w:color="auto" w:fill="FDFDFC"/>
          </w:tcPr>
          <w:p>
            <w:pPr>
              <w:spacing w:after="0"/>
              <w:rPr>
                <w:sz w:val="22"/>
                <w:szCs w:val="22"/>
                <w:color w:val="auto"/>
              </w:rPr>
            </w:pPr>
          </w:p>
        </w:tc>
        <w:tc>
          <w:tcPr>
            <w:tcW w:w="100" w:type="dxa"/>
            <w:vAlign w:val="bottom"/>
            <w:shd w:val="clear" w:color="auto" w:fill="FDFDFC"/>
          </w:tcPr>
          <w:p>
            <w:pPr>
              <w:spacing w:after="0"/>
              <w:rPr>
                <w:sz w:val="22"/>
                <w:szCs w:val="22"/>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2021 filed on March 29, 2022.</w:t>
            </w:r>
          </w:p>
        </w:tc>
        <w:tc>
          <w:tcPr>
            <w:tcW w:w="0" w:type="dxa"/>
            <w:vAlign w:val="bottom"/>
          </w:tcPr>
          <w:p>
            <w:pPr>
              <w:spacing w:after="0"/>
              <w:rPr>
                <w:sz w:val="1"/>
                <w:szCs w:val="1"/>
                <w:color w:val="auto"/>
              </w:rPr>
            </w:pP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10.3#</w:t>
            </w:r>
          </w:p>
        </w:tc>
        <w:tc>
          <w:tcPr>
            <w:tcW w:w="100" w:type="dxa"/>
            <w:vAlign w:val="bottom"/>
            <w:shd w:val="clear" w:color="auto" w:fill="FDFDFC"/>
          </w:tcPr>
          <w:p>
            <w:pPr>
              <w:spacing w:after="0"/>
              <w:rPr>
                <w:sz w:val="24"/>
                <w:szCs w:val="24"/>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2018 Stock Incentive Plan, as amended, and forms of equity agreements thereunder, incorporated by</w:t>
            </w:r>
          </w:p>
        </w:tc>
        <w:tc>
          <w:tcPr>
            <w:tcW w:w="0" w:type="dxa"/>
            <w:vAlign w:val="bottom"/>
          </w:tcPr>
          <w:p>
            <w:pPr>
              <w:spacing w:after="0"/>
              <w:rPr>
                <w:sz w:val="1"/>
                <w:szCs w:val="1"/>
                <w:color w:val="auto"/>
              </w:rPr>
            </w:pPr>
          </w:p>
        </w:tc>
      </w:tr>
      <w:tr>
        <w:trPr>
          <w:trHeight w:val="255"/>
        </w:trPr>
        <w:tc>
          <w:tcPr>
            <w:tcW w:w="1120" w:type="dxa"/>
            <w:vAlign w:val="bottom"/>
            <w:shd w:val="clear" w:color="auto" w:fill="FDFDFC"/>
          </w:tcPr>
          <w:p>
            <w:pPr>
              <w:spacing w:after="0"/>
              <w:rPr>
                <w:sz w:val="22"/>
                <w:szCs w:val="22"/>
                <w:color w:val="auto"/>
              </w:rPr>
            </w:pPr>
          </w:p>
        </w:tc>
        <w:tc>
          <w:tcPr>
            <w:tcW w:w="100" w:type="dxa"/>
            <w:vAlign w:val="bottom"/>
            <w:shd w:val="clear" w:color="auto" w:fill="FDFDFC"/>
          </w:tcPr>
          <w:p>
            <w:pPr>
              <w:spacing w:after="0"/>
              <w:rPr>
                <w:sz w:val="22"/>
                <w:szCs w:val="22"/>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reference to Exhibit 10.3 to the Registrant's Registration Statement on Form S-1/A filed on May 18, 2021.</w:t>
            </w:r>
          </w:p>
        </w:tc>
        <w:tc>
          <w:tcPr>
            <w:tcW w:w="0" w:type="dxa"/>
            <w:vAlign w:val="bottom"/>
          </w:tcPr>
          <w:p>
            <w:pPr>
              <w:spacing w:after="0"/>
              <w:rPr>
                <w:sz w:val="1"/>
                <w:szCs w:val="1"/>
                <w:color w:val="auto"/>
              </w:rPr>
            </w:pP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10.4#</w:t>
            </w:r>
          </w:p>
        </w:tc>
        <w:tc>
          <w:tcPr>
            <w:tcW w:w="100" w:type="dxa"/>
            <w:vAlign w:val="bottom"/>
            <w:shd w:val="clear" w:color="auto" w:fill="FDFDFC"/>
          </w:tcPr>
          <w:p>
            <w:pPr>
              <w:spacing w:after="0"/>
              <w:rPr>
                <w:sz w:val="24"/>
                <w:szCs w:val="24"/>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2021 Equity Incentive Plan, and forms of equity agreements thereunder, incorporated by reference to</w:t>
            </w:r>
          </w:p>
        </w:tc>
        <w:tc>
          <w:tcPr>
            <w:tcW w:w="0" w:type="dxa"/>
            <w:vAlign w:val="bottom"/>
          </w:tcPr>
          <w:p>
            <w:pPr>
              <w:spacing w:after="0"/>
              <w:rPr>
                <w:sz w:val="1"/>
                <w:szCs w:val="1"/>
                <w:color w:val="auto"/>
              </w:rPr>
            </w:pPr>
          </w:p>
        </w:tc>
      </w:tr>
      <w:tr>
        <w:trPr>
          <w:trHeight w:val="217"/>
        </w:trPr>
        <w:tc>
          <w:tcPr>
            <w:tcW w:w="1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898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Exhibit 10.4 to the Registrant's Annual Report on Form 10-K for the year ended December 31, 2022 filed</w:t>
            </w:r>
          </w:p>
        </w:tc>
        <w:tc>
          <w:tcPr>
            <w:tcW w:w="0" w:type="dxa"/>
            <w:vAlign w:val="bottom"/>
          </w:tcPr>
          <w:p>
            <w:pPr>
              <w:spacing w:after="0"/>
              <w:rPr>
                <w:sz w:val="1"/>
                <w:szCs w:val="1"/>
                <w:color w:val="auto"/>
              </w:rPr>
            </w:pPr>
          </w:p>
        </w:tc>
      </w:tr>
      <w:tr>
        <w:trPr>
          <w:trHeight w:val="255"/>
        </w:trPr>
        <w:tc>
          <w:tcPr>
            <w:tcW w:w="1120" w:type="dxa"/>
            <w:vAlign w:val="bottom"/>
            <w:shd w:val="clear" w:color="auto" w:fill="FDFDFC"/>
          </w:tcPr>
          <w:p>
            <w:pPr>
              <w:spacing w:after="0"/>
              <w:rPr>
                <w:sz w:val="22"/>
                <w:szCs w:val="22"/>
                <w:color w:val="auto"/>
              </w:rPr>
            </w:pPr>
          </w:p>
        </w:tc>
        <w:tc>
          <w:tcPr>
            <w:tcW w:w="100" w:type="dxa"/>
            <w:vAlign w:val="bottom"/>
            <w:shd w:val="clear" w:color="auto" w:fill="FDFDFC"/>
          </w:tcPr>
          <w:p>
            <w:pPr>
              <w:spacing w:after="0"/>
              <w:rPr>
                <w:sz w:val="22"/>
                <w:szCs w:val="22"/>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on March 10, 2023.</w:t>
            </w:r>
          </w:p>
        </w:tc>
        <w:tc>
          <w:tcPr>
            <w:tcW w:w="0" w:type="dxa"/>
            <w:vAlign w:val="bottom"/>
          </w:tcPr>
          <w:p>
            <w:pPr>
              <w:spacing w:after="0"/>
              <w:rPr>
                <w:sz w:val="1"/>
                <w:szCs w:val="1"/>
                <w:color w:val="auto"/>
              </w:rPr>
            </w:pP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10.5#</w:t>
            </w:r>
          </w:p>
        </w:tc>
        <w:tc>
          <w:tcPr>
            <w:tcW w:w="100" w:type="dxa"/>
            <w:vAlign w:val="bottom"/>
            <w:shd w:val="clear" w:color="auto" w:fill="FDFDFC"/>
          </w:tcPr>
          <w:p>
            <w:pPr>
              <w:spacing w:after="0"/>
              <w:rPr>
                <w:sz w:val="24"/>
                <w:szCs w:val="24"/>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2021 Employee Stock Purchase Plan, and form of subscription agreement, incorporated by reference to</w:t>
            </w:r>
          </w:p>
        </w:tc>
        <w:tc>
          <w:tcPr>
            <w:tcW w:w="0" w:type="dxa"/>
            <w:vAlign w:val="bottom"/>
          </w:tcPr>
          <w:p>
            <w:pPr>
              <w:spacing w:after="0"/>
              <w:rPr>
                <w:sz w:val="1"/>
                <w:szCs w:val="1"/>
                <w:color w:val="auto"/>
              </w:rPr>
            </w:pPr>
          </w:p>
        </w:tc>
      </w:tr>
      <w:tr>
        <w:trPr>
          <w:trHeight w:val="255"/>
        </w:trPr>
        <w:tc>
          <w:tcPr>
            <w:tcW w:w="1120" w:type="dxa"/>
            <w:vAlign w:val="bottom"/>
            <w:shd w:val="clear" w:color="auto" w:fill="FDFDFC"/>
          </w:tcPr>
          <w:p>
            <w:pPr>
              <w:spacing w:after="0"/>
              <w:rPr>
                <w:sz w:val="22"/>
                <w:szCs w:val="22"/>
                <w:color w:val="auto"/>
              </w:rPr>
            </w:pPr>
          </w:p>
        </w:tc>
        <w:tc>
          <w:tcPr>
            <w:tcW w:w="100" w:type="dxa"/>
            <w:vAlign w:val="bottom"/>
            <w:shd w:val="clear" w:color="auto" w:fill="FDFDFC"/>
          </w:tcPr>
          <w:p>
            <w:pPr>
              <w:spacing w:after="0"/>
              <w:rPr>
                <w:sz w:val="22"/>
                <w:szCs w:val="22"/>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Exhibit 10.5 to the Registrant's Registration Statement on Form S-1/A filed on May 18, 2021.</w:t>
            </w:r>
          </w:p>
        </w:tc>
        <w:tc>
          <w:tcPr>
            <w:tcW w:w="0" w:type="dxa"/>
            <w:vAlign w:val="bottom"/>
          </w:tcPr>
          <w:p>
            <w:pPr>
              <w:spacing w:after="0"/>
              <w:rPr>
                <w:sz w:val="1"/>
                <w:szCs w:val="1"/>
                <w:color w:val="auto"/>
              </w:rPr>
            </w:pP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10.7#</w:t>
            </w:r>
          </w:p>
        </w:tc>
        <w:tc>
          <w:tcPr>
            <w:tcW w:w="100" w:type="dxa"/>
            <w:vAlign w:val="bottom"/>
            <w:shd w:val="clear" w:color="auto" w:fill="FDFDFC"/>
          </w:tcPr>
          <w:p>
            <w:pPr>
              <w:spacing w:after="0"/>
              <w:rPr>
                <w:sz w:val="24"/>
                <w:szCs w:val="24"/>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Employment Agreement, dated as of May 14, 2021, by and between the Registrant and Michael Massaro,</w:t>
            </w:r>
          </w:p>
        </w:tc>
        <w:tc>
          <w:tcPr>
            <w:tcW w:w="0" w:type="dxa"/>
            <w:vAlign w:val="bottom"/>
          </w:tcPr>
          <w:p>
            <w:pPr>
              <w:spacing w:after="0"/>
              <w:rPr>
                <w:sz w:val="1"/>
                <w:szCs w:val="1"/>
                <w:color w:val="auto"/>
              </w:rPr>
            </w:pPr>
          </w:p>
        </w:tc>
      </w:tr>
      <w:tr>
        <w:trPr>
          <w:trHeight w:val="217"/>
        </w:trPr>
        <w:tc>
          <w:tcPr>
            <w:tcW w:w="1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8980" w:type="dxa"/>
            <w:vAlign w:val="bottom"/>
            <w:shd w:val="clear" w:color="auto" w:fill="FDFDFC"/>
          </w:tcPr>
          <w:p>
            <w:pPr>
              <w:spacing w:after="0" w:line="217" w:lineRule="exact"/>
              <w:rPr>
                <w:sz w:val="20"/>
                <w:szCs w:val="20"/>
                <w:color w:val="auto"/>
              </w:rPr>
            </w:pPr>
            <w:r>
              <w:rPr>
                <w:rFonts w:ascii="Arial" w:cs="Arial" w:eastAsia="Arial" w:hAnsi="Arial"/>
                <w:sz w:val="19"/>
                <w:szCs w:val="19"/>
                <w:color w:val="231F20"/>
              </w:rPr>
              <w:t>incorporated by reference to Exhibit 10.7 to the Registrant's Registration Statement on Form S-1/A filed on</w:t>
            </w:r>
          </w:p>
        </w:tc>
        <w:tc>
          <w:tcPr>
            <w:tcW w:w="0" w:type="dxa"/>
            <w:vAlign w:val="bottom"/>
          </w:tcPr>
          <w:p>
            <w:pPr>
              <w:spacing w:after="0"/>
              <w:rPr>
                <w:sz w:val="1"/>
                <w:szCs w:val="1"/>
                <w:color w:val="auto"/>
              </w:rPr>
            </w:pPr>
          </w:p>
        </w:tc>
      </w:tr>
      <w:tr>
        <w:trPr>
          <w:trHeight w:val="235"/>
        </w:trPr>
        <w:tc>
          <w:tcPr>
            <w:tcW w:w="11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8980" w:type="dxa"/>
            <w:vAlign w:val="bottom"/>
            <w:shd w:val="clear" w:color="auto" w:fill="FDFDFC"/>
          </w:tcPr>
          <w:p>
            <w:pPr>
              <w:spacing w:after="0"/>
              <w:rPr>
                <w:sz w:val="20"/>
                <w:szCs w:val="20"/>
                <w:color w:val="auto"/>
              </w:rPr>
            </w:pPr>
            <w:r>
              <w:rPr>
                <w:rFonts w:ascii="Arial" w:cs="Arial" w:eastAsia="Arial" w:hAnsi="Arial"/>
                <w:sz w:val="19"/>
                <w:szCs w:val="19"/>
                <w:color w:val="231F20"/>
              </w:rPr>
              <w:t>May 18,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155</w:t>
      </w:r>
    </w:p>
    <w:p>
      <w:pPr>
        <w:sectPr>
          <w:pgSz w:w="12240" w:h="15840" w:orient="portrait"/>
          <w:cols w:equalWidth="0" w:num="1">
            <w:col w:w="10200"/>
          </w:cols>
          <w:pgMar w:left="1020" w:top="1440" w:right="1020" w:bottom="572" w:gutter="0" w:footer="0" w:header="0"/>
          <w:type w:val="continuous"/>
        </w:sectPr>
      </w:pPr>
    </w:p>
    <w:bookmarkStart w:id="156" w:name="page157"/>
    <w:bookmarkEnd w:id="156"/>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40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10.8#</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Employment Agreement, dated as of May 14, 2021, by and between the Registrant and Rob Orgel,</w:t>
            </w:r>
          </w:p>
        </w:tc>
      </w:tr>
      <w:tr>
        <w:trPr>
          <w:trHeight w:val="217"/>
        </w:trPr>
        <w:tc>
          <w:tcPr>
            <w:tcW w:w="1120" w:type="dxa"/>
            <w:vAlign w:val="bottom"/>
            <w:shd w:val="clear" w:color="auto" w:fill="FDFDFC"/>
          </w:tcPr>
          <w:p>
            <w:pPr>
              <w:spacing w:after="0"/>
              <w:rPr>
                <w:sz w:val="18"/>
                <w:szCs w:val="18"/>
                <w:color w:val="auto"/>
              </w:rPr>
            </w:pPr>
          </w:p>
        </w:tc>
        <w:tc>
          <w:tcPr>
            <w:tcW w:w="9080" w:type="dxa"/>
            <w:vAlign w:val="bottom"/>
            <w:shd w:val="clear" w:color="auto" w:fill="FDFDFC"/>
          </w:tcPr>
          <w:p>
            <w:pPr>
              <w:ind w:left="100"/>
              <w:spacing w:after="0" w:line="217" w:lineRule="exact"/>
              <w:rPr>
                <w:sz w:val="20"/>
                <w:szCs w:val="20"/>
                <w:color w:val="auto"/>
              </w:rPr>
            </w:pPr>
            <w:r>
              <w:rPr>
                <w:rFonts w:ascii="Arial" w:cs="Arial" w:eastAsia="Arial" w:hAnsi="Arial"/>
                <w:sz w:val="19"/>
                <w:szCs w:val="19"/>
                <w:color w:val="231F20"/>
              </w:rPr>
              <w:t>incorporated by reference to Exhibit 10.8 to the Registrant's Registration Statement on Form S-1/A filed on</w:t>
            </w:r>
          </w:p>
        </w:tc>
      </w:tr>
      <w:tr>
        <w:trPr>
          <w:trHeight w:val="235"/>
        </w:trPr>
        <w:tc>
          <w:tcPr>
            <w:tcW w:w="1120" w:type="dxa"/>
            <w:vAlign w:val="bottom"/>
            <w:shd w:val="clear" w:color="auto" w:fill="FDFDFC"/>
          </w:tcPr>
          <w:p>
            <w:pPr>
              <w:spacing w:after="0"/>
              <w:rPr>
                <w:sz w:val="20"/>
                <w:szCs w:val="20"/>
                <w:color w:val="auto"/>
              </w:rPr>
            </w:pP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May 18, 2021.</w:t>
            </w:r>
          </w:p>
        </w:tc>
      </w:tr>
      <w:tr>
        <w:trPr>
          <w:trHeight w:val="402"/>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10.9#</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Employment Agreement, dated as of February 8, 2024, by and between the Registrant and Cosmin Pitigoi,</w:t>
            </w:r>
          </w:p>
        </w:tc>
      </w:tr>
      <w:tr>
        <w:trPr>
          <w:trHeight w:val="217"/>
        </w:trPr>
        <w:tc>
          <w:tcPr>
            <w:tcW w:w="1120" w:type="dxa"/>
            <w:vAlign w:val="bottom"/>
            <w:shd w:val="clear" w:color="auto" w:fill="FDFDFC"/>
          </w:tcPr>
          <w:p>
            <w:pPr>
              <w:spacing w:after="0"/>
              <w:rPr>
                <w:sz w:val="18"/>
                <w:szCs w:val="18"/>
                <w:color w:val="auto"/>
              </w:rPr>
            </w:pPr>
          </w:p>
        </w:tc>
        <w:tc>
          <w:tcPr>
            <w:tcW w:w="9080" w:type="dxa"/>
            <w:vAlign w:val="bottom"/>
            <w:shd w:val="clear" w:color="auto" w:fill="FDFDFC"/>
          </w:tcPr>
          <w:p>
            <w:pPr>
              <w:ind w:left="100"/>
              <w:spacing w:after="0" w:line="217" w:lineRule="exact"/>
              <w:rPr>
                <w:sz w:val="20"/>
                <w:szCs w:val="20"/>
                <w:color w:val="auto"/>
              </w:rPr>
            </w:pPr>
            <w:r>
              <w:rPr>
                <w:rFonts w:ascii="Arial" w:cs="Arial" w:eastAsia="Arial" w:hAnsi="Arial"/>
                <w:sz w:val="19"/>
                <w:szCs w:val="19"/>
                <w:color w:val="231F20"/>
              </w:rPr>
              <w:t>incorporated by reference to Exhibit 10.20 to the Quarterly Report on Form 10-Q for the quarter ended</w:t>
            </w:r>
          </w:p>
        </w:tc>
      </w:tr>
      <w:tr>
        <w:trPr>
          <w:trHeight w:val="255"/>
        </w:trPr>
        <w:tc>
          <w:tcPr>
            <w:tcW w:w="1120" w:type="dxa"/>
            <w:vAlign w:val="bottom"/>
            <w:shd w:val="clear" w:color="auto" w:fill="FDFDFC"/>
          </w:tcPr>
          <w:p>
            <w:pPr>
              <w:spacing w:after="0"/>
              <w:rPr>
                <w:sz w:val="22"/>
                <w:szCs w:val="22"/>
                <w:color w:val="auto"/>
              </w:rPr>
            </w:pP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March 31, 2024 filed on May 7, 2024.</w:t>
            </w: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10.10#</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Employment Agreement, dated as of May 14, 2021, by and between the Registrant and Peter Butterfield,</w:t>
            </w:r>
          </w:p>
        </w:tc>
      </w:tr>
      <w:tr>
        <w:trPr>
          <w:trHeight w:val="217"/>
        </w:trPr>
        <w:tc>
          <w:tcPr>
            <w:tcW w:w="1120" w:type="dxa"/>
            <w:vAlign w:val="bottom"/>
            <w:shd w:val="clear" w:color="auto" w:fill="FDFDFC"/>
          </w:tcPr>
          <w:p>
            <w:pPr>
              <w:spacing w:after="0"/>
              <w:rPr>
                <w:sz w:val="18"/>
                <w:szCs w:val="18"/>
                <w:color w:val="auto"/>
              </w:rPr>
            </w:pPr>
          </w:p>
        </w:tc>
        <w:tc>
          <w:tcPr>
            <w:tcW w:w="9080" w:type="dxa"/>
            <w:vAlign w:val="bottom"/>
            <w:shd w:val="clear" w:color="auto" w:fill="FDFDFC"/>
          </w:tcPr>
          <w:p>
            <w:pPr>
              <w:ind w:left="100"/>
              <w:spacing w:after="0" w:line="217" w:lineRule="exact"/>
              <w:rPr>
                <w:sz w:val="20"/>
                <w:szCs w:val="20"/>
                <w:color w:val="auto"/>
              </w:rPr>
            </w:pPr>
            <w:r>
              <w:rPr>
                <w:rFonts w:ascii="Arial" w:cs="Arial" w:eastAsia="Arial" w:hAnsi="Arial"/>
                <w:sz w:val="19"/>
                <w:szCs w:val="19"/>
                <w:color w:val="231F20"/>
              </w:rPr>
              <w:t>incorporated by reference to Exhibit 10.10 to the Registrant's Registration Statement on Form S-1/A filed</w:t>
            </w:r>
          </w:p>
        </w:tc>
      </w:tr>
      <w:tr>
        <w:trPr>
          <w:trHeight w:val="255"/>
        </w:trPr>
        <w:tc>
          <w:tcPr>
            <w:tcW w:w="1120" w:type="dxa"/>
            <w:vAlign w:val="bottom"/>
            <w:shd w:val="clear" w:color="auto" w:fill="FDFDFC"/>
          </w:tcPr>
          <w:p>
            <w:pPr>
              <w:spacing w:after="0"/>
              <w:rPr>
                <w:sz w:val="22"/>
                <w:szCs w:val="22"/>
                <w:color w:val="auto"/>
              </w:rPr>
            </w:pP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on May 18, 2021.</w:t>
            </w: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10.11#</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Employment Agreement, dated as of May 14, 2021, by and between the Registrant and David King,</w:t>
            </w:r>
          </w:p>
        </w:tc>
      </w:tr>
      <w:tr>
        <w:trPr>
          <w:trHeight w:val="217"/>
        </w:trPr>
        <w:tc>
          <w:tcPr>
            <w:tcW w:w="1120" w:type="dxa"/>
            <w:vAlign w:val="bottom"/>
            <w:shd w:val="clear" w:color="auto" w:fill="FDFDFC"/>
          </w:tcPr>
          <w:p>
            <w:pPr>
              <w:spacing w:after="0"/>
              <w:rPr>
                <w:sz w:val="18"/>
                <w:szCs w:val="18"/>
                <w:color w:val="auto"/>
              </w:rPr>
            </w:pPr>
          </w:p>
        </w:tc>
        <w:tc>
          <w:tcPr>
            <w:tcW w:w="9080" w:type="dxa"/>
            <w:vAlign w:val="bottom"/>
            <w:shd w:val="clear" w:color="auto" w:fill="FDFDFC"/>
          </w:tcPr>
          <w:p>
            <w:pPr>
              <w:ind w:left="100"/>
              <w:spacing w:after="0" w:line="217" w:lineRule="exact"/>
              <w:rPr>
                <w:sz w:val="20"/>
                <w:szCs w:val="20"/>
                <w:color w:val="auto"/>
              </w:rPr>
            </w:pPr>
            <w:r>
              <w:rPr>
                <w:rFonts w:ascii="Arial" w:cs="Arial" w:eastAsia="Arial" w:hAnsi="Arial"/>
                <w:sz w:val="19"/>
                <w:szCs w:val="19"/>
                <w:color w:val="231F20"/>
              </w:rPr>
              <w:t>incorporated by reference to Exhibit 10.11 to the Registrant's Registration Statement on Form S-1/A filed</w:t>
            </w:r>
          </w:p>
        </w:tc>
      </w:tr>
      <w:tr>
        <w:trPr>
          <w:trHeight w:val="235"/>
        </w:trPr>
        <w:tc>
          <w:tcPr>
            <w:tcW w:w="1120" w:type="dxa"/>
            <w:vAlign w:val="bottom"/>
            <w:shd w:val="clear" w:color="auto" w:fill="FDFDFC"/>
          </w:tcPr>
          <w:p>
            <w:pPr>
              <w:spacing w:after="0"/>
              <w:rPr>
                <w:sz w:val="20"/>
                <w:szCs w:val="20"/>
                <w:color w:val="auto"/>
              </w:rPr>
            </w:pP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on May 18, 2021.</w:t>
            </w:r>
          </w:p>
        </w:tc>
      </w:tr>
      <w:tr>
        <w:trPr>
          <w:trHeight w:val="402"/>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10.14</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Office Lease, dated April 8, 2015, as amended by that certain First Amendment to Office Lease dated April</w:t>
            </w:r>
          </w:p>
        </w:tc>
      </w:tr>
      <w:tr>
        <w:trPr>
          <w:trHeight w:val="217"/>
        </w:trPr>
        <w:tc>
          <w:tcPr>
            <w:tcW w:w="1120" w:type="dxa"/>
            <w:vAlign w:val="bottom"/>
            <w:shd w:val="clear" w:color="auto" w:fill="FDFDFC"/>
          </w:tcPr>
          <w:p>
            <w:pPr>
              <w:spacing w:after="0"/>
              <w:rPr>
                <w:sz w:val="18"/>
                <w:szCs w:val="18"/>
                <w:color w:val="auto"/>
              </w:rPr>
            </w:pPr>
          </w:p>
        </w:tc>
        <w:tc>
          <w:tcPr>
            <w:tcW w:w="9080" w:type="dxa"/>
            <w:vAlign w:val="bottom"/>
            <w:shd w:val="clear" w:color="auto" w:fill="FDFDFC"/>
          </w:tcPr>
          <w:p>
            <w:pPr>
              <w:ind w:left="100"/>
              <w:spacing w:after="0" w:line="217" w:lineRule="exact"/>
              <w:rPr>
                <w:sz w:val="20"/>
                <w:szCs w:val="20"/>
                <w:color w:val="auto"/>
              </w:rPr>
            </w:pPr>
            <w:r>
              <w:rPr>
                <w:rFonts w:ascii="Arial" w:cs="Arial" w:eastAsia="Arial" w:hAnsi="Arial"/>
                <w:sz w:val="19"/>
                <w:szCs w:val="19"/>
                <w:color w:val="231F20"/>
              </w:rPr>
              <w:t>7, 2016, that certain Second Amendment to Office Lease dated October 23, 2018 and that certain Third</w:t>
            </w:r>
          </w:p>
        </w:tc>
      </w:tr>
      <w:tr>
        <w:trPr>
          <w:trHeight w:val="217"/>
        </w:trPr>
        <w:tc>
          <w:tcPr>
            <w:tcW w:w="1120" w:type="dxa"/>
            <w:vAlign w:val="bottom"/>
            <w:shd w:val="clear" w:color="auto" w:fill="FDFDFC"/>
          </w:tcPr>
          <w:p>
            <w:pPr>
              <w:spacing w:after="0"/>
              <w:rPr>
                <w:sz w:val="18"/>
                <w:szCs w:val="18"/>
                <w:color w:val="auto"/>
              </w:rPr>
            </w:pPr>
          </w:p>
        </w:tc>
        <w:tc>
          <w:tcPr>
            <w:tcW w:w="9080" w:type="dxa"/>
            <w:vAlign w:val="bottom"/>
            <w:shd w:val="clear" w:color="auto" w:fill="FDFDFC"/>
          </w:tcPr>
          <w:p>
            <w:pPr>
              <w:ind w:left="100"/>
              <w:spacing w:after="0" w:line="217" w:lineRule="exact"/>
              <w:rPr>
                <w:sz w:val="20"/>
                <w:szCs w:val="20"/>
                <w:color w:val="auto"/>
              </w:rPr>
            </w:pPr>
            <w:r>
              <w:rPr>
                <w:rFonts w:ascii="Arial" w:cs="Arial" w:eastAsia="Arial" w:hAnsi="Arial"/>
                <w:sz w:val="19"/>
                <w:szCs w:val="19"/>
                <w:color w:val="231F20"/>
              </w:rPr>
              <w:t>Amendment to Office Lease dated May 1, 2023, by and between the Registrant and NS 141 Tremont LLC,</w:t>
            </w:r>
          </w:p>
        </w:tc>
      </w:tr>
      <w:tr>
        <w:trPr>
          <w:trHeight w:val="217"/>
        </w:trPr>
        <w:tc>
          <w:tcPr>
            <w:tcW w:w="1120" w:type="dxa"/>
            <w:vAlign w:val="bottom"/>
            <w:shd w:val="clear" w:color="auto" w:fill="FDFDFC"/>
          </w:tcPr>
          <w:p>
            <w:pPr>
              <w:spacing w:after="0"/>
              <w:rPr>
                <w:sz w:val="18"/>
                <w:szCs w:val="18"/>
                <w:color w:val="auto"/>
              </w:rPr>
            </w:pPr>
          </w:p>
        </w:tc>
        <w:tc>
          <w:tcPr>
            <w:tcW w:w="9080" w:type="dxa"/>
            <w:vAlign w:val="bottom"/>
            <w:shd w:val="clear" w:color="auto" w:fill="FDFDFC"/>
          </w:tcPr>
          <w:p>
            <w:pPr>
              <w:ind w:left="100"/>
              <w:spacing w:after="0" w:line="217" w:lineRule="exact"/>
              <w:rPr>
                <w:sz w:val="20"/>
                <w:szCs w:val="20"/>
                <w:color w:val="auto"/>
              </w:rPr>
            </w:pPr>
            <w:r>
              <w:rPr>
                <w:rFonts w:ascii="Arial" w:cs="Arial" w:eastAsia="Arial" w:hAnsi="Arial"/>
                <w:sz w:val="19"/>
                <w:szCs w:val="19"/>
                <w:color w:val="231F20"/>
                <w:w w:val="99"/>
              </w:rPr>
              <w:t>incorporated by reference to Exhibit 10.14 to the Registrant's Quarterly Report on Form 10-Q for the period</w:t>
            </w:r>
          </w:p>
        </w:tc>
      </w:tr>
      <w:tr>
        <w:trPr>
          <w:trHeight w:val="235"/>
        </w:trPr>
        <w:tc>
          <w:tcPr>
            <w:tcW w:w="1120" w:type="dxa"/>
            <w:vAlign w:val="bottom"/>
            <w:shd w:val="clear" w:color="auto" w:fill="FDFDFC"/>
          </w:tcPr>
          <w:p>
            <w:pPr>
              <w:spacing w:after="0"/>
              <w:rPr>
                <w:sz w:val="20"/>
                <w:szCs w:val="20"/>
                <w:color w:val="auto"/>
              </w:rPr>
            </w:pP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ended June 30, 2023 filed on August 8, 2023.</w:t>
            </w:r>
          </w:p>
        </w:tc>
      </w:tr>
      <w:tr>
        <w:trPr>
          <w:trHeight w:val="402"/>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10.15</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Credit Agreement, dated July 29, 2021, as amended by the First Amendment to Credit Agreement dated</w:t>
            </w:r>
          </w:p>
        </w:tc>
      </w:tr>
      <w:tr>
        <w:trPr>
          <w:trHeight w:val="217"/>
        </w:trPr>
        <w:tc>
          <w:tcPr>
            <w:tcW w:w="1120" w:type="dxa"/>
            <w:vAlign w:val="bottom"/>
            <w:shd w:val="clear" w:color="auto" w:fill="FDFDFC"/>
          </w:tcPr>
          <w:p>
            <w:pPr>
              <w:spacing w:after="0"/>
              <w:rPr>
                <w:sz w:val="18"/>
                <w:szCs w:val="18"/>
                <w:color w:val="auto"/>
              </w:rPr>
            </w:pPr>
          </w:p>
        </w:tc>
        <w:tc>
          <w:tcPr>
            <w:tcW w:w="9080" w:type="dxa"/>
            <w:vAlign w:val="bottom"/>
            <w:shd w:val="clear" w:color="auto" w:fill="FDFDFC"/>
          </w:tcPr>
          <w:p>
            <w:pPr>
              <w:ind w:left="100"/>
              <w:spacing w:after="0" w:line="217" w:lineRule="exact"/>
              <w:rPr>
                <w:sz w:val="20"/>
                <w:szCs w:val="20"/>
                <w:color w:val="auto"/>
              </w:rPr>
            </w:pPr>
            <w:r>
              <w:rPr>
                <w:rFonts w:ascii="Arial" w:cs="Arial" w:eastAsia="Arial" w:hAnsi="Arial"/>
                <w:sz w:val="19"/>
                <w:szCs w:val="19"/>
                <w:color w:val="231F20"/>
              </w:rPr>
              <w:t>June 23, 2023, by and among Flywire Corporation, the other Loan Parties party thereto from time to time,</w:t>
            </w:r>
          </w:p>
        </w:tc>
      </w:tr>
      <w:tr>
        <w:trPr>
          <w:trHeight w:val="217"/>
        </w:trPr>
        <w:tc>
          <w:tcPr>
            <w:tcW w:w="1120" w:type="dxa"/>
            <w:vAlign w:val="bottom"/>
            <w:shd w:val="clear" w:color="auto" w:fill="FDFDFC"/>
          </w:tcPr>
          <w:p>
            <w:pPr>
              <w:spacing w:after="0"/>
              <w:rPr>
                <w:sz w:val="18"/>
                <w:szCs w:val="18"/>
                <w:color w:val="auto"/>
              </w:rPr>
            </w:pPr>
          </w:p>
        </w:tc>
        <w:tc>
          <w:tcPr>
            <w:tcW w:w="9080" w:type="dxa"/>
            <w:vAlign w:val="bottom"/>
            <w:shd w:val="clear" w:color="auto" w:fill="FDFDFC"/>
          </w:tcPr>
          <w:p>
            <w:pPr>
              <w:ind w:left="100"/>
              <w:spacing w:after="0" w:line="217" w:lineRule="exact"/>
              <w:rPr>
                <w:sz w:val="20"/>
                <w:szCs w:val="20"/>
                <w:color w:val="auto"/>
              </w:rPr>
            </w:pPr>
            <w:r>
              <w:rPr>
                <w:rFonts w:ascii="Arial" w:cs="Arial" w:eastAsia="Arial" w:hAnsi="Arial"/>
                <w:sz w:val="19"/>
                <w:szCs w:val="19"/>
                <w:color w:val="231F20"/>
                <w:w w:val="99"/>
              </w:rPr>
              <w:t>the Lenders party thereto from time to time, the Issuing Banks party thereto from time to time, and Citibank,</w:t>
            </w:r>
          </w:p>
        </w:tc>
      </w:tr>
      <w:tr>
        <w:trPr>
          <w:trHeight w:val="217"/>
        </w:trPr>
        <w:tc>
          <w:tcPr>
            <w:tcW w:w="1120" w:type="dxa"/>
            <w:vAlign w:val="bottom"/>
            <w:shd w:val="clear" w:color="auto" w:fill="FDFDFC"/>
          </w:tcPr>
          <w:p>
            <w:pPr>
              <w:spacing w:after="0"/>
              <w:rPr>
                <w:sz w:val="18"/>
                <w:szCs w:val="18"/>
                <w:color w:val="auto"/>
              </w:rPr>
            </w:pPr>
          </w:p>
        </w:tc>
        <w:tc>
          <w:tcPr>
            <w:tcW w:w="9080" w:type="dxa"/>
            <w:vAlign w:val="bottom"/>
            <w:shd w:val="clear" w:color="auto" w:fill="FDFDFC"/>
          </w:tcPr>
          <w:p>
            <w:pPr>
              <w:ind w:left="100"/>
              <w:spacing w:after="0" w:line="217" w:lineRule="exact"/>
              <w:rPr>
                <w:sz w:val="20"/>
                <w:szCs w:val="20"/>
                <w:color w:val="auto"/>
              </w:rPr>
            </w:pPr>
            <w:r>
              <w:rPr>
                <w:rFonts w:ascii="Arial" w:cs="Arial" w:eastAsia="Arial" w:hAnsi="Arial"/>
                <w:sz w:val="19"/>
                <w:szCs w:val="19"/>
                <w:color w:val="231F20"/>
              </w:rPr>
              <w:t>incorporated by reference to Exhibit 10.1 to the Registrant’s Quarterly Report on Form 10-Q for the period</w:t>
            </w:r>
          </w:p>
        </w:tc>
      </w:tr>
      <w:tr>
        <w:trPr>
          <w:trHeight w:val="255"/>
        </w:trPr>
        <w:tc>
          <w:tcPr>
            <w:tcW w:w="1120" w:type="dxa"/>
            <w:vAlign w:val="bottom"/>
            <w:shd w:val="clear" w:color="auto" w:fill="FDFDFC"/>
          </w:tcPr>
          <w:p>
            <w:pPr>
              <w:spacing w:after="0"/>
              <w:rPr>
                <w:sz w:val="22"/>
                <w:szCs w:val="22"/>
                <w:color w:val="auto"/>
              </w:rPr>
            </w:pP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ended June 30, 2023 filed on August 8, 2023.</w:t>
            </w: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10.17#</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Management Cash Incentive Plan, incorporated by reference to Exhibit 10.17 to the Registrant's Annual</w:t>
            </w:r>
          </w:p>
        </w:tc>
      </w:tr>
      <w:tr>
        <w:trPr>
          <w:trHeight w:val="255"/>
        </w:trPr>
        <w:tc>
          <w:tcPr>
            <w:tcW w:w="1120" w:type="dxa"/>
            <w:vAlign w:val="bottom"/>
            <w:shd w:val="clear" w:color="auto" w:fill="FDFDFC"/>
          </w:tcPr>
          <w:p>
            <w:pPr>
              <w:spacing w:after="0"/>
              <w:rPr>
                <w:sz w:val="22"/>
                <w:szCs w:val="22"/>
                <w:color w:val="auto"/>
              </w:rPr>
            </w:pP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Report on Form 10-K for the year ended December 31, 2022 filed on March 10, 2023.</w:t>
            </w: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10.20</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Amended and Restated Credit Agreement, dated as of February 23, 2024, by and among Flywire</w:t>
            </w:r>
          </w:p>
        </w:tc>
      </w:tr>
      <w:tr>
        <w:trPr>
          <w:trHeight w:val="217"/>
        </w:trPr>
        <w:tc>
          <w:tcPr>
            <w:tcW w:w="1120" w:type="dxa"/>
            <w:vAlign w:val="bottom"/>
            <w:shd w:val="clear" w:color="auto" w:fill="FDFDFC"/>
          </w:tcPr>
          <w:p>
            <w:pPr>
              <w:spacing w:after="0"/>
              <w:rPr>
                <w:sz w:val="18"/>
                <w:szCs w:val="18"/>
                <w:color w:val="auto"/>
              </w:rPr>
            </w:pPr>
          </w:p>
        </w:tc>
        <w:tc>
          <w:tcPr>
            <w:tcW w:w="9080" w:type="dxa"/>
            <w:vAlign w:val="bottom"/>
            <w:shd w:val="clear" w:color="auto" w:fill="FDFDFC"/>
          </w:tcPr>
          <w:p>
            <w:pPr>
              <w:ind w:left="100"/>
              <w:spacing w:after="0" w:line="217" w:lineRule="exact"/>
              <w:rPr>
                <w:sz w:val="20"/>
                <w:szCs w:val="20"/>
                <w:color w:val="auto"/>
              </w:rPr>
            </w:pPr>
            <w:r>
              <w:rPr>
                <w:rFonts w:ascii="Arial" w:cs="Arial" w:eastAsia="Arial" w:hAnsi="Arial"/>
                <w:sz w:val="19"/>
                <w:szCs w:val="19"/>
                <w:color w:val="231F20"/>
              </w:rPr>
              <w:t>Corporation, the other Loan Parties party thereto from time to time, the Lenders party thereto from time to</w:t>
            </w:r>
          </w:p>
        </w:tc>
      </w:tr>
      <w:tr>
        <w:trPr>
          <w:trHeight w:val="217"/>
        </w:trPr>
        <w:tc>
          <w:tcPr>
            <w:tcW w:w="1120" w:type="dxa"/>
            <w:vAlign w:val="bottom"/>
            <w:shd w:val="clear" w:color="auto" w:fill="FDFDFC"/>
          </w:tcPr>
          <w:p>
            <w:pPr>
              <w:spacing w:after="0"/>
              <w:rPr>
                <w:sz w:val="18"/>
                <w:szCs w:val="18"/>
                <w:color w:val="auto"/>
              </w:rPr>
            </w:pPr>
          </w:p>
        </w:tc>
        <w:tc>
          <w:tcPr>
            <w:tcW w:w="9080" w:type="dxa"/>
            <w:vAlign w:val="bottom"/>
            <w:shd w:val="clear" w:color="auto" w:fill="FDFDFC"/>
          </w:tcPr>
          <w:p>
            <w:pPr>
              <w:ind w:left="100"/>
              <w:spacing w:after="0" w:line="217" w:lineRule="exact"/>
              <w:rPr>
                <w:sz w:val="20"/>
                <w:szCs w:val="20"/>
                <w:color w:val="auto"/>
              </w:rPr>
            </w:pPr>
            <w:r>
              <w:rPr>
                <w:rFonts w:ascii="Arial" w:cs="Arial" w:eastAsia="Arial" w:hAnsi="Arial"/>
                <w:sz w:val="19"/>
                <w:szCs w:val="19"/>
                <w:color w:val="231F20"/>
              </w:rPr>
              <w:t>time, the Issuing Banks party thereto from time to time, and Citibank, N.A., incorporated by reference to</w:t>
            </w:r>
          </w:p>
        </w:tc>
      </w:tr>
      <w:tr>
        <w:trPr>
          <w:trHeight w:val="217"/>
        </w:trPr>
        <w:tc>
          <w:tcPr>
            <w:tcW w:w="1120" w:type="dxa"/>
            <w:vAlign w:val="bottom"/>
            <w:shd w:val="clear" w:color="auto" w:fill="FDFDFC"/>
          </w:tcPr>
          <w:p>
            <w:pPr>
              <w:spacing w:after="0"/>
              <w:rPr>
                <w:sz w:val="18"/>
                <w:szCs w:val="18"/>
                <w:color w:val="auto"/>
              </w:rPr>
            </w:pPr>
          </w:p>
        </w:tc>
        <w:tc>
          <w:tcPr>
            <w:tcW w:w="9080" w:type="dxa"/>
            <w:vAlign w:val="bottom"/>
            <w:shd w:val="clear" w:color="auto" w:fill="FDFDFC"/>
          </w:tcPr>
          <w:p>
            <w:pPr>
              <w:ind w:left="100"/>
              <w:spacing w:after="0" w:line="217" w:lineRule="exact"/>
              <w:rPr>
                <w:sz w:val="20"/>
                <w:szCs w:val="20"/>
                <w:color w:val="auto"/>
              </w:rPr>
            </w:pPr>
            <w:r>
              <w:rPr>
                <w:rFonts w:ascii="Arial" w:cs="Arial" w:eastAsia="Arial" w:hAnsi="Arial"/>
                <w:sz w:val="19"/>
                <w:szCs w:val="19"/>
                <w:color w:val="231F20"/>
              </w:rPr>
              <w:t>Exhibit 10.15 to the Quarterly Report on Form 10-Q for the quarter ended March 31, 2024 filed on May 7,</w:t>
            </w:r>
          </w:p>
        </w:tc>
      </w:tr>
      <w:tr>
        <w:trPr>
          <w:trHeight w:val="255"/>
        </w:trPr>
        <w:tc>
          <w:tcPr>
            <w:tcW w:w="1120" w:type="dxa"/>
            <w:vAlign w:val="bottom"/>
            <w:shd w:val="clear" w:color="auto" w:fill="FDFDFC"/>
          </w:tcPr>
          <w:p>
            <w:pPr>
              <w:spacing w:after="0"/>
              <w:rPr>
                <w:sz w:val="22"/>
                <w:szCs w:val="22"/>
                <w:color w:val="auto"/>
              </w:rPr>
            </w:pP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2024.</w:t>
            </w:r>
          </w:p>
        </w:tc>
      </w:tr>
      <w:tr>
        <w:trPr>
          <w:trHeight w:val="420"/>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19.1*</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Amended &amp; Restated Insider Trading Policy.</w:t>
            </w:r>
          </w:p>
        </w:tc>
      </w:tr>
      <w:tr>
        <w:trPr>
          <w:trHeight w:val="420"/>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21.1*</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List of Subsidiaries of the Registrant.</w:t>
            </w:r>
          </w:p>
        </w:tc>
      </w:tr>
      <w:tr>
        <w:trPr>
          <w:trHeight w:val="400"/>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23.1*</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Consent of PricewaterhouseCoopers LLP, independent registered public accounting firm.</w:t>
            </w:r>
          </w:p>
        </w:tc>
      </w:tr>
      <w:tr>
        <w:trPr>
          <w:trHeight w:val="402"/>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31.1*</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Certification of Principal Executive Officer Pursuant to Rules 13a-14(a) and 15d-14(a) under the Securities</w:t>
            </w:r>
          </w:p>
        </w:tc>
      </w:tr>
      <w:tr>
        <w:trPr>
          <w:trHeight w:val="235"/>
        </w:trPr>
        <w:tc>
          <w:tcPr>
            <w:tcW w:w="1120" w:type="dxa"/>
            <w:vAlign w:val="bottom"/>
            <w:shd w:val="clear" w:color="auto" w:fill="FDFDFC"/>
          </w:tcPr>
          <w:p>
            <w:pPr>
              <w:spacing w:after="0"/>
              <w:rPr>
                <w:sz w:val="20"/>
                <w:szCs w:val="20"/>
                <w:color w:val="auto"/>
              </w:rPr>
            </w:pP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Exchange Act of 1934, as Adopted Pursuant to Section 302 of the Sarbanes-Oxley Act of 2002.</w:t>
            </w:r>
          </w:p>
        </w:tc>
      </w:tr>
      <w:tr>
        <w:trPr>
          <w:trHeight w:val="40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31.2*</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Certification of Principal Financial Officer Pursuant to Rules 13a-14(a) and 15d-14(a) under the Securities</w:t>
            </w:r>
          </w:p>
        </w:tc>
      </w:tr>
      <w:tr>
        <w:trPr>
          <w:trHeight w:val="255"/>
        </w:trPr>
        <w:tc>
          <w:tcPr>
            <w:tcW w:w="1120" w:type="dxa"/>
            <w:vAlign w:val="bottom"/>
            <w:shd w:val="clear" w:color="auto" w:fill="FDFDFC"/>
          </w:tcPr>
          <w:p>
            <w:pPr>
              <w:spacing w:after="0"/>
              <w:rPr>
                <w:sz w:val="22"/>
                <w:szCs w:val="22"/>
                <w:color w:val="auto"/>
              </w:rPr>
            </w:pP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Exchange Act of 1934, as Adopted Pursuant to Section 302 of the Sarbanes-Oxley Act of 2002.</w:t>
            </w: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32.1*</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Certification of Principal Executive Officer Pursuant to 18 U.S.C. Section 1350, as Adopted Pursuant to</w:t>
            </w:r>
          </w:p>
        </w:tc>
      </w:tr>
      <w:tr>
        <w:trPr>
          <w:trHeight w:val="255"/>
        </w:trPr>
        <w:tc>
          <w:tcPr>
            <w:tcW w:w="1120" w:type="dxa"/>
            <w:vAlign w:val="bottom"/>
            <w:shd w:val="clear" w:color="auto" w:fill="FDFDFC"/>
          </w:tcPr>
          <w:p>
            <w:pPr>
              <w:spacing w:after="0"/>
              <w:rPr>
                <w:sz w:val="22"/>
                <w:szCs w:val="22"/>
                <w:color w:val="auto"/>
              </w:rPr>
            </w:pP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Section 906 of the Sarbanes-Oxley Act of 2002.</w:t>
            </w:r>
          </w:p>
        </w:tc>
      </w:tr>
      <w:tr>
        <w:trPr>
          <w:trHeight w:val="383"/>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32.2*</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Certification of Principal Financial Officer Pursuant to 18 U.S.C. Section 1350, as Adopted Pursuant to</w:t>
            </w:r>
          </w:p>
        </w:tc>
      </w:tr>
      <w:tr>
        <w:trPr>
          <w:trHeight w:val="235"/>
        </w:trPr>
        <w:tc>
          <w:tcPr>
            <w:tcW w:w="1120" w:type="dxa"/>
            <w:vAlign w:val="bottom"/>
            <w:shd w:val="clear" w:color="auto" w:fill="FDFDFC"/>
          </w:tcPr>
          <w:p>
            <w:pPr>
              <w:spacing w:after="0"/>
              <w:rPr>
                <w:sz w:val="20"/>
                <w:szCs w:val="20"/>
                <w:color w:val="auto"/>
              </w:rPr>
            </w:pP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Section 906 of the Sarbanes-Oxley Act of 2002.</w:t>
            </w:r>
          </w:p>
        </w:tc>
      </w:tr>
      <w:tr>
        <w:trPr>
          <w:trHeight w:val="402"/>
        </w:trPr>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97.1</w:t>
            </w: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Flywire Corporation Policy for the Recovery of Erroneously Awarded Compensation, incorporated by</w:t>
            </w:r>
          </w:p>
        </w:tc>
      </w:tr>
      <w:tr>
        <w:trPr>
          <w:trHeight w:val="217"/>
        </w:trPr>
        <w:tc>
          <w:tcPr>
            <w:tcW w:w="1120" w:type="dxa"/>
            <w:vAlign w:val="bottom"/>
            <w:shd w:val="clear" w:color="auto" w:fill="FDFDFC"/>
          </w:tcPr>
          <w:p>
            <w:pPr>
              <w:spacing w:after="0"/>
              <w:rPr>
                <w:sz w:val="18"/>
                <w:szCs w:val="18"/>
                <w:color w:val="auto"/>
              </w:rPr>
            </w:pPr>
          </w:p>
        </w:tc>
        <w:tc>
          <w:tcPr>
            <w:tcW w:w="9080" w:type="dxa"/>
            <w:vAlign w:val="bottom"/>
            <w:shd w:val="clear" w:color="auto" w:fill="FDFDFC"/>
          </w:tcPr>
          <w:p>
            <w:pPr>
              <w:ind w:left="100"/>
              <w:spacing w:after="0" w:line="217" w:lineRule="exact"/>
              <w:rPr>
                <w:sz w:val="20"/>
                <w:szCs w:val="20"/>
                <w:color w:val="auto"/>
              </w:rPr>
            </w:pPr>
            <w:r>
              <w:rPr>
                <w:rFonts w:ascii="Arial" w:cs="Arial" w:eastAsia="Arial" w:hAnsi="Arial"/>
                <w:sz w:val="19"/>
                <w:szCs w:val="19"/>
                <w:color w:val="231F20"/>
                <w:w w:val="99"/>
              </w:rPr>
              <w:t>reference to Exhibit 97.1 to the Registrant's Annual Report on Form 10-K for the year ended December 31,</w:t>
            </w:r>
          </w:p>
        </w:tc>
      </w:tr>
      <w:tr>
        <w:trPr>
          <w:trHeight w:val="235"/>
        </w:trPr>
        <w:tc>
          <w:tcPr>
            <w:tcW w:w="1120" w:type="dxa"/>
            <w:vAlign w:val="bottom"/>
            <w:shd w:val="clear" w:color="auto" w:fill="FDFDFC"/>
          </w:tcPr>
          <w:p>
            <w:pPr>
              <w:spacing w:after="0"/>
              <w:rPr>
                <w:sz w:val="20"/>
                <w:szCs w:val="20"/>
                <w:color w:val="auto"/>
              </w:rPr>
            </w:pPr>
          </w:p>
        </w:tc>
        <w:tc>
          <w:tcPr>
            <w:tcW w:w="9080" w:type="dxa"/>
            <w:vAlign w:val="bottom"/>
            <w:shd w:val="clear" w:color="auto" w:fill="FDFDFC"/>
          </w:tcPr>
          <w:p>
            <w:pPr>
              <w:ind w:left="100"/>
              <w:spacing w:after="0"/>
              <w:rPr>
                <w:sz w:val="20"/>
                <w:szCs w:val="20"/>
                <w:color w:val="auto"/>
              </w:rPr>
            </w:pPr>
            <w:r>
              <w:rPr>
                <w:rFonts w:ascii="Arial" w:cs="Arial" w:eastAsia="Arial" w:hAnsi="Arial"/>
                <w:sz w:val="19"/>
                <w:szCs w:val="19"/>
                <w:color w:val="231F20"/>
              </w:rPr>
              <w:t>2023 filed on February 28, 2024.</w:t>
            </w:r>
          </w:p>
        </w:tc>
      </w:tr>
    </w:tbl>
    <w:p>
      <w:pPr>
        <w:spacing w:after="0" w:line="200" w:lineRule="exact"/>
        <w:rPr>
          <w:sz w:val="20"/>
          <w:szCs w:val="20"/>
          <w:color w:val="auto"/>
        </w:rPr>
      </w:pPr>
    </w:p>
    <w:p>
      <w:pPr>
        <w:sectPr>
          <w:pgSz w:w="12240" w:h="15840" w:orient="portrait"/>
          <w:cols w:equalWidth="0" w:num="1">
            <w:col w:w="10200"/>
          </w:cols>
          <w:pgMar w:left="1020" w:top="1440" w:right="1020" w:bottom="572"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156</w:t>
      </w:r>
    </w:p>
    <w:p>
      <w:pPr>
        <w:sectPr>
          <w:pgSz w:w="12240" w:h="15840" w:orient="portrait"/>
          <w:cols w:equalWidth="0" w:num="1">
            <w:col w:w="10200"/>
          </w:cols>
          <w:pgMar w:left="1020" w:top="1440" w:right="1020" w:bottom="572" w:gutter="0" w:footer="0" w:header="0"/>
          <w:type w:val="continuous"/>
        </w:sectPr>
      </w:pPr>
    </w:p>
    <w:bookmarkStart w:id="157" w:name="page158"/>
    <w:bookmarkEnd w:id="157"/>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403"/>
        </w:trPr>
        <w:tc>
          <w:tcPr>
            <w:tcW w:w="20" w:type="dxa"/>
            <w:vAlign w:val="bottom"/>
          </w:tcPr>
          <w:p>
            <w:pPr>
              <w:spacing w:after="0"/>
              <w:rPr>
                <w:sz w:val="24"/>
                <w:szCs w:val="24"/>
                <w:color w:val="auto"/>
              </w:rPr>
            </w:pPr>
          </w:p>
        </w:tc>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101.INS</w:t>
            </w:r>
          </w:p>
        </w:tc>
        <w:tc>
          <w:tcPr>
            <w:tcW w:w="9080" w:type="dxa"/>
            <w:vAlign w:val="bottom"/>
            <w:gridSpan w:val="2"/>
            <w:shd w:val="clear" w:color="auto" w:fill="FDFDFC"/>
          </w:tcPr>
          <w:p>
            <w:pPr>
              <w:ind w:left="100"/>
              <w:spacing w:after="0"/>
              <w:rPr>
                <w:sz w:val="20"/>
                <w:szCs w:val="20"/>
                <w:color w:val="auto"/>
              </w:rPr>
            </w:pPr>
            <w:r>
              <w:rPr>
                <w:rFonts w:ascii="Arial" w:cs="Arial" w:eastAsia="Arial" w:hAnsi="Arial"/>
                <w:sz w:val="19"/>
                <w:szCs w:val="19"/>
                <w:color w:val="231F20"/>
              </w:rPr>
              <w:t>Inline XBRL Instance Document – the instance document does not appear in the Interactive Data File</w:t>
            </w:r>
          </w:p>
        </w:tc>
      </w:tr>
      <w:tr>
        <w:trPr>
          <w:trHeight w:val="235"/>
        </w:trPr>
        <w:tc>
          <w:tcPr>
            <w:tcW w:w="20" w:type="dxa"/>
            <w:vAlign w:val="bottom"/>
          </w:tcPr>
          <w:p>
            <w:pPr>
              <w:spacing w:after="0"/>
              <w:rPr>
                <w:sz w:val="20"/>
                <w:szCs w:val="20"/>
                <w:color w:val="auto"/>
              </w:rPr>
            </w:pPr>
          </w:p>
        </w:tc>
        <w:tc>
          <w:tcPr>
            <w:tcW w:w="1120" w:type="dxa"/>
            <w:vAlign w:val="bottom"/>
            <w:shd w:val="clear" w:color="auto" w:fill="FDFDFC"/>
          </w:tcPr>
          <w:p>
            <w:pPr>
              <w:spacing w:after="0"/>
              <w:rPr>
                <w:sz w:val="20"/>
                <w:szCs w:val="20"/>
                <w:color w:val="auto"/>
              </w:rPr>
            </w:pPr>
          </w:p>
        </w:tc>
        <w:tc>
          <w:tcPr>
            <w:tcW w:w="9080" w:type="dxa"/>
            <w:vAlign w:val="bottom"/>
            <w:gridSpan w:val="2"/>
            <w:shd w:val="clear" w:color="auto" w:fill="FDFDFC"/>
          </w:tcPr>
          <w:p>
            <w:pPr>
              <w:ind w:left="100"/>
              <w:spacing w:after="0"/>
              <w:rPr>
                <w:sz w:val="20"/>
                <w:szCs w:val="20"/>
                <w:color w:val="auto"/>
              </w:rPr>
            </w:pPr>
            <w:r>
              <w:rPr>
                <w:rFonts w:ascii="Arial" w:cs="Arial" w:eastAsia="Arial" w:hAnsi="Arial"/>
                <w:sz w:val="19"/>
                <w:szCs w:val="19"/>
                <w:color w:val="231F20"/>
              </w:rPr>
              <w:t>because XBRL tags are embedded within the Inline XBRL document.</w:t>
            </w:r>
          </w:p>
        </w:tc>
      </w:tr>
      <w:tr>
        <w:trPr>
          <w:trHeight w:val="440"/>
        </w:trPr>
        <w:tc>
          <w:tcPr>
            <w:tcW w:w="20" w:type="dxa"/>
            <w:vAlign w:val="bottom"/>
          </w:tcPr>
          <w:p>
            <w:pPr>
              <w:spacing w:after="0"/>
              <w:rPr>
                <w:sz w:val="24"/>
                <w:szCs w:val="24"/>
                <w:color w:val="auto"/>
              </w:rPr>
            </w:pPr>
          </w:p>
        </w:tc>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101.SCH</w:t>
            </w:r>
          </w:p>
        </w:tc>
        <w:tc>
          <w:tcPr>
            <w:tcW w:w="9080" w:type="dxa"/>
            <w:vAlign w:val="bottom"/>
            <w:gridSpan w:val="2"/>
            <w:shd w:val="clear" w:color="auto" w:fill="FDFDFC"/>
          </w:tcPr>
          <w:p>
            <w:pPr>
              <w:ind w:left="100"/>
              <w:spacing w:after="0"/>
              <w:rPr>
                <w:sz w:val="20"/>
                <w:szCs w:val="20"/>
                <w:color w:val="auto"/>
              </w:rPr>
            </w:pPr>
            <w:r>
              <w:rPr>
                <w:rFonts w:ascii="Arial" w:cs="Arial" w:eastAsia="Arial" w:hAnsi="Arial"/>
                <w:sz w:val="19"/>
                <w:szCs w:val="19"/>
                <w:color w:val="231F20"/>
              </w:rPr>
              <w:t>Inline XBRL Taxonomy Extension Schema with embedded linkbase documents.</w:t>
            </w:r>
          </w:p>
        </w:tc>
      </w:tr>
      <w:tr>
        <w:trPr>
          <w:trHeight w:val="400"/>
        </w:trPr>
        <w:tc>
          <w:tcPr>
            <w:tcW w:w="20" w:type="dxa"/>
            <w:vAlign w:val="bottom"/>
          </w:tcPr>
          <w:p>
            <w:pPr>
              <w:spacing w:after="0"/>
              <w:rPr>
                <w:sz w:val="24"/>
                <w:szCs w:val="24"/>
                <w:color w:val="auto"/>
              </w:rPr>
            </w:pPr>
          </w:p>
        </w:tc>
        <w:tc>
          <w:tcPr>
            <w:tcW w:w="1120" w:type="dxa"/>
            <w:vAlign w:val="bottom"/>
            <w:shd w:val="clear" w:color="auto" w:fill="FDFDFC"/>
          </w:tcPr>
          <w:p>
            <w:pPr>
              <w:spacing w:after="0"/>
              <w:rPr>
                <w:sz w:val="20"/>
                <w:szCs w:val="20"/>
                <w:color w:val="auto"/>
              </w:rPr>
            </w:pPr>
            <w:r>
              <w:rPr>
                <w:rFonts w:ascii="Arial" w:cs="Arial" w:eastAsia="Arial" w:hAnsi="Arial"/>
                <w:sz w:val="19"/>
                <w:szCs w:val="19"/>
                <w:color w:val="231F20"/>
              </w:rPr>
              <w:t>104</w:t>
            </w:r>
          </w:p>
        </w:tc>
        <w:tc>
          <w:tcPr>
            <w:tcW w:w="9080" w:type="dxa"/>
            <w:vAlign w:val="bottom"/>
            <w:gridSpan w:val="2"/>
            <w:shd w:val="clear" w:color="auto" w:fill="FDFDFC"/>
          </w:tcPr>
          <w:p>
            <w:pPr>
              <w:ind w:left="100"/>
              <w:spacing w:after="0"/>
              <w:rPr>
                <w:sz w:val="20"/>
                <w:szCs w:val="20"/>
                <w:color w:val="auto"/>
              </w:rPr>
            </w:pPr>
            <w:r>
              <w:rPr>
                <w:rFonts w:ascii="Arial" w:cs="Arial" w:eastAsia="Arial" w:hAnsi="Arial"/>
                <w:sz w:val="19"/>
                <w:szCs w:val="19"/>
                <w:color w:val="231F20"/>
              </w:rPr>
              <w:t>Cover Page Interactive Data File (embedded within the Inline XBRL document).</w:t>
            </w:r>
          </w:p>
        </w:tc>
      </w:tr>
      <w:tr>
        <w:trPr>
          <w:trHeight w:val="149"/>
        </w:trPr>
        <w:tc>
          <w:tcPr>
            <w:tcW w:w="20" w:type="dxa"/>
            <w:vAlign w:val="bottom"/>
            <w:tcBorders>
              <w:bottom w:val="single" w:sz="8" w:color="231F20"/>
            </w:tcBorders>
          </w:tcPr>
          <w:p>
            <w:pPr>
              <w:spacing w:after="0"/>
              <w:rPr>
                <w:sz w:val="12"/>
                <w:szCs w:val="12"/>
                <w:color w:val="auto"/>
              </w:rPr>
            </w:pPr>
          </w:p>
        </w:tc>
        <w:tc>
          <w:tcPr>
            <w:tcW w:w="1120" w:type="dxa"/>
            <w:vAlign w:val="bottom"/>
            <w:tcBorders>
              <w:bottom w:val="single" w:sz="8" w:color="231F20"/>
            </w:tcBorders>
          </w:tcPr>
          <w:p>
            <w:pPr>
              <w:spacing w:after="0"/>
              <w:rPr>
                <w:sz w:val="12"/>
                <w:szCs w:val="12"/>
                <w:color w:val="auto"/>
              </w:rPr>
            </w:pPr>
          </w:p>
        </w:tc>
        <w:tc>
          <w:tcPr>
            <w:tcW w:w="940" w:type="dxa"/>
            <w:vAlign w:val="bottom"/>
            <w:tcBorders>
              <w:bottom w:val="single" w:sz="8" w:color="231F20"/>
            </w:tcBorders>
          </w:tcPr>
          <w:p>
            <w:pPr>
              <w:spacing w:after="0"/>
              <w:rPr>
                <w:sz w:val="12"/>
                <w:szCs w:val="12"/>
                <w:color w:val="auto"/>
              </w:rPr>
            </w:pPr>
          </w:p>
        </w:tc>
        <w:tc>
          <w:tcPr>
            <w:tcW w:w="8140" w:type="dxa"/>
            <w:vAlign w:val="bottom"/>
          </w:tcPr>
          <w:p>
            <w:pPr>
              <w:spacing w:after="0"/>
              <w:rPr>
                <w:sz w:val="12"/>
                <w:szCs w:val="12"/>
                <w:color w:val="auto"/>
              </w:rPr>
            </w:pPr>
          </w:p>
        </w:tc>
      </w:tr>
    </w:tbl>
    <w:p>
      <w:pPr>
        <w:spacing w:after="0" w:line="96" w:lineRule="exact"/>
        <w:rPr>
          <w:sz w:val="20"/>
          <w:szCs w:val="20"/>
          <w:color w:val="auto"/>
        </w:rPr>
      </w:pPr>
    </w:p>
    <w:p>
      <w:pPr>
        <w:ind w:left="20"/>
        <w:spacing w:after="0"/>
        <w:rPr>
          <w:sz w:val="20"/>
          <w:szCs w:val="20"/>
          <w:color w:val="auto"/>
        </w:rPr>
      </w:pPr>
      <w:r>
        <w:rPr>
          <w:rFonts w:ascii="Arial" w:cs="Arial" w:eastAsia="Arial" w:hAnsi="Arial"/>
          <w:sz w:val="19"/>
          <w:szCs w:val="19"/>
          <w:color w:val="231F20"/>
        </w:rPr>
        <w:t>* Filed herewith.</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9"/>
          <w:szCs w:val="19"/>
          <w:color w:val="231F20"/>
        </w:rPr>
        <w:t># Indicates a management contract or compensatory plan</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231F20"/>
        </w:rPr>
        <w:t>Item 16. Form 10-K Summary</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9"/>
          <w:szCs w:val="19"/>
          <w:color w:val="231F20"/>
        </w:rPr>
        <w:t>None.</w:t>
      </w:r>
    </w:p>
    <w:p>
      <w:pPr>
        <w:sectPr>
          <w:pgSz w:w="12240" w:h="15840" w:orient="portrait"/>
          <w:cols w:equalWidth="0" w:num="1">
            <w:col w:w="10220"/>
          </w:cols>
          <w:pgMar w:left="100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157</w:t>
      </w:r>
    </w:p>
    <w:p>
      <w:pPr>
        <w:sectPr>
          <w:pgSz w:w="12240" w:h="15840" w:orient="portrait"/>
          <w:cols w:equalWidth="0" w:num="1">
            <w:col w:w="10220"/>
          </w:cols>
          <w:pgMar w:left="1000" w:top="1440" w:right="1020" w:bottom="572" w:gutter="0" w:footer="0" w:header="0"/>
          <w:type w:val="continuous"/>
        </w:sectPr>
      </w:pPr>
    </w:p>
    <w:bookmarkStart w:id="158" w:name="page159"/>
    <w:bookmarkEnd w:id="158"/>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SIGNATURES</w:t>
      </w:r>
    </w:p>
    <w:p>
      <w:pPr>
        <w:spacing w:after="0" w:line="192" w:lineRule="exact"/>
        <w:rPr>
          <w:sz w:val="20"/>
          <w:szCs w:val="20"/>
          <w:color w:val="auto"/>
        </w:rPr>
      </w:pPr>
    </w:p>
    <w:p>
      <w:pPr>
        <w:ind w:firstLine="463"/>
        <w:spacing w:after="0" w:line="278" w:lineRule="auto"/>
        <w:rPr>
          <w:sz w:val="20"/>
          <w:szCs w:val="20"/>
          <w:color w:val="auto"/>
        </w:rPr>
      </w:pPr>
      <w:r>
        <w:rPr>
          <w:rFonts w:ascii="Arial" w:cs="Arial" w:eastAsia="Arial" w:hAnsi="Arial"/>
          <w:sz w:val="19"/>
          <w:szCs w:val="19"/>
          <w:color w:val="231F20"/>
        </w:rPr>
        <w:t>Pursuant to the requirements of the Securities Exchange Act of 1934, the registrant has duly caused this report to be signed on its behalf by the undersigned thereunto duly authorized.</w:t>
      </w:r>
    </w:p>
    <w:p>
      <w:pPr>
        <w:spacing w:after="0" w:line="113" w:lineRule="exact"/>
        <w:rPr>
          <w:sz w:val="20"/>
          <w:szCs w:val="20"/>
          <w:color w:val="auto"/>
        </w:rPr>
      </w:pPr>
    </w:p>
    <w:tbl>
      <w:tblPr>
        <w:tblLayout w:type="fixed"/>
        <w:tblInd w:w="140" w:type="dxa"/>
        <w:tblCellMar>
          <w:top w:w="0" w:type="dxa"/>
          <w:left w:w="0" w:type="dxa"/>
          <w:bottom w:w="0" w:type="dxa"/>
          <w:right w:w="0" w:type="dxa"/>
        </w:tblCellMar>
      </w:tblPr>
      <w:tr>
        <w:trPr>
          <w:trHeight w:val="269"/>
        </w:trPr>
        <w:tc>
          <w:tcPr>
            <w:tcW w:w="3160" w:type="dxa"/>
            <w:vAlign w:val="bottom"/>
          </w:tcPr>
          <w:p>
            <w:pPr>
              <w:spacing w:after="0"/>
              <w:rPr>
                <w:sz w:val="23"/>
                <w:szCs w:val="23"/>
                <w:color w:val="auto"/>
              </w:rPr>
            </w:pPr>
          </w:p>
        </w:tc>
        <w:tc>
          <w:tcPr>
            <w:tcW w:w="6840" w:type="dxa"/>
            <w:vAlign w:val="bottom"/>
            <w:gridSpan w:val="2"/>
          </w:tcPr>
          <w:p>
            <w:pPr>
              <w:ind w:left="1140"/>
              <w:spacing w:after="0"/>
              <w:rPr>
                <w:sz w:val="20"/>
                <w:szCs w:val="20"/>
                <w:color w:val="auto"/>
              </w:rPr>
            </w:pPr>
            <w:r>
              <w:rPr>
                <w:rFonts w:ascii="Arial" w:cs="Arial" w:eastAsia="Arial" w:hAnsi="Arial"/>
                <w:sz w:val="19"/>
                <w:szCs w:val="19"/>
                <w:b w:val="1"/>
                <w:bCs w:val="1"/>
                <w:color w:val="231F20"/>
              </w:rPr>
              <w:t>FLYWIRE CORPORATION</w:t>
            </w:r>
          </w:p>
        </w:tc>
      </w:tr>
      <w:tr>
        <w:trPr>
          <w:trHeight w:val="419"/>
        </w:trPr>
        <w:tc>
          <w:tcPr>
            <w:tcW w:w="3160" w:type="dxa"/>
            <w:vAlign w:val="bottom"/>
          </w:tcPr>
          <w:p>
            <w:pPr>
              <w:spacing w:after="0"/>
              <w:rPr>
                <w:sz w:val="20"/>
                <w:szCs w:val="20"/>
                <w:color w:val="auto"/>
              </w:rPr>
            </w:pPr>
            <w:r>
              <w:rPr>
                <w:rFonts w:ascii="Arial" w:cs="Arial" w:eastAsia="Arial" w:hAnsi="Arial"/>
                <w:sz w:val="19"/>
                <w:szCs w:val="19"/>
                <w:color w:val="231F20"/>
              </w:rPr>
              <w:t>Date: February 25, 2025</w:t>
            </w:r>
          </w:p>
        </w:tc>
        <w:tc>
          <w:tcPr>
            <w:tcW w:w="1580" w:type="dxa"/>
            <w:vAlign w:val="bottom"/>
          </w:tcPr>
          <w:p>
            <w:pPr>
              <w:ind w:left="1140"/>
              <w:spacing w:after="0"/>
              <w:rPr>
                <w:sz w:val="20"/>
                <w:szCs w:val="20"/>
                <w:color w:val="auto"/>
              </w:rPr>
            </w:pPr>
            <w:r>
              <w:rPr>
                <w:rFonts w:ascii="Arial" w:cs="Arial" w:eastAsia="Arial" w:hAnsi="Arial"/>
                <w:sz w:val="19"/>
                <w:szCs w:val="19"/>
                <w:color w:val="231F20"/>
              </w:rPr>
              <w:t>By:</w:t>
            </w:r>
          </w:p>
        </w:tc>
        <w:tc>
          <w:tcPr>
            <w:tcW w:w="52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color w:val="231F20"/>
                <w:w w:val="99"/>
              </w:rPr>
              <w:t>/s/ Michael Massaro</w:t>
            </w:r>
          </w:p>
        </w:tc>
      </w:tr>
      <w:tr>
        <w:trPr>
          <w:trHeight w:val="194"/>
        </w:trPr>
        <w:tc>
          <w:tcPr>
            <w:tcW w:w="3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60" w:type="dxa"/>
            <w:vAlign w:val="bottom"/>
          </w:tcPr>
          <w:p>
            <w:pPr>
              <w:jc w:val="center"/>
              <w:spacing w:after="0" w:line="194" w:lineRule="exact"/>
              <w:rPr>
                <w:sz w:val="20"/>
                <w:szCs w:val="20"/>
                <w:color w:val="auto"/>
              </w:rPr>
            </w:pPr>
            <w:r>
              <w:rPr>
                <w:rFonts w:ascii="Arial" w:cs="Arial" w:eastAsia="Arial" w:hAnsi="Arial"/>
                <w:sz w:val="19"/>
                <w:szCs w:val="19"/>
                <w:b w:val="1"/>
                <w:bCs w:val="1"/>
                <w:color w:val="231F20"/>
                <w:w w:val="99"/>
              </w:rPr>
              <w:t>Michael Massaro</w:t>
            </w:r>
          </w:p>
        </w:tc>
      </w:tr>
      <w:tr>
        <w:trPr>
          <w:trHeight w:val="230"/>
        </w:trPr>
        <w:tc>
          <w:tcPr>
            <w:tcW w:w="3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9"/>
                <w:szCs w:val="19"/>
                <w:b w:val="1"/>
                <w:bCs w:val="1"/>
                <w:color w:val="231F20"/>
                <w:w w:val="99"/>
              </w:rPr>
              <w:t>Chief Executive Officer and Director</w:t>
            </w:r>
          </w:p>
        </w:tc>
      </w:tr>
      <w:tr>
        <w:trPr>
          <w:trHeight w:val="254"/>
        </w:trPr>
        <w:tc>
          <w:tcPr>
            <w:tcW w:w="3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231F20"/>
                <w:w w:val="99"/>
              </w:rPr>
              <w:t>(Principal Executive Officer)</w:t>
            </w:r>
          </w:p>
        </w:tc>
      </w:tr>
      <w:tr>
        <w:trPr>
          <w:trHeight w:val="406"/>
        </w:trPr>
        <w:tc>
          <w:tcPr>
            <w:tcW w:w="3160" w:type="dxa"/>
            <w:vAlign w:val="bottom"/>
          </w:tcPr>
          <w:p>
            <w:pPr>
              <w:spacing w:after="0"/>
              <w:rPr>
                <w:sz w:val="20"/>
                <w:szCs w:val="20"/>
                <w:color w:val="auto"/>
              </w:rPr>
            </w:pPr>
            <w:r>
              <w:rPr>
                <w:rFonts w:ascii="Arial" w:cs="Arial" w:eastAsia="Arial" w:hAnsi="Arial"/>
                <w:sz w:val="19"/>
                <w:szCs w:val="19"/>
                <w:color w:val="231F20"/>
              </w:rPr>
              <w:t>Date: February 25, 2025</w:t>
            </w:r>
          </w:p>
        </w:tc>
        <w:tc>
          <w:tcPr>
            <w:tcW w:w="1580" w:type="dxa"/>
            <w:vAlign w:val="bottom"/>
          </w:tcPr>
          <w:p>
            <w:pPr>
              <w:ind w:left="1140"/>
              <w:spacing w:after="0"/>
              <w:rPr>
                <w:sz w:val="20"/>
                <w:szCs w:val="20"/>
                <w:color w:val="auto"/>
              </w:rPr>
            </w:pPr>
            <w:r>
              <w:rPr>
                <w:rFonts w:ascii="Arial" w:cs="Arial" w:eastAsia="Arial" w:hAnsi="Arial"/>
                <w:sz w:val="19"/>
                <w:szCs w:val="19"/>
                <w:color w:val="231F20"/>
              </w:rPr>
              <w:t>By:</w:t>
            </w:r>
          </w:p>
        </w:tc>
        <w:tc>
          <w:tcPr>
            <w:tcW w:w="52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color w:val="231F20"/>
                <w:w w:val="99"/>
              </w:rPr>
              <w:t>/s/ Cosmin Pitigoi</w:t>
            </w:r>
          </w:p>
        </w:tc>
      </w:tr>
      <w:tr>
        <w:trPr>
          <w:trHeight w:val="194"/>
        </w:trPr>
        <w:tc>
          <w:tcPr>
            <w:tcW w:w="3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60" w:type="dxa"/>
            <w:vAlign w:val="bottom"/>
          </w:tcPr>
          <w:p>
            <w:pPr>
              <w:jc w:val="center"/>
              <w:spacing w:after="0" w:line="194" w:lineRule="exact"/>
              <w:rPr>
                <w:sz w:val="20"/>
                <w:szCs w:val="20"/>
                <w:color w:val="auto"/>
              </w:rPr>
            </w:pPr>
            <w:r>
              <w:rPr>
                <w:rFonts w:ascii="Arial" w:cs="Arial" w:eastAsia="Arial" w:hAnsi="Arial"/>
                <w:sz w:val="19"/>
                <w:szCs w:val="19"/>
                <w:b w:val="1"/>
                <w:bCs w:val="1"/>
                <w:color w:val="231F20"/>
                <w:w w:val="99"/>
              </w:rPr>
              <w:t>Cosmin Pitigoi</w:t>
            </w:r>
          </w:p>
        </w:tc>
      </w:tr>
      <w:tr>
        <w:trPr>
          <w:trHeight w:val="256"/>
        </w:trPr>
        <w:tc>
          <w:tcPr>
            <w:tcW w:w="3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260" w:type="dxa"/>
            <w:vAlign w:val="bottom"/>
          </w:tcPr>
          <w:p>
            <w:pPr>
              <w:jc w:val="center"/>
              <w:spacing w:after="0"/>
              <w:rPr>
                <w:sz w:val="20"/>
                <w:szCs w:val="20"/>
                <w:color w:val="auto"/>
              </w:rPr>
            </w:pPr>
            <w:r>
              <w:rPr>
                <w:rFonts w:ascii="Arial" w:cs="Arial" w:eastAsia="Arial" w:hAnsi="Arial"/>
                <w:sz w:val="19"/>
                <w:szCs w:val="19"/>
                <w:b w:val="1"/>
                <w:bCs w:val="1"/>
                <w:color w:val="231F20"/>
                <w:w w:val="99"/>
              </w:rPr>
              <w:t>Chief Financial Officer</w:t>
            </w:r>
          </w:p>
        </w:tc>
      </w:tr>
    </w:tbl>
    <w:p>
      <w:pPr>
        <w:ind w:left="5640"/>
        <w:spacing w:after="0"/>
        <w:rPr>
          <w:sz w:val="20"/>
          <w:szCs w:val="20"/>
          <w:color w:val="auto"/>
        </w:rPr>
      </w:pPr>
      <w:r>
        <w:rPr>
          <w:rFonts w:ascii="Arial" w:cs="Arial" w:eastAsia="Arial" w:hAnsi="Arial"/>
          <w:sz w:val="18"/>
          <w:szCs w:val="18"/>
          <w:b w:val="1"/>
          <w:bCs w:val="1"/>
          <w:color w:val="231F20"/>
        </w:rPr>
        <w:t>(Principal Financial and Accounting Officer)</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color w:val="231F20"/>
        </w:rPr>
        <w:t> </w:t>
      </w:r>
    </w:p>
    <w:p>
      <w:pPr>
        <w:sectPr>
          <w:pgSz w:w="12240" w:h="15840" w:orient="portrait"/>
          <w:cols w:equalWidth="0" w:num="1">
            <w:col w:w="10200"/>
          </w:cols>
          <w:pgMar w:left="1020" w:top="1440" w:right="102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158</w:t>
      </w:r>
    </w:p>
    <w:p>
      <w:pPr>
        <w:sectPr>
          <w:pgSz w:w="12240" w:h="15840" w:orient="portrait"/>
          <w:cols w:equalWidth="0" w:num="1">
            <w:col w:w="10200"/>
          </w:cols>
          <w:pgMar w:left="1020" w:top="1440" w:right="1020" w:bottom="572" w:gutter="0" w:footer="0" w:header="0"/>
          <w:type w:val="continuous"/>
        </w:sectPr>
      </w:pPr>
    </w:p>
    <w:bookmarkStart w:id="159" w:name="page160"/>
    <w:bookmarkEnd w:id="159"/>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231F20"/>
        </w:rPr>
        <w:t>POWER OF ATTORNEY</w:t>
      </w:r>
    </w:p>
    <w:p>
      <w:pPr>
        <w:spacing w:after="0" w:line="192" w:lineRule="exact"/>
        <w:rPr>
          <w:sz w:val="20"/>
          <w:szCs w:val="20"/>
          <w:color w:val="auto"/>
        </w:rPr>
      </w:pPr>
    </w:p>
    <w:p>
      <w:pPr>
        <w:ind w:right="60" w:firstLine="463"/>
        <w:spacing w:after="0" w:line="243" w:lineRule="auto"/>
        <w:rPr>
          <w:sz w:val="20"/>
          <w:szCs w:val="20"/>
          <w:color w:val="auto"/>
        </w:rPr>
      </w:pPr>
      <w:r>
        <w:rPr>
          <w:rFonts w:ascii="Arial" w:cs="Arial" w:eastAsia="Arial" w:hAnsi="Arial"/>
          <w:sz w:val="19"/>
          <w:szCs w:val="19"/>
          <w:i w:val="1"/>
          <w:iCs w:val="1"/>
          <w:color w:val="231F20"/>
        </w:rPr>
        <w:t>KNOW ALL PERSONS BY THESE PRESENTS</w:t>
      </w:r>
      <w:r>
        <w:rPr>
          <w:rFonts w:ascii="Arial" w:cs="Arial" w:eastAsia="Arial" w:hAnsi="Arial"/>
          <w:sz w:val="19"/>
          <w:szCs w:val="19"/>
          <w:color w:val="231F20"/>
        </w:rPr>
        <w:t>, that each person whose signature appears below hereby</w:t>
      </w:r>
      <w:r>
        <w:rPr>
          <w:rFonts w:ascii="Arial" w:cs="Arial" w:eastAsia="Arial" w:hAnsi="Arial"/>
          <w:sz w:val="19"/>
          <w:szCs w:val="19"/>
          <w:i w:val="1"/>
          <w:iCs w:val="1"/>
          <w:color w:val="231F20"/>
        </w:rPr>
        <w:t xml:space="preserve"> </w:t>
      </w:r>
      <w:r>
        <w:rPr>
          <w:rFonts w:ascii="Arial" w:cs="Arial" w:eastAsia="Arial" w:hAnsi="Arial"/>
          <w:sz w:val="19"/>
          <w:szCs w:val="19"/>
          <w:color w:val="231F20"/>
        </w:rPr>
        <w:t>constitutes and appoints Michael Massaro and Cosmin Pitigoi, and each of them, as his or her true and lawful attorneys-in-fact, proxies,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53" w:lineRule="exact"/>
        <w:rPr>
          <w:sz w:val="20"/>
          <w:szCs w:val="20"/>
          <w:color w:val="auto"/>
        </w:rPr>
      </w:pPr>
    </w:p>
    <w:p>
      <w:pPr>
        <w:ind w:firstLine="463"/>
        <w:spacing w:after="0" w:line="278" w:lineRule="auto"/>
        <w:rPr>
          <w:sz w:val="20"/>
          <w:szCs w:val="20"/>
          <w:color w:val="auto"/>
        </w:rPr>
      </w:pPr>
      <w:r>
        <w:rPr>
          <w:rFonts w:ascii="Arial" w:cs="Arial" w:eastAsia="Arial" w:hAnsi="Arial"/>
          <w:sz w:val="19"/>
          <w:szCs w:val="19"/>
          <w:color w:val="231F20"/>
        </w:rPr>
        <w:t>Pursuant to the requirements of the Securities Exchange Act, this Annual Report on Form 10-K has been signed by the following persons on behalf of the registrant and in the capacities and on the dates indicated.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32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color w:val="231F20"/>
                <w:w w:val="98"/>
              </w:rPr>
              <w:t>Signature</w:t>
            </w:r>
          </w:p>
        </w:tc>
        <w:tc>
          <w:tcPr>
            <w:tcW w:w="180" w:type="dxa"/>
            <w:vAlign w:val="bottom"/>
          </w:tcPr>
          <w:p>
            <w:pPr>
              <w:spacing w:after="0"/>
              <w:rPr>
                <w:sz w:val="20"/>
                <w:szCs w:val="20"/>
                <w:color w:val="auto"/>
              </w:rPr>
            </w:pPr>
          </w:p>
        </w:tc>
        <w:tc>
          <w:tcPr>
            <w:tcW w:w="37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color w:val="231F20"/>
              </w:rPr>
              <w:t>Title</w:t>
            </w:r>
          </w:p>
        </w:tc>
        <w:tc>
          <w:tcPr>
            <w:tcW w:w="140" w:type="dxa"/>
            <w:vAlign w:val="bottom"/>
          </w:tcPr>
          <w:p>
            <w:pPr>
              <w:spacing w:after="0"/>
              <w:rPr>
                <w:sz w:val="20"/>
                <w:szCs w:val="20"/>
                <w:color w:val="auto"/>
              </w:rPr>
            </w:pPr>
          </w:p>
        </w:tc>
        <w:tc>
          <w:tcPr>
            <w:tcW w:w="19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color w:val="231F20"/>
                <w:w w:val="99"/>
              </w:rPr>
              <w:t>Date</w:t>
            </w:r>
          </w:p>
        </w:tc>
        <w:tc>
          <w:tcPr>
            <w:tcW w:w="0" w:type="dxa"/>
            <w:vAlign w:val="bottom"/>
          </w:tcPr>
          <w:p>
            <w:pPr>
              <w:spacing w:after="0"/>
              <w:rPr>
                <w:sz w:val="1"/>
                <w:szCs w:val="1"/>
                <w:color w:val="auto"/>
              </w:rPr>
            </w:pPr>
          </w:p>
        </w:tc>
      </w:tr>
      <w:tr>
        <w:trPr>
          <w:trHeight w:val="465"/>
        </w:trPr>
        <w:tc>
          <w:tcPr>
            <w:tcW w:w="32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color w:val="231F20"/>
                <w:w w:val="99"/>
              </w:rPr>
              <w:t>/s/ Michael Massaro</w:t>
            </w:r>
          </w:p>
        </w:tc>
        <w:tc>
          <w:tcPr>
            <w:tcW w:w="18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9"/>
                <w:szCs w:val="19"/>
                <w:color w:val="231F20"/>
                <w:w w:val="99"/>
              </w:rPr>
              <w:t>Chief Executive Officer and Director</w:t>
            </w:r>
          </w:p>
        </w:tc>
        <w:tc>
          <w:tcPr>
            <w:tcW w:w="1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9"/>
                <w:szCs w:val="19"/>
                <w:color w:val="231F20"/>
                <w:w w:val="99"/>
              </w:rPr>
              <w:t>February 25, 2025</w:t>
            </w:r>
          </w:p>
        </w:tc>
        <w:tc>
          <w:tcPr>
            <w:tcW w:w="0" w:type="dxa"/>
            <w:vAlign w:val="bottom"/>
          </w:tcPr>
          <w:p>
            <w:pPr>
              <w:spacing w:after="0"/>
              <w:rPr>
                <w:sz w:val="1"/>
                <w:szCs w:val="1"/>
                <w:color w:val="auto"/>
              </w:rPr>
            </w:pPr>
          </w:p>
        </w:tc>
      </w:tr>
      <w:tr>
        <w:trPr>
          <w:trHeight w:val="212"/>
        </w:trPr>
        <w:tc>
          <w:tcPr>
            <w:tcW w:w="3260" w:type="dxa"/>
            <w:vAlign w:val="bottom"/>
          </w:tcPr>
          <w:p>
            <w:pPr>
              <w:jc w:val="center"/>
              <w:spacing w:after="0" w:line="212" w:lineRule="exact"/>
              <w:rPr>
                <w:sz w:val="20"/>
                <w:szCs w:val="20"/>
                <w:color w:val="auto"/>
              </w:rPr>
            </w:pPr>
            <w:r>
              <w:rPr>
                <w:rFonts w:ascii="Arial" w:cs="Arial" w:eastAsia="Arial" w:hAnsi="Arial"/>
                <w:sz w:val="19"/>
                <w:szCs w:val="19"/>
                <w:color w:val="231F20"/>
              </w:rPr>
              <w:t>Michael Massaro</w:t>
            </w:r>
          </w:p>
        </w:tc>
        <w:tc>
          <w:tcPr>
            <w:tcW w:w="180" w:type="dxa"/>
            <w:vAlign w:val="bottom"/>
          </w:tcPr>
          <w:p>
            <w:pPr>
              <w:spacing w:after="0"/>
              <w:rPr>
                <w:sz w:val="18"/>
                <w:szCs w:val="18"/>
                <w:color w:val="auto"/>
              </w:rPr>
            </w:pPr>
          </w:p>
        </w:tc>
        <w:tc>
          <w:tcPr>
            <w:tcW w:w="3760" w:type="dxa"/>
            <w:vAlign w:val="bottom"/>
          </w:tcPr>
          <w:p>
            <w:pPr>
              <w:jc w:val="center"/>
              <w:spacing w:after="0" w:line="212" w:lineRule="exact"/>
              <w:rPr>
                <w:sz w:val="20"/>
                <w:szCs w:val="20"/>
                <w:color w:val="auto"/>
              </w:rPr>
            </w:pPr>
            <w:r>
              <w:rPr>
                <w:rFonts w:ascii="Arial" w:cs="Arial" w:eastAsia="Arial" w:hAnsi="Arial"/>
                <w:sz w:val="19"/>
                <w:szCs w:val="19"/>
                <w:i w:val="1"/>
                <w:iCs w:val="1"/>
                <w:color w:val="231F20"/>
                <w:w w:val="98"/>
              </w:rPr>
              <w:t>(Principal Executive Officer)</w:t>
            </w: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color w:val="231F20"/>
                <w:w w:val="98"/>
              </w:rPr>
              <w:t>/s/ Phillip Riese</w:t>
            </w:r>
          </w:p>
        </w:tc>
        <w:tc>
          <w:tcPr>
            <w:tcW w:w="18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9"/>
                <w:szCs w:val="19"/>
                <w:color w:val="231F20"/>
                <w:w w:val="99"/>
              </w:rPr>
              <w:t>Chairman of the Board of Directors</w:t>
            </w:r>
          </w:p>
        </w:tc>
        <w:tc>
          <w:tcPr>
            <w:tcW w:w="1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9"/>
                <w:szCs w:val="19"/>
                <w:color w:val="231F20"/>
                <w:w w:val="99"/>
              </w:rPr>
              <w:t>February 25, 2025</w:t>
            </w:r>
          </w:p>
        </w:tc>
        <w:tc>
          <w:tcPr>
            <w:tcW w:w="0" w:type="dxa"/>
            <w:vAlign w:val="bottom"/>
          </w:tcPr>
          <w:p>
            <w:pPr>
              <w:spacing w:after="0"/>
              <w:rPr>
                <w:sz w:val="1"/>
                <w:szCs w:val="1"/>
                <w:color w:val="auto"/>
              </w:rPr>
            </w:pPr>
          </w:p>
        </w:tc>
      </w:tr>
      <w:tr>
        <w:trPr>
          <w:trHeight w:val="212"/>
        </w:trPr>
        <w:tc>
          <w:tcPr>
            <w:tcW w:w="3260" w:type="dxa"/>
            <w:vAlign w:val="bottom"/>
          </w:tcPr>
          <w:p>
            <w:pPr>
              <w:jc w:val="center"/>
              <w:spacing w:after="0" w:line="212" w:lineRule="exact"/>
              <w:rPr>
                <w:sz w:val="20"/>
                <w:szCs w:val="20"/>
                <w:color w:val="auto"/>
              </w:rPr>
            </w:pPr>
            <w:r>
              <w:rPr>
                <w:rFonts w:ascii="Arial" w:cs="Arial" w:eastAsia="Arial" w:hAnsi="Arial"/>
                <w:sz w:val="19"/>
                <w:szCs w:val="19"/>
                <w:color w:val="231F20"/>
                <w:w w:val="99"/>
              </w:rPr>
              <w:t>Phillip Riese</w:t>
            </w:r>
          </w:p>
        </w:tc>
        <w:tc>
          <w:tcPr>
            <w:tcW w:w="1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color w:val="231F20"/>
                <w:w w:val="98"/>
              </w:rPr>
              <w:t>/s/ Alex Finkelstein</w:t>
            </w:r>
          </w:p>
        </w:tc>
        <w:tc>
          <w:tcPr>
            <w:tcW w:w="18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9"/>
                <w:szCs w:val="19"/>
                <w:color w:val="231F20"/>
                <w:w w:val="99"/>
              </w:rPr>
              <w:t>Director</w:t>
            </w:r>
          </w:p>
        </w:tc>
        <w:tc>
          <w:tcPr>
            <w:tcW w:w="1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9"/>
                <w:szCs w:val="19"/>
                <w:color w:val="231F20"/>
                <w:w w:val="99"/>
              </w:rPr>
              <w:t>February 25, 2025</w:t>
            </w:r>
          </w:p>
        </w:tc>
        <w:tc>
          <w:tcPr>
            <w:tcW w:w="0" w:type="dxa"/>
            <w:vAlign w:val="bottom"/>
          </w:tcPr>
          <w:p>
            <w:pPr>
              <w:spacing w:after="0"/>
              <w:rPr>
                <w:sz w:val="1"/>
                <w:szCs w:val="1"/>
                <w:color w:val="auto"/>
              </w:rPr>
            </w:pPr>
          </w:p>
        </w:tc>
      </w:tr>
      <w:tr>
        <w:trPr>
          <w:trHeight w:val="212"/>
        </w:trPr>
        <w:tc>
          <w:tcPr>
            <w:tcW w:w="3260" w:type="dxa"/>
            <w:vAlign w:val="bottom"/>
          </w:tcPr>
          <w:p>
            <w:pPr>
              <w:jc w:val="center"/>
              <w:spacing w:after="0" w:line="212" w:lineRule="exact"/>
              <w:rPr>
                <w:sz w:val="20"/>
                <w:szCs w:val="20"/>
                <w:color w:val="auto"/>
              </w:rPr>
            </w:pPr>
            <w:r>
              <w:rPr>
                <w:rFonts w:ascii="Arial" w:cs="Arial" w:eastAsia="Arial" w:hAnsi="Arial"/>
                <w:sz w:val="19"/>
                <w:szCs w:val="19"/>
                <w:color w:val="231F20"/>
                <w:w w:val="99"/>
              </w:rPr>
              <w:t>Alex Finkelstein</w:t>
            </w:r>
          </w:p>
        </w:tc>
        <w:tc>
          <w:tcPr>
            <w:tcW w:w="1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color w:val="231F20"/>
                <w:w w:val="98"/>
              </w:rPr>
              <w:t>/s/ Matt Harris</w:t>
            </w:r>
          </w:p>
        </w:tc>
        <w:tc>
          <w:tcPr>
            <w:tcW w:w="18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9"/>
                <w:szCs w:val="19"/>
                <w:color w:val="231F20"/>
                <w:w w:val="99"/>
              </w:rPr>
              <w:t>Director</w:t>
            </w:r>
          </w:p>
        </w:tc>
        <w:tc>
          <w:tcPr>
            <w:tcW w:w="1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9"/>
                <w:szCs w:val="19"/>
                <w:color w:val="231F20"/>
                <w:w w:val="99"/>
              </w:rPr>
              <w:t>February 25, 2025</w:t>
            </w:r>
          </w:p>
        </w:tc>
        <w:tc>
          <w:tcPr>
            <w:tcW w:w="0" w:type="dxa"/>
            <w:vAlign w:val="bottom"/>
          </w:tcPr>
          <w:p>
            <w:pPr>
              <w:spacing w:after="0"/>
              <w:rPr>
                <w:sz w:val="1"/>
                <w:szCs w:val="1"/>
                <w:color w:val="auto"/>
              </w:rPr>
            </w:pPr>
          </w:p>
        </w:tc>
      </w:tr>
      <w:tr>
        <w:trPr>
          <w:trHeight w:val="212"/>
        </w:trPr>
        <w:tc>
          <w:tcPr>
            <w:tcW w:w="3260" w:type="dxa"/>
            <w:vAlign w:val="bottom"/>
          </w:tcPr>
          <w:p>
            <w:pPr>
              <w:jc w:val="center"/>
              <w:spacing w:after="0" w:line="212" w:lineRule="exact"/>
              <w:rPr>
                <w:sz w:val="20"/>
                <w:szCs w:val="20"/>
                <w:color w:val="auto"/>
              </w:rPr>
            </w:pPr>
            <w:r>
              <w:rPr>
                <w:rFonts w:ascii="Arial" w:cs="Arial" w:eastAsia="Arial" w:hAnsi="Arial"/>
                <w:sz w:val="19"/>
                <w:szCs w:val="19"/>
                <w:color w:val="231F20"/>
                <w:w w:val="98"/>
              </w:rPr>
              <w:t>Matt Harris</w:t>
            </w:r>
          </w:p>
        </w:tc>
        <w:tc>
          <w:tcPr>
            <w:tcW w:w="1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color w:val="231F20"/>
                <w:w w:val="98"/>
              </w:rPr>
              <w:t>/s/ Gretchen Howard</w:t>
            </w:r>
          </w:p>
        </w:tc>
        <w:tc>
          <w:tcPr>
            <w:tcW w:w="18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9"/>
                <w:szCs w:val="19"/>
                <w:color w:val="231F20"/>
                <w:w w:val="99"/>
              </w:rPr>
              <w:t>Director</w:t>
            </w:r>
          </w:p>
        </w:tc>
        <w:tc>
          <w:tcPr>
            <w:tcW w:w="1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9"/>
                <w:szCs w:val="19"/>
                <w:color w:val="231F20"/>
                <w:w w:val="99"/>
              </w:rPr>
              <w:t>February 25, 2025</w:t>
            </w:r>
          </w:p>
        </w:tc>
        <w:tc>
          <w:tcPr>
            <w:tcW w:w="0" w:type="dxa"/>
            <w:vAlign w:val="bottom"/>
          </w:tcPr>
          <w:p>
            <w:pPr>
              <w:spacing w:after="0"/>
              <w:rPr>
                <w:sz w:val="1"/>
                <w:szCs w:val="1"/>
                <w:color w:val="auto"/>
              </w:rPr>
            </w:pPr>
          </w:p>
        </w:tc>
      </w:tr>
      <w:tr>
        <w:trPr>
          <w:trHeight w:val="225"/>
        </w:trPr>
        <w:tc>
          <w:tcPr>
            <w:tcW w:w="3260" w:type="dxa"/>
            <w:vAlign w:val="bottom"/>
          </w:tcPr>
          <w:p>
            <w:pPr>
              <w:jc w:val="center"/>
              <w:spacing w:after="0"/>
              <w:rPr>
                <w:sz w:val="20"/>
                <w:szCs w:val="20"/>
                <w:color w:val="auto"/>
              </w:rPr>
            </w:pPr>
            <w:r>
              <w:rPr>
                <w:rFonts w:ascii="Arial" w:cs="Arial" w:eastAsia="Arial" w:hAnsi="Arial"/>
                <w:sz w:val="19"/>
                <w:szCs w:val="19"/>
                <w:color w:val="231F20"/>
                <w:w w:val="99"/>
              </w:rPr>
              <w:t>Gretchen Howard</w:t>
            </w:r>
          </w:p>
        </w:tc>
        <w:tc>
          <w:tcPr>
            <w:tcW w:w="180" w:type="dxa"/>
            <w:vAlign w:val="bottom"/>
          </w:tcPr>
          <w:p>
            <w:pPr>
              <w:spacing w:after="0"/>
              <w:rPr>
                <w:sz w:val="19"/>
                <w:szCs w:val="19"/>
                <w:color w:val="auto"/>
              </w:rPr>
            </w:pPr>
          </w:p>
        </w:tc>
        <w:tc>
          <w:tcPr>
            <w:tcW w:w="3760" w:type="dxa"/>
            <w:vAlign w:val="bottom"/>
            <w:vMerge w:val="restart"/>
          </w:tcPr>
          <w:p>
            <w:pPr>
              <w:jc w:val="center"/>
              <w:spacing w:after="0"/>
              <w:rPr>
                <w:sz w:val="20"/>
                <w:szCs w:val="20"/>
                <w:color w:val="auto"/>
              </w:rPr>
            </w:pPr>
            <w:r>
              <w:rPr>
                <w:rFonts w:ascii="Arial" w:cs="Arial" w:eastAsia="Arial" w:hAnsi="Arial"/>
                <w:sz w:val="19"/>
                <w:szCs w:val="19"/>
                <w:color w:val="231F20"/>
                <w:w w:val="99"/>
              </w:rPr>
              <w:t>Director</w:t>
            </w:r>
          </w:p>
        </w:tc>
        <w:tc>
          <w:tcPr>
            <w:tcW w:w="140" w:type="dxa"/>
            <w:vAlign w:val="bottom"/>
          </w:tcPr>
          <w:p>
            <w:pPr>
              <w:spacing w:after="0"/>
              <w:rPr>
                <w:sz w:val="19"/>
                <w:szCs w:val="19"/>
                <w:color w:val="auto"/>
              </w:rPr>
            </w:pPr>
          </w:p>
        </w:tc>
        <w:tc>
          <w:tcPr>
            <w:tcW w:w="1940" w:type="dxa"/>
            <w:vAlign w:val="bottom"/>
            <w:vMerge w:val="restart"/>
          </w:tcPr>
          <w:p>
            <w:pPr>
              <w:jc w:val="center"/>
              <w:spacing w:after="0"/>
              <w:rPr>
                <w:sz w:val="20"/>
                <w:szCs w:val="20"/>
                <w:color w:val="auto"/>
              </w:rPr>
            </w:pPr>
            <w:r>
              <w:rPr>
                <w:rFonts w:ascii="Arial" w:cs="Arial" w:eastAsia="Arial" w:hAnsi="Arial"/>
                <w:sz w:val="19"/>
                <w:szCs w:val="19"/>
                <w:color w:val="231F20"/>
                <w:w w:val="99"/>
              </w:rPr>
              <w:t>February 25, 2025</w:t>
            </w:r>
          </w:p>
        </w:tc>
        <w:tc>
          <w:tcPr>
            <w:tcW w:w="0" w:type="dxa"/>
            <w:vAlign w:val="bottom"/>
          </w:tcPr>
          <w:p>
            <w:pPr>
              <w:spacing w:after="0"/>
              <w:rPr>
                <w:sz w:val="1"/>
                <w:szCs w:val="1"/>
                <w:color w:val="auto"/>
              </w:rPr>
            </w:pPr>
          </w:p>
        </w:tc>
      </w:tr>
      <w:tr>
        <w:trPr>
          <w:trHeight w:val="235"/>
        </w:trPr>
        <w:tc>
          <w:tcPr>
            <w:tcW w:w="32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color w:val="231F20"/>
                <w:w w:val="98"/>
              </w:rPr>
              <w:t>/s/ Carleigh Jaques</w:t>
            </w:r>
          </w:p>
        </w:tc>
        <w:tc>
          <w:tcPr>
            <w:tcW w:w="180" w:type="dxa"/>
            <w:vAlign w:val="bottom"/>
          </w:tcPr>
          <w:p>
            <w:pPr>
              <w:spacing w:after="0"/>
              <w:rPr>
                <w:sz w:val="20"/>
                <w:szCs w:val="20"/>
                <w:color w:val="auto"/>
              </w:rPr>
            </w:pPr>
          </w:p>
        </w:tc>
        <w:tc>
          <w:tcPr>
            <w:tcW w:w="37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60" w:type="dxa"/>
            <w:vAlign w:val="bottom"/>
          </w:tcPr>
          <w:p>
            <w:pPr>
              <w:jc w:val="center"/>
              <w:spacing w:after="0"/>
              <w:rPr>
                <w:sz w:val="20"/>
                <w:szCs w:val="20"/>
                <w:color w:val="auto"/>
              </w:rPr>
            </w:pPr>
            <w:r>
              <w:rPr>
                <w:rFonts w:ascii="Arial" w:cs="Arial" w:eastAsia="Arial" w:hAnsi="Arial"/>
                <w:sz w:val="19"/>
                <w:szCs w:val="19"/>
                <w:color w:val="231F20"/>
                <w:w w:val="99"/>
              </w:rPr>
              <w:t>Carleigh Jaques</w:t>
            </w:r>
          </w:p>
        </w:tc>
        <w:tc>
          <w:tcPr>
            <w:tcW w:w="180" w:type="dxa"/>
            <w:vAlign w:val="bottom"/>
          </w:tcPr>
          <w:p>
            <w:pPr>
              <w:spacing w:after="0"/>
              <w:rPr>
                <w:sz w:val="19"/>
                <w:szCs w:val="19"/>
                <w:color w:val="auto"/>
              </w:rPr>
            </w:pPr>
          </w:p>
        </w:tc>
        <w:tc>
          <w:tcPr>
            <w:tcW w:w="3760" w:type="dxa"/>
            <w:vAlign w:val="bottom"/>
            <w:vMerge w:val="restart"/>
          </w:tcPr>
          <w:p>
            <w:pPr>
              <w:jc w:val="center"/>
              <w:spacing w:after="0"/>
              <w:rPr>
                <w:sz w:val="20"/>
                <w:szCs w:val="20"/>
                <w:color w:val="auto"/>
              </w:rPr>
            </w:pPr>
            <w:r>
              <w:rPr>
                <w:rFonts w:ascii="Arial" w:cs="Arial" w:eastAsia="Arial" w:hAnsi="Arial"/>
                <w:sz w:val="19"/>
                <w:szCs w:val="19"/>
                <w:color w:val="231F20"/>
                <w:w w:val="99"/>
              </w:rPr>
              <w:t>Director</w:t>
            </w:r>
          </w:p>
        </w:tc>
        <w:tc>
          <w:tcPr>
            <w:tcW w:w="140" w:type="dxa"/>
            <w:vAlign w:val="bottom"/>
          </w:tcPr>
          <w:p>
            <w:pPr>
              <w:spacing w:after="0"/>
              <w:rPr>
                <w:sz w:val="19"/>
                <w:szCs w:val="19"/>
                <w:color w:val="auto"/>
              </w:rPr>
            </w:pPr>
          </w:p>
        </w:tc>
        <w:tc>
          <w:tcPr>
            <w:tcW w:w="1940" w:type="dxa"/>
            <w:vAlign w:val="bottom"/>
            <w:vMerge w:val="restart"/>
          </w:tcPr>
          <w:p>
            <w:pPr>
              <w:jc w:val="center"/>
              <w:spacing w:after="0"/>
              <w:rPr>
                <w:sz w:val="20"/>
                <w:szCs w:val="20"/>
                <w:color w:val="auto"/>
              </w:rPr>
            </w:pPr>
            <w:r>
              <w:rPr>
                <w:rFonts w:ascii="Arial" w:cs="Arial" w:eastAsia="Arial" w:hAnsi="Arial"/>
                <w:sz w:val="19"/>
                <w:szCs w:val="19"/>
                <w:color w:val="231F20"/>
                <w:w w:val="99"/>
              </w:rPr>
              <w:t>February 25, 2025</w:t>
            </w:r>
          </w:p>
        </w:tc>
        <w:tc>
          <w:tcPr>
            <w:tcW w:w="0" w:type="dxa"/>
            <w:vAlign w:val="bottom"/>
          </w:tcPr>
          <w:p>
            <w:pPr>
              <w:spacing w:after="0"/>
              <w:rPr>
                <w:sz w:val="1"/>
                <w:szCs w:val="1"/>
                <w:color w:val="auto"/>
              </w:rPr>
            </w:pPr>
          </w:p>
        </w:tc>
      </w:tr>
      <w:tr>
        <w:trPr>
          <w:trHeight w:val="235"/>
        </w:trPr>
        <w:tc>
          <w:tcPr>
            <w:tcW w:w="32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color w:val="231F20"/>
                <w:w w:val="99"/>
              </w:rPr>
              <w:t>/s/ Diane Offereins</w:t>
            </w:r>
          </w:p>
        </w:tc>
        <w:tc>
          <w:tcPr>
            <w:tcW w:w="180" w:type="dxa"/>
            <w:vAlign w:val="bottom"/>
          </w:tcPr>
          <w:p>
            <w:pPr>
              <w:spacing w:after="0"/>
              <w:rPr>
                <w:sz w:val="20"/>
                <w:szCs w:val="20"/>
                <w:color w:val="auto"/>
              </w:rPr>
            </w:pPr>
          </w:p>
        </w:tc>
        <w:tc>
          <w:tcPr>
            <w:tcW w:w="37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60" w:type="dxa"/>
            <w:vAlign w:val="bottom"/>
          </w:tcPr>
          <w:p>
            <w:pPr>
              <w:jc w:val="center"/>
              <w:spacing w:after="0"/>
              <w:rPr>
                <w:sz w:val="20"/>
                <w:szCs w:val="20"/>
                <w:color w:val="auto"/>
              </w:rPr>
            </w:pPr>
            <w:r>
              <w:rPr>
                <w:rFonts w:ascii="Arial" w:cs="Arial" w:eastAsia="Arial" w:hAnsi="Arial"/>
                <w:sz w:val="19"/>
                <w:szCs w:val="19"/>
                <w:color w:val="231F20"/>
                <w:w w:val="99"/>
              </w:rPr>
              <w:t>Diane Offereins</w:t>
            </w:r>
          </w:p>
        </w:tc>
        <w:tc>
          <w:tcPr>
            <w:tcW w:w="180" w:type="dxa"/>
            <w:vAlign w:val="bottom"/>
          </w:tcPr>
          <w:p>
            <w:pPr>
              <w:spacing w:after="0"/>
              <w:rPr>
                <w:sz w:val="19"/>
                <w:szCs w:val="19"/>
                <w:color w:val="auto"/>
              </w:rPr>
            </w:pPr>
          </w:p>
        </w:tc>
        <w:tc>
          <w:tcPr>
            <w:tcW w:w="3760" w:type="dxa"/>
            <w:vAlign w:val="bottom"/>
            <w:vMerge w:val="restart"/>
          </w:tcPr>
          <w:p>
            <w:pPr>
              <w:jc w:val="center"/>
              <w:spacing w:after="0"/>
              <w:rPr>
                <w:sz w:val="20"/>
                <w:szCs w:val="20"/>
                <w:color w:val="auto"/>
              </w:rPr>
            </w:pPr>
            <w:r>
              <w:rPr>
                <w:rFonts w:ascii="Arial" w:cs="Arial" w:eastAsia="Arial" w:hAnsi="Arial"/>
                <w:sz w:val="19"/>
                <w:szCs w:val="19"/>
                <w:color w:val="231F20"/>
                <w:w w:val="99"/>
              </w:rPr>
              <w:t>Director</w:t>
            </w:r>
          </w:p>
        </w:tc>
        <w:tc>
          <w:tcPr>
            <w:tcW w:w="140" w:type="dxa"/>
            <w:vAlign w:val="bottom"/>
          </w:tcPr>
          <w:p>
            <w:pPr>
              <w:spacing w:after="0"/>
              <w:rPr>
                <w:sz w:val="19"/>
                <w:szCs w:val="19"/>
                <w:color w:val="auto"/>
              </w:rPr>
            </w:pPr>
          </w:p>
        </w:tc>
        <w:tc>
          <w:tcPr>
            <w:tcW w:w="1940" w:type="dxa"/>
            <w:vAlign w:val="bottom"/>
            <w:vMerge w:val="restart"/>
          </w:tcPr>
          <w:p>
            <w:pPr>
              <w:jc w:val="center"/>
              <w:spacing w:after="0"/>
              <w:rPr>
                <w:sz w:val="20"/>
                <w:szCs w:val="20"/>
                <w:color w:val="auto"/>
              </w:rPr>
            </w:pPr>
            <w:r>
              <w:rPr>
                <w:rFonts w:ascii="Arial" w:cs="Arial" w:eastAsia="Arial" w:hAnsi="Arial"/>
                <w:sz w:val="19"/>
                <w:szCs w:val="19"/>
                <w:color w:val="231F20"/>
                <w:w w:val="99"/>
              </w:rPr>
              <w:t>February 25, 2025</w:t>
            </w:r>
          </w:p>
        </w:tc>
        <w:tc>
          <w:tcPr>
            <w:tcW w:w="0" w:type="dxa"/>
            <w:vAlign w:val="bottom"/>
          </w:tcPr>
          <w:p>
            <w:pPr>
              <w:spacing w:after="0"/>
              <w:rPr>
                <w:sz w:val="1"/>
                <w:szCs w:val="1"/>
                <w:color w:val="auto"/>
              </w:rPr>
            </w:pPr>
          </w:p>
        </w:tc>
      </w:tr>
      <w:tr>
        <w:trPr>
          <w:trHeight w:val="235"/>
        </w:trPr>
        <w:tc>
          <w:tcPr>
            <w:tcW w:w="32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color w:val="231F20"/>
                <w:w w:val="98"/>
              </w:rPr>
              <w:t>/s/ Edwin Santos</w:t>
            </w:r>
          </w:p>
        </w:tc>
        <w:tc>
          <w:tcPr>
            <w:tcW w:w="180" w:type="dxa"/>
            <w:vAlign w:val="bottom"/>
          </w:tcPr>
          <w:p>
            <w:pPr>
              <w:spacing w:after="0"/>
              <w:rPr>
                <w:sz w:val="20"/>
                <w:szCs w:val="20"/>
                <w:color w:val="auto"/>
              </w:rPr>
            </w:pPr>
          </w:p>
        </w:tc>
        <w:tc>
          <w:tcPr>
            <w:tcW w:w="37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260" w:type="dxa"/>
            <w:vAlign w:val="bottom"/>
          </w:tcPr>
          <w:p>
            <w:pPr>
              <w:jc w:val="center"/>
              <w:spacing w:after="0"/>
              <w:rPr>
                <w:sz w:val="20"/>
                <w:szCs w:val="20"/>
                <w:color w:val="auto"/>
              </w:rPr>
            </w:pPr>
            <w:r>
              <w:rPr>
                <w:rFonts w:ascii="Arial" w:cs="Arial" w:eastAsia="Arial" w:hAnsi="Arial"/>
                <w:sz w:val="19"/>
                <w:szCs w:val="19"/>
                <w:color w:val="231F20"/>
                <w:w w:val="99"/>
              </w:rPr>
              <w:t>Edwin Santos</w:t>
            </w:r>
          </w:p>
        </w:tc>
        <w:tc>
          <w:tcPr>
            <w:tcW w:w="18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20" w:top="1440" w:right="114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231F20"/>
        </w:rPr>
        <w:t>159</w:t>
      </w:r>
    </w:p>
    <w:sectPr>
      <w:pgSz w:w="12240" w:h="15840" w:orient="portrait"/>
      <w:cols w:equalWidth="0" w:num="1">
        <w:col w:w="10080"/>
      </w:cols>
      <w:pgMar w:left="1020" w:top="1440" w:right="1140" w:bottom="5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4"/>
      <w:numFmt w:val="bullet"/>
      <w:start w:val="1"/>
    </w:lvl>
  </w:abstractNum>
  <w:abstractNum w:abstractNumId="1">
    <w:nsid w:val="4516DDE9"/>
    <w:multiLevelType w:val="hybridMultilevel"/>
    <w:lvl w:ilvl="0">
      <w:lvlJc w:val="left"/>
      <w:lvlText w:val="%5"/>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ο"/>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lvl w:ilvl="1">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lowerRoman"/>
      <w:start w:val="1"/>
    </w:lvl>
  </w:abstractNum>
  <w:abstractNum w:abstractNumId="51">
    <w:nsid w:val="235BA861"/>
    <w:multiLevelType w:val="hybridMultilevel"/>
    <w:lvl w:ilvl="0">
      <w:lvlJc w:val="left"/>
      <w:lvlText w:val="(%1)"/>
      <w:numFmt w:val="lowerLetter"/>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1)"/>
      <w:numFmt w:val="lowerRoman"/>
      <w:start w:val="2"/>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2025-04-22T15:52:07Z</dcterms:created>
  <dcterms:modified xsi:type="dcterms:W3CDTF">2025-04-22T15:52:07Z</dcterms:modified>
</cp:coreProperties>
</file>