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January 10, 2023 (January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FLYWIRE CORPORATION</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001-40430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27-0690799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504" w:space="720"/>
            <w:col w:w="2740" w:space="720"/>
            <w:col w:w="2340"/>
          </w:cols>
          <w:pgMar w:left="436" w:top="376" w:right="439" w:bottom="1440" w:gutter="0" w:footer="0" w:header="0"/>
          <w:type w:val="continuous"/>
        </w:sectPr>
      </w:pPr>
    </w:p>
    <w:p>
      <w:pPr>
        <w:ind w:left="4764"/>
        <w:spacing w:after="0"/>
        <w:rPr>
          <w:sz w:val="20"/>
          <w:szCs w:val="20"/>
          <w:color w:val="auto"/>
        </w:rPr>
      </w:pPr>
      <w:r>
        <w:rPr>
          <w:rFonts w:ascii="Times New Roman" w:cs="Times New Roman" w:eastAsia="Times New Roman" w:hAnsi="Times New Roman"/>
          <w:sz w:val="18"/>
          <w:szCs w:val="18"/>
          <w:b w:val="1"/>
          <w:bCs w:val="1"/>
          <w:color w:val="auto"/>
        </w:rPr>
        <w:t>141 Tremont St #10</w:t>
      </w:r>
    </w:p>
    <w:p>
      <w:pPr>
        <w:spacing w:after="0" w:line="31" w:lineRule="exact"/>
        <w:rPr>
          <w:sz w:val="24"/>
          <w:szCs w:val="24"/>
          <w:color w:val="auto"/>
        </w:rPr>
      </w:pPr>
    </w:p>
    <w:p>
      <w:pPr>
        <w:ind w:left="4804"/>
        <w:spacing w:after="0"/>
        <w:rPr>
          <w:sz w:val="20"/>
          <w:szCs w:val="20"/>
          <w:color w:val="auto"/>
        </w:rPr>
      </w:pPr>
      <w:r>
        <w:rPr>
          <w:rFonts w:ascii="Times New Roman" w:cs="Times New Roman" w:eastAsia="Times New Roman" w:hAnsi="Times New Roman"/>
          <w:sz w:val="18"/>
          <w:szCs w:val="18"/>
          <w:b w:val="1"/>
          <w:bCs w:val="1"/>
          <w:color w:val="auto"/>
        </w:rPr>
        <w:t>Boston, MA 02111</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(617) 329-4524</w:t>
      </w:r>
    </w:p>
    <w:p>
      <w:pPr>
        <w:spacing w:after="0" w:line="19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Voting 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4"/>
              </w:rPr>
              <w:t>FLYW</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1204" w:right="1000" w:hanging="1200"/>
        <w:spacing w:after="0" w:line="286" w:lineRule="auto"/>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left="4" w:right="300" w:hanging="4"/>
        <w:spacing w:after="0" w:line="266"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7, 2023, Jo Natauri (“Ms. Natauri”) informed the Board of Directors (the “Board”) of Flywire Corporation (“Flywire”) that she was resigning as a member of the Board effective immediately. Ms. Natauri’s resignation was not due to any dispute or disagreement with Flywire or any matter related to its operations, policies or practices.</w:t>
      </w:r>
    </w:p>
    <w:p>
      <w:pPr>
        <w:spacing w:after="0" w:line="176" w:lineRule="exact"/>
        <w:rPr>
          <w:sz w:val="20"/>
          <w:szCs w:val="20"/>
          <w:color w:val="auto"/>
        </w:rPr>
      </w:pPr>
    </w:p>
    <w:p>
      <w:pPr>
        <w:ind w:left="4" w:right="360"/>
        <w:spacing w:after="0" w:line="258" w:lineRule="auto"/>
        <w:rPr>
          <w:sz w:val="20"/>
          <w:szCs w:val="20"/>
          <w:color w:val="auto"/>
        </w:rPr>
      </w:pPr>
      <w:r>
        <w:rPr>
          <w:rFonts w:ascii="Times New Roman" w:cs="Times New Roman" w:eastAsia="Times New Roman" w:hAnsi="Times New Roman"/>
          <w:sz w:val="18"/>
          <w:szCs w:val="18"/>
          <w:color w:val="auto"/>
        </w:rPr>
        <w:t>In addition, on January 7, 2023, in connection with her appointment as the Secretary of Economic Development of the Commonwealth of Massachusetts, Yvonne Hao (“Ms. Hao”) resigned from the Board. Prior to her resignation, Ms. Hao served on the Compensation Committee of the Board (the “Compensation Committee”). Ms. Hao’s resignation was not due to any dispute or disagreement with Flywire or any matter related to its operations, policies or practices. In connection with the resignations of Mses. Natauri and Hao, pursuant to Flywire’s bylaws and certificate of incorporation the Board has decreased the number of directors from seven to six.</w:t>
      </w:r>
    </w:p>
    <w:p>
      <w:pPr>
        <w:spacing w:after="0" w:line="183" w:lineRule="exact"/>
        <w:rPr>
          <w:sz w:val="20"/>
          <w:szCs w:val="20"/>
          <w:color w:val="auto"/>
        </w:rPr>
      </w:pPr>
    </w:p>
    <w:p>
      <w:pPr>
        <w:ind w:left="4" w:right="20" w:hanging="4"/>
        <w:spacing w:after="0" w:line="255"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9, 2023, based in part upon the recommendation of the Nominating and Corporate Governance Committee of the Board, the Board appointed Diane Offereins (“Ms. Offereins”) to fill the vacancy on the Board following the resignations and the decrease in the size of the Board disclosed above. Ms. Offereins is a Class I director, with her initial term expiring at Flywire’s 2025 annual meeting of stockholders. In addition, the Board appointed Ms. Offereins to serve as a member of the Compensation Committee. The Board has determined that Ms. Offereins is an independent director and eligible to serve on the Compensation Committee in accordance with applicable rules of the U.S. Securities and Exchange Commission (the “SEC”) and the Nasdaq Stock Market. A copy of the press release announcing the appointment of Ms. Offereins is attached as Exhibit 99.1 and incorporated herein by reference.</w:t>
      </w:r>
    </w:p>
    <w:p>
      <w:pPr>
        <w:spacing w:after="0" w:line="189"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As provided for in Flywire’s non-employee director compensation plan (the “Compensation Policy”), Ms. Offereins will receive an annual cash retainer of $30,000 per year and additional annual retainers for committee service as more fully described in Flywire’s Proxy Statement for its 2022 annual meeting of stockholders filed with the SEC on April 20, 2022 pursuant to Section 14(a) of the Securities Exchange Act of 1934, as amended (the “Proxy Statement”). Pursuant to the Compensation Policy, upon the effectiveness of her appointment, Ms. Offereins was automatically granted a restricted stock unit award (the “Initial RSU”) with a fair market value of $350,000. The Initial RSU will vest in three equal annual installments on each anniversary of the date of grant provided that Ms. Offereins is providing service as a member of the Board through such vesting date. Under the Compensation Policy, two days prior to the date of each Flywire annual meeting of stockholders, Ms. Offereins will also be entitled to receive an annual restricted stock unit award with a fair market value of $175,000 (the “Annual RSU”). The Annual RSU will vest on the earlier of the one-year anniversary from the date of grant or Flywire’s next annual meeting of stockholders provided that Ms. Offereins is providing service as a member of the Board through such vesting date. In addition, each of the Initial RSU and Annual RSU will become fully vested upon a change in control or Ms. Offereins’ earlier death or disability. Flywire’s Compensation Policy is described in further detail in the Proxy Statement.</w:t>
      </w:r>
    </w:p>
    <w:p>
      <w:pPr>
        <w:spacing w:after="0" w:line="192"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Ms. Offereins and Flywire also entered an indemnification agreement requiring Flywire to indemnify Ms. Offereins to the fullest extent permitted under Delaware law with respect to her service as a director. Flywire’s form of indemnification agreement was filed with the SEC on May 18, 2021 as Exhibit 10.1 to the Company’s Amended Registration Statement on Form S-1 and is incorporated herein by reference.</w:t>
      </w:r>
    </w:p>
    <w:p>
      <w:pPr>
        <w:spacing w:after="0" w:line="176"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Ms. Offereins and any of the Company’s directors or executive officers and Ms. Offereins does not have any direct or indirect material interest in any transaction required to be disclosed pursuant to Item 404(a) of Regulation S-K.</w:t>
      </w:r>
    </w:p>
    <w:p>
      <w:pPr>
        <w:sectPr>
          <w:pgSz w:w="11900" w:h="16838" w:orient="portrait"/>
          <w:cols w:equalWidth="0" w:num="1">
            <w:col w:w="11004"/>
          </w:cols>
          <w:pgMar w:left="436" w:top="293"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6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3"/>
        </w:trPr>
        <w:tc>
          <w:tcPr>
            <w:tcW w:w="1040" w:type="dxa"/>
            <w:vAlign w:val="bottom"/>
            <w:gridSpan w:val="2"/>
          </w:tcPr>
          <w:p>
            <w:pPr>
              <w:ind w:left="140"/>
              <w:spacing w:after="0" w:line="153" w:lineRule="exact"/>
              <w:rPr>
                <w:sz w:val="20"/>
                <w:szCs w:val="20"/>
                <w:color w:val="auto"/>
              </w:rPr>
            </w:pPr>
            <w:r>
              <w:rPr>
                <w:rFonts w:ascii="Times New Roman" w:cs="Times New Roman" w:eastAsia="Times New Roman" w:hAnsi="Times New Roman"/>
                <w:sz w:val="14"/>
                <w:szCs w:val="14"/>
                <w:b w:val="1"/>
                <w:bCs w:val="1"/>
                <w:color w:val="auto"/>
              </w:rPr>
              <w:t>No.</w:t>
            </w:r>
          </w:p>
        </w:tc>
        <w:tc>
          <w:tcPr>
            <w:tcW w:w="566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2"/>
                <w:szCs w:val="22"/>
                <w:color w:val="auto"/>
              </w:rPr>
            </w:pPr>
          </w:p>
        </w:tc>
        <w:tc>
          <w:tcPr>
            <w:tcW w:w="4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Flywire Corporation Press Release dated January 10, 2023.</w:t>
            </w:r>
          </w:p>
        </w:tc>
        <w:tc>
          <w:tcPr>
            <w:tcW w:w="1400" w:type="dxa"/>
            <w:vAlign w:val="bottom"/>
          </w:tcPr>
          <w:p>
            <w:pPr>
              <w:spacing w:after="0"/>
              <w:rPr>
                <w:sz w:val="22"/>
                <w:szCs w:val="22"/>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rPr>
          <w:sz w:val="20"/>
          <w:szCs w:val="20"/>
          <w:color w:val="auto"/>
        </w:rPr>
        <w:sectPr>
          <w:pgSz w:w="11900" w:h="16838" w:orient="portrait"/>
          <w:cols w:equalWidth="0" w:num="1">
            <w:col w:w="10019"/>
          </w:cols>
          <w:pgMar w:left="440" w:top="293"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ind w:left="5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FLYWIRE CORPORATION</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Ellis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10, 2023</w:t>
      </w:r>
    </w:p>
    <w:p>
      <w:pPr>
        <w:sectPr>
          <w:pgSz w:w="11900" w:h="16838" w:orient="portrait"/>
          <w:cols w:equalWidth="0" w:num="1">
            <w:col w:w="10260"/>
          </w:cols>
          <w:pgMar w:left="440" w:top="297"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Flywire Announces Changes to Board of Directors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Flywire appoints Diane Offereins, EVP and President, Payment Services at Discover Financial Services to Flywire’s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Yvonne Hao and Jo Natauri step down from Flywire’s Board</w:t>
      </w:r>
    </w:p>
    <w:p>
      <w:pPr>
        <w:spacing w:after="0" w:line="22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Boston, MA – January 10, 2023 –</w:t>
      </w:r>
      <w:r>
        <w:rPr>
          <w:rFonts w:ascii="Times New Roman" w:cs="Times New Roman" w:eastAsia="Times New Roman" w:hAnsi="Times New Roman"/>
          <w:sz w:val="18"/>
          <w:szCs w:val="18"/>
          <w:b w:val="1"/>
          <w:bCs w:val="1"/>
          <w:u w:val="single" w:color="auto"/>
          <w:color w:val="auto"/>
        </w:rPr>
        <w:t>Flywire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FLYW) (Flywire), a global payments enablement and software company, today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announcing the appointment of Diane Offereins to its Board of Directors, effective immediately. Ms. Offereins will also serve as a Member of the Compensation Committee of the Board. Flywire also is announcing that Jo Natauri and Yvonne Hao have stepped down from the Board.</w:t>
      </w:r>
    </w:p>
    <w:p>
      <w:pPr>
        <w:spacing w:after="0" w:line="17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Ms. Offereins brings an extensive background in Payments, Financial Services and Cybersecurity to Flywire’s Board. She is currently the Executive Vice President and President, Payment Services at Discover Financial Services, where she is responsible for the growth of the Discover Global Network, consisting of three payment networks – Discover Network, Diners Club International and PULSE. Under her leadership, in 2021, Discover’s payments business handled more than $500 billion in transaction volume and generated more than $533 million in pretax income. Additionally, as a member of Discover’s executive committee, she helps to drive the firm’s strategic direction, flagship initiatives, and helps to shape the company’s culture. She has been with Discover since 1998 and has held several positions within the company, including Executive Vice President, Payment Services and Executive Vice President and Chief Information Officer. Prior to Discover, Ms. Offereins held leadership positions at Bank of America and SouthEast Bank.</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to her leadership position at Discover, Ms. Offereins is on the Board of Directors of Brighthouse Financial, Inc. (Nasdaq: BHF) where she chairs the Compensation and Human Capital Committee and serves on the Finance and Risk and Nominating and Corporate Governance Committees. She is also a board member of the non-profit organization Children’s Home &amp; Aid and a mentor for children in the program. Ms. Offereins was recently named one of the 2022 Most Powerful Women in Finance by American Banker.</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“Diane is a trailblazer in the Financial Services industry, and her unique experience scaling Discover’s payments ecosystem globally is expected to be an advantage to Flywire’s Board,” said Mike Massaro, Flywire CEO. “Her knowledge of our FinTech sector, as well as her proven track record of building one of the most respected global brands in our industry, will help propel Flywire forward to our next phase of growth.”</w:t>
      </w:r>
    </w:p>
    <w:p>
      <w:pPr>
        <w:sectPr>
          <w:pgSz w:w="11900" w:h="16838" w:orient="portrait"/>
          <w:cols w:equalWidth="0" w:num="1">
            <w:col w:w="11020"/>
          </w:cols>
          <w:pgMar w:left="440" w:top="117" w:right="439" w:bottom="1440" w:gutter="0" w:footer="0" w:header="0"/>
        </w:sectPr>
      </w:pPr>
    </w:p>
    <w:bookmarkStart w:id="5" w:name="page6"/>
    <w:bookmarkEnd w:id="5"/>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 thrilled to join Flywire’s Board at an exciting time for the Company,” said Diane Offereins. “I’ve been impressed with Flywire’s growth and execution and have always considered them a prime example of how FinTech companies are pushing the boundaries of innovation. Flywire offers powerful software and payments technology and continues to deliver strong value for clients and payers in large vertical industries. I’m proud to join the Flywire Board to help play a role in the Company’s future success.”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Diane joins Flywire’s Board as Jo Natauri, a partner at Goldman Sachs and a Flywire Board member since November 2020, vacates her seat. “I’d like to thank Jo for her significant contributions to Flywire over these past few years. Jo has been an invaluable resource for me personally, and instrumental to Flywire’s growth. Jo started with us as part of Goldman Sachs’ pre-IPO investment and she’s helped us to navigate the transition to being a public company. While we will miss her, this is a natural evolution of Flywire’s Board and with Diane’s appointment, I am confident we have an exceptional Board team to help steward Flywire’s future success,” said Mr. Massaro.</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Additionally, Flywire is announcing that Yvonne Hao, a Flywire Board member since September 2021, has been appointed to serve as the next Secretary of Economic Development for the Commonwealth of Massachusetts, reporting to new Massachusetts Governor Maura Healey. In connection with her appointment, she has stepped down from the Flywire Board.</w:t>
      </w:r>
    </w:p>
    <w:p>
      <w:pPr>
        <w:spacing w:after="0" w:line="176" w:lineRule="exact"/>
        <w:rPr>
          <w:sz w:val="20"/>
          <w:szCs w:val="20"/>
          <w:color w:val="auto"/>
        </w:rPr>
      </w:pPr>
    </w:p>
    <w:p>
      <w:pPr>
        <w:ind w:right="440"/>
        <w:spacing w:after="0" w:line="289" w:lineRule="auto"/>
        <w:rPr>
          <w:sz w:val="20"/>
          <w:szCs w:val="20"/>
          <w:color w:val="auto"/>
        </w:rPr>
      </w:pPr>
      <w:r>
        <w:rPr>
          <w:rFonts w:ascii="Times New Roman" w:cs="Times New Roman" w:eastAsia="Times New Roman" w:hAnsi="Times New Roman"/>
          <w:sz w:val="17"/>
          <w:szCs w:val="17"/>
          <w:color w:val="auto"/>
        </w:rPr>
        <w:t>“Flywire is incredibly proud that the Governor of Massachusetts has chosen one of our Board members to serve in this critical role,” said Massaro. “Given her amazing contributions to our company and our Board, we believe the Office of Economic Development in the Commonwealth of Massachusetts will be in outstanding hands. We are grateful for her contributions to Flywire and wish her the best,” said Mr. Massaro.</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Flywire</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Flywire is a global payments enablement and software company. We combine our proprietary global payments network, next-gen payments platform and vertical-specific software to deliver the most important and complex payments for our clients and their customers.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such as NetSuite, so organizations can optimize the payment experience for their customers while eliminating operational challenges.</w:t>
      </w:r>
    </w:p>
    <w:p>
      <w:pPr>
        <w:sectPr>
          <w:pgSz w:w="11900" w:h="16838" w:orient="portrait"/>
          <w:cols w:equalWidth="0" w:num="1">
            <w:col w:w="11000"/>
          </w:cols>
          <w:pgMar w:left="440" w:top="270" w:right="459" w:bottom="1440" w:gutter="0" w:footer="0" w:header="0"/>
        </w:sectPr>
      </w:pPr>
    </w:p>
    <w:bookmarkStart w:id="6" w:name="page7"/>
    <w:bookmarkEnd w:id="6"/>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Flywire supports more than 3,000 clients with diverse payment methods in more than 140 currencies across 240 countries and territories around the world. Flywire is headquartered in Boston, MA, USA with global offices. For more information, visit </w:t>
      </w:r>
      <w:r>
        <w:rPr>
          <w:rFonts w:ascii="Times New Roman" w:cs="Times New Roman" w:eastAsia="Times New Roman" w:hAnsi="Times New Roman"/>
          <w:sz w:val="18"/>
          <w:szCs w:val="18"/>
          <w:u w:val="single" w:color="auto"/>
          <w:color w:val="auto"/>
        </w:rPr>
        <w:t>www.flywire.com</w:t>
      </w:r>
      <w:r>
        <w:rPr>
          <w:rFonts w:ascii="Times New Roman" w:cs="Times New Roman" w:eastAsia="Times New Roman" w:hAnsi="Times New Roman"/>
          <w:sz w:val="18"/>
          <w:szCs w:val="18"/>
          <w:color w:val="auto"/>
        </w:rPr>
        <w:t xml:space="preserve">. Follow Flywire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release contains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Risks that may cause actual results to differ materially from these forward looking statements include, but are not limited to: political, economic, foreign exchange rate, inflation, legal, social and health risks, including the COVID-19 pandemic and subsequent public health measures that may affect Flywire’s business or the global economy;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strategic partners; the effects of increased competition in Flywire’s markets and its ability to compete effectively; future acquisitions or investments in complementary companies, products, services, or technologies; Flywire’s ability to enter new client verticals, including its relatively new B2B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attract and retain qualified employees; Flywire’s ability to maintain, protect, and enhance its intellectual property; Flywire’s ability to maintain the security and availability of its solutions; the future market price of Flywire’s</w:t>
      </w:r>
    </w:p>
    <w:p>
      <w:pPr>
        <w:sectPr>
          <w:pgSz w:w="11900" w:h="16838" w:orient="portrait"/>
          <w:cols w:equalWidth="0" w:num="1">
            <w:col w:w="10980"/>
          </w:cols>
          <w:pgMar w:left="440" w:top="270" w:right="479" w:bottom="1440" w:gutter="0" w:footer="0" w:header="0"/>
        </w:sectPr>
      </w:pPr>
    </w:p>
    <w:bookmarkStart w:id="7" w:name="page8"/>
    <w:bookmarkEnd w:id="7"/>
    <w:p>
      <w:pPr>
        <w:spacing w:after="0" w:line="256"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common stock; and other factors that are described in the “Risk Factors” and “Management’s Discussion and Analysis of Financial Condition and Results of Operations” sections of Flywire’s Annual Report on Form 10-K for the year ended December 31, 2021 and Flywire’s Quarterly Report on Form 10-Q for the quarter ended September 31, 2022, both of which are on file with the Securities and Exchange Commission (SEC) and available on the SEC’s website at </w:t>
      </w:r>
      <w:r>
        <w:rPr>
          <w:rFonts w:ascii="Times New Roman" w:cs="Times New Roman" w:eastAsia="Times New Roman" w:hAnsi="Times New Roman"/>
          <w:sz w:val="18"/>
          <w:szCs w:val="18"/>
          <w:i w:val="1"/>
          <w:iCs w:val="1"/>
          <w:u w:val="single" w:color="auto"/>
          <w:color w:val="auto"/>
        </w:rPr>
        <w:t>https://www.sec.gov/</w:t>
      </w:r>
      <w:r>
        <w:rPr>
          <w:rFonts w:ascii="Times New Roman" w:cs="Times New Roman" w:eastAsia="Times New Roman" w:hAnsi="Times New Roman"/>
          <w:sz w:val="18"/>
          <w:szCs w:val="18"/>
          <w:i w:val="1"/>
          <w:iCs w:val="1"/>
          <w:color w:val="auto"/>
        </w:rPr>
        <w:t>. Additional factors may be described in those sections of Flywire’s Annual Report on Form 10-K for the year ended December 31, 2022, expected to be filed with the SEC in the first quarter of 2023. The information in this release is provided only as of the date of this release, and Flywire undertakes no obligation to update any forward-looking statements contained in this release on account of new information, future events, or otherwise, except as required by law.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Sarah King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Sarah.King@flywire.com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Prosek Partners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pro-flywire@prosek.com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flywireir@icrinc.com</w:t>
      </w:r>
    </w:p>
    <w:sectPr>
      <w:pgSz w:w="11900" w:h="16838" w:orient="portrait"/>
      <w:cols w:equalWidth="0" w:num="1">
        <w:col w:w="11000"/>
      </w:cols>
      <w:pgMar w:left="440" w:top="26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2023-01-10T16:04:29Z</dcterms:created>
  <dcterms:modified xsi:type="dcterms:W3CDTF">2023-01-10T16:04:29Z</dcterms:modified>
</cp:coreProperties>
</file>