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4355"/>
                    </a:xfrm>
                    <a:prstGeom prst="rect">
                      <a:avLst/>
                    </a:prstGeom>
                    <a:noFill/>
                  </pic:spPr>
                </pic:pic>
              </a:graphicData>
            </a:graphic>
          </wp:anchor>
        </w:drawing>
      </w:r>
    </w:p>
    <w:p>
      <w:pPr>
        <w:spacing w:after="0" w:line="111" w:lineRule="exact"/>
        <w:rPr>
          <w:sz w:val="24"/>
          <w:szCs w:val="24"/>
          <w:color w:val="auto"/>
        </w:rPr>
      </w:pPr>
    </w:p>
    <w:p>
      <w:pPr>
        <w:sectPr>
          <w:pgSz w:w="11900" w:h="16864" w:orient="portrait"/>
          <w:cols w:equalWidth="0" w:num="2">
            <w:col w:w="2160" w:space="520"/>
            <w:col w:w="840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12/12/2022</w:t>
      </w:r>
    </w:p>
    <w:p>
      <w:pPr>
        <w:spacing w:after="0" w:line="20" w:lineRule="exact"/>
        <w:rPr>
          <w:sz w:val="24"/>
          <w:szCs w:val="24"/>
          <w:color w:val="auto"/>
        </w:rPr>
      </w:pPr>
      <w:r>
        <w:rPr>
          <w:sz w:val="24"/>
          <w:szCs w:val="24"/>
          <w:color w:val="auto"/>
        </w:rPr>
        <w:br w:type="column"/>
      </w:r>
    </w:p>
    <w:p>
      <w:pPr>
        <w:ind w:left="-1" w:right="740" w:firstLine="1"/>
        <w:spacing w:after="0" w:line="268"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1" w:lineRule="exact"/>
        <w:rPr>
          <w:sz w:val="24"/>
          <w:szCs w:val="24"/>
          <w:color w:val="auto"/>
        </w:rPr>
      </w:pPr>
    </w:p>
    <w:p>
      <w:pPr>
        <w:sectPr>
          <w:pgSz w:w="11900" w:h="16864" w:orient="portrait"/>
          <w:cols w:equalWidth="0" w:num="3">
            <w:col w:w="3180" w:space="720"/>
            <w:col w:w="3121" w:space="720"/>
            <w:col w:w="3339"/>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15"/>
                <w:szCs w:val="15"/>
                <w:color w:val="auto"/>
              </w:rPr>
            </w:pPr>
          </w:p>
        </w:tc>
        <w:tc>
          <w:tcPr>
            <w:tcW w:w="3260" w:type="dxa"/>
            <w:vAlign w:val="bottom"/>
            <w:gridSpan w:val="9"/>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4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7"/>
          </w:tcPr>
          <w:p>
            <w:pPr>
              <w:jc w:val="center"/>
              <w:ind w:left="47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2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29"/>
              <w:spacing w:after="0"/>
              <w:rPr>
                <w:sz w:val="20"/>
                <w:szCs w:val="20"/>
                <w:color w:val="auto"/>
              </w:rPr>
            </w:pPr>
            <w:r>
              <w:rPr>
                <w:rFonts w:ascii="Times New Roman" w:cs="Times New Roman" w:eastAsia="Times New Roman" w:hAnsi="Times New Roman"/>
                <w:sz w:val="16"/>
                <w:szCs w:val="16"/>
                <w:color w:val="0000FF"/>
              </w:rPr>
              <w:t>12/12/2022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147,816</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1,218,798</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29"/>
              <w:spacing w:after="0"/>
              <w:rPr>
                <w:sz w:val="20"/>
                <w:szCs w:val="20"/>
                <w:color w:val="auto"/>
              </w:rPr>
            </w:pPr>
            <w:r>
              <w:rPr>
                <w:rFonts w:ascii="Times New Roman" w:cs="Times New Roman" w:eastAsia="Times New Roman" w:hAnsi="Times New Roman"/>
                <w:sz w:val="16"/>
                <w:szCs w:val="16"/>
                <w:color w:val="0000FF"/>
              </w:rPr>
              <w:t>12/12/2022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147,816</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22.2</w:t>
            </w:r>
          </w:p>
        </w:tc>
        <w:tc>
          <w:tcPr>
            <w:tcW w:w="12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1,070,982</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29"/>
              <w:spacing w:after="0"/>
              <w:rPr>
                <w:sz w:val="20"/>
                <w:szCs w:val="20"/>
                <w:color w:val="auto"/>
              </w:rPr>
            </w:pPr>
            <w:r>
              <w:rPr>
                <w:rFonts w:ascii="Times New Roman" w:cs="Times New Roman" w:eastAsia="Times New Roman" w:hAnsi="Times New Roman"/>
                <w:sz w:val="16"/>
                <w:szCs w:val="16"/>
                <w:color w:val="0000FF"/>
              </w:rPr>
              <w:t>12/13/2022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166,095</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567,273</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29"/>
              <w:spacing w:after="0"/>
              <w:rPr>
                <w:sz w:val="20"/>
                <w:szCs w:val="20"/>
                <w:color w:val="auto"/>
              </w:rPr>
            </w:pPr>
            <w:r>
              <w:rPr>
                <w:rFonts w:ascii="Times New Roman" w:cs="Times New Roman" w:eastAsia="Times New Roman" w:hAnsi="Times New Roman"/>
                <w:sz w:val="16"/>
                <w:szCs w:val="16"/>
                <w:color w:val="0000FF"/>
              </w:rPr>
              <w:t>12/13/2022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166,095</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23.02</w:t>
            </w:r>
          </w:p>
        </w:tc>
        <w:tc>
          <w:tcPr>
            <w:tcW w:w="12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401,178</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5"/>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5"/>
          </w:tcPr>
          <w:p>
            <w:pPr>
              <w:jc w:val="center"/>
              <w:ind w:left="4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3"/>
          </w:tcPr>
          <w:p>
            <w:pPr>
              <w:jc w:val="center"/>
              <w:ind w:right="26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9"/>
              </w:rPr>
              <w:t>147,816</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12/12/2022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147,816</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jc w:val="right"/>
              <w:ind w:right="144"/>
              <w:spacing w:after="0" w:line="137" w:lineRule="exact"/>
              <w:rPr>
                <w:sz w:val="20"/>
                <w:szCs w:val="20"/>
                <w:color w:val="auto"/>
              </w:rPr>
            </w:pPr>
            <w:r>
              <w:rPr>
                <w:rFonts w:ascii="Times New Roman" w:cs="Times New Roman" w:eastAsia="Times New Roman" w:hAnsi="Times New Roman"/>
                <w:sz w:val="12"/>
                <w:szCs w:val="12"/>
                <w:color w:val="0000FF"/>
              </w:rPr>
              <w:t>166,095</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9"/>
              </w:rPr>
              <w:t>166,095</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12/13/2022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166,095</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80" w:type="dxa"/>
            <w:vAlign w:val="bottom"/>
            <w:vMerge w:val="restart"/>
          </w:tcPr>
          <w:p>
            <w:pPr>
              <w:jc w:val="right"/>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5"/>
                <w:szCs w:val="5"/>
                <w:color w:val="auto"/>
              </w:rPr>
            </w:pP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-5220335</wp:posOffset>
            </wp:positionV>
            <wp:extent cx="28575" cy="2208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08530"/>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ectPr>
          <w:pgSz w:w="11900" w:h="16864" w:orient="portrait"/>
          <w:cols w:equalWidth="0" w:num="1">
            <w:col w:w="11080"/>
          </w:cols>
          <w:pgMar w:left="460" w:top="213" w:right="359" w:bottom="0" w:gutter="0" w:footer="0" w:header="0"/>
          <w:type w:val="continuous"/>
        </w:sectPr>
      </w:pPr>
    </w:p>
    <w:p>
      <w:pPr>
        <w:spacing w:after="0" w:line="280"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64" w:orient="portrait"/>
          <w:cols w:equalWidth="0" w:num="1">
            <w:col w:w="11080"/>
          </w:cols>
          <w:pgMar w:left="460" w:top="213"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553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050" cy="5533390"/>
                    </a:xfrm>
                    <a:prstGeom prst="rect">
                      <a:avLst/>
                    </a:prstGeom>
                    <a:noFill/>
                  </pic:spPr>
                </pic:pic>
              </a:graphicData>
            </a:graphic>
          </wp:anchor>
        </w:drawing>
        <w:t>200 WEST STREET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4"/>
          </w:tcPr>
          <w:p>
            <w:pPr>
              <w:ind w:left="20"/>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10282-2198</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jc w:val="both"/>
        <w:ind w:left="20" w:right="4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December 12, 2022, the reporting person consummated the sale of all 147,816 shares of Non-Voting Common Stock, resulting in the automatic conversion of such shares into Voting Common Stock upon the execution of the sale of such shares as reported in Table I.</w:t>
      </w:r>
    </w:p>
    <w:p>
      <w:pPr>
        <w:spacing w:after="0" w:line="17" w:lineRule="exact"/>
        <w:rPr>
          <w:rFonts w:ascii="Times New Roman" w:cs="Times New Roman" w:eastAsia="Times New Roman" w:hAnsi="Times New Roman"/>
          <w:sz w:val="12"/>
          <w:szCs w:val="12"/>
          <w:color w:val="008000"/>
        </w:rPr>
      </w:pPr>
    </w:p>
    <w:p>
      <w:pPr>
        <w:ind w:left="20" w:right="100" w:hanging="4"/>
        <w:spacing w:after="0" w:line="24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2"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5" w:lineRule="exact"/>
        <w:rPr>
          <w:rFonts w:ascii="Times New Roman" w:cs="Times New Roman" w:eastAsia="Times New Roman" w:hAnsi="Times New Roman"/>
          <w:sz w:val="12"/>
          <w:szCs w:val="12"/>
          <w:color w:val="008000"/>
        </w:rPr>
      </w:pPr>
    </w:p>
    <w:p>
      <w:pPr>
        <w:ind w:left="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spacing w:after="0" w:line="5" w:lineRule="exact"/>
        <w:rPr>
          <w:rFonts w:ascii="Times New Roman" w:cs="Times New Roman" w:eastAsia="Times New Roman" w:hAnsi="Times New Roman"/>
          <w:sz w:val="12"/>
          <w:szCs w:val="12"/>
          <w:color w:val="008000"/>
        </w:rPr>
      </w:pPr>
    </w:p>
    <w:p>
      <w:pPr>
        <w:ind w:left="20" w:right="10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5" w:lineRule="exact"/>
        <w:rPr>
          <w:rFonts w:ascii="Times New Roman" w:cs="Times New Roman" w:eastAsia="Times New Roman" w:hAnsi="Times New Roman"/>
          <w:sz w:val="12"/>
          <w:szCs w:val="12"/>
          <w:color w:val="008000"/>
        </w:rPr>
      </w:pPr>
    </w:p>
    <w:p>
      <w:pPr>
        <w:jc w:val="both"/>
        <w:ind w:left="20" w:right="4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December 13, 2022, the reporting person consummated the sale of all 166,095 shares of Non-Voting Common Stock, resulting in the automatic conversion of such shares into Voting Common Stock upon the execution of the sale of such shares as reported in Table 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22"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2"/>
          <w:szCs w:val="32"/>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48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0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64" w:right="559" w:bottom="5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2022-12-14T15:54:29Z</dcterms:created>
  <dcterms:modified xsi:type="dcterms:W3CDTF">2022-12-14T15:54:29Z</dcterms:modified>
</cp:coreProperties>
</file>