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80" w:type="dxa"/>
            <w:vAlign w:val="bottom"/>
          </w:tcPr>
          <w:p>
            <w:pPr>
              <w:ind w:left="40"/>
              <w:spacing w:after="0"/>
              <w:rPr>
                <w:sz w:val="20"/>
                <w:szCs w:val="20"/>
                <w:color w:val="auto"/>
              </w:rPr>
            </w:pPr>
            <w:r>
              <w:rPr>
                <w:rFonts w:ascii="Arial" w:cs="Arial" w:eastAsia="Arial" w:hAnsi="Arial"/>
                <w:sz w:val="22"/>
                <w:szCs w:val="22"/>
                <w:color w:val="auto"/>
              </w:rPr>
              <w:t>0001767194</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49"/>
        </w:trPr>
        <w:tc>
          <w:tcPr>
            <w:tcW w:w="6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617-329-4524</w:t>
            </w:r>
          </w:p>
        </w:tc>
      </w:tr>
      <w:tr>
        <w:trPr>
          <w:trHeight w:val="297"/>
        </w:trPr>
        <w:tc>
          <w:tcPr>
            <w:tcW w:w="608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3840" w:type="dxa"/>
            <w:vAlign w:val="bottom"/>
          </w:tcPr>
          <w:p>
            <w:pPr>
              <w:ind w:left="340"/>
              <w:spacing w:after="0"/>
              <w:rPr>
                <w:sz w:val="20"/>
                <w:szCs w:val="20"/>
                <w:color w:val="auto"/>
              </w:rPr>
            </w:pPr>
            <w:r>
              <w:rPr>
                <w:rFonts w:ascii="Arial" w:cs="Arial" w:eastAsia="Arial" w:hAnsi="Arial"/>
                <w:sz w:val="22"/>
                <w:szCs w:val="22"/>
                <w:color w:val="auto"/>
                <w:w w:val="87"/>
              </w:rPr>
              <w:t>Bain Capital Venture Partners 2014,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50051</w:t>
            </w:r>
          </w:p>
        </w:tc>
        <w:tc>
          <w:tcPr>
            <w:tcW w:w="1280" w:type="dxa"/>
            <w:vAlign w:val="bottom"/>
          </w:tcPr>
          <w:p>
            <w:pPr>
              <w:jc w:val="right"/>
              <w:ind w:right="352"/>
              <w:spacing w:after="0"/>
              <w:rPr>
                <w:sz w:val="20"/>
                <w:szCs w:val="20"/>
                <w:color w:val="auto"/>
              </w:rPr>
            </w:pPr>
            <w:r>
              <w:rPr>
                <w:rFonts w:ascii="Arial" w:cs="Arial" w:eastAsia="Arial" w:hAnsi="Arial"/>
                <w:sz w:val="22"/>
                <w:szCs w:val="22"/>
                <w:color w:val="auto"/>
                <w:w w:val="93"/>
              </w:rPr>
              <w:t>1539068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7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Conversion of</w:t>
      </w:r>
    </w:p>
    <w:p>
      <w:pPr>
        <w:ind w:left="980"/>
        <w:spacing w:after="0" w:line="238" w:lineRule="auto"/>
        <w:rPr>
          <w:sz w:val="20"/>
          <w:szCs w:val="20"/>
          <w:color w:val="auto"/>
        </w:rPr>
      </w:pPr>
      <w:r>
        <w:rPr>
          <w:rFonts w:ascii="Arial" w:cs="Arial" w:eastAsia="Arial" w:hAnsi="Arial"/>
          <w:sz w:val="22"/>
          <w:szCs w:val="22"/>
          <w:color w:val="auto"/>
        </w:rPr>
        <w:t>preferred stock</w:t>
      </w:r>
    </w:p>
    <w:p>
      <w:pPr>
        <w:ind w:left="980"/>
        <w:spacing w:after="0" w:line="230" w:lineRule="auto"/>
        <w:rPr>
          <w:sz w:val="20"/>
          <w:szCs w:val="20"/>
          <w:color w:val="auto"/>
        </w:rPr>
      </w:pPr>
      <w:r>
        <w:rPr>
          <w:rFonts w:ascii="Arial" w:cs="Arial" w:eastAsia="Arial" w:hAnsi="Arial"/>
          <w:sz w:val="22"/>
          <w:szCs w:val="22"/>
          <w:color w:val="auto"/>
        </w:rPr>
        <w:t>purchased prior to</w:t>
      </w:r>
    </w:p>
    <w:p>
      <w:pPr>
        <w:ind w:left="980"/>
        <w:spacing w:after="0" w:line="231" w:lineRule="auto"/>
        <w:rPr>
          <w:sz w:val="20"/>
          <w:szCs w:val="20"/>
          <w:color w:val="auto"/>
        </w:rPr>
      </w:pPr>
      <w:r>
        <w:rPr>
          <w:rFonts w:ascii="Arial" w:cs="Arial" w:eastAsia="Arial" w:hAnsi="Arial"/>
          <w:sz w:val="22"/>
          <w:szCs w:val="22"/>
          <w:color w:val="auto"/>
        </w:rPr>
        <w:t>the IPO into Class</w:t>
      </w:r>
    </w:p>
    <w:p>
      <w:pPr>
        <w:ind w:left="980"/>
        <w:spacing w:after="0" w:line="230" w:lineRule="auto"/>
        <w:rPr>
          <w:sz w:val="20"/>
          <w:szCs w:val="20"/>
          <w:color w:val="auto"/>
        </w:rPr>
      </w:pPr>
      <w:r>
        <w:rPr>
          <w:rFonts w:ascii="Arial" w:cs="Arial" w:eastAsia="Arial" w:hAnsi="Arial"/>
          <w:sz w:val="22"/>
          <w:szCs w:val="22"/>
          <w:color w:val="auto"/>
        </w:rPr>
        <w:t>A Common Stock,</w:t>
      </w:r>
    </w:p>
    <w:p>
      <w:pPr>
        <w:ind w:left="980"/>
        <w:spacing w:after="0" w:line="231" w:lineRule="auto"/>
        <w:rPr>
          <w:sz w:val="20"/>
          <w:szCs w:val="20"/>
          <w:color w:val="auto"/>
        </w:rPr>
      </w:pPr>
      <w:r>
        <w:rPr>
          <w:rFonts w:ascii="Arial" w:cs="Arial" w:eastAsia="Arial" w:hAnsi="Arial"/>
          <w:sz w:val="22"/>
          <w:szCs w:val="22"/>
          <w:color w:val="auto"/>
        </w:rPr>
        <w:t>reclassification of</w:t>
      </w:r>
    </w:p>
    <w:p>
      <w:pPr>
        <w:ind w:left="980"/>
        <w:spacing w:after="0" w:line="230" w:lineRule="auto"/>
        <w:rPr>
          <w:sz w:val="20"/>
          <w:szCs w:val="20"/>
          <w:color w:val="auto"/>
        </w:rPr>
      </w:pPr>
      <w:r>
        <w:rPr>
          <w:rFonts w:ascii="Arial" w:cs="Arial" w:eastAsia="Arial" w:hAnsi="Arial"/>
          <w:sz w:val="22"/>
          <w:szCs w:val="22"/>
          <w:color w:val="auto"/>
        </w:rPr>
        <w:t>the Class A</w:t>
      </w:r>
    </w:p>
    <w:p>
      <w:pPr>
        <w:spacing w:after="0" w:line="1" w:lineRule="exact"/>
        <w:rPr>
          <w:sz w:val="20"/>
          <w:szCs w:val="20"/>
          <w:color w:val="auto"/>
        </w:rPr>
      </w:pPr>
    </w:p>
    <w:p>
      <w:pPr>
        <w:ind w:left="980" w:right="580" w:hanging="1037"/>
        <w:spacing w:after="0"/>
        <w:rPr>
          <w:sz w:val="20"/>
          <w:szCs w:val="20"/>
          <w:color w:val="auto"/>
        </w:rPr>
      </w:pPr>
      <w:r>
        <w:rPr>
          <w:rFonts w:ascii="Arial" w:cs="Arial" w:eastAsia="Arial" w:hAnsi="Arial"/>
          <w:sz w:val="22"/>
          <w:szCs w:val="22"/>
          <w:color w:val="auto"/>
        </w:rPr>
        <w:t xml:space="preserve">05/28/2021 </w:t>
      </w:r>
      <w:r>
        <w:rPr>
          <w:rFonts w:ascii="Arial" w:cs="Arial" w:eastAsia="Arial" w:hAnsi="Arial"/>
          <w:sz w:val="43"/>
          <w:szCs w:val="43"/>
          <w:color w:val="auto"/>
          <w:vertAlign w:val="superscript"/>
        </w:rPr>
        <w:t>Common Stock</w:t>
      </w:r>
      <w:r>
        <w:rPr>
          <w:sz w:val="20"/>
          <w:szCs w:val="20"/>
          <w:color w:val="auto"/>
        </w:rPr>
        <w:t xml:space="preserve"> </w:t>
      </w:r>
      <w:r>
        <w:rPr>
          <w:rFonts w:ascii="Arial" w:cs="Arial" w:eastAsia="Arial" w:hAnsi="Arial"/>
          <w:sz w:val="22"/>
          <w:szCs w:val="22"/>
          <w:color w:val="auto"/>
        </w:rPr>
        <w:t>Issuer 50051 into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line="230" w:lineRule="auto"/>
        <w:rPr>
          <w:sz w:val="20"/>
          <w:szCs w:val="20"/>
          <w:color w:val="auto"/>
        </w:rPr>
      </w:pPr>
      <w:r>
        <w:rPr>
          <w:rFonts w:ascii="Arial" w:cs="Arial" w:eastAsia="Arial" w:hAnsi="Arial"/>
          <w:sz w:val="22"/>
          <w:szCs w:val="22"/>
          <w:color w:val="auto"/>
        </w:rPr>
        <w:t>Common Stock</w:t>
      </w:r>
    </w:p>
    <w:p>
      <w:pPr>
        <w:ind w:left="980"/>
        <w:spacing w:after="0" w:line="231" w:lineRule="auto"/>
        <w:rPr>
          <w:sz w:val="20"/>
          <w:szCs w:val="20"/>
          <w:color w:val="auto"/>
        </w:rPr>
      </w:pPr>
      <w:r>
        <w:rPr>
          <w:rFonts w:ascii="Arial" w:cs="Arial" w:eastAsia="Arial" w:hAnsi="Arial"/>
          <w:sz w:val="22"/>
          <w:szCs w:val="22"/>
          <w:color w:val="auto"/>
        </w:rPr>
        <w:t>and a subsequent</w:t>
      </w:r>
    </w:p>
    <w:p>
      <w:pPr>
        <w:ind w:left="980"/>
        <w:spacing w:after="0" w:line="230" w:lineRule="auto"/>
        <w:rPr>
          <w:sz w:val="20"/>
          <w:szCs w:val="20"/>
          <w:color w:val="auto"/>
        </w:rPr>
      </w:pPr>
      <w:r>
        <w:rPr>
          <w:rFonts w:ascii="Arial" w:cs="Arial" w:eastAsia="Arial" w:hAnsi="Arial"/>
          <w:sz w:val="22"/>
          <w:szCs w:val="22"/>
          <w:color w:val="auto"/>
        </w:rPr>
        <w:t>pro rata</w:t>
      </w:r>
    </w:p>
    <w:p>
      <w:pPr>
        <w:ind w:left="980"/>
        <w:spacing w:after="0" w:line="231" w:lineRule="auto"/>
        <w:rPr>
          <w:sz w:val="20"/>
          <w:szCs w:val="20"/>
          <w:color w:val="auto"/>
        </w:rPr>
      </w:pPr>
      <w:r>
        <w:rPr>
          <w:rFonts w:ascii="Arial" w:cs="Arial" w:eastAsia="Arial" w:hAnsi="Arial"/>
          <w:sz w:val="22"/>
          <w:szCs w:val="22"/>
          <w:color w:val="auto"/>
        </w:rPr>
        <w:t>distribution in-kind</w:t>
      </w:r>
    </w:p>
    <w:p>
      <w:pPr>
        <w:ind w:left="980"/>
        <w:spacing w:after="0" w:line="230" w:lineRule="auto"/>
        <w:rPr>
          <w:sz w:val="20"/>
          <w:szCs w:val="20"/>
          <w:color w:val="auto"/>
        </w:rPr>
      </w:pPr>
      <w:r>
        <w:rPr>
          <w:rFonts w:ascii="Arial" w:cs="Arial" w:eastAsia="Arial" w:hAnsi="Arial"/>
          <w:sz w:val="22"/>
          <w:szCs w:val="22"/>
          <w:color w:val="auto"/>
        </w:rPr>
        <w:t>from Bain Capital</w:t>
      </w:r>
    </w:p>
    <w:p>
      <w:pPr>
        <w:ind w:left="980"/>
        <w:spacing w:after="0" w:line="231" w:lineRule="auto"/>
        <w:rPr>
          <w:sz w:val="20"/>
          <w:szCs w:val="20"/>
          <w:color w:val="auto"/>
        </w:rPr>
      </w:pPr>
      <w:r>
        <w:rPr>
          <w:rFonts w:ascii="Arial" w:cs="Arial" w:eastAsia="Arial" w:hAnsi="Arial"/>
          <w:sz w:val="22"/>
          <w:szCs w:val="22"/>
          <w:color w:val="auto"/>
        </w:rPr>
        <w:t>Venture Fund</w:t>
      </w:r>
    </w:p>
    <w:p>
      <w:pPr>
        <w:ind w:left="980"/>
        <w:spacing w:after="0"/>
        <w:rPr>
          <w:sz w:val="20"/>
          <w:szCs w:val="20"/>
          <w:color w:val="auto"/>
        </w:rPr>
      </w:pPr>
      <w:r>
        <w:rPr>
          <w:rFonts w:ascii="Arial" w:cs="Arial" w:eastAsia="Arial" w:hAnsi="Arial"/>
          <w:sz w:val="22"/>
          <w:szCs w:val="22"/>
          <w:color w:val="auto"/>
        </w:rPr>
        <w:t>2014, L.P.</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865" w:lineRule="exact"/>
        <w:rPr>
          <w:sz w:val="20"/>
          <w:szCs w:val="20"/>
          <w:color w:val="auto"/>
        </w:rPr>
      </w:pPr>
    </w:p>
    <w:p>
      <w:pPr>
        <w:sectPr>
          <w:pgSz w:w="11900" w:h="16859" w:orient="portrait"/>
          <w:cols w:equalWidth="0" w:num="3">
            <w:col w:w="1400" w:space="180"/>
            <w:col w:w="6760" w:space="180"/>
            <w:col w:w="2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59"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59"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bl>
    <w:p>
      <w:pPr>
        <w:sectPr>
          <w:pgSz w:w="11900" w:h="16859" w:orient="portrait"/>
          <w:cols w:equalWidth="0" w:num="3">
            <w:col w:w="3600" w:space="80"/>
            <w:col w:w="2900" w:space="720"/>
            <w:col w:w="3940"/>
          </w:cols>
          <w:pgMar w:left="320" w:top="143" w:right="339" w:bottom="0"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5"/>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Partner of Bain Capital Venture 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2023-05-26T17:10:06Z</dcterms:created>
  <dcterms:modified xsi:type="dcterms:W3CDTF">2023-05-26T17:10:06Z</dcterms:modified>
</cp:coreProperties>
</file>