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362585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3"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7"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144780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3"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39"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7" w:lineRule="exact"/>
        <w:rPr>
          <w:sz w:val="24"/>
          <w:szCs w:val="24"/>
          <w:color w:val="auto"/>
        </w:rPr>
      </w:pPr>
    </w:p>
    <w:tbl>
      <w:tblPr>
        <w:tblLayout w:type="fixed"/>
        <w:tblInd w:w="392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90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r>
      <w:tr>
        <w:trPr>
          <w:trHeight w:val="242"/>
        </w:trPr>
        <w:tc>
          <w:tcPr>
            <w:tcW w:w="3220" w:type="dxa"/>
            <w:vAlign w:val="bottom"/>
            <w:gridSpan w:val="2"/>
          </w:tcPr>
          <w:p>
            <w:pPr>
              <w:ind w:left="260"/>
              <w:spacing w:after="0"/>
              <w:rPr>
                <w:sz w:val="20"/>
                <w:szCs w:val="20"/>
                <w:color w:val="auto"/>
              </w:rPr>
            </w:pPr>
            <w:r>
              <w:rPr>
                <w:rFonts w:ascii="Arial" w:cs="Arial" w:eastAsia="Arial" w:hAnsi="Arial"/>
                <w:sz w:val="16"/>
                <w:szCs w:val="16"/>
                <w:b w:val="1"/>
                <w:bCs w:val="1"/>
                <w:color w:val="auto"/>
              </w:rPr>
              <w:t>Commission File Number: 001-40430</w:t>
            </w:r>
          </w:p>
        </w:tc>
        <w:tc>
          <w:tcPr>
            <w:tcW w:w="20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99060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1" w:lineRule="exact"/>
        <w:rPr>
          <w:sz w:val="24"/>
          <w:szCs w:val="24"/>
          <w:color w:val="auto"/>
        </w:rPr>
      </w:pPr>
    </w:p>
    <w:p>
      <w:pPr>
        <w:jc w:val="center"/>
        <w:ind w:right="120"/>
        <w:spacing w:after="0"/>
        <w:rPr>
          <w:sz w:val="20"/>
          <w:szCs w:val="20"/>
          <w:color w:val="auto"/>
        </w:rPr>
      </w:pPr>
      <w:r>
        <w:rPr>
          <w:rFonts w:ascii="Arial" w:cs="Arial" w:eastAsia="Arial" w:hAnsi="Arial"/>
          <w:sz w:val="41"/>
          <w:szCs w:val="41"/>
          <w:b w:val="1"/>
          <w:bCs w:val="1"/>
          <w:color w:val="auto"/>
        </w:rPr>
        <w:t>FLYWIRE CORPORATION</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jc w:val="right"/>
              <w:ind w:right="228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62"/>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0"/>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02"/>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w w:val="98"/>
              </w:rPr>
              <w:t>Boston, MA</w:t>
            </w:r>
          </w:p>
        </w:tc>
        <w:tc>
          <w:tcPr>
            <w:tcW w:w="2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tcPr>
          <w:p>
            <w:pPr>
              <w:jc w:val="right"/>
              <w:ind w:right="248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200"/>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jc w:val="center"/>
              <w:ind w:right="208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37"/>
        </w:trPr>
        <w:tc>
          <w:tcPr>
            <w:tcW w:w="112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800" w:type="dxa"/>
            <w:vAlign w:val="bottom"/>
            <w:gridSpan w:val="7"/>
          </w:tcPr>
          <w:p>
            <w:pPr>
              <w:jc w:val="center"/>
              <w:ind w:left="328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3320" w:type="dxa"/>
            <w:vAlign w:val="bottom"/>
            <w:gridSpan w:val="4"/>
          </w:tcPr>
          <w:p>
            <w:pPr>
              <w:ind w:left="920"/>
              <w:spacing w:after="0"/>
              <w:rPr>
                <w:sz w:val="20"/>
                <w:szCs w:val="20"/>
                <w:color w:val="auto"/>
              </w:rPr>
            </w:pPr>
            <w:r>
              <w:rPr>
                <w:rFonts w:ascii="Arial" w:cs="Arial" w:eastAsia="Arial" w:hAnsi="Arial"/>
                <w:sz w:val="14"/>
                <w:szCs w:val="14"/>
                <w:b w:val="1"/>
                <w:bCs w:val="1"/>
                <w:color w:val="auto"/>
              </w:rPr>
              <w:t>Trading</w:t>
            </w:r>
          </w:p>
        </w:tc>
        <w:tc>
          <w:tcPr>
            <w:tcW w:w="3400" w:type="dxa"/>
            <w:vAlign w:val="bottom"/>
          </w:tcPr>
          <w:p>
            <w:pPr>
              <w:jc w:val="center"/>
              <w:ind w:right="10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380"/>
        </w:trPr>
        <w:tc>
          <w:tcPr>
            <w:tcW w:w="4480" w:type="dxa"/>
            <w:vAlign w:val="bottom"/>
            <w:gridSpan w:val="3"/>
          </w:tcPr>
          <w:p>
            <w:pPr>
              <w:ind w:left="14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ind w:left="900"/>
              <w:spacing w:after="0"/>
              <w:rPr>
                <w:sz w:val="20"/>
                <w:szCs w:val="20"/>
                <w:color w:val="auto"/>
              </w:rPr>
            </w:pPr>
            <w:r>
              <w:rPr>
                <w:rFonts w:ascii="Arial" w:cs="Arial" w:eastAsia="Arial" w:hAnsi="Arial"/>
                <w:sz w:val="16"/>
                <w:szCs w:val="16"/>
                <w:b w:val="1"/>
                <w:bCs w:val="1"/>
                <w:color w:val="auto"/>
              </w:rPr>
              <w:t>FLYW</w:t>
            </w: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26"/>
        </w:trPr>
        <w:tc>
          <w:tcPr>
            <w:tcW w:w="44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140" w:firstLine="509"/>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right="60" w:firstLine="509"/>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jc w:val="both"/>
        <w:ind w:firstLine="509"/>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0"/>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 w:lineRule="exact"/>
        <w:rPr>
          <w:sz w:val="24"/>
          <w:szCs w:val="24"/>
          <w:color w:val="auto"/>
        </w:rPr>
      </w:pPr>
    </w:p>
    <w:p>
      <w:pPr>
        <w:jc w:val="both"/>
        <w:ind w:right="160" w:firstLine="50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tabs>
          <w:tab w:leader="none" w:pos="8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ind w:right="300" w:firstLine="509"/>
        <w:spacing w:after="0" w:line="271" w:lineRule="auto"/>
        <w:rPr>
          <w:sz w:val="20"/>
          <w:szCs w:val="20"/>
          <w:color w:val="auto"/>
        </w:rPr>
      </w:pPr>
      <w:r>
        <w:rPr>
          <w:rFonts w:ascii="Arial" w:cs="Arial" w:eastAsia="Arial" w:hAnsi="Arial"/>
          <w:sz w:val="16"/>
          <w:szCs w:val="16"/>
          <w:color w:val="auto"/>
        </w:rPr>
        <w:t>As of November 3, 2023, the registrant had 119,539,868 shares of voting common stock, $0.0001 par value per share, outstanding and 1,873,320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80" w:type="dxa"/>
            <w:vAlign w:val="bottom"/>
            <w:gridSpan w:val="10"/>
          </w:tcPr>
          <w:p>
            <w:pPr>
              <w:ind w:left="2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622"/>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Special Note Regarding Forward-Looking Statements</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w:t>
            </w: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140" w:type="dxa"/>
            <w:vAlign w:val="bottom"/>
            <w:gridSpan w:val="4"/>
            <w:vMerge w:val="continue"/>
          </w:tcPr>
          <w:p>
            <w:pPr>
              <w:spacing w:after="0"/>
              <w:rPr>
                <w:sz w:val="24"/>
                <w:szCs w:val="24"/>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FINANCIAL INFORMATION</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Financial Statements (Unaudited)</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Condensed Consolidated Balance Sheets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Condensed Consolidated Statements of Operations and Comprehensive Income (Loss)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Condensed Consolidated Statements of Cash Flows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20" w:type="dxa"/>
            <w:vAlign w:val="bottom"/>
            <w:gridSpan w:val="33"/>
          </w:tcPr>
          <w:p>
            <w:pPr>
              <w:spacing w:after="0"/>
              <w:rPr>
                <w:sz w:val="20"/>
                <w:szCs w:val="20"/>
                <w:color w:val="auto"/>
              </w:rPr>
            </w:pPr>
            <w:r>
              <w:rPr>
                <w:rFonts w:ascii="Arial" w:cs="Arial" w:eastAsia="Arial" w:hAnsi="Arial"/>
                <w:sz w:val="18"/>
                <w:szCs w:val="18"/>
                <w:color w:val="0000FF"/>
              </w:rPr>
              <w:t>Note 1. Business Overview and Summary of Significant Accounting Policies</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Note 2. Revenue and Recognition</w:t>
            </w:r>
          </w:p>
        </w:tc>
        <w:tc>
          <w:tcPr>
            <w:tcW w:w="20" w:type="dxa"/>
            <w:vAlign w:val="bottom"/>
            <w:tcBorders>
              <w:top w:val="single" w:sz="8" w:color="0000FF"/>
              <w:bottom w:val="single" w:sz="8" w:color="0000EE"/>
            </w:tcBorders>
          </w:tcPr>
          <w:p>
            <w:pPr>
              <w:spacing w:after="0"/>
              <w:rPr>
                <w:sz w:val="19"/>
                <w:szCs w:val="19"/>
                <w:color w:val="auto"/>
              </w:rPr>
            </w:pPr>
          </w:p>
        </w:tc>
        <w:tc>
          <w:tcPr>
            <w:tcW w:w="3280" w:type="dxa"/>
            <w:vAlign w:val="bottom"/>
            <w:tcBorders>
              <w:top w:val="single" w:sz="8" w:color="0000FF"/>
            </w:tcBorders>
            <w:gridSpan w:val="13"/>
          </w:tcPr>
          <w:p>
            <w:pPr>
              <w:spacing w:after="0"/>
              <w:rPr>
                <w:sz w:val="19"/>
                <w:szCs w:val="19"/>
                <w:color w:val="auto"/>
              </w:rPr>
            </w:pPr>
          </w:p>
        </w:tc>
        <w:tc>
          <w:tcPr>
            <w:tcW w:w="6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Note 3. Allowance for Credit Losses</w:t>
            </w:r>
          </w:p>
        </w:tc>
        <w:tc>
          <w:tcPr>
            <w:tcW w:w="374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20" w:type="dxa"/>
            <w:vAlign w:val="bottom"/>
            <w:gridSpan w:val="33"/>
          </w:tcPr>
          <w:p>
            <w:pPr>
              <w:spacing w:after="0"/>
              <w:rPr>
                <w:sz w:val="20"/>
                <w:szCs w:val="20"/>
                <w:color w:val="auto"/>
              </w:rPr>
            </w:pPr>
            <w:r>
              <w:rPr>
                <w:rFonts w:ascii="Arial" w:cs="Arial" w:eastAsia="Arial" w:hAnsi="Arial"/>
                <w:sz w:val="18"/>
                <w:szCs w:val="18"/>
                <w:color w:val="0000FF"/>
              </w:rPr>
              <w:t>Note 4. Fair Value Measurements</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Note 5. Derivative Instruments</w:t>
            </w:r>
          </w:p>
        </w:tc>
        <w:tc>
          <w:tcPr>
            <w:tcW w:w="20" w:type="dxa"/>
            <w:vAlign w:val="bottom"/>
            <w:tcBorders>
              <w:top w:val="single" w:sz="8" w:color="0000FF"/>
              <w:bottom w:val="single" w:sz="8" w:color="0000EE"/>
            </w:tcBorders>
          </w:tcPr>
          <w:p>
            <w:pPr>
              <w:spacing w:after="0"/>
              <w:rPr>
                <w:sz w:val="19"/>
                <w:szCs w:val="19"/>
                <w:color w:val="auto"/>
              </w:rPr>
            </w:pPr>
          </w:p>
        </w:tc>
        <w:tc>
          <w:tcPr>
            <w:tcW w:w="220" w:type="dxa"/>
            <w:vAlign w:val="bottom"/>
            <w:tcBorders>
              <w:top w:val="single" w:sz="8" w:color="0000FF"/>
            </w:tcBorders>
            <w:gridSpan w:val="2"/>
          </w:tcPr>
          <w:p>
            <w:pPr>
              <w:spacing w:after="0"/>
              <w:rPr>
                <w:sz w:val="19"/>
                <w:szCs w:val="19"/>
                <w:color w:val="auto"/>
              </w:rPr>
            </w:pPr>
          </w:p>
        </w:tc>
        <w:tc>
          <w:tcPr>
            <w:tcW w:w="60" w:type="dxa"/>
            <w:vAlign w:val="bottom"/>
            <w:tcBorders>
              <w:top w:val="single" w:sz="8" w:color="0000EE"/>
            </w:tcBorders>
            <w:gridSpan w:val="2"/>
          </w:tcPr>
          <w:p>
            <w:pPr>
              <w:spacing w:after="0"/>
              <w:rPr>
                <w:sz w:val="19"/>
                <w:szCs w:val="19"/>
                <w:color w:val="auto"/>
              </w:rPr>
            </w:pPr>
          </w:p>
        </w:tc>
        <w:tc>
          <w:tcPr>
            <w:tcW w:w="390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Note 6. Accrued Expenses and Other Current Liabilities</w:t>
            </w:r>
          </w:p>
        </w:tc>
        <w:tc>
          <w:tcPr>
            <w:tcW w:w="21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Note 7. Property and Equipment, net</w:t>
            </w:r>
          </w:p>
        </w:tc>
        <w:tc>
          <w:tcPr>
            <w:tcW w:w="37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20" w:type="dxa"/>
            <w:vAlign w:val="bottom"/>
            <w:gridSpan w:val="33"/>
          </w:tcPr>
          <w:p>
            <w:pPr>
              <w:spacing w:after="0"/>
              <w:rPr>
                <w:sz w:val="20"/>
                <w:szCs w:val="20"/>
                <w:color w:val="auto"/>
              </w:rPr>
            </w:pPr>
            <w:r>
              <w:rPr>
                <w:rFonts w:ascii="Arial" w:cs="Arial" w:eastAsia="Arial" w:hAnsi="Arial"/>
                <w:sz w:val="18"/>
                <w:szCs w:val="18"/>
                <w:color w:val="0000FF"/>
              </w:rPr>
              <w:t>Note 8. Business Combinations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20" w:type="dxa"/>
            <w:vAlign w:val="bottom"/>
            <w:gridSpan w:val="33"/>
          </w:tcPr>
          <w:p>
            <w:pPr>
              <w:spacing w:after="0"/>
              <w:rPr>
                <w:sz w:val="20"/>
                <w:szCs w:val="20"/>
                <w:color w:val="auto"/>
              </w:rPr>
            </w:pPr>
            <w:r>
              <w:rPr>
                <w:rFonts w:ascii="Arial" w:cs="Arial" w:eastAsia="Arial" w:hAnsi="Arial"/>
                <w:sz w:val="18"/>
                <w:szCs w:val="18"/>
                <w:color w:val="0000FF"/>
              </w:rPr>
              <w:t>Note 9. Goodwill and Acquired Intangible Assets</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4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Note 10. Debt</w:t>
            </w:r>
          </w:p>
        </w:tc>
        <w:tc>
          <w:tcPr>
            <w:tcW w:w="27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99"/>
              </w:rPr>
              <w:t>Note 11. Stockholders’ Equity</w:t>
            </w:r>
          </w:p>
        </w:tc>
        <w:tc>
          <w:tcPr>
            <w:tcW w:w="424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Note 12. Stock-Based Compensation</w:t>
            </w:r>
          </w:p>
        </w:tc>
        <w:tc>
          <w:tcPr>
            <w:tcW w:w="20" w:type="dxa"/>
            <w:vAlign w:val="bottom"/>
            <w:tcBorders>
              <w:bottom w:val="single" w:sz="8" w:color="0000EE"/>
            </w:tcBorders>
          </w:tcPr>
          <w:p>
            <w:pPr>
              <w:spacing w:after="0"/>
              <w:rPr>
                <w:sz w:val="19"/>
                <w:szCs w:val="19"/>
                <w:color w:val="auto"/>
              </w:rPr>
            </w:pPr>
          </w:p>
        </w:tc>
        <w:tc>
          <w:tcPr>
            <w:tcW w:w="36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Note 13. Net Income (Loss) per Share</w:t>
            </w:r>
          </w:p>
        </w:tc>
        <w:tc>
          <w:tcPr>
            <w:tcW w:w="35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7"/>
              </w:rPr>
              <w:t>Note 14. Income Taxes</w:t>
            </w:r>
          </w:p>
        </w:tc>
        <w:tc>
          <w:tcPr>
            <w:tcW w:w="4780" w:type="dxa"/>
            <w:vAlign w:val="bottom"/>
            <w:gridSpan w:val="2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Note 15. Commitments and Contingencies</w:t>
            </w:r>
          </w:p>
        </w:tc>
        <w:tc>
          <w:tcPr>
            <w:tcW w:w="32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20" w:type="dxa"/>
            <w:vAlign w:val="bottom"/>
            <w:gridSpan w:val="33"/>
          </w:tcPr>
          <w:p>
            <w:pPr>
              <w:spacing w:after="0"/>
              <w:rPr>
                <w:sz w:val="20"/>
                <w:szCs w:val="20"/>
                <w:color w:val="auto"/>
              </w:rPr>
            </w:pPr>
            <w:r>
              <w:rPr>
                <w:rFonts w:ascii="Arial" w:cs="Arial" w:eastAsia="Arial" w:hAnsi="Arial"/>
                <w:sz w:val="18"/>
                <w:szCs w:val="18"/>
                <w:color w:val="0000FF"/>
              </w:rPr>
              <w:t>Note 16. Subsequent Events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gridSpan w:val="1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1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1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4.</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Controls and Procedures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20"/>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w w:val="92"/>
              </w:rPr>
              <w:t>PART II.</w:t>
            </w:r>
          </w:p>
        </w:tc>
        <w:tc>
          <w:tcPr>
            <w:tcW w:w="460" w:type="dxa"/>
            <w:vAlign w:val="bottom"/>
            <w:gridSpan w:val="2"/>
          </w:tcPr>
          <w:p>
            <w:pPr>
              <w:spacing w:after="0"/>
              <w:rPr>
                <w:sz w:val="24"/>
                <w:szCs w:val="24"/>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OTHER INFORMATION</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0"/>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1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Legal Proceedings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0"/>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8"/>
                <w:szCs w:val="18"/>
                <w:color w:val="0000FF"/>
                <w:w w:val="95"/>
              </w:rPr>
              <w:t>Item 1A.</w:t>
            </w:r>
          </w:p>
        </w:tc>
        <w:tc>
          <w:tcPr>
            <w:tcW w:w="460" w:type="dxa"/>
            <w:vAlign w:val="bottom"/>
            <w:gridSpan w:val="2"/>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Risk Factors</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0"/>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20"/>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Defaults Upon Senior Securities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5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4.</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Mine Safety Disclosures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14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Other Information</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6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580" w:type="dxa"/>
            <w:vAlign w:val="bottom"/>
            <w:gridSpan w:val="3"/>
          </w:tcPr>
          <w:p>
            <w:pPr>
              <w:spacing w:after="0"/>
              <w:rPr>
                <w:sz w:val="19"/>
                <w:szCs w:val="19"/>
                <w:color w:val="auto"/>
              </w:rPr>
            </w:pPr>
          </w:p>
        </w:tc>
        <w:tc>
          <w:tcPr>
            <w:tcW w:w="7060" w:type="dxa"/>
            <w:vAlign w:val="bottom"/>
            <w:gridSpan w:val="35"/>
          </w:tcPr>
          <w:p>
            <w:pPr>
              <w:spacing w:after="0"/>
              <w:rPr>
                <w:sz w:val="20"/>
                <w:szCs w:val="20"/>
                <w:color w:val="auto"/>
              </w:rPr>
            </w:pPr>
            <w:r>
              <w:rPr>
                <w:rFonts w:ascii="Arial" w:cs="Arial" w:eastAsia="Arial" w:hAnsi="Arial"/>
                <w:sz w:val="18"/>
                <w:szCs w:val="18"/>
                <w:color w:val="0000FF"/>
              </w:rPr>
              <w:t>Exhibits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346710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20320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ectPr>
          <w:pgSz w:w="11900" w:h="16838" w:orient="portrait"/>
          <w:cols w:equalWidth="0" w:num="2">
            <w:col w:w="9900" w:space="720"/>
            <w:col w:w="580"/>
          </w:cols>
          <w:pgMar w:left="340" w:top="5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65" w:lineRule="exact"/>
        <w:rPr>
          <w:sz w:val="20"/>
          <w:szCs w:val="20"/>
          <w:color w:val="auto"/>
        </w:rPr>
      </w:pPr>
    </w:p>
    <w:p>
      <w:pPr>
        <w:ind w:left="1020" w:right="420" w:hanging="504"/>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6" w:lineRule="exact"/>
        <w:rPr>
          <w:rFonts w:ascii="Arial" w:cs="Arial" w:eastAsia="Arial" w:hAnsi="Arial"/>
          <w:sz w:val="18"/>
          <w:szCs w:val="18"/>
          <w:color w:val="auto"/>
        </w:rPr>
      </w:pPr>
    </w:p>
    <w:p>
      <w:pPr>
        <w:ind w:left="1020" w:right="60" w:hanging="504"/>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foreign currency exchange rate, inflation, banking, legal, social and health risks and public health measures that may affect our business or the global economy;</w:t>
      </w:r>
    </w:p>
    <w:p>
      <w:pPr>
        <w:spacing w:after="0" w:line="65"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new client verticals and sub-verticals, including our relatively new business-to-business sector;</w:t>
      </w:r>
    </w:p>
    <w:p>
      <w:pPr>
        <w:spacing w:after="0" w:line="116" w:lineRule="exact"/>
        <w:rPr>
          <w:rFonts w:ascii="Arial" w:cs="Arial" w:eastAsia="Arial" w:hAnsi="Arial"/>
          <w:sz w:val="18"/>
          <w:szCs w:val="18"/>
          <w:color w:val="auto"/>
        </w:rPr>
      </w:pPr>
    </w:p>
    <w:p>
      <w:pPr>
        <w:ind w:left="1020" w:right="700" w:hanging="504"/>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65"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6" w:lineRule="exact"/>
        <w:rPr>
          <w:rFonts w:ascii="Arial" w:cs="Arial" w:eastAsia="Arial" w:hAnsi="Arial"/>
          <w:sz w:val="18"/>
          <w:szCs w:val="18"/>
          <w:color w:val="auto"/>
        </w:rPr>
      </w:pPr>
    </w:p>
    <w:p>
      <w:pPr>
        <w:ind w:left="1020" w:right="140" w:hanging="504"/>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and countering the financing of terrorism, taxation, privacy and data protection;</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response to global events and geopolitical conflict, including without limitation the continuing hostilities in Ukraine and Gaza;</w:t>
      </w:r>
    </w:p>
    <w:p>
      <w:pPr>
        <w:spacing w:after="0" w:line="128" w:lineRule="exact"/>
        <w:rPr>
          <w:rFonts w:ascii="Arial" w:cs="Arial" w:eastAsia="Arial" w:hAnsi="Arial"/>
          <w:sz w:val="17"/>
          <w:szCs w:val="17"/>
          <w:color w:val="auto"/>
        </w:rPr>
      </w:pPr>
    </w:p>
    <w:p>
      <w:pPr>
        <w:ind w:left="1020" w:right="280" w:hanging="504"/>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recently enacted Inflation Reduction Act of 2022;</w:t>
      </w:r>
    </w:p>
    <w:p>
      <w:pPr>
        <w:spacing w:after="0" w:line="65"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00" w:lineRule="exact"/>
        <w:rPr>
          <w:sz w:val="20"/>
          <w:szCs w:val="20"/>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 to our voting common stock.</w:t>
      </w:r>
    </w:p>
    <w:p>
      <w:pPr>
        <w:spacing w:after="0" w:line="14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(formerly known as Twitter) feed (@flywire)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color w:val="auto"/>
        </w:rPr>
        <w:t>(Unaudited) (Amounts in thousands, except par value per share and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638,205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349,177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Funds receivable from payment partners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80,499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18,793</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762,427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450,643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15,241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88,287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97,173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97,766</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982,416</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674,287</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Funds payable to clients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132,467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124,305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192,108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11,271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12,149</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192,384</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7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Preferred stock, $0.0001 par value; 10,000,000 shares authorized as of</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September 30, 2023 and December 31, 2022; and no shares issued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outstanding as of September 30, 2023 and December 31, 2022</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740" w:type="dxa"/>
            <w:vAlign w:val="bottom"/>
          </w:tcPr>
          <w:p>
            <w:pPr>
              <w:ind w:left="140"/>
              <w:spacing w:after="0" w:line="203" w:lineRule="exact"/>
              <w:rPr>
                <w:sz w:val="20"/>
                <w:szCs w:val="20"/>
                <w:color w:val="auto"/>
              </w:rPr>
            </w:pPr>
            <w:r>
              <w:rPr>
                <w:rFonts w:ascii="Arial" w:cs="Arial" w:eastAsia="Arial" w:hAnsi="Arial"/>
                <w:sz w:val="18"/>
                <w:szCs w:val="18"/>
                <w:color w:val="auto"/>
              </w:rPr>
              <w:t>Voting common stock, $0.0001 par value; 2,000,000,000 shares authorized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40" w:type="dxa"/>
            <w:vAlign w:val="bottom"/>
          </w:tcPr>
          <w:p>
            <w:pPr>
              <w:ind w:left="300"/>
              <w:spacing w:after="0" w:line="202" w:lineRule="exact"/>
              <w:rPr>
                <w:sz w:val="20"/>
                <w:szCs w:val="20"/>
                <w:color w:val="auto"/>
              </w:rPr>
            </w:pPr>
            <w:r>
              <w:rPr>
                <w:rFonts w:ascii="Arial" w:cs="Arial" w:eastAsia="Arial" w:hAnsi="Arial"/>
                <w:sz w:val="18"/>
                <w:szCs w:val="18"/>
                <w:color w:val="auto"/>
              </w:rPr>
              <w:t>as of September 30, 2023 and December 31, 2022; 121,700,424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40" w:type="dxa"/>
            <w:vAlign w:val="bottom"/>
          </w:tcPr>
          <w:p>
            <w:pPr>
              <w:ind w:left="300"/>
              <w:spacing w:after="0" w:line="202" w:lineRule="exact"/>
              <w:rPr>
                <w:sz w:val="20"/>
                <w:szCs w:val="20"/>
                <w:color w:val="auto"/>
              </w:rPr>
            </w:pPr>
            <w:r>
              <w:rPr>
                <w:rFonts w:ascii="Arial" w:cs="Arial" w:eastAsia="Arial" w:hAnsi="Arial"/>
                <w:sz w:val="18"/>
                <w:szCs w:val="18"/>
                <w:color w:val="auto"/>
              </w:rPr>
              <w:t>issued and 119,382,702 shares outstanding as of September 30, 2023;</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40" w:type="dxa"/>
            <w:vAlign w:val="bottom"/>
          </w:tcPr>
          <w:p>
            <w:pPr>
              <w:ind w:left="300"/>
              <w:spacing w:after="0" w:line="202" w:lineRule="exact"/>
              <w:rPr>
                <w:sz w:val="20"/>
                <w:szCs w:val="20"/>
                <w:color w:val="auto"/>
              </w:rPr>
            </w:pPr>
            <w:r>
              <w:rPr>
                <w:rFonts w:ascii="Arial" w:cs="Arial" w:eastAsia="Arial" w:hAnsi="Arial"/>
                <w:sz w:val="18"/>
                <w:szCs w:val="18"/>
                <w:color w:val="auto"/>
              </w:rPr>
              <w:t>109,790,702 shares issued and 107,472,980 shares outstanding as of</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740" w:type="dxa"/>
            <w:vAlign w:val="bottom"/>
          </w:tcPr>
          <w:p>
            <w:pPr>
              <w:ind w:left="300"/>
              <w:spacing w:after="0"/>
              <w:rPr>
                <w:sz w:val="20"/>
                <w:szCs w:val="20"/>
                <w:color w:val="auto"/>
              </w:rPr>
            </w:pPr>
            <w:r>
              <w:rPr>
                <w:rFonts w:ascii="Arial" w:cs="Arial" w:eastAsia="Arial" w:hAnsi="Arial"/>
                <w:sz w:val="18"/>
                <w:szCs w:val="18"/>
                <w:color w:val="auto"/>
              </w:rPr>
              <w:t>December 31, 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03"/>
        </w:trPr>
        <w:tc>
          <w:tcPr>
            <w:tcW w:w="77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Non-voting common stock, $0.0001 par value; 10,000,000 shares authorized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as of September 30, 2023 and December 31, 2022; 1,873,320 shares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issued and outstanding as of September 30, 2023 and December 31, 2022</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03"/>
        </w:trPr>
        <w:tc>
          <w:tcPr>
            <w:tcW w:w="7740" w:type="dxa"/>
            <w:vAlign w:val="bottom"/>
          </w:tcPr>
          <w:p>
            <w:pPr>
              <w:ind w:left="140"/>
              <w:spacing w:after="0" w:line="203" w:lineRule="exact"/>
              <w:rPr>
                <w:sz w:val="20"/>
                <w:szCs w:val="20"/>
                <w:color w:val="auto"/>
              </w:rPr>
            </w:pPr>
            <w:r>
              <w:rPr>
                <w:rFonts w:ascii="Arial" w:cs="Arial" w:eastAsia="Arial" w:hAnsi="Arial"/>
                <w:sz w:val="18"/>
                <w:szCs w:val="18"/>
                <w:color w:val="auto"/>
              </w:rPr>
              <w:t>Treasury voting common stock, 2,317,722 shares as of September 30, 2023</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740" w:type="dxa"/>
            <w:vAlign w:val="bottom"/>
          </w:tcPr>
          <w:p>
            <w:pPr>
              <w:ind w:left="300"/>
              <w:spacing w:after="0"/>
              <w:rPr>
                <w:sz w:val="20"/>
                <w:szCs w:val="20"/>
                <w:color w:val="auto"/>
              </w:rPr>
            </w:pPr>
            <w:r>
              <w:rPr>
                <w:rFonts w:ascii="Arial" w:cs="Arial" w:eastAsia="Arial" w:hAnsi="Arial"/>
                <w:sz w:val="18"/>
                <w:szCs w:val="18"/>
                <w:color w:val="auto"/>
              </w:rPr>
              <w:t>and December 31, 2022, held at cost</w:t>
            </w: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(748 )</w:t>
            </w: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(748 )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953,522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649,756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(2,411 )</w:t>
            </w: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(1,912 )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(175,057 )</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(165,204 )</w:t>
            </w:r>
          </w:p>
        </w:tc>
      </w:tr>
      <w:tr>
        <w:trPr>
          <w:trHeight w:val="223"/>
        </w:trPr>
        <w:tc>
          <w:tcPr>
            <w:tcW w:w="7740" w:type="dxa"/>
            <w:vAlign w:val="bottom"/>
            <w:tcBorders>
              <w:top w:val="single" w:sz="8" w:color="CFF0FC"/>
            </w:tcBorders>
          </w:tcPr>
          <w:p>
            <w:pPr>
              <w:ind w:left="4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775,318</w:t>
            </w: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481,903</w:t>
            </w:r>
          </w:p>
        </w:tc>
        <w:tc>
          <w:tcPr>
            <w:tcW w:w="100" w:type="dxa"/>
            <w:vAlign w:val="bottom"/>
            <w:tcBorders>
              <w:top w:val="single" w:sz="8" w:color="CFF0FC"/>
            </w:tcBorders>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982,416</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674,287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-4460240</wp:posOffset>
            </wp:positionV>
            <wp:extent cx="685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-4460240</wp:posOffset>
            </wp:positionV>
            <wp:extent cx="685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-2961640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4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123,323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 processing services costs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14,591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79,559</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costs and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111,437</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314,039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11,886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3,652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(11,490 )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(20,849 )</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(99 )</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(400 )</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(280 )</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(884 )</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Loss from remeasurement of foreign currency</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(4,233 )</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(7,520 )</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(3,518 )</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(15,087 )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(491 )</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(6,647 )</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(14,514 )</w:t>
            </w: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(2,995 )</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(7,577 )</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(35,363 )</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10,643</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(4,272 )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(9,853 )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(38,218 )</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(2,581 )</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(273 )</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(499 )</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8,062</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(4,545 )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(10,352 )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(38,626 )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(loss) attributable to common stockholders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10,643</w:t>
            </w:r>
          </w:p>
        </w:tc>
        <w:tc>
          <w:tcPr>
            <w:tcW w:w="2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(4,272 )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(9,853 )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(38,218 )</w:t>
            </w: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ind w:left="180"/>
              <w:spacing w:after="0" w:line="189" w:lineRule="exact"/>
              <w:rPr>
                <w:sz w:val="20"/>
                <w:szCs w:val="20"/>
                <w:color w:val="auto"/>
              </w:rPr>
            </w:pPr>
            <w:r>
              <w:rPr>
                <w:rFonts w:ascii="Arial" w:cs="Arial" w:eastAsia="Arial" w:hAnsi="Arial"/>
                <w:sz w:val="18"/>
                <w:szCs w:val="18"/>
                <w:color w:val="auto"/>
              </w:rPr>
              <w:t>basic and diluted</w:t>
            </w:r>
          </w:p>
        </w:tc>
        <w:tc>
          <w:tcPr>
            <w:tcW w:w="12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per share attributable to common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(0.04 )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(0.09 )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(0.36 )</w:t>
            </w:r>
          </w:p>
        </w:tc>
        <w:tc>
          <w:tcPr>
            <w:tcW w:w="0" w:type="dxa"/>
            <w:vAlign w:val="bottom"/>
          </w:tcPr>
          <w:p>
            <w:pPr>
              <w:spacing w:after="0"/>
              <w:rPr>
                <w:sz w:val="1"/>
                <w:szCs w:val="1"/>
                <w:color w:val="auto"/>
              </w:rPr>
            </w:pPr>
          </w:p>
        </w:tc>
      </w:tr>
      <w:tr>
        <w:trPr>
          <w:trHeight w:val="188"/>
        </w:trPr>
        <w:tc>
          <w:tcPr>
            <w:tcW w:w="5840" w:type="dxa"/>
            <w:vAlign w:val="bottom"/>
          </w:tcPr>
          <w:p>
            <w:pPr>
              <w:ind w:left="180"/>
              <w:spacing w:after="0" w:line="189" w:lineRule="exact"/>
              <w:rPr>
                <w:sz w:val="20"/>
                <w:szCs w:val="20"/>
                <w:color w:val="auto"/>
              </w:rPr>
            </w:pPr>
            <w:r>
              <w:rPr>
                <w:rFonts w:ascii="Arial" w:cs="Arial" w:eastAsia="Arial" w:hAnsi="Arial"/>
                <w:sz w:val="18"/>
                <w:szCs w:val="18"/>
                <w:color w:val="auto"/>
              </w:rPr>
              <w:t>stockholders – basic</w:t>
            </w: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(loss) per share attributable to common</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(0.04 )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(0.09 )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(0.36 )</w:t>
            </w: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180"/>
              <w:spacing w:after="0" w:line="189" w:lineRule="exact"/>
              <w:rPr>
                <w:sz w:val="20"/>
                <w:szCs w:val="20"/>
                <w:color w:val="auto"/>
              </w:rPr>
            </w:pPr>
            <w:r>
              <w:rPr>
                <w:rFonts w:ascii="Arial" w:cs="Arial" w:eastAsia="Arial" w:hAnsi="Arial"/>
                <w:sz w:val="18"/>
                <w:szCs w:val="18"/>
                <w:color w:val="auto"/>
              </w:rPr>
              <w:t>stockholders – diluted</w:t>
            </w: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107,925,63</w:t>
            </w: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112,495,53</w:t>
            </w: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107,562,79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116,492,191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125,480,39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107,925,63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112,495,53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107,562,79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-3098800</wp:posOffset>
            </wp:positionV>
            <wp:extent cx="7683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-3098800</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-3098800</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-2199640</wp:posOffset>
            </wp:positionV>
            <wp:extent cx="7683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-2199640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-2199640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-1899920</wp:posOffset>
            </wp:positionV>
            <wp:extent cx="7683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-1899920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-1899920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-1600835</wp:posOffset>
            </wp:positionV>
            <wp:extent cx="7683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-1600835</wp:posOffset>
            </wp:positionV>
            <wp:extent cx="685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-1600835</wp:posOffset>
            </wp:positionV>
            <wp:extent cx="685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-1172210</wp:posOffset>
            </wp:positionV>
            <wp:extent cx="2705735" cy="299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05735" cy="29972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-624205</wp:posOffset>
            </wp:positionV>
            <wp:extent cx="2705735" cy="325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05735" cy="32512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color w:val="auto"/>
        </w:rPr>
        <w:t>(Unaudited) (Amounts in thousands, except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8"/>
          </w:tcPr>
          <w:p>
            <w:pPr>
              <w:jc w:val="right"/>
              <w:ind w:right="420"/>
              <w:spacing w:after="0"/>
              <w:rPr>
                <w:sz w:val="20"/>
                <w:szCs w:val="20"/>
                <w:color w:val="auto"/>
              </w:rPr>
            </w:pPr>
            <w:r>
              <w:rPr>
                <w:rFonts w:ascii="Arial" w:cs="Arial" w:eastAsia="Arial" w:hAnsi="Arial"/>
                <w:sz w:val="11"/>
                <w:szCs w:val="11"/>
                <w:b w:val="1"/>
                <w:bCs w:val="1"/>
                <w:color w:val="auto"/>
                <w:w w:val="99"/>
              </w:rPr>
              <w:t>Three Months Ended September 30, 2023</w:t>
            </w:r>
          </w:p>
        </w:tc>
        <w:tc>
          <w:tcPr>
            <w:tcW w:w="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7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640"/>
              <w:spacing w:after="0" w:line="122" w:lineRule="exact"/>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3"/>
          </w:tcPr>
          <w:p>
            <w:pPr>
              <w:jc w:val="center"/>
              <w:ind w:left="426"/>
              <w:spacing w:after="0" w:line="122" w:lineRule="exact"/>
              <w:rPr>
                <w:sz w:val="20"/>
                <w:szCs w:val="20"/>
                <w:color w:val="auto"/>
              </w:rPr>
            </w:pPr>
            <w:r>
              <w:rPr>
                <w:rFonts w:ascii="Arial" w:cs="Arial" w:eastAsia="Arial" w:hAnsi="Arial"/>
                <w:sz w:val="11"/>
                <w:szCs w:val="11"/>
                <w:b w:val="1"/>
                <w:bCs w:val="1"/>
                <w:color w:val="auto"/>
                <w:w w:val="96"/>
              </w:rPr>
              <w:t>Common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5"/>
          </w:tcPr>
          <w:p>
            <w:pPr>
              <w:jc w:val="right"/>
              <w:ind w:right="580"/>
              <w:spacing w:after="0" w:line="122" w:lineRule="exact"/>
              <w:rPr>
                <w:sz w:val="20"/>
                <w:szCs w:val="20"/>
                <w:color w:val="auto"/>
              </w:rPr>
            </w:pPr>
            <w:r>
              <w:rPr>
                <w:rFonts w:ascii="Arial" w:cs="Arial" w:eastAsia="Arial" w:hAnsi="Arial"/>
                <w:sz w:val="11"/>
                <w:szCs w:val="11"/>
                <w:b w:val="1"/>
                <w:bCs w:val="1"/>
                <w:color w:val="auto"/>
              </w:rPr>
              <w:t>Treasury Voting</w:t>
            </w:r>
          </w:p>
        </w:tc>
        <w:tc>
          <w:tcPr>
            <w:tcW w:w="860" w:type="dxa"/>
            <w:vAlign w:val="bottom"/>
            <w:gridSpan w:val="3"/>
          </w:tcPr>
          <w:p>
            <w:pPr>
              <w:jc w:val="right"/>
              <w:ind w:right="28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right"/>
              <w:ind w:right="366"/>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2"/>
                <w:szCs w:val="12"/>
                <w:color w:val="auto"/>
              </w:rPr>
            </w:pPr>
          </w:p>
        </w:tc>
        <w:tc>
          <w:tcPr>
            <w:tcW w:w="900" w:type="dxa"/>
            <w:vAlign w:val="bottom"/>
            <w:gridSpan w:val="2"/>
          </w:tcPr>
          <w:p>
            <w:pPr>
              <w:jc w:val="center"/>
              <w:ind w:left="50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00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6"/>
              </w:rPr>
              <w:t>(Loss)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 June 30, 2023</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112,229,190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677,343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(185,700 )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491,076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with public offering,</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net of</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underwriter</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discounts and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261,119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261,120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Costs incurred in</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(1,058 )</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(1,058 )</w:t>
            </w: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669,158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2,474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198,084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89,826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for retention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bonus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14,166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Foreign currency</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(2,581 )</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1"/>
                <w:szCs w:val="11"/>
                <w:color w:val="auto"/>
              </w:rPr>
              <w:t>(2,581 )</w:t>
            </w:r>
          </w:p>
        </w:tc>
        <w:tc>
          <w:tcPr>
            <w:tcW w:w="0" w:type="dxa"/>
            <w:vAlign w:val="bottom"/>
          </w:tcPr>
          <w:p>
            <w:pPr>
              <w:spacing w:after="0"/>
              <w:rPr>
                <w:sz w:val="1"/>
                <w:szCs w:val="1"/>
                <w:color w:val="auto"/>
              </w:rPr>
            </w:pPr>
          </w:p>
        </w:tc>
      </w:tr>
      <w:tr>
        <w:trPr>
          <w:trHeight w:val="12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10,643</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40" w:type="dxa"/>
            <w:vAlign w:val="bottom"/>
            <w:tcBorders>
              <w:right w:val="single" w:sz="8" w:color="auto"/>
            </w:tcBorders>
            <w:shd w:val="clear" w:color="auto" w:fill="CFF0FC"/>
          </w:tcPr>
          <w:p>
            <w:pPr>
              <w:ind w:left="20"/>
              <w:spacing w:after="0" w:line="117" w:lineRule="exact"/>
              <w:rPr>
                <w:sz w:val="20"/>
                <w:szCs w:val="20"/>
                <w:color w:val="auto"/>
              </w:rPr>
            </w:pPr>
            <w:r>
              <w:rPr>
                <w:rFonts w:ascii="Arial" w:cs="Arial" w:eastAsia="Arial" w:hAnsi="Arial"/>
                <w:sz w:val="11"/>
                <w:szCs w:val="11"/>
                <w:b w:val="1"/>
                <w:bCs w:val="1"/>
                <w:color w:val="auto"/>
              </w:rPr>
              <w:t>Balances at September 30,</w:t>
            </w: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121,700,424</w:t>
            </w:r>
          </w:p>
        </w:tc>
        <w:tc>
          <w:tcPr>
            <w:tcW w:w="2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40" w:type="dxa"/>
            <w:vAlign w:val="bottom"/>
            <w:vMerge w:val="restart"/>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00" w:type="dxa"/>
            <w:vAlign w:val="bottom"/>
            <w:vMerge w:val="restart"/>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953,522</w:t>
            </w:r>
          </w:p>
        </w:tc>
        <w:tc>
          <w:tcPr>
            <w:tcW w:w="2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(2,411 )</w:t>
            </w:r>
          </w:p>
        </w:tc>
        <w:tc>
          <w:tcPr>
            <w:tcW w:w="14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(175,057 )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775,318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2023</w:t>
            </w:r>
          </w:p>
        </w:tc>
        <w:tc>
          <w:tcPr>
            <w:tcW w:w="12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1100" w:type="dxa"/>
            <w:vAlign w:val="bottom"/>
            <w:gridSpan w:val="2"/>
            <w:vMerge w:val="continue"/>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200" w:type="dxa"/>
            <w:vAlign w:val="bottom"/>
          </w:tcPr>
          <w:p>
            <w:pPr>
              <w:spacing w:after="0"/>
              <w:rPr>
                <w:sz w:val="13"/>
                <w:szCs w:val="13"/>
                <w:color w:val="auto"/>
              </w:rPr>
            </w:pPr>
          </w:p>
        </w:tc>
        <w:tc>
          <w:tcPr>
            <w:tcW w:w="2360" w:type="dxa"/>
            <w:vAlign w:val="bottom"/>
            <w:gridSpan w:val="7"/>
          </w:tcPr>
          <w:p>
            <w:pPr>
              <w:jc w:val="right"/>
              <w:ind w:right="146"/>
              <w:spacing w:after="0"/>
              <w:rPr>
                <w:sz w:val="20"/>
                <w:szCs w:val="20"/>
                <w:color w:val="auto"/>
              </w:rPr>
            </w:pPr>
            <w:r>
              <w:rPr>
                <w:rFonts w:ascii="Arial" w:cs="Arial" w:eastAsia="Arial" w:hAnsi="Arial"/>
                <w:sz w:val="11"/>
                <w:szCs w:val="11"/>
                <w:b w:val="1"/>
                <w:bCs w:val="1"/>
                <w:color w:val="auto"/>
                <w:w w:val="99"/>
              </w:rPr>
              <w:t>Three Months Ended September 30, 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640"/>
              <w:spacing w:after="0" w:line="122" w:lineRule="exact"/>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3"/>
          </w:tcPr>
          <w:p>
            <w:pPr>
              <w:jc w:val="center"/>
              <w:ind w:left="426"/>
              <w:spacing w:after="0" w:line="122" w:lineRule="exact"/>
              <w:rPr>
                <w:sz w:val="20"/>
                <w:szCs w:val="20"/>
                <w:color w:val="auto"/>
              </w:rPr>
            </w:pPr>
            <w:r>
              <w:rPr>
                <w:rFonts w:ascii="Arial" w:cs="Arial" w:eastAsia="Arial" w:hAnsi="Arial"/>
                <w:sz w:val="11"/>
                <w:szCs w:val="11"/>
                <w:b w:val="1"/>
                <w:bCs w:val="1"/>
                <w:color w:val="auto"/>
                <w:w w:val="96"/>
              </w:rPr>
              <w:t>Common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5"/>
          </w:tcPr>
          <w:p>
            <w:pPr>
              <w:jc w:val="right"/>
              <w:ind w:right="580"/>
              <w:spacing w:after="0" w:line="122" w:lineRule="exact"/>
              <w:rPr>
                <w:sz w:val="20"/>
                <w:szCs w:val="20"/>
                <w:color w:val="auto"/>
              </w:rPr>
            </w:pPr>
            <w:r>
              <w:rPr>
                <w:rFonts w:ascii="Arial" w:cs="Arial" w:eastAsia="Arial" w:hAnsi="Arial"/>
                <w:sz w:val="11"/>
                <w:szCs w:val="11"/>
                <w:b w:val="1"/>
                <w:bCs w:val="1"/>
                <w:color w:val="auto"/>
              </w:rPr>
              <w:t>Treasury Voting</w:t>
            </w:r>
          </w:p>
        </w:tc>
        <w:tc>
          <w:tcPr>
            <w:tcW w:w="64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auto"/>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right"/>
              <w:ind w:right="366"/>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2"/>
                <w:szCs w:val="12"/>
                <w:color w:val="auto"/>
              </w:rPr>
            </w:pPr>
          </w:p>
        </w:tc>
        <w:tc>
          <w:tcPr>
            <w:tcW w:w="900" w:type="dxa"/>
            <w:vAlign w:val="bottom"/>
            <w:gridSpan w:val="2"/>
          </w:tcPr>
          <w:p>
            <w:pPr>
              <w:jc w:val="center"/>
              <w:ind w:left="50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Paid-In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Comprehensive</w:t>
            </w:r>
          </w:p>
        </w:tc>
        <w:tc>
          <w:tcPr>
            <w:tcW w:w="100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3"/>
              </w:rPr>
              <w:t>Loss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 June, 2022</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104,230,946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5,988,378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623,611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(534 )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(159,803 )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462,537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stock options, net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shares withheld</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674,872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Conversion of non-voting</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common stock to voting</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(1,379,53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common stock</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1,379,537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7 )</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23,037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84,812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as consideration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for acquisition</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200,314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Foreign currency</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(273 )</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(273 )</w:t>
            </w: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Stock-based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compensation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8,529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(4,272 )</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(4,272 )</w:t>
            </w: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740" w:type="dxa"/>
            <w:vAlign w:val="bottom"/>
            <w:tcBorders>
              <w:right w:val="single" w:sz="8" w:color="auto"/>
            </w:tcBorders>
          </w:tcPr>
          <w:p>
            <w:pPr>
              <w:ind w:left="20"/>
              <w:spacing w:after="0" w:line="117" w:lineRule="exact"/>
              <w:rPr>
                <w:sz w:val="20"/>
                <w:szCs w:val="20"/>
                <w:color w:val="auto"/>
              </w:rPr>
            </w:pPr>
            <w:r>
              <w:rPr>
                <w:rFonts w:ascii="Arial" w:cs="Arial" w:eastAsia="Arial" w:hAnsi="Arial"/>
                <w:sz w:val="11"/>
                <w:szCs w:val="11"/>
                <w:b w:val="1"/>
                <w:bCs w:val="1"/>
                <w:color w:val="auto"/>
              </w:rPr>
              <w:t>Balances at September 30,</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106,593,518</w:t>
            </w:r>
          </w:p>
        </w:tc>
        <w:tc>
          <w:tcPr>
            <w:tcW w:w="2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24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4,608,841</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200" w:type="dxa"/>
            <w:vAlign w:val="bottom"/>
            <w:vMerge w:val="restart"/>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(748 )</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640,217</w:t>
            </w:r>
          </w:p>
        </w:tc>
        <w:tc>
          <w:tcPr>
            <w:tcW w:w="3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(807 )</w:t>
            </w: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(164,075 )</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474,598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-179070</wp:posOffset>
            </wp:positionV>
            <wp:extent cx="7683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-179070</wp:posOffset>
            </wp:positionV>
            <wp:extent cx="76835"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-179070</wp:posOffset>
            </wp:positionV>
            <wp:extent cx="7683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-179070</wp:posOffset>
            </wp:positionV>
            <wp:extent cx="6858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-179070</wp:posOffset>
            </wp:positionV>
            <wp:extent cx="6858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-179070</wp:posOffset>
            </wp:positionV>
            <wp:extent cx="6858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-179070</wp:posOffset>
            </wp:positionV>
            <wp:extent cx="6858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-179070</wp:posOffset>
            </wp:positionV>
            <wp:extent cx="685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-179070</wp:posOffset>
            </wp:positionV>
            <wp:extent cx="6858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11"/>
          </w:tcPr>
          <w:p>
            <w:pPr>
              <w:ind w:left="80"/>
              <w:spacing w:after="0"/>
              <w:rPr>
                <w:sz w:val="20"/>
                <w:szCs w:val="20"/>
                <w:color w:val="auto"/>
              </w:rPr>
            </w:pPr>
            <w:r>
              <w:rPr>
                <w:rFonts w:ascii="Arial" w:cs="Arial" w:eastAsia="Arial" w:hAnsi="Arial"/>
                <w:sz w:val="11"/>
                <w:szCs w:val="11"/>
                <w:b w:val="1"/>
                <w:bCs w:val="1"/>
                <w:color w:val="auto"/>
              </w:rPr>
              <w:t>Nine Months Ended September 30, 2023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jc w:val="center"/>
              <w:ind w:left="526"/>
              <w:spacing w:after="0" w:line="122" w:lineRule="exact"/>
              <w:rPr>
                <w:sz w:val="20"/>
                <w:szCs w:val="20"/>
                <w:color w:val="auto"/>
              </w:rPr>
            </w:pPr>
            <w:r>
              <w:rPr>
                <w:rFonts w:ascii="Arial" w:cs="Arial" w:eastAsia="Arial" w:hAnsi="Arial"/>
                <w:sz w:val="11"/>
                <w:szCs w:val="11"/>
                <w:b w:val="1"/>
                <w:bCs w:val="1"/>
                <w:color w:val="auto"/>
                <w:w w:val="93"/>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jc w:val="center"/>
              <w:ind w:left="426"/>
              <w:spacing w:after="0" w:line="122" w:lineRule="exact"/>
              <w:rPr>
                <w:sz w:val="20"/>
                <w:szCs w:val="20"/>
                <w:color w:val="auto"/>
              </w:rPr>
            </w:pPr>
            <w:r>
              <w:rPr>
                <w:rFonts w:ascii="Arial" w:cs="Arial" w:eastAsia="Arial" w:hAnsi="Arial"/>
                <w:sz w:val="11"/>
                <w:szCs w:val="11"/>
                <w:b w:val="1"/>
                <w:bCs w:val="1"/>
                <w:color w:val="auto"/>
                <w:w w:val="96"/>
              </w:rPr>
              <w:t>Common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7"/>
          </w:tcPr>
          <w:p>
            <w:pPr>
              <w:jc w:val="right"/>
              <w:ind w:right="580"/>
              <w:spacing w:after="0" w:line="122" w:lineRule="exact"/>
              <w:rPr>
                <w:sz w:val="20"/>
                <w:szCs w:val="20"/>
                <w:color w:val="auto"/>
              </w:rPr>
            </w:pPr>
            <w:r>
              <w:rPr>
                <w:rFonts w:ascii="Arial" w:cs="Arial" w:eastAsia="Arial" w:hAnsi="Arial"/>
                <w:sz w:val="11"/>
                <w:szCs w:val="11"/>
                <w:b w:val="1"/>
                <w:bCs w:val="1"/>
                <w:color w:val="auto"/>
              </w:rPr>
              <w:t>Treasury Voting</w:t>
            </w:r>
          </w:p>
        </w:tc>
        <w:tc>
          <w:tcPr>
            <w:tcW w:w="86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11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5"/>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left="50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7"/>
          </w:tcPr>
          <w:p>
            <w:pPr>
              <w:jc w:val="right"/>
              <w:ind w:right="5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12"/>
                <w:szCs w:val="12"/>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6"/>
              </w:rPr>
              <w:t>Comprehensive</w:t>
            </w:r>
          </w:p>
        </w:tc>
        <w:tc>
          <w:tcPr>
            <w:tcW w:w="100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3"/>
              </w:rPr>
              <w:t>Loss</w:t>
            </w:r>
          </w:p>
        </w:tc>
        <w:tc>
          <w:tcPr>
            <w:tcW w:w="140" w:type="dxa"/>
            <w:vAlign w:val="bottom"/>
          </w:tcPr>
          <w:p>
            <w:pPr>
              <w:spacing w:after="0"/>
              <w:rPr>
                <w:sz w:val="12"/>
                <w:szCs w:val="12"/>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13"/>
        </w:trPr>
        <w:tc>
          <w:tcPr>
            <w:tcW w:w="1720" w:type="dxa"/>
            <w:vAlign w:val="bottom"/>
            <w:tcBorders>
              <w:right w:val="single" w:sz="8" w:color="auto"/>
            </w:tcBorders>
            <w:shd w:val="clear" w:color="auto" w:fill="CFF0FC"/>
          </w:tcPr>
          <w:p>
            <w:pPr>
              <w:ind w:left="20"/>
              <w:spacing w:after="0" w:line="113" w:lineRule="exact"/>
              <w:rPr>
                <w:sz w:val="20"/>
                <w:szCs w:val="20"/>
                <w:color w:val="auto"/>
              </w:rPr>
            </w:pPr>
            <w:r>
              <w:rPr>
                <w:rFonts w:ascii="Arial" w:cs="Arial" w:eastAsia="Arial" w:hAnsi="Arial"/>
                <w:sz w:val="11"/>
                <w:szCs w:val="11"/>
                <w:b w:val="1"/>
                <w:bCs w:val="1"/>
                <w:color w:val="auto"/>
              </w:rPr>
              <w:t>Balances at</w:t>
            </w:r>
          </w:p>
        </w:tc>
        <w:tc>
          <w:tcPr>
            <w:tcW w:w="120" w:type="dxa"/>
            <w:vAlign w:val="bottom"/>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7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2022</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109,790,702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00" w:type="dxa"/>
            <w:vAlign w:val="bottom"/>
            <w:gridSpan w:val="4"/>
            <w:shd w:val="clear" w:color="auto" w:fill="CFF0FC"/>
          </w:tcPr>
          <w:p>
            <w:pPr>
              <w:jc w:val="right"/>
              <w:ind w:right="60"/>
              <w:spacing w:after="0"/>
              <w:rPr>
                <w:sz w:val="20"/>
                <w:szCs w:val="20"/>
                <w:color w:val="auto"/>
              </w:rPr>
            </w:pPr>
            <w:r>
              <w:rPr>
                <w:rFonts w:ascii="Arial" w:cs="Arial" w:eastAsia="Arial" w:hAnsi="Arial"/>
                <w:sz w:val="11"/>
                <w:szCs w:val="11"/>
                <w:color w:val="auto"/>
              </w:rPr>
              <w:t>(2,317,722 )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649,756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(1,912 )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(165,204 )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481,903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with public offering,</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net of</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underwriter</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discounts and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261,119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261,120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Costs incurred in</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(1,058 )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(1,058 )</w:t>
            </w:r>
          </w:p>
        </w:tc>
        <w:tc>
          <w:tcPr>
            <w:tcW w:w="0" w:type="dxa"/>
            <w:vAlign w:val="bottom"/>
          </w:tcPr>
          <w:p>
            <w:pPr>
              <w:spacing w:after="0"/>
              <w:rPr>
                <w:sz w:val="1"/>
                <w:szCs w:val="1"/>
                <w:color w:val="auto"/>
              </w:rPr>
            </w:pPr>
          </w:p>
        </w:tc>
      </w:tr>
      <w:tr>
        <w:trPr>
          <w:trHeight w:val="124"/>
        </w:trPr>
        <w:tc>
          <w:tcPr>
            <w:tcW w:w="17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2,202,357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8,518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1,019,809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7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145,058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for retention</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bonus</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42,498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Foreign currency</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tcPr>
          <w:p>
            <w:pPr>
              <w:spacing w:after="0"/>
              <w:rPr>
                <w:sz w:val="12"/>
                <w:szCs w:val="12"/>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1"/>
                <w:szCs w:val="11"/>
                <w:color w:val="auto"/>
              </w:rPr>
              <w:t>(499 )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1"/>
                <w:szCs w:val="11"/>
                <w:color w:val="auto"/>
              </w:rPr>
              <w:t>(499 )</w:t>
            </w:r>
          </w:p>
        </w:tc>
        <w:tc>
          <w:tcPr>
            <w:tcW w:w="0" w:type="dxa"/>
            <w:vAlign w:val="bottom"/>
          </w:tcPr>
          <w:p>
            <w:pPr>
              <w:spacing w:after="0"/>
              <w:rPr>
                <w:sz w:val="1"/>
                <w:szCs w:val="1"/>
                <w:color w:val="auto"/>
              </w:rPr>
            </w:pPr>
          </w:p>
        </w:tc>
      </w:tr>
      <w:tr>
        <w:trPr>
          <w:trHeight w:val="128"/>
        </w:trPr>
        <w:tc>
          <w:tcPr>
            <w:tcW w:w="17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31,299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31,299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(9,853 )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1"/>
                <w:szCs w:val="11"/>
                <w:color w:val="auto"/>
              </w:rPr>
              <w:t>(9,853 )</w:t>
            </w: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720" w:type="dxa"/>
            <w:vAlign w:val="bottom"/>
            <w:tcBorders>
              <w:right w:val="single" w:sz="8" w:color="auto"/>
            </w:tcBorders>
            <w:shd w:val="clear" w:color="auto" w:fill="CFF0FC"/>
          </w:tcPr>
          <w:p>
            <w:pPr>
              <w:ind w:left="20"/>
              <w:spacing w:after="0" w:line="117" w:lineRule="exact"/>
              <w:rPr>
                <w:sz w:val="20"/>
                <w:szCs w:val="20"/>
                <w:color w:val="auto"/>
              </w:rPr>
            </w:pPr>
            <w:r>
              <w:rPr>
                <w:rFonts w:ascii="Arial" w:cs="Arial" w:eastAsia="Arial" w:hAnsi="Arial"/>
                <w:sz w:val="11"/>
                <w:szCs w:val="11"/>
                <w:b w:val="1"/>
                <w:bCs w:val="1"/>
                <w:color w:val="auto"/>
              </w:rPr>
              <w:t>Balances at September 30,</w:t>
            </w: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121,700,424</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40" w:type="dxa"/>
            <w:vAlign w:val="bottom"/>
            <w:gridSpan w:val="2"/>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00" w:type="dxa"/>
            <w:vAlign w:val="bottom"/>
            <w:gridSpan w:val="2"/>
            <w:vMerge w:val="restart"/>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(2,317,722 )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953,522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(2,411 )</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(175,057 )</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775,318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2023</w:t>
            </w:r>
          </w:p>
        </w:tc>
        <w:tc>
          <w:tcPr>
            <w:tcW w:w="120" w:type="dxa"/>
            <w:vAlign w:val="bottom"/>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40" w:type="dxa"/>
            <w:vAlign w:val="bottom"/>
            <w:gridSpan w:val="2"/>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11"/>
          </w:tcPr>
          <w:p>
            <w:pPr>
              <w:ind w:left="80"/>
              <w:spacing w:after="0"/>
              <w:rPr>
                <w:sz w:val="20"/>
                <w:szCs w:val="20"/>
                <w:color w:val="auto"/>
              </w:rPr>
            </w:pPr>
            <w:r>
              <w:rPr>
                <w:rFonts w:ascii="Arial" w:cs="Arial" w:eastAsia="Arial" w:hAnsi="Arial"/>
                <w:sz w:val="11"/>
                <w:szCs w:val="11"/>
                <w:b w:val="1"/>
                <w:bCs w:val="1"/>
                <w:color w:val="auto"/>
              </w:rPr>
              <w:t>Nine Months Ended September 30, 2022</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jc w:val="center"/>
              <w:ind w:left="526"/>
              <w:spacing w:after="0" w:line="122" w:lineRule="exact"/>
              <w:rPr>
                <w:sz w:val="20"/>
                <w:szCs w:val="20"/>
                <w:color w:val="auto"/>
              </w:rPr>
            </w:pPr>
            <w:r>
              <w:rPr>
                <w:rFonts w:ascii="Arial" w:cs="Arial" w:eastAsia="Arial" w:hAnsi="Arial"/>
                <w:sz w:val="11"/>
                <w:szCs w:val="11"/>
                <w:b w:val="1"/>
                <w:bCs w:val="1"/>
                <w:color w:val="auto"/>
                <w:w w:val="93"/>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jc w:val="center"/>
              <w:ind w:left="426"/>
              <w:spacing w:after="0" w:line="122" w:lineRule="exact"/>
              <w:rPr>
                <w:sz w:val="20"/>
                <w:szCs w:val="20"/>
                <w:color w:val="auto"/>
              </w:rPr>
            </w:pPr>
            <w:r>
              <w:rPr>
                <w:rFonts w:ascii="Arial" w:cs="Arial" w:eastAsia="Arial" w:hAnsi="Arial"/>
                <w:sz w:val="11"/>
                <w:szCs w:val="11"/>
                <w:b w:val="1"/>
                <w:bCs w:val="1"/>
                <w:color w:val="auto"/>
                <w:w w:val="96"/>
              </w:rPr>
              <w:t>Common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7"/>
          </w:tcPr>
          <w:p>
            <w:pPr>
              <w:jc w:val="right"/>
              <w:ind w:right="580"/>
              <w:spacing w:after="0" w:line="122" w:lineRule="exact"/>
              <w:rPr>
                <w:sz w:val="20"/>
                <w:szCs w:val="20"/>
                <w:color w:val="auto"/>
              </w:rPr>
            </w:pPr>
            <w:r>
              <w:rPr>
                <w:rFonts w:ascii="Arial" w:cs="Arial" w:eastAsia="Arial" w:hAnsi="Arial"/>
                <w:sz w:val="11"/>
                <w:szCs w:val="11"/>
                <w:b w:val="1"/>
                <w:bCs w:val="1"/>
                <w:color w:val="auto"/>
              </w:rPr>
              <w:t>Treasury Voting</w:t>
            </w:r>
          </w:p>
        </w:tc>
        <w:tc>
          <w:tcPr>
            <w:tcW w:w="86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11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5"/>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left="50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7"/>
          </w:tcPr>
          <w:p>
            <w:pPr>
              <w:jc w:val="right"/>
              <w:ind w:right="5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12"/>
                <w:szCs w:val="12"/>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6"/>
              </w:rPr>
              <w:t>Comprehensive</w:t>
            </w:r>
          </w:p>
        </w:tc>
        <w:tc>
          <w:tcPr>
            <w:tcW w:w="100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3"/>
              </w:rPr>
              <w:t>Loss</w:t>
            </w:r>
          </w:p>
        </w:tc>
        <w:tc>
          <w:tcPr>
            <w:tcW w:w="140" w:type="dxa"/>
            <w:vAlign w:val="bottom"/>
          </w:tcPr>
          <w:p>
            <w:pPr>
              <w:spacing w:after="0"/>
              <w:rPr>
                <w:sz w:val="12"/>
                <w:szCs w:val="12"/>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13"/>
        </w:trPr>
        <w:tc>
          <w:tcPr>
            <w:tcW w:w="1840" w:type="dxa"/>
            <w:vAlign w:val="bottom"/>
            <w:gridSpan w:val="2"/>
            <w:shd w:val="clear" w:color="auto" w:fill="CFF0FC"/>
          </w:tcPr>
          <w:p>
            <w:pPr>
              <w:ind w:left="20"/>
              <w:spacing w:after="0" w:line="113" w:lineRule="exact"/>
              <w:rPr>
                <w:sz w:val="20"/>
                <w:szCs w:val="20"/>
                <w:color w:val="auto"/>
              </w:rPr>
            </w:pPr>
            <w:r>
              <w:rPr>
                <w:rFonts w:ascii="Arial" w:cs="Arial" w:eastAsia="Arial" w:hAnsi="Arial"/>
                <w:sz w:val="11"/>
                <w:szCs w:val="11"/>
                <w:b w:val="1"/>
                <w:bCs w:val="1"/>
                <w:color w:val="auto"/>
              </w:rPr>
              <w:t>Balances at</w:t>
            </w:r>
          </w:p>
        </w:tc>
        <w:tc>
          <w:tcPr>
            <w:tcW w:w="8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840" w:type="dxa"/>
            <w:vAlign w:val="bottom"/>
            <w:gridSpan w:val="2"/>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2021</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102,771,899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5,988,378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00" w:type="dxa"/>
            <w:vAlign w:val="bottom"/>
            <w:gridSpan w:val="4"/>
            <w:shd w:val="clear" w:color="auto" w:fill="CFF0FC"/>
          </w:tcPr>
          <w:p>
            <w:pPr>
              <w:jc w:val="right"/>
              <w:ind w:right="60"/>
              <w:spacing w:after="0"/>
              <w:rPr>
                <w:sz w:val="20"/>
                <w:szCs w:val="20"/>
                <w:color w:val="auto"/>
              </w:rPr>
            </w:pPr>
            <w:r>
              <w:rPr>
                <w:rFonts w:ascii="Arial" w:cs="Arial" w:eastAsia="Arial" w:hAnsi="Arial"/>
                <w:sz w:val="11"/>
                <w:szCs w:val="11"/>
                <w:color w:val="auto"/>
              </w:rPr>
              <w:t>(2,317,722 )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609,194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(399 )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(125,857 )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482,201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40" w:type="dxa"/>
            <w:vAlign w:val="bottom"/>
            <w:gridSpan w:val="2"/>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of stock options,</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net of shares</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40" w:type="dxa"/>
            <w:vAlign w:val="bottom"/>
            <w:gridSpan w:val="2"/>
          </w:tcPr>
          <w:p>
            <w:pPr>
              <w:ind w:left="120"/>
              <w:spacing w:after="0"/>
              <w:rPr>
                <w:sz w:val="20"/>
                <w:szCs w:val="20"/>
                <w:color w:val="auto"/>
              </w:rPr>
            </w:pPr>
            <w:r>
              <w:rPr>
                <w:rFonts w:ascii="Arial" w:cs="Arial" w:eastAsia="Arial" w:hAnsi="Arial"/>
                <w:sz w:val="11"/>
                <w:szCs w:val="11"/>
                <w:color w:val="auto"/>
              </w:rPr>
              <w:t>withheld</w:t>
            </w:r>
          </w:p>
        </w:tc>
        <w:tc>
          <w:tcPr>
            <w:tcW w:w="820" w:type="dxa"/>
            <w:vAlign w:val="bottom"/>
          </w:tcPr>
          <w:p>
            <w:pPr>
              <w:jc w:val="right"/>
              <w:spacing w:after="0"/>
              <w:rPr>
                <w:sz w:val="20"/>
                <w:szCs w:val="20"/>
                <w:color w:val="auto"/>
              </w:rPr>
            </w:pPr>
            <w:r>
              <w:rPr>
                <w:rFonts w:ascii="Arial" w:cs="Arial" w:eastAsia="Arial" w:hAnsi="Arial"/>
                <w:sz w:val="11"/>
                <w:szCs w:val="11"/>
                <w:color w:val="auto"/>
              </w:rPr>
              <w:t>2,080,557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Conversion of non-voting</w:t>
            </w: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40" w:type="dxa"/>
            <w:vAlign w:val="bottom"/>
            <w:gridSpan w:val="2"/>
            <w:shd w:val="clear" w:color="auto" w:fill="CFF0FC"/>
          </w:tcPr>
          <w:p>
            <w:pPr>
              <w:ind w:left="120"/>
              <w:spacing w:after="0" w:line="122" w:lineRule="exact"/>
              <w:rPr>
                <w:sz w:val="20"/>
                <w:szCs w:val="20"/>
                <w:color w:val="auto"/>
              </w:rPr>
            </w:pPr>
            <w:r>
              <w:rPr>
                <w:rFonts w:ascii="Arial" w:cs="Arial" w:eastAsia="Arial" w:hAnsi="Arial"/>
                <w:sz w:val="11"/>
                <w:szCs w:val="11"/>
                <w:color w:val="auto"/>
              </w:rPr>
              <w:t>common stock to voting</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900" w:type="dxa"/>
            <w:vAlign w:val="bottom"/>
            <w:gridSpan w:val="3"/>
            <w:shd w:val="clear" w:color="auto" w:fill="CFF0FC"/>
          </w:tcPr>
          <w:p>
            <w:pPr>
              <w:jc w:val="right"/>
              <w:spacing w:after="0" w:line="122" w:lineRule="exact"/>
              <w:rPr>
                <w:sz w:val="20"/>
                <w:szCs w:val="20"/>
                <w:color w:val="auto"/>
              </w:rPr>
            </w:pPr>
            <w:r>
              <w:rPr>
                <w:rFonts w:ascii="Arial" w:cs="Arial" w:eastAsia="Arial" w:hAnsi="Arial"/>
                <w:sz w:val="11"/>
                <w:szCs w:val="11"/>
                <w:color w:val="auto"/>
              </w:rPr>
              <w:t>(1,379,53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8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1,379,537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4"/>
            <w:shd w:val="clear" w:color="auto" w:fill="CFF0FC"/>
          </w:tcPr>
          <w:p>
            <w:pPr>
              <w:jc w:val="right"/>
              <w:ind w:right="80"/>
              <w:spacing w:after="0"/>
              <w:rPr>
                <w:sz w:val="20"/>
                <w:szCs w:val="20"/>
                <w:color w:val="auto"/>
              </w:rPr>
            </w:pPr>
            <w:r>
              <w:rPr>
                <w:rFonts w:ascii="Arial" w:cs="Arial" w:eastAsia="Arial" w:hAnsi="Arial"/>
                <w:sz w:val="11"/>
                <w:szCs w:val="11"/>
                <w:color w:val="auto"/>
              </w:rPr>
              <w:t>7 )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840" w:type="dxa"/>
            <w:vAlign w:val="bottom"/>
            <w:gridSpan w:val="2"/>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40" w:type="dxa"/>
            <w:vAlign w:val="bottom"/>
            <w:gridSpan w:val="2"/>
          </w:tcPr>
          <w:p>
            <w:pPr>
              <w:ind w:left="120"/>
              <w:spacing w:after="0"/>
              <w:rPr>
                <w:sz w:val="20"/>
                <w:szCs w:val="20"/>
                <w:color w:val="auto"/>
              </w:rPr>
            </w:pPr>
            <w:r>
              <w:rPr>
                <w:rFonts w:ascii="Arial" w:cs="Arial" w:eastAsia="Arial" w:hAnsi="Arial"/>
                <w:sz w:val="11"/>
                <w:szCs w:val="11"/>
                <w:color w:val="auto"/>
              </w:rPr>
              <w:t>units</w:t>
            </w:r>
          </w:p>
        </w:tc>
        <w:tc>
          <w:tcPr>
            <w:tcW w:w="820" w:type="dxa"/>
            <w:vAlign w:val="bottom"/>
          </w:tcPr>
          <w:p>
            <w:pPr>
              <w:jc w:val="right"/>
              <w:spacing w:after="0"/>
              <w:rPr>
                <w:sz w:val="20"/>
                <w:szCs w:val="20"/>
                <w:color w:val="auto"/>
              </w:rPr>
            </w:pPr>
            <w:r>
              <w:rPr>
                <w:rFonts w:ascii="Arial" w:cs="Arial" w:eastAsia="Arial" w:hAnsi="Arial"/>
                <w:sz w:val="11"/>
                <w:szCs w:val="11"/>
                <w:color w:val="auto"/>
              </w:rPr>
              <w:t>76,399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18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40" w:type="dxa"/>
            <w:vAlign w:val="bottom"/>
            <w:gridSpan w:val="2"/>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8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stock 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84,812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40" w:type="dxa"/>
            <w:vAlign w:val="bottom"/>
            <w:gridSpan w:val="2"/>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 as consideration</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40" w:type="dxa"/>
            <w:vAlign w:val="bottom"/>
            <w:gridSpan w:val="2"/>
          </w:tcPr>
          <w:p>
            <w:pPr>
              <w:ind w:left="120"/>
              <w:spacing w:after="0"/>
              <w:rPr>
                <w:sz w:val="20"/>
                <w:szCs w:val="20"/>
                <w:color w:val="auto"/>
              </w:rPr>
            </w:pPr>
            <w:r>
              <w:rPr>
                <w:rFonts w:ascii="Arial" w:cs="Arial" w:eastAsia="Arial" w:hAnsi="Arial"/>
                <w:sz w:val="11"/>
                <w:szCs w:val="11"/>
                <w:color w:val="auto"/>
              </w:rPr>
              <w:t>for acquisition</w:t>
            </w:r>
          </w:p>
        </w:tc>
        <w:tc>
          <w:tcPr>
            <w:tcW w:w="820" w:type="dxa"/>
            <w:vAlign w:val="bottom"/>
          </w:tcPr>
          <w:p>
            <w:pPr>
              <w:jc w:val="right"/>
              <w:spacing w:after="0"/>
              <w:rPr>
                <w:sz w:val="20"/>
                <w:szCs w:val="20"/>
                <w:color w:val="auto"/>
              </w:rPr>
            </w:pPr>
            <w:r>
              <w:rPr>
                <w:rFonts w:ascii="Arial" w:cs="Arial" w:eastAsia="Arial" w:hAnsi="Arial"/>
                <w:sz w:val="11"/>
                <w:szCs w:val="11"/>
                <w:color w:val="auto"/>
              </w:rPr>
              <w:t>200,314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Foreign currency</w:t>
            </w: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translation adjustment</w:t>
            </w: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(408 )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(408 )</w:t>
            </w:r>
          </w:p>
        </w:tc>
        <w:tc>
          <w:tcPr>
            <w:tcW w:w="0" w:type="dxa"/>
            <w:vAlign w:val="bottom"/>
          </w:tcPr>
          <w:p>
            <w:pPr>
              <w:spacing w:after="0"/>
              <w:rPr>
                <w:sz w:val="1"/>
                <w:szCs w:val="1"/>
                <w:color w:val="auto"/>
              </w:rPr>
            </w:pPr>
          </w:p>
        </w:tc>
      </w:tr>
      <w:tr>
        <w:trPr>
          <w:trHeight w:val="124"/>
        </w:trPr>
        <w:tc>
          <w:tcPr>
            <w:tcW w:w="1840" w:type="dxa"/>
            <w:vAlign w:val="bottom"/>
            <w:gridSpan w:val="2"/>
          </w:tcPr>
          <w:p>
            <w:pPr>
              <w:ind w:left="20"/>
              <w:spacing w:after="0" w:line="124" w:lineRule="exact"/>
              <w:rPr>
                <w:sz w:val="20"/>
                <w:szCs w:val="20"/>
                <w:color w:val="auto"/>
              </w:rPr>
            </w:pPr>
            <w:r>
              <w:rPr>
                <w:rFonts w:ascii="Arial" w:cs="Arial" w:eastAsia="Arial" w:hAnsi="Arial"/>
                <w:sz w:val="11"/>
                <w:szCs w:val="11"/>
                <w:color w:val="auto"/>
              </w:rPr>
              <w:t>Stock-based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compensation</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40" w:type="dxa"/>
            <w:vAlign w:val="bottom"/>
            <w:gridSpan w:val="2"/>
          </w:tcPr>
          <w:p>
            <w:pPr>
              <w:ind w:left="120"/>
              <w:spacing w:after="0"/>
              <w:rPr>
                <w:sz w:val="20"/>
                <w:szCs w:val="20"/>
                <w:color w:val="auto"/>
              </w:rPr>
            </w:pPr>
            <w:r>
              <w:rPr>
                <w:rFonts w:ascii="Arial" w:cs="Arial" w:eastAsia="Arial" w:hAnsi="Arial"/>
                <w:sz w:val="11"/>
                <w:szCs w:val="11"/>
                <w:color w:val="auto"/>
              </w:rPr>
              <w:t>expense</w:t>
            </w:r>
          </w:p>
        </w:tc>
        <w:tc>
          <w:tcPr>
            <w:tcW w:w="10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22,461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(38,218 )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(38,218 )</w:t>
            </w:r>
          </w:p>
        </w:tc>
        <w:tc>
          <w:tcPr>
            <w:tcW w:w="0" w:type="dxa"/>
            <w:vAlign w:val="bottom"/>
          </w:tcPr>
          <w:p>
            <w:pPr>
              <w:spacing w:after="0"/>
              <w:rPr>
                <w:sz w:val="1"/>
                <w:szCs w:val="1"/>
                <w:color w:val="auto"/>
              </w:rPr>
            </w:pPr>
          </w:p>
        </w:tc>
      </w:tr>
      <w:tr>
        <w:trPr>
          <w:trHeight w:val="20"/>
        </w:trPr>
        <w:tc>
          <w:tcPr>
            <w:tcW w:w="17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84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Balances at September 30,</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106,593,518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120" w:type="dxa"/>
            <w:vAlign w:val="bottom"/>
            <w:vMerge w:val="restart"/>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4,608,841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vMerge w:val="restart"/>
          </w:tcPr>
          <w:p>
            <w:pPr>
              <w:spacing w:after="0"/>
              <w:rPr>
                <w:sz w:val="10"/>
                <w:szCs w:val="10"/>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1"/>
                <w:szCs w:val="11"/>
                <w:color w:val="auto"/>
              </w:rPr>
              <w:t>(2,317,722 )</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(748 )</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640,217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(807 )</w:t>
            </w:r>
          </w:p>
        </w:tc>
        <w:tc>
          <w:tcPr>
            <w:tcW w:w="120" w:type="dxa"/>
            <w:vAlign w:val="bottom"/>
          </w:tcPr>
          <w:p>
            <w:pPr>
              <w:spacing w:after="0"/>
              <w:rPr>
                <w:sz w:val="10"/>
                <w:szCs w:val="10"/>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(164,075 )</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474,598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-2858770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-2858770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-2858770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-2858770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-2858770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-2858770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-2858770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-2858770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-2858770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-2858770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1083945</wp:posOffset>
            </wp:positionH>
            <wp:positionV relativeFrom="paragraph">
              <wp:posOffset>-2696210</wp:posOffset>
            </wp:positionV>
            <wp:extent cx="6053455" cy="2696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53455" cy="2696845"/>
                    </a:xfrm>
                    <a:prstGeom prst="rect">
                      <a:avLst/>
                    </a:prstGeom>
                    <a:noFill/>
                  </pic:spPr>
                </pic:pic>
              </a:graphicData>
            </a:graphic>
          </wp:anchor>
        </w:drawing>
      </w:r>
    </w:p>
    <w:p>
      <w:pPr>
        <w:jc w:val="center"/>
        <w:spacing w:after="0" w:line="234" w:lineRule="auto"/>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77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(9,853 )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(38,218 )</w:t>
            </w:r>
          </w:p>
        </w:tc>
      </w:tr>
      <w:tr>
        <w:trPr>
          <w:trHeight w:val="203"/>
        </w:trPr>
        <w:tc>
          <w:tcPr>
            <w:tcW w:w="77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Adjustments to reconcile net loss to net cash provided by (used in)</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7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11,774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Amortization of deferred contract costs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Deferred tax benefit</w:t>
            </w:r>
          </w:p>
        </w:tc>
        <w:tc>
          <w:tcPr>
            <w:tcW w:w="3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(896 )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(527 )</w:t>
            </w: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Provision for uncollectible accounts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Non-cash interest expense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(4,979 )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(4,316 )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 receivables</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(1,511 )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(2,305 )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Funds receivable from payment partners</w:t>
            </w:r>
          </w:p>
        </w:tc>
        <w:tc>
          <w:tcPr>
            <w:tcW w:w="3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(17,529 )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(2,090 )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 other current assets and other assets</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(4,536 )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(7,674 )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Funds payable to clients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8,163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(3,798 )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(467 )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(4,524 )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(882 )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(446 )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(1,368 )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(730 )</w:t>
            </w:r>
          </w:p>
        </w:tc>
      </w:tr>
      <w:tr>
        <w:trPr>
          <w:trHeight w:val="20"/>
        </w:trPr>
        <w:tc>
          <w:tcPr>
            <w:tcW w:w="7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(27,728 )</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Capitalization of internally developed software</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(4,148 )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(4,129 )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(943 )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(1,059 )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Business acquisition, net of cash acquired</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(16,923 )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(453 )</w:t>
            </w:r>
          </w:p>
        </w:tc>
      </w:tr>
      <w:tr>
        <w:trPr>
          <w:trHeight w:val="20"/>
        </w:trPr>
        <w:tc>
          <w:tcPr>
            <w:tcW w:w="7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(5,091 )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(22,564 )</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03"/>
        </w:trPr>
        <w:tc>
          <w:tcPr>
            <w:tcW w:w="77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Proceeds from issuance of common stock under public offering, net of</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7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underwriter discounts and commissions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261,119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Payments of costs related to public offering</w:t>
            </w:r>
          </w:p>
        </w:tc>
        <w:tc>
          <w:tcPr>
            <w:tcW w:w="3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(447 )</w:t>
            </w: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(1,207 )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(3,320 )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Payments of tax withholdings for net settled stock option exercises</w:t>
            </w:r>
          </w:p>
        </w:tc>
        <w:tc>
          <w:tcPr>
            <w:tcW w:w="3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(2,564 )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stock under Employee Stock Purchase Plan</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270,675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Effect of exchange rates changes on cash and cash equivalents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11,553</w:t>
            </w:r>
          </w:p>
        </w:tc>
        <w:tc>
          <w:tcPr>
            <w:tcW w:w="100" w:type="dxa"/>
            <w:vAlign w:val="bottom"/>
          </w:tcPr>
          <w:p>
            <w:pPr>
              <w:spacing w:after="0"/>
              <w:rPr>
                <w:sz w:val="19"/>
                <w:szCs w:val="19"/>
                <w:color w:val="auto"/>
              </w:rPr>
            </w:pPr>
          </w:p>
        </w:tc>
      </w:tr>
      <w:tr>
        <w:trPr>
          <w:trHeight w:val="186"/>
        </w:trPr>
        <w:tc>
          <w:tcPr>
            <w:tcW w:w="7740" w:type="dxa"/>
            <w:vAlign w:val="bottom"/>
            <w:shd w:val="clear" w:color="auto" w:fill="CFF0FC"/>
          </w:tcPr>
          <w:p>
            <w:pPr>
              <w:ind w:left="20"/>
              <w:spacing w:after="0" w:line="187" w:lineRule="exact"/>
              <w:rPr>
                <w:sz w:val="20"/>
                <w:szCs w:val="20"/>
                <w:color w:val="auto"/>
              </w:rPr>
            </w:pPr>
            <w:r>
              <w:rPr>
                <w:rFonts w:ascii="Arial" w:cs="Arial" w:eastAsia="Arial" w:hAnsi="Arial"/>
                <w:sz w:val="18"/>
                <w:szCs w:val="18"/>
                <w:b w:val="1"/>
                <w:bCs w:val="1"/>
                <w:color w:val="auto"/>
              </w:rPr>
              <w:t>Net increase (decrease) in cash, cash equivalents and restricted</w:t>
            </w: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9"/>
        </w:trPr>
        <w:tc>
          <w:tcPr>
            <w:tcW w:w="774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cash</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287,028</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(38,130 )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351,177</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389,360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638,205</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351,230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-2961640</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-2071370</wp:posOffset>
            </wp:positionV>
            <wp:extent cx="685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-761365</wp:posOffset>
            </wp:positionV>
            <wp:extent cx="6858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Cash paid during the period for interest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 in accounts payable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Issuance of common stock for acquisition</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upon settlement of restricted stock units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Issuance of common stock for retention bonus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3"/>
        </w:trPr>
        <w:tc>
          <w:tcPr>
            <w:tcW w:w="77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Offering costs related to public offering included in accounts payable, accrued</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7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expenses and other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638,205</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638,205</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351,230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Overview and Summary of Significant Accounting Policies</w:t>
      </w:r>
    </w:p>
    <w:p>
      <w:pPr>
        <w:spacing w:after="0" w:line="181"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14 countries across 5 continents.</w:t>
      </w:r>
    </w:p>
    <w:p>
      <w:pPr>
        <w:spacing w:after="0" w:line="156"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w:t>
      </w:r>
    </w:p>
    <w:p>
      <w:pPr>
        <w:spacing w:after="0" w:line="1" w:lineRule="exact"/>
        <w:rPr>
          <w:sz w:val="20"/>
          <w:szCs w:val="20"/>
          <w:color w:val="auto"/>
        </w:rPr>
      </w:pPr>
    </w:p>
    <w:p>
      <w:pPr>
        <w:ind w:right="420" w:firstLine="8"/>
        <w:spacing w:after="0" w:line="245"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next-gen payments platform, (ii) a proprietary global payment network, and (iii) vertical-specific software backed by its deep industry expertise.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Public Offering</w:t>
      </w:r>
    </w:p>
    <w:p>
      <w:pPr>
        <w:spacing w:after="0" w:line="18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August 9, 2023, the Company entered into an underwriting agreement (Underwriting Agreement) with Goldman Sachs &amp; Co. LLC, as representative (the Representative) of the several underwriters (Underwriters), in connection with the offer and sale by the Company of 8,000,000 shares of voting common stock of the Company, par value $0.0001 per share, at a price to the public of $32.00 per share. In addition, pursuant to the terms of the Underwriting Agreement, the Company granted the Underwriters an option to purchase up to 1,200,000 additional shares of Common Stock (Underwriters’ Option) (collectively, the Public Offering).</w:t>
      </w:r>
    </w:p>
    <w:p>
      <w:pPr>
        <w:spacing w:after="0" w:line="16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On August 14, 2023, the Company sold 8,000,000 shares of its voting common stock and on September 12, 2023, the Underwriters exercised the Underwriters’ Option in part and purchased additional 500,000 shares of the Company's voting common stock, in each instance at a price to the public of $32.00 per share. The Company raised aggregate proceeds of $260.1 million, net of underwriter discounts and commissions of $10.9 million and other issuance costs of $1.1 million.</w:t>
      </w:r>
    </w:p>
    <w:p>
      <w:pPr>
        <w:spacing w:after="0" w:line="150"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The voting common stock sold in the Public Offering was offered and sold by means of an effective registration statement on Form S-3ASR, including a preliminary prospectus filed with the U.S. Securities and Exchange Commission (SEC) on August 9, 2023 (File No. 333-273835) and a final prospectus dated August 9, 2023.</w:t>
      </w:r>
    </w:p>
    <w:p>
      <w:pPr>
        <w:spacing w:after="0" w:line="143"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The Company intends to use the net proceeds from the Public Offering for general corporate purposes, which may include expanding its current business through acquisitions of, or investments in, other businesses, products or technologies.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income (loss), changes in stockholders’ equity, and its cash flows for the periods presented.</w:t>
      </w:r>
    </w:p>
    <w:p>
      <w:pPr>
        <w:spacing w:after="0" w:line="15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results of operations for the three and nine months ended September 30, 2023, are not necessarily indicative of results to be expected for the year ended December 31, 2023, any other interim periods or any future year or period. The accompanying consolidated balance sheet as of December 31, 2022 was derived from the Company’s audited consolidated financial statements for the year ended December 31, 2022.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65" w:lineRule="exact"/>
        <w:rPr>
          <w:sz w:val="20"/>
          <w:szCs w:val="20"/>
          <w:color w:val="auto"/>
        </w:rPr>
      </w:pPr>
    </w:p>
    <w:p>
      <w:pPr>
        <w:ind w:right="260" w:firstLine="509"/>
        <w:spacing w:after="0" w:line="242" w:lineRule="auto"/>
        <w:rPr>
          <w:sz w:val="20"/>
          <w:szCs w:val="20"/>
          <w:color w:val="auto"/>
        </w:rPr>
      </w:pPr>
      <w:r>
        <w:rPr>
          <w:rFonts w:ascii="Arial" w:cs="Arial" w:eastAsia="Arial" w:hAnsi="Arial"/>
          <w:sz w:val="18"/>
          <w:szCs w:val="18"/>
          <w:color w:val="auto"/>
        </w:rPr>
        <w:t>Beginning with the quarter ended June 30, 2023, we included Contingent consideration and Contingent consideration, net of current portion within Accrued expenses and other current liabilities and Other liabilities, respectively, in the Company's condensed consolidated balance sheet. Accrued expenses and other current liabilities and Other liabilities for the year ended December 31, 2022 were recast to conform to the updated presentation.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year ended December 31, 2022.</w:t>
      </w:r>
    </w:p>
    <w:p>
      <w:pPr>
        <w:spacing w:after="0" w:line="14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Flywire and its wholly owned subsidiaries. All intercompany accounts and transactions have been eliminated upon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1"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and unbilled receivables, the impairment assessment of goodwill,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Israel and Hamas</w:t>
      </w:r>
    </w:p>
    <w:p>
      <w:pPr>
        <w:spacing w:after="0" w:line="19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has an office in Tel Aviv, Israel, which is one of the Company’s software development and product centers. As of the issuance date of these condensed consolidated financial statements, the conflict between Israel and Hamas has not had a material impact on the Company’s revenue, results of operations or financial position. The Company is engaged in active workforce management and efforts to preserve the health and safety of its Israeli FlyMates. However, since the Tel Aviv office is a healthcare engineering hub, the Company may experience customer service issues if there is a major problem as a result of the conflict and the Company is not able to service its platform on a timely basis. Further, the conflict may create a global challenge in outsourcing or hiring engineering talent.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does not have any operations, or long-lived assets, in Ukraine or Russia. As of the issuance date of these condensed consolidated financial statements, the current conflict between Russia and Ukraine has not had a material impact on the Company’s revenue, results of operations or financial position. However, the Company notes Ukraine is a major engineering hub and the Company may from time to time utilize technology resources from Ukraine on a contracted basis.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Inflation did not have a material effect on the Company's cash flows and results of operations during the three and nine months ended September 30, 2023.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9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unbilled receivables and funds receivable from payment partners.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20" w:firstLine="509"/>
        <w:spacing w:after="0" w:line="254" w:lineRule="auto"/>
        <w:rPr>
          <w:sz w:val="20"/>
          <w:szCs w:val="20"/>
          <w:color w:val="auto"/>
        </w:rPr>
      </w:pPr>
      <w:r>
        <w:rPr>
          <w:rFonts w:ascii="Arial" w:cs="Arial" w:eastAsia="Arial" w:hAnsi="Arial"/>
          <w:sz w:val="17"/>
          <w:szCs w:val="17"/>
          <w:color w:val="auto"/>
        </w:rPr>
        <w:t>The Company maintains its cash and cash equivalents with financial institutions that management believes are of high credit quality. Our cash equivalents include money market funds, which are AAA-rated and comprised of liquid, high-quality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Our access to our cash and cash equivalents and client funds could be significantly impacted in volatile markets given our concentration in government money market funds.</w:t>
      </w:r>
    </w:p>
    <w:p>
      <w:pPr>
        <w:spacing w:after="0" w:line="152"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and nine months ended September 30, 2023.</w:t>
      </w:r>
    </w:p>
    <w:p>
      <w:pPr>
        <w:spacing w:after="0" w:line="152"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360" w:type="dxa"/>
            <w:vAlign w:val="bottom"/>
          </w:tcPr>
          <w:p>
            <w:pPr>
              <w:jc w:val="center"/>
              <w:ind w:left="18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20" w:type="dxa"/>
            <w:vAlign w:val="bottom"/>
          </w:tcPr>
          <w:p>
            <w:pPr>
              <w:spacing w:after="0"/>
              <w:rPr>
                <w:sz w:val="16"/>
                <w:szCs w:val="16"/>
                <w:color w:val="auto"/>
              </w:rPr>
            </w:pP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r>
      <w:tr>
        <w:trPr>
          <w:trHeight w:val="22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Client A</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Client B</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May 2023, Client A filed for voluntary petitions for reorganization under Chapter 11 of the U.S. Bankruptcy Code. As of September 30, 2023, the Company had $3.1 million recorded within accounts receivable attributed to Client A, net of allowance. On November 2, 2023, a settlement agreement was reached and the Company collected all of its pre-petition outstanding balance of $2.6 million from Client A. Client A continues as client of Flywire.</w:t>
      </w:r>
    </w:p>
    <w:p>
      <w:pPr>
        <w:spacing w:after="0" w:line="150" w:lineRule="exact"/>
        <w:rPr>
          <w:sz w:val="20"/>
          <w:szCs w:val="20"/>
          <w:color w:val="auto"/>
        </w:rPr>
      </w:pPr>
    </w:p>
    <w:p>
      <w:pPr>
        <w:jc w:val="both"/>
        <w:ind w:right="460" w:firstLine="509"/>
        <w:spacing w:after="0" w:line="247"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360" w:type="dxa"/>
            <w:vAlign w:val="bottom"/>
          </w:tcPr>
          <w:p>
            <w:pPr>
              <w:jc w:val="center"/>
              <w:ind w:left="18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20" w:type="dxa"/>
            <w:vAlign w:val="bottom"/>
          </w:tcPr>
          <w:p>
            <w:pPr>
              <w:spacing w:after="0"/>
              <w:rPr>
                <w:sz w:val="16"/>
                <w:szCs w:val="16"/>
                <w:color w:val="auto"/>
              </w:rPr>
            </w:pP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r>
      <w:tr>
        <w:trPr>
          <w:trHeight w:val="22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Partner 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Partner C</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35 %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82" w:lineRule="exact"/>
        <w:rPr>
          <w:sz w:val="20"/>
          <w:szCs w:val="20"/>
          <w:color w:val="auto"/>
        </w:rPr>
      </w:pPr>
    </w:p>
    <w:p>
      <w:pPr>
        <w:ind w:left="520" w:right="660"/>
        <w:spacing w:after="0" w:line="363" w:lineRule="auto"/>
        <w:rPr>
          <w:sz w:val="20"/>
          <w:szCs w:val="20"/>
          <w:color w:val="auto"/>
        </w:rPr>
      </w:pPr>
      <w:r>
        <w:rPr>
          <w:rFonts w:ascii="Arial" w:cs="Arial" w:eastAsia="Arial" w:hAnsi="Arial"/>
          <w:sz w:val="17"/>
          <w:szCs w:val="17"/>
          <w:color w:val="auto"/>
        </w:rPr>
        <w:t>During the three and nine months ended September 30, 2023 and 2022, no client(s) accounted for 10% or more of revenue. During the three months ended September 30, 2023, revenue from clients located in the United States and Canada (Americas),</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Europe, the Middle East and Africa (EMEA) and the Asia and Pacific region (APAC) in the aggregate accounted for 55.4%, 32.9% and11.7% of the Company’s total revenues, respectively. During the three months ended September 30, 2022, revenue from clients located in Americas, EMEA and APAC in the aggregate accounted for 64.6%, 25.6% and 9.8% of the Company’s total revenues, respectively.</w:t>
      </w:r>
    </w:p>
    <w:p>
      <w:pPr>
        <w:spacing w:after="0" w:line="149"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During the nine months ended September 30, 2023, revenue from clients located in Americas, EMEA and APAC in the aggregate accounted for 56.8%, 30.0% and 13.2% of the Company’s total revenues, respectively. During the nine months ended September 30, 2022, revenue from clients located in Americas, EMEA and APAC in the aggregate accounted for 68.5%, 24.3% and 7.2% of the Company’s total revenues,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ind w:right="300" w:firstLine="509"/>
        <w:spacing w:after="0" w:line="266"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notes to the audited consolidated financial statements in the Company’s Annual</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Report on Form 10-K for the year ended December 31, 2022. There have been no material changes to these policies during the three and nine months ended September 30,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income (loss). Advertising expenses for the three months ended September 30, 2023 and 2022 were $2.0 million and $0.9 million, respectively. Advertising expenses for the nine months ended September 30, 2023 and 2022 were $5.1 million and $3.8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accounting standards update (ASU) was issued by the Financial Accounting Standards Board (FASB) and adopted by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Flywire as of June 30, 2023:</w:t>
      </w:r>
    </w:p>
    <w:p>
      <w:pPr>
        <w:spacing w:after="0" w:line="15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ASU 2020-04, </w:t>
      </w:r>
      <w:r>
        <w:rPr>
          <w:rFonts w:ascii="Arial" w:cs="Arial" w:eastAsia="Arial" w:hAnsi="Arial"/>
          <w:sz w:val="18"/>
          <w:szCs w:val="18"/>
          <w:i w:val="1"/>
          <w:iCs w:val="1"/>
          <w:color w:val="auto"/>
        </w:rPr>
        <w:t>Reference Rate Reform (Topic 848): Facilitation of the Effects of Reference Rate Reform on Financial Reporting:</w:t>
      </w:r>
      <w:r>
        <w:rPr>
          <w:rFonts w:ascii="Arial" w:cs="Arial" w:eastAsia="Arial" w:hAnsi="Arial"/>
          <w:sz w:val="18"/>
          <w:szCs w:val="18"/>
          <w:color w:val="auto"/>
        </w:rPr>
        <w:t xml:space="preserve"> ASU 2020-04 provides optional guidance to ease the potential burden in accounting for (or recognizing the effects of) reference rate reform on financial reporting in response to concerns about structural risks of the cessation of London Interbank Offered Rate (LIBOR). It also provides optional expedients and exceptions for applying GAAP to contracts, hedging relationships and other transactions affected by reference rate reform if certain criteria are met. ASU 2020-04 applies only to contracts and hedging relationships that reference LIBOR or another reference rate expected to be discontinued due to reference rate reform. The adoption of this standard did not have a material impact on Flywire's consolidated financial statements. Refer to </w:t>
      </w:r>
      <w:r>
        <w:rPr>
          <w:rFonts w:ascii="Arial" w:cs="Arial" w:eastAsia="Arial" w:hAnsi="Arial"/>
          <w:sz w:val="18"/>
          <w:szCs w:val="18"/>
          <w:i w:val="1"/>
          <w:iCs w:val="1"/>
          <w:color w:val="auto"/>
        </w:rPr>
        <w:t>Note 10 - Debt</w:t>
      </w:r>
      <w:r>
        <w:rPr>
          <w:rFonts w:ascii="Arial" w:cs="Arial" w:eastAsia="Arial" w:hAnsi="Arial"/>
          <w:sz w:val="18"/>
          <w:szCs w:val="18"/>
          <w:color w:val="auto"/>
        </w:rPr>
        <w:t xml:space="preserve"> for additional details on the transition from the LIBOR benchmark rate to the Secured Overnight Financing Rate (SOFR) benchmark 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9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As of September 30, 2023, there are no new accounting pronouncements recently issued by the FASB but not yet adopted by Flywire which would be expected to have a material impact on the Company’s consolidated financial statements and disclosures.</w:t>
      </w:r>
    </w:p>
    <w:p>
      <w:pPr>
        <w:spacing w:after="0" w:line="2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Revenue and Recognition</w:t>
      </w:r>
    </w:p>
    <w:p>
      <w:pPr>
        <w:spacing w:after="0" w:line="181" w:lineRule="exact"/>
        <w:rPr>
          <w:sz w:val="20"/>
          <w:szCs w:val="20"/>
          <w:color w:val="auto"/>
        </w:rPr>
      </w:pPr>
    </w:p>
    <w:p>
      <w:pPr>
        <w:ind w:right="540" w:firstLine="509"/>
        <w:spacing w:after="0" w:line="259"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9"/>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Americas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68,384</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61,492</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171,845</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148,236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EMEA</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90,737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APAC</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14,397</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39,967</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123,323</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95,232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302,549</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216,322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Major solutions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104,585</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77,147</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247,734</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167,494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Platform and usage-based fees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18,738</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54,815</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48,828</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123,323</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95,232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302,549</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216,322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-641350</wp:posOffset>
            </wp:positionV>
            <wp:extent cx="268859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88590" cy="17145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81"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9"/>
        </w:trPr>
        <w:tc>
          <w:tcPr>
            <w:tcW w:w="4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w:t>
            </w:r>
          </w:p>
        </w:tc>
        <w:tc>
          <w:tcPr>
            <w:tcW w:w="3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18,151</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current</w:t>
            </w:r>
          </w:p>
        </w:tc>
        <w:tc>
          <w:tcPr>
            <w:tcW w:w="3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r>
      <w:tr>
        <w:trPr>
          <w:trHeight w:val="431"/>
        </w:trPr>
        <w:tc>
          <w:tcPr>
            <w:tcW w:w="4280" w:type="dxa"/>
            <w:vAlign w:val="bottom"/>
          </w:tcPr>
          <w:p>
            <w:pPr>
              <w:spacing w:after="0"/>
              <w:rPr>
                <w:sz w:val="24"/>
                <w:szCs w:val="24"/>
                <w:color w:val="auto"/>
              </w:rPr>
            </w:pPr>
          </w:p>
        </w:tc>
        <w:tc>
          <w:tcPr>
            <w:tcW w:w="3460" w:type="dxa"/>
            <w:vAlign w:val="bottom"/>
          </w:tcPr>
          <w:p>
            <w:pPr>
              <w:jc w:val="right"/>
              <w:ind w:right="19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28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For the three months ended September 30, 2023 and 2022, the Company recognized $1.3 million and $1.6 million, respectively, of revenue from amounts that were included in deferred revenue as of June 30, 2023 and 2022. For the nine months ended September 30, 2023 and 2022, the Company recognized $5.0 million and $5.2 million, respectively, of revenue from amounts that were included in deferred revenue as of December 31, 2022 and 2021.</w:t>
      </w:r>
    </w:p>
    <w:p>
      <w:pPr>
        <w:spacing w:after="0" w:line="2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Allowance for Credit Losses</w:t>
      </w:r>
    </w:p>
    <w:p>
      <w:pPr>
        <w:spacing w:after="0" w:line="19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Company maintains an allowance for credit losses for accounts receivable and unbilled receivables. Changes in the allowance for credit losses for the three and nine months ended September 30, 2023 and 2022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1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8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8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the beginning of the period</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(815 )</w:t>
            </w:r>
          </w:p>
        </w:tc>
        <w:tc>
          <w:tcPr>
            <w:tcW w:w="7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(149 )</w:t>
            </w: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(212 )</w:t>
            </w:r>
          </w:p>
        </w:tc>
        <w:tc>
          <w:tcPr>
            <w:tcW w:w="74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(106 )</w:t>
            </w: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Provision for expected credit losses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(525 )</w:t>
            </w:r>
          </w:p>
        </w:tc>
        <w:tc>
          <w:tcPr>
            <w:tcW w:w="7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(86 )</w:t>
            </w: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Write-offs, net of recoveries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Allowance for credit losses at the end of the period</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(738 )</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(143 )</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(738 )</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(143 )</w:t>
            </w:r>
          </w:p>
        </w:tc>
      </w:tr>
      <w:tr>
        <w:trPr>
          <w:trHeight w:val="20"/>
        </w:trPr>
        <w:tc>
          <w:tcPr>
            <w:tcW w:w="5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-179070</wp:posOffset>
            </wp:positionV>
            <wp:extent cx="7683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-179070</wp:posOffset>
            </wp:positionV>
            <wp:extent cx="6858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-179070</wp:posOffset>
            </wp:positionV>
            <wp:extent cx="6858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94"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18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3"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47"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carrying values of accounts receivable, funds receivable from</w:t>
      </w:r>
    </w:p>
    <w:p>
      <w:pPr>
        <w:spacing w:after="0" w:line="1"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color w:val="auto"/>
        </w:rPr>
        <w:t>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4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September 30, 2023 and December 31, 2022 (in thousands):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Measured at NAV</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September</w:t>
            </w:r>
          </w:p>
        </w:tc>
        <w:tc>
          <w:tcPr>
            <w:tcW w:w="180" w:type="dxa"/>
            <w:vAlign w:val="bottom"/>
          </w:tcPr>
          <w:p>
            <w:pPr>
              <w:spacing w:after="0"/>
              <w:rPr>
                <w:sz w:val="14"/>
                <w:szCs w:val="14"/>
                <w:color w:val="auto"/>
              </w:rPr>
            </w:pPr>
          </w:p>
        </w:tc>
        <w:tc>
          <w:tcPr>
            <w:tcW w:w="4380" w:type="dxa"/>
            <w:vAlign w:val="bottom"/>
            <w:gridSpan w:val="10"/>
            <w:vMerge w:val="restart"/>
          </w:tcPr>
          <w:p>
            <w:pPr>
              <w:ind w:left="420"/>
              <w:spacing w:after="0"/>
              <w:rPr>
                <w:sz w:val="20"/>
                <w:szCs w:val="20"/>
                <w:color w:val="auto"/>
              </w:rPr>
            </w:pPr>
            <w:r>
              <w:rPr>
                <w:rFonts w:ascii="Arial" w:cs="Arial" w:eastAsia="Arial" w:hAnsi="Arial"/>
                <w:sz w:val="14"/>
                <w:szCs w:val="14"/>
                <w:b w:val="1"/>
                <w:bCs w:val="1"/>
                <w:color w:val="auto"/>
              </w:rPr>
              <w:t>Measured at Fair Value as of September 30, 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30, 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374,880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374,880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374,880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00" w:type="dxa"/>
            <w:vAlign w:val="bottom"/>
          </w:tcPr>
          <w:p>
            <w:pPr>
              <w:spacing w:after="0"/>
              <w:rPr>
                <w:sz w:val="24"/>
                <w:szCs w:val="2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Measured at NAV</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 December</w:t>
            </w:r>
          </w:p>
        </w:tc>
        <w:tc>
          <w:tcPr>
            <w:tcW w:w="180" w:type="dxa"/>
            <w:vAlign w:val="bottom"/>
          </w:tcPr>
          <w:p>
            <w:pPr>
              <w:spacing w:after="0"/>
              <w:rPr>
                <w:sz w:val="14"/>
                <w:szCs w:val="14"/>
                <w:color w:val="auto"/>
              </w:rPr>
            </w:pPr>
          </w:p>
        </w:tc>
        <w:tc>
          <w:tcPr>
            <w:tcW w:w="4380" w:type="dxa"/>
            <w:vAlign w:val="bottom"/>
            <w:gridSpan w:val="10"/>
            <w:vMerge w:val="restart"/>
          </w:tcPr>
          <w:p>
            <w:pPr>
              <w:ind w:left="440"/>
              <w:spacing w:after="0"/>
              <w:rPr>
                <w:sz w:val="20"/>
                <w:szCs w:val="20"/>
                <w:color w:val="auto"/>
              </w:rPr>
            </w:pPr>
            <w:r>
              <w:rPr>
                <w:rFonts w:ascii="Arial" w:cs="Arial" w:eastAsia="Arial" w:hAnsi="Arial"/>
                <w:sz w:val="14"/>
                <w:szCs w:val="14"/>
                <w:b w:val="1"/>
                <w:bCs w:val="1"/>
                <w:color w:val="auto"/>
              </w:rPr>
              <w:t>Measured at Fair Value as of December 31,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31, 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-2499360</wp:posOffset>
            </wp:positionV>
            <wp:extent cx="76835" cy="3251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-2499360</wp:posOffset>
            </wp:positionV>
            <wp:extent cx="76835" cy="3251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-2499360</wp:posOffset>
            </wp:positionV>
            <wp:extent cx="68580" cy="3251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-2499360</wp:posOffset>
            </wp:positionV>
            <wp:extent cx="68580" cy="3251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3251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-1240790</wp:posOffset>
            </wp:positionV>
            <wp:extent cx="7683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-1240790</wp:posOffset>
            </wp:positionV>
            <wp:extent cx="6858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-1240790</wp:posOffset>
            </wp:positionV>
            <wp:extent cx="6858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-179070</wp:posOffset>
            </wp:positionV>
            <wp:extent cx="7683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-179070</wp:posOffset>
            </wp:positionV>
            <wp:extent cx="7683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-179070</wp:posOffset>
            </wp:positionV>
            <wp:extent cx="6858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-179070</wp:posOffset>
            </wp:positionV>
            <wp:extent cx="6858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2"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During the nine months ended September 30, 2023 and year ended December 31, 2022, there were no transfers between Level 1, Level 2 or Level 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Cohort Solutions Pty Ltd. (Cohort Go)</w:t>
      </w:r>
    </w:p>
    <w:p>
      <w:pPr>
        <w:spacing w:after="0" w:line="177"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 xml:space="preserve">During March 2023, the Company made a payment of contingent consideration of $1.7 million, in the form of cash, based on Cohort Go's successful and timely achievement of the contracted milestones. No additional contingent consideration is due or payable with respect to the Cohort Go acquisition.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Cohort Go acquisition.</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contingent consideration related to the Cohort Go acquisition was determined using a scenario-based method.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 as of 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2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11.2 %</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Probability of successful achievement *</w:t>
            </w:r>
          </w:p>
        </w:tc>
        <w:tc>
          <w:tcPr>
            <w:tcW w:w="2700" w:type="dxa"/>
            <w:vAlign w:val="bottom"/>
          </w:tcPr>
          <w:p>
            <w:pPr>
              <w:jc w:val="right"/>
              <w:spacing w:after="0"/>
              <w:rPr>
                <w:sz w:val="20"/>
                <w:szCs w:val="20"/>
                <w:color w:val="auto"/>
              </w:rPr>
            </w:pPr>
            <w:r>
              <w:rPr>
                <w:rFonts w:ascii="Arial" w:cs="Arial" w:eastAsia="Arial" w:hAnsi="Arial"/>
                <w:sz w:val="18"/>
                <w:szCs w:val="18"/>
                <w:color w:val="auto"/>
              </w:rPr>
              <w:t>75% - 100%</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68"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 Group Ltd. (WPM)</w:t>
      </w:r>
    </w:p>
    <w:p>
      <w:pPr>
        <w:spacing w:after="0" w:line="177" w:lineRule="exact"/>
        <w:rPr>
          <w:sz w:val="20"/>
          <w:szCs w:val="20"/>
          <w:color w:val="auto"/>
        </w:rPr>
      </w:pPr>
    </w:p>
    <w:p>
      <w:pPr>
        <w:ind w:right="380" w:firstLine="509"/>
        <w:spacing w:after="0"/>
        <w:rPr>
          <w:sz w:val="20"/>
          <w:szCs w:val="20"/>
          <w:color w:val="auto"/>
        </w:rPr>
      </w:pPr>
      <w:r>
        <w:rPr>
          <w:rFonts w:ascii="Arial" w:cs="Arial" w:eastAsia="Arial" w:hAnsi="Arial"/>
          <w:sz w:val="18"/>
          <w:szCs w:val="18"/>
          <w:color w:val="auto"/>
        </w:rPr>
        <w:t xml:space="preserve">Pursuant to the terms of the business combination agreement, contingent consideration was potentially payable at various intervals through March 2024 in the form of cash or up to approximately 225,000 shares of common stock, at Flywire's option, and was dependent upon the Company's achievement of specified minimum payment volume targets and integration targets. As of September 30, 2023, no contingent consideration is due or payable with respect to the WPM acquisition.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WPM acquisition.</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fair value of the contingent consideration related to the payment volume targets was determined using an option pricing model and the fair value of the contingent consideration related to the integration targets was determined using a scenario-based method. The following table presents the unobservable inputs incorporated into the valuation of contingent consideration related to the WPM acquisition as of December 31,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40" w:type="dxa"/>
            <w:vAlign w:val="bottom"/>
          </w:tcPr>
          <w:p>
            <w:pPr>
              <w:spacing w:after="0"/>
              <w:rPr>
                <w:sz w:val="17"/>
                <w:szCs w:val="17"/>
                <w:color w:val="auto"/>
              </w:rPr>
            </w:pPr>
          </w:p>
        </w:tc>
        <w:tc>
          <w:tcPr>
            <w:tcW w:w="28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9"/>
        </w:trPr>
        <w:tc>
          <w:tcPr>
            <w:tcW w:w="8440" w:type="dxa"/>
            <w:vAlign w:val="bottom"/>
            <w:vMerge w:val="restart"/>
          </w:tcPr>
          <w:p>
            <w:pPr>
              <w:ind w:left="20"/>
              <w:spacing w:after="0"/>
              <w:rPr>
                <w:sz w:val="20"/>
                <w:szCs w:val="20"/>
                <w:color w:val="auto"/>
              </w:rPr>
            </w:pPr>
            <w:r>
              <w:rPr>
                <w:rFonts w:ascii="Arial" w:cs="Arial" w:eastAsia="Arial" w:hAnsi="Arial"/>
                <w:sz w:val="18"/>
                <w:szCs w:val="18"/>
                <w:color w:val="auto"/>
              </w:rPr>
              <w:t>Market price of risk adjustment for revenue</w:t>
            </w: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Revenue volatility</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Probability of successful achievement*</w:t>
            </w: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 - 100%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Performance period</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1.25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8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Increases or decreases in expectations regarding the level at which payment volumes were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50"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Changes in the fair value of contingent consideration are included as a component of general and administrative expense within the condensed consolidated statements of operations and comprehensive income (loss). The following table summarizes the changes in the carrying value of the contingent consideration for the three and nine months ended September 30, 2023 and 2022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Nine Months</w:t>
            </w:r>
          </w:p>
        </w:tc>
        <w:tc>
          <w:tcPr>
            <w:tcW w:w="12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Nine Months</w:t>
            </w: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3"/>
                <w:szCs w:val="13"/>
                <w:b w:val="1"/>
                <w:bCs w:val="1"/>
                <w:color w:val="auto"/>
              </w:rPr>
              <w:t>Ended</w:t>
            </w:r>
          </w:p>
        </w:tc>
      </w:tr>
      <w:tr>
        <w:trPr>
          <w:trHeight w:val="148"/>
        </w:trPr>
        <w:tc>
          <w:tcPr>
            <w:tcW w:w="5820" w:type="dxa"/>
            <w:vAlign w:val="bottom"/>
          </w:tcPr>
          <w:p>
            <w:pPr>
              <w:spacing w:after="0"/>
              <w:rPr>
                <w:sz w:val="12"/>
                <w:szCs w:val="12"/>
                <w:color w:val="auto"/>
              </w:rPr>
            </w:pPr>
          </w:p>
        </w:tc>
        <w:tc>
          <w:tcPr>
            <w:tcW w:w="1420" w:type="dxa"/>
            <w:vAlign w:val="bottom"/>
            <w:gridSpan w:val="3"/>
          </w:tcPr>
          <w:p>
            <w:pPr>
              <w:jc w:val="center"/>
              <w:ind w:right="300"/>
              <w:spacing w:after="0" w:line="149" w:lineRule="exact"/>
              <w:rPr>
                <w:sz w:val="20"/>
                <w:szCs w:val="20"/>
                <w:color w:val="auto"/>
              </w:rPr>
            </w:pPr>
            <w:r>
              <w:rPr>
                <w:rFonts w:ascii="Arial" w:cs="Arial" w:eastAsia="Arial" w:hAnsi="Arial"/>
                <w:sz w:val="13"/>
                <w:szCs w:val="13"/>
                <w:b w:val="1"/>
                <w:bCs w:val="1"/>
                <w:color w:val="auto"/>
              </w:rPr>
              <w:t>September 30,</w:t>
            </w:r>
          </w:p>
        </w:tc>
        <w:tc>
          <w:tcPr>
            <w:tcW w:w="1420" w:type="dxa"/>
            <w:vAlign w:val="bottom"/>
            <w:gridSpan w:val="3"/>
          </w:tcPr>
          <w:p>
            <w:pPr>
              <w:jc w:val="center"/>
              <w:ind w:right="300"/>
              <w:spacing w:after="0" w:line="149" w:lineRule="exact"/>
              <w:rPr>
                <w:sz w:val="20"/>
                <w:szCs w:val="20"/>
                <w:color w:val="auto"/>
              </w:rPr>
            </w:pPr>
            <w:r>
              <w:rPr>
                <w:rFonts w:ascii="Arial" w:cs="Arial" w:eastAsia="Arial" w:hAnsi="Arial"/>
                <w:sz w:val="13"/>
                <w:szCs w:val="13"/>
                <w:b w:val="1"/>
                <w:bCs w:val="1"/>
                <w:color w:val="auto"/>
              </w:rPr>
              <w:t>September 30,</w:t>
            </w:r>
          </w:p>
        </w:tc>
        <w:tc>
          <w:tcPr>
            <w:tcW w:w="1360" w:type="dxa"/>
            <w:vAlign w:val="bottom"/>
            <w:gridSpan w:val="3"/>
          </w:tcPr>
          <w:p>
            <w:pPr>
              <w:jc w:val="center"/>
              <w:ind w:right="280"/>
              <w:spacing w:after="0" w:line="149" w:lineRule="exact"/>
              <w:rPr>
                <w:sz w:val="20"/>
                <w:szCs w:val="20"/>
                <w:color w:val="auto"/>
              </w:rPr>
            </w:pPr>
            <w:r>
              <w:rPr>
                <w:rFonts w:ascii="Arial" w:cs="Arial" w:eastAsia="Arial" w:hAnsi="Arial"/>
                <w:sz w:val="13"/>
                <w:szCs w:val="13"/>
                <w:b w:val="1"/>
                <w:bCs w:val="1"/>
                <w:color w:val="auto"/>
              </w:rPr>
              <w:t>September 30,</w:t>
            </w: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3"/>
                <w:szCs w:val="13"/>
                <w:b w:val="1"/>
                <w:bCs w:val="1"/>
                <w:color w:val="auto"/>
              </w:rPr>
              <w:t>September 30,</w:t>
            </w:r>
          </w:p>
        </w:tc>
      </w:tr>
      <w:tr>
        <w:trPr>
          <w:trHeight w:val="178"/>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Contingent consideration paid *</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(453 )</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(1,674 )</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(8,297 )</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(270 )</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(581 )</w:t>
            </w:r>
          </w:p>
        </w:tc>
      </w:tr>
      <w:tr>
        <w:trPr>
          <w:trHeight w:val="223"/>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Borders>
              <w:top w:val="single" w:sz="8" w:color="CFF0FC"/>
            </w:tcBorders>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-179070</wp:posOffset>
            </wp:positionV>
            <wp:extent cx="7683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-179070</wp:posOffset>
            </wp:positionV>
            <wp:extent cx="7683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-179070</wp:posOffset>
            </wp:positionV>
            <wp:extent cx="6858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37" w:lineRule="exact"/>
        <w:rPr>
          <w:sz w:val="20"/>
          <w:szCs w:val="20"/>
          <w:color w:val="auto"/>
        </w:rPr>
      </w:pPr>
    </w:p>
    <w:p>
      <w:pPr>
        <w:ind w:right="100" w:firstLine="8"/>
        <w:spacing w:after="0" w:line="246"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nine months ended September 30, 2023, contingent consideration paid has been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 For the nine months ended September 30, 2022, contingent consideration paid has been bifurcated among the investing, financing and operating sections of the condensed consolidated statement of cash flows. Contingent consideration paid within three months after the acquisition date of Cohort Go is reported in the investing section of the condensed consolidated statement of cash flows given the proximity to the acquisition date.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spacing w:after="0" w:line="2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Derivative Instruments</w:t>
      </w:r>
    </w:p>
    <w:p>
      <w:pPr>
        <w:spacing w:after="0" w:line="181"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September 30, 2023 and December 31, 2022, the Company had 8,433 and 11,816 open foreign exchange contracts, respectively. As of September 30, 2023 and December 31, 2022, the Company had foreign currency forward contracts outstanding with a notional amount of $36.4 million and $54.7 million, respectively.</w:t>
      </w:r>
    </w:p>
    <w:p>
      <w:pPr>
        <w:spacing w:after="0" w:line="151"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For the nine months ended September 30, 2023 and for the year ended December 31, 2022, the Company recorded a liability of $0.1 million related to outstanding foreign exchange contracts. The Company recognized a loss of $1.2 million and $2.2 million during the three and nine months ended September 30, 2023, respectively. The Company recognized a loss of $1.3 million and $1.9 million during the three and nine months ended September 30, 2022, respectively. Gains and losses are included as a component of general and administrative expense within the condensed consolidated statements of operations and comprehensive income (loss).</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Accrued Expenses and Other Current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18,169</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4,439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19"/>
                <w:szCs w:val="19"/>
                <w:color w:val="auto"/>
              </w:rPr>
            </w:pPr>
          </w:p>
        </w:tc>
      </w:tr>
      <w:tr>
        <w:trPr>
          <w:trHeight w:val="263"/>
        </w:trPr>
        <w:tc>
          <w:tcPr>
            <w:tcW w:w="77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38,255</w:t>
            </w:r>
          </w:p>
        </w:tc>
        <w:tc>
          <w:tcPr>
            <w:tcW w:w="120" w:type="dxa"/>
            <w:vAlign w:val="bottom"/>
            <w:shd w:val="clear" w:color="auto" w:fill="CFF0FC"/>
          </w:tcPr>
          <w:p>
            <w:pPr>
              <w:spacing w:after="0"/>
              <w:rPr>
                <w:sz w:val="22"/>
                <w:szCs w:val="22"/>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34,423</w:t>
            </w:r>
          </w:p>
        </w:tc>
        <w:tc>
          <w:tcPr>
            <w:tcW w:w="100" w:type="dxa"/>
            <w:vAlign w:val="bottom"/>
            <w:shd w:val="clear" w:color="auto" w:fill="CFF0FC"/>
          </w:tcPr>
          <w:p>
            <w:pPr>
              <w:spacing w:after="0"/>
              <w:rPr>
                <w:sz w:val="22"/>
                <w:szCs w:val="22"/>
                <w:color w:val="auto"/>
              </w:rPr>
            </w:pPr>
          </w:p>
        </w:tc>
      </w:tr>
      <w:tr>
        <w:trPr>
          <w:trHeight w:val="545"/>
        </w:trPr>
        <w:tc>
          <w:tcPr>
            <w:tcW w:w="77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Note 7.   Property and Equipment, net</w:t>
            </w:r>
          </w:p>
        </w:tc>
        <w:tc>
          <w:tcPr>
            <w:tcW w:w="6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66"/>
        </w:trPr>
        <w:tc>
          <w:tcPr>
            <w:tcW w:w="8540" w:type="dxa"/>
            <w:vAlign w:val="bottom"/>
            <w:gridSpan w:val="3"/>
          </w:tcPr>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40" w:type="dxa"/>
            <w:vAlign w:val="bottom"/>
          </w:tcPr>
          <w:p>
            <w:pPr>
              <w:spacing w:after="0"/>
              <w:rPr>
                <w:sz w:val="24"/>
                <w:szCs w:val="24"/>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6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w:t>
            </w:r>
          </w:p>
        </w:tc>
        <w:tc>
          <w:tcPr>
            <w:tcW w:w="3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17,280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26,948</w:t>
            </w:r>
          </w:p>
        </w:tc>
        <w:tc>
          <w:tcPr>
            <w:tcW w:w="30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w:t>
            </w:r>
          </w:p>
        </w:tc>
        <w:tc>
          <w:tcPr>
            <w:tcW w:w="100" w:type="dxa"/>
            <w:vAlign w:val="bottom"/>
            <w:tcBorders>
              <w:top w:val="single" w:sz="8" w:color="CFF0FC"/>
            </w:tcBorders>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(11,707 )</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(8,896 )</w:t>
            </w:r>
          </w:p>
        </w:tc>
      </w:tr>
      <w:tr>
        <w:trPr>
          <w:trHeight w:val="223"/>
        </w:trPr>
        <w:tc>
          <w:tcPr>
            <w:tcW w:w="774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15,241</w:t>
            </w: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6144260</wp:posOffset>
            </wp:positionH>
            <wp:positionV relativeFrom="paragraph">
              <wp:posOffset>-2157095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-2139950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-2157095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-478790</wp:posOffset>
            </wp:positionV>
            <wp:extent cx="7683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7683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4" w:lineRule="exact"/>
        <w:rPr>
          <w:sz w:val="20"/>
          <w:szCs w:val="20"/>
          <w:color w:val="auto"/>
        </w:rPr>
      </w:pPr>
    </w:p>
    <w:p>
      <w:pPr>
        <w:ind w:right="240" w:firstLine="8"/>
        <w:spacing w:after="0" w:line="256"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nine months ended September 30, 2023, accumulated depreciation and amortization expense included $123 thousand of computer disposals and $234 thousand of foreign currency translation adjustments. For the nine months ended September 30, 2022, accumulated depreciation and amortization expense included $9 thousand of computer disposals and $271 thousand of foreign currency translation adjustments.</w:t>
      </w:r>
    </w:p>
    <w:p>
      <w:pPr>
        <w:spacing w:after="0" w:line="151"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Depreciation and amortization expense for the three months ended September 30, 2023 and 2022 was $1.1 million and $1.4 million, respectively. Depreciation and amortization expense for the nine months ended September 30, 2023 and 2022 was $3.2 million and $2.9 million, respectively.</w:t>
      </w:r>
    </w:p>
    <w:p>
      <w:pPr>
        <w:spacing w:after="0" w:line="14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capitalized $4.1 million and $5.7 million in costs related to internal-use software during the nine months ended September 30, 2023 and the year ended December 31, 2022, respectively. Software developed for internal use is amortized on a straight-line basis over its estimated useful life of five years.</w:t>
      </w:r>
    </w:p>
    <w:p>
      <w:pPr>
        <w:spacing w:after="0" w:line="143"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As of September 30, 2023 and December 31, 2022, the carrying value of internal-use software was $12.7 million and $10.6 million, respectively. Amortization expense related to internal-use software for the three months ended September 30, 2023 and 2022 was $0.7 million and $0.5 million, respectively. Amortization expense related to internal-use software for the nine months ended September 30, 2023 and 2022 was $2.0 million and $1.2 million, respectively.</w:t>
      </w:r>
    </w:p>
    <w:p>
      <w:pPr>
        <w:spacing w:after="0" w:line="1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Cohort Go</w:t>
      </w:r>
    </w:p>
    <w:p>
      <w:pPr>
        <w:spacing w:after="0" w:line="181"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66"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During the fourth quarter of 2022, the cash consideration, net of cash acquired and the purchase price allocation was adjusted to reflect a working capital true-up and a change to the deferred tax liability, which was due to additional tax basis associated with the acquired technology intangible asset. This resulted in a $0.2 million increase in the cash</w:t>
      </w:r>
    </w:p>
    <w:p>
      <w:pPr>
        <w:sectPr>
          <w:pgSz w:w="11900" w:h="16838" w:orient="portrait"/>
          <w:cols w:equalWidth="0" w:num="1">
            <w:col w:w="11240"/>
          </w:cols>
          <w:pgMar w:left="320" w:top="126" w:right="3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consideration, net of cash acquired, a $1.4 million decrease to deferred tax liability and a $1.2 million decrease to goodwill from the quarter ended September 30, 2022 to the year ended December 31, 2022. The adjusted purchase price allocation is reflected in the consolidated balance sheet as of December 31, 2022 and purchase price allocation below.</w:t>
      </w:r>
    </w:p>
    <w:p>
      <w:pPr>
        <w:spacing w:after="0" w:line="156" w:lineRule="exact"/>
        <w:rPr>
          <w:sz w:val="20"/>
          <w:szCs w:val="20"/>
          <w:color w:val="auto"/>
        </w:rPr>
      </w:pPr>
    </w:p>
    <w:p>
      <w:pPr>
        <w:ind w:right="760" w:firstLine="509"/>
        <w:spacing w:after="0" w:line="259" w:lineRule="auto"/>
        <w:rPr>
          <w:sz w:val="20"/>
          <w:szCs w:val="20"/>
          <w:color w:val="auto"/>
        </w:rPr>
      </w:pPr>
      <w:r>
        <w:rPr>
          <w:rFonts w:ascii="Arial" w:cs="Arial" w:eastAsia="Arial" w:hAnsi="Arial"/>
          <w:sz w:val="18"/>
          <w:szCs w:val="18"/>
          <w:color w:val="auto"/>
        </w:rPr>
        <w:t>Pursuant to the terms of the business combination agreement, the Company acquired Cohort Go for estimated total purchase consideration of $33.0 million or $23.1 million, net of cash acquired, which consisted of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17,140</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Estimated fair value of shares of common stock</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r>
      <w:tr>
        <w:trPr>
          <w:trHeight w:val="22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23,122</w:t>
            </w:r>
          </w:p>
        </w:tc>
        <w:tc>
          <w:tcPr>
            <w:tcW w:w="10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Contingent consideration, which totaled up to $1.7 million, represented additional payments that Flywire was required to make which were dependent upon Cohort Go's achievement of specific post-acquisition milestones and were subject to exchange rate fluctuation adjustment between the U.S. Dollar and Australian Dollar. During March 2023, the Company made a payment of contingent consideration of $1.7 million, in the form of cash, based on Cohort Go's successful and timely achievement of the contracted milestones. No additional contingent consideration is due or payable with respect to the Cohort Go acquisition.</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receivable from payment partners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19"/>
                <w:szCs w:val="19"/>
                <w:color w:val="auto"/>
              </w:rPr>
            </w:pPr>
          </w:p>
        </w:tc>
      </w:tr>
      <w:tr>
        <w:trPr>
          <w:trHeight w:val="22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payable to clients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r>
      <w:tr>
        <w:trPr>
          <w:trHeight w:val="22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2" w:lineRule="exact"/>
        <w:rPr>
          <w:sz w:val="20"/>
          <w:szCs w:val="20"/>
          <w:color w:val="auto"/>
        </w:rPr>
      </w:pPr>
    </w:p>
    <w:p>
      <w:pPr>
        <w:ind w:right="480" w:firstLine="509"/>
        <w:spacing w:after="0" w:line="247" w:lineRule="auto"/>
        <w:rPr>
          <w:sz w:val="20"/>
          <w:szCs w:val="20"/>
          <w:color w:val="auto"/>
        </w:rPr>
      </w:pPr>
      <w:r>
        <w:rPr>
          <w:rFonts w:ascii="Arial" w:cs="Arial" w:eastAsia="Arial" w:hAnsi="Arial"/>
          <w:sz w:val="18"/>
          <w:szCs w:val="18"/>
          <w:color w:val="auto"/>
        </w:rPr>
        <w:t>Goodwill arising from the acquisition of $16.2 million was attributable to the assembled workforce of Cohort Go and the synergies expected to arise from the acquisition. The Company expects that no goodwill from this acquisition will be deductible for income tax purposes.</w:t>
      </w:r>
    </w:p>
    <w:p>
      <w:pPr>
        <w:spacing w:after="0" w:line="156"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The following table reflects the estimated fair values of the identified intangible assets of Cohort Go and their respective weighted-average estimated amortization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Values</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r>
      <w:tr>
        <w:trPr>
          <w:trHeight w:val="189"/>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Agent and customer relationships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63"/>
        </w:trPr>
        <w:tc>
          <w:tcPr>
            <w:tcW w:w="78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22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2"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The results of Cohort Go have been included in the consolidated financial statements since the date of the acquisition. Cohort Go contributed $5.2 million in transaction revenue and $2.5 million in platform revenue during the three months ended September 30, 2023 and $13.0 million in transaction revenue and $8.0 million in platform revenue during the nine months ended September 30, 2023. Cohort Go contributed $3.5 million in transaction revenue and $1.6 million 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platform revenue during the three and nine months ended September 30, 2022.The Company has not disclosed net income or loss since the acquisition date as the business was fully integrated into the consolidated Company’s operations and therefore it was impracticable to determine this amount.</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and nine months ended September 30, 2022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 combined historical financial information of the Company and Cohort Go, which includes incremental amortization expense associated with the estimated fair value of identified intangible assets and adjustment to eliminate transaction costs associated with the acquisition.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r>
      <w:tr>
        <w:trPr>
          <w:trHeight w:val="182"/>
        </w:trPr>
        <w:tc>
          <w:tcPr>
            <w:tcW w:w="5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98"/>
              </w:rPr>
              <w:t>Actual</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r>
      <w:tr>
        <w:trPr>
          <w:trHeight w:val="182"/>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101,355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216,322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231,446</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(4,272 )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(3,150 )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(38,218 )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(35,380 )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WPM</w:t>
      </w:r>
    </w:p>
    <w:p>
      <w:pPr>
        <w:spacing w:after="0" w:line="18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to further accelerate the Company's market share in the U.K. education sector. The acquisition of WPM was accounted for as a business combination.</w:t>
      </w:r>
    </w:p>
    <w:p>
      <w:pPr>
        <w:spacing w:after="0" w:line="15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Pursuant to the terms of the business combination agreement, the Company acquired all outstanding equity of WPM for estimated total purchase consideration of $59.6 million, which consisted of $56.1 million in cash, net of cash acquired and $3.5 million in estimated fair value of contingent consideration, which was dependent upon the Company's achievement of specified minimum payment volume targets and integration targets. Certain amounts were also tied to continued employment of key employees. There were no personnel costs associated with retention of key employees during the three months ended September 30, 2023. During the nine months ended September 30, 2023, the Company expensed $0.8 million in personnel costs associated with retention of key employees. A portion of these personnel costs has been paid through shares of Flywire common stock in January 2023 and July 2023 with the reminder anticipated to be paid in January 2024 (assuming no breach of the terms of relevant agreements). During the three and nine months ended September 30, 2022, the Company expensed $0.2 million and $0.7 million, respectively, in personnel costs associated with the retention portion of contingent consideration.</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Goodwill and Acquired Intangible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as of the dates presented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5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Goodwill related to acquisitions</w:t>
            </w: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(593 )</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(4,272 )</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338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97,173</w:t>
            </w: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80" w:type="dxa"/>
            <w:vAlign w:val="bottom"/>
            <w:vMerge w:val="restart"/>
          </w:tcPr>
          <w:p>
            <w:pPr>
              <w:jc w:val="right"/>
              <w:ind w:right="193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6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-521970</wp:posOffset>
            </wp:positionV>
            <wp:extent cx="6858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13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r>
      <w:tr>
        <w:trPr>
          <w:trHeight w:val="162"/>
        </w:trPr>
        <w:tc>
          <w:tcPr>
            <w:tcW w:w="1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Net Carrying</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r>
      <w:tr>
        <w:trPr>
          <w:trHeight w:val="189"/>
        </w:trPr>
        <w:tc>
          <w:tcPr>
            <w:tcW w:w="1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Value*</w:t>
            </w:r>
          </w:p>
        </w:tc>
        <w:tc>
          <w:tcPr>
            <w:tcW w:w="28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31,438</w:t>
            </w:r>
          </w:p>
        </w:tc>
        <w:tc>
          <w:tcPr>
            <w:tcW w:w="600" w:type="dxa"/>
            <w:vAlign w:val="bottom"/>
            <w:gridSpan w:val="2"/>
            <w:shd w:val="clear" w:color="auto" w:fill="CFF0FC"/>
          </w:tcPr>
          <w:p>
            <w:pPr>
              <w:jc w:val="right"/>
              <w:ind w:right="12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(19,925 )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(12,653 )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76,774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r>
      <w:tr>
        <w:trPr>
          <w:trHeight w:val="20"/>
        </w:trPr>
        <w:tc>
          <w:tcPr>
            <w:tcW w:w="1360" w:type="dxa"/>
            <w:vAlign w:val="bottom"/>
            <w:shd w:val="clear" w:color="auto" w:fill="CFF0FC"/>
          </w:tcPr>
          <w:p>
            <w:pPr>
              <w:spacing w:after="0" w:line="20" w:lineRule="exact"/>
              <w:rPr>
                <w:sz w:val="1"/>
                <w:szCs w:val="1"/>
                <w:color w:val="auto"/>
              </w:rPr>
            </w:pPr>
          </w:p>
        </w:tc>
        <w:tc>
          <w:tcPr>
            <w:tcW w:w="4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3"/>
        </w:trPr>
        <w:tc>
          <w:tcPr>
            <w:tcW w:w="1360" w:type="dxa"/>
            <w:vAlign w:val="bottom"/>
            <w:shd w:val="clear" w:color="auto" w:fill="CFF0FC"/>
          </w:tcPr>
          <w:p>
            <w:pPr>
              <w:spacing w:after="0"/>
              <w:rPr>
                <w:sz w:val="22"/>
                <w:szCs w:val="22"/>
                <w:color w:val="auto"/>
              </w:rPr>
            </w:pPr>
          </w:p>
        </w:tc>
        <w:tc>
          <w:tcPr>
            <w:tcW w:w="446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120,865</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(32,578 )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88,287</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115"/>
        </w:trPr>
        <w:tc>
          <w:tcPr>
            <w:tcW w:w="1360" w:type="dxa"/>
            <w:vAlign w:val="bottom"/>
            <w:tcBorders>
              <w:top w:val="single" w:sz="8" w:color="CFF0FC"/>
              <w:bottom w:val="single" w:sz="8" w:color="auto"/>
            </w:tcBorders>
          </w:tcPr>
          <w:p>
            <w:pPr>
              <w:spacing w:after="0"/>
              <w:rPr>
                <w:sz w:val="10"/>
                <w:szCs w:val="10"/>
                <w:color w:val="auto"/>
              </w:rPr>
            </w:pPr>
          </w:p>
        </w:tc>
        <w:tc>
          <w:tcPr>
            <w:tcW w:w="446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-119380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-102235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-273050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-119380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-102235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-273050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-119380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-102235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-273050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right="6600" w:firstLine="8"/>
        <w:spacing w:after="0" w:line="332"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$(4,063) thousand of foreign currency translation adjustments. ** Includes $222 thousand of foreign currency translation adjustments.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13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r>
      <w:tr>
        <w:trPr>
          <w:trHeight w:val="162"/>
        </w:trPr>
        <w:tc>
          <w:tcPr>
            <w:tcW w:w="1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r>
      <w:tr>
        <w:trPr>
          <w:trHeight w:val="189"/>
        </w:trPr>
        <w:tc>
          <w:tcPr>
            <w:tcW w:w="1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Value*</w:t>
            </w:r>
          </w:p>
        </w:tc>
        <w:tc>
          <w:tcPr>
            <w:tcW w:w="28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(15,429 )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90,612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(9,423 )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r>
      <w:tr>
        <w:trPr>
          <w:trHeight w:val="22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(461 )</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19"/>
                <w:szCs w:val="19"/>
                <w:color w:val="auto"/>
              </w:rPr>
            </w:pPr>
          </w:p>
        </w:tc>
      </w:tr>
      <w:tr>
        <w:trPr>
          <w:trHeight w:val="20"/>
        </w:trPr>
        <w:tc>
          <w:tcPr>
            <w:tcW w:w="1360" w:type="dxa"/>
            <w:vAlign w:val="bottom"/>
            <w:shd w:val="clear" w:color="auto" w:fill="CFF0FC"/>
          </w:tcPr>
          <w:p>
            <w:pPr>
              <w:spacing w:after="0" w:line="20" w:lineRule="exact"/>
              <w:rPr>
                <w:sz w:val="1"/>
                <w:szCs w:val="1"/>
                <w:color w:val="auto"/>
              </w:rPr>
            </w:pPr>
          </w:p>
        </w:tc>
        <w:tc>
          <w:tcPr>
            <w:tcW w:w="4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122,929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(25,313 )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97,616</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-281940</wp:posOffset>
            </wp:positionV>
            <wp:extent cx="76835"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-281940</wp:posOffset>
            </wp:positionV>
            <wp:extent cx="6858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-281940</wp:posOffset>
            </wp:positionV>
            <wp:extent cx="6858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9" w:lineRule="exact"/>
        <w:rPr>
          <w:sz w:val="20"/>
          <w:szCs w:val="20"/>
          <w:color w:val="auto"/>
        </w:rPr>
      </w:pPr>
    </w:p>
    <w:p>
      <w:pPr>
        <w:ind w:right="6600" w:firstLine="8"/>
        <w:spacing w:after="0" w:line="312"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$(3,416) thousand of foreign currency translation adjustments. ** Includes $154 thousand of foreign currency translation adjustments.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the three months ended September 30, 2023 and 2022 was $2.8 million and $2.0 million, respectively.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September 30, 2023 and 2022 was $8.6 million and $6.3 million, respectively.</w:t>
      </w:r>
    </w:p>
    <w:p>
      <w:pPr>
        <w:spacing w:after="0" w:line="159" w:lineRule="exact"/>
        <w:rPr>
          <w:sz w:val="20"/>
          <w:szCs w:val="20"/>
          <w:color w:val="auto"/>
        </w:rPr>
      </w:pPr>
    </w:p>
    <w:p>
      <w:pPr>
        <w:ind w:right="760" w:firstLine="509"/>
        <w:spacing w:after="0" w:line="259" w:lineRule="auto"/>
        <w:rPr>
          <w:sz w:val="20"/>
          <w:szCs w:val="20"/>
          <w:color w:val="auto"/>
        </w:rPr>
      </w:pPr>
      <w:r>
        <w:rPr>
          <w:rFonts w:ascii="Arial" w:cs="Arial" w:eastAsia="Arial" w:hAnsi="Arial"/>
          <w:sz w:val="18"/>
          <w:szCs w:val="18"/>
          <w:color w:val="auto"/>
        </w:rPr>
        <w:t>As of September 30, 2023, the estimated annual amortization expense of intangible assets for each of the next five years and thereafter is expected to be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center"/>
              <w:ind w:right="215"/>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center"/>
              <w:ind w:right="21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r>
      <w:tr>
        <w:trPr>
          <w:trHeight w:val="189"/>
        </w:trPr>
        <w:tc>
          <w:tcPr>
            <w:tcW w:w="9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r>
      <w:tr>
        <w:trPr>
          <w:trHeight w:val="22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of fiscal year 2023</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jc w:val="right"/>
              <w:ind w:right="869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8,854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jc w:val="right"/>
              <w:ind w:right="869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Pr>
          <w:p>
            <w:pPr>
              <w:spacing w:after="0"/>
              <w:rPr>
                <w:sz w:val="19"/>
                <w:szCs w:val="19"/>
                <w:color w:val="auto"/>
              </w:rPr>
            </w:pPr>
          </w:p>
        </w:tc>
      </w:tr>
      <w:tr>
        <w:trPr>
          <w:trHeight w:val="22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88,287</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Syndication Loan</w:t>
      </w:r>
    </w:p>
    <w:p>
      <w:pPr>
        <w:spacing w:after="0" w:line="18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July 29, 2021, the Company entered into a three-year senior secured revolving credit syndication loan with three banks for a total commitment of $50.0 million (Revolving Credit Facility). The Revolving Credit Facility includes a $5.0 million letter of credit sub-facility and a $5.0 million swingline sub -facility, with available borrowings under the Revolving Credit Facility reduced by the amount of any letters of credit and swingline borrowings outstanding from time to time. The Revolving Credit Facility is guaranteed by Flywire’s material domestic subsidiaries.</w:t>
      </w:r>
    </w:p>
    <w:p>
      <w:pPr>
        <w:spacing w:after="0" w:line="152" w:lineRule="exact"/>
        <w:rPr>
          <w:sz w:val="20"/>
          <w:szCs w:val="20"/>
          <w:color w:val="auto"/>
        </w:rPr>
      </w:pPr>
    </w:p>
    <w:p>
      <w:pPr>
        <w:jc w:val="center"/>
        <w:ind w:right="220"/>
        <w:spacing w:after="0" w:line="478" w:lineRule="auto"/>
        <w:rPr>
          <w:sz w:val="20"/>
          <w:szCs w:val="20"/>
          <w:color w:val="auto"/>
        </w:rPr>
      </w:pPr>
      <w:r>
        <w:rPr>
          <w:rFonts w:ascii="Arial" w:cs="Arial" w:eastAsia="Arial" w:hAnsi="Arial"/>
          <w:sz w:val="18"/>
          <w:szCs w:val="18"/>
          <w:color w:val="auto"/>
        </w:rPr>
        <w:t>The Revolving Credit Facility consists of Alternate Base Rate (ABR) loans or Eurodollar Borrowings, at the Company’s option.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840" w:firstLine="509"/>
        <w:spacing w:after="0" w:line="259" w:lineRule="auto"/>
        <w:rPr>
          <w:sz w:val="20"/>
          <w:szCs w:val="20"/>
          <w:color w:val="auto"/>
        </w:rPr>
      </w:pPr>
      <w:r>
        <w:rPr>
          <w:rFonts w:ascii="Arial" w:cs="Arial" w:eastAsia="Arial" w:hAnsi="Arial"/>
          <w:sz w:val="18"/>
          <w:szCs w:val="18"/>
          <w:color w:val="auto"/>
        </w:rPr>
        <w:t>On June 23, 2023, the Company executed the First Amendment to the Revolving Credit Facility to transition from the LIBOR benchmark rate to the SOFR benchmark rate effective June 30, 2023.</w:t>
      </w:r>
    </w:p>
    <w:p>
      <w:pPr>
        <w:spacing w:after="0" w:line="147" w:lineRule="exact"/>
        <w:rPr>
          <w:sz w:val="20"/>
          <w:szCs w:val="20"/>
          <w:color w:val="auto"/>
        </w:rPr>
      </w:pPr>
    </w:p>
    <w:p>
      <w:pPr>
        <w:ind w:right="260" w:firstLine="559"/>
        <w:spacing w:after="0" w:line="239" w:lineRule="auto"/>
        <w:rPr>
          <w:sz w:val="20"/>
          <w:szCs w:val="20"/>
          <w:color w:val="auto"/>
        </w:rPr>
      </w:pPr>
      <w:r>
        <w:rPr>
          <w:rFonts w:ascii="Arial" w:cs="Arial" w:eastAsia="Arial" w:hAnsi="Arial"/>
          <w:sz w:val="18"/>
          <w:szCs w:val="18"/>
          <w:color w:val="auto"/>
        </w:rPr>
        <w:t>In accordance with the First Amendment, ABR loans bear interest at the ABR plus the applicable rate. Eurodollar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the Company’s liquidity as of the most recent consolidated financial information and ranges from 0.75% to 2.25%.</w:t>
      </w:r>
    </w:p>
    <w:p>
      <w:pPr>
        <w:spacing w:after="0" w:line="15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Prior to the First Amendment, ABR loans borne interest at the ABR plus the applicable rate. Eurodollar Borrowings borne interest at the Adjusted LIBOR for the interest period plus the applicable rate. The ABR rate was based on the greatest of (a) the Prime Rate, (b) the Federal Funds Effective Rate plus 1/2 of 1%, or (c) the Adjusted LIBOR for a one-month interest period, plus 1%. The adjusted LIBOR was based on (x) the LIBOR for such interest period, multiplied by (y) the Statutory Reserve Rate. The applicable rate was based upon the Company’s liquidity as of the most recent consolidated financial information and ranged from 0.75% to 2.25%.</w:t>
      </w:r>
    </w:p>
    <w:p>
      <w:pPr>
        <w:spacing w:after="0" w:line="152"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 Revolving Credit Facility incurs a commitment fee ranging from 0.25% to 0.35% based upon the Company’s liquidity as of the most recent consolidated financial information assessed on the average undrawn portion of the available commitment.</w:t>
      </w:r>
    </w:p>
    <w:p>
      <w:pPr>
        <w:spacing w:after="0" w:line="14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September 30, 2023.</w:t>
      </w:r>
    </w:p>
    <w:p>
      <w:pPr>
        <w:spacing w:after="0" w:line="154" w:lineRule="exact"/>
        <w:rPr>
          <w:sz w:val="20"/>
          <w:szCs w:val="20"/>
          <w:color w:val="auto"/>
        </w:rPr>
      </w:pPr>
    </w:p>
    <w:p>
      <w:pPr>
        <w:jc w:val="both"/>
        <w:ind w:right="160" w:firstLine="509"/>
        <w:spacing w:after="0" w:line="261" w:lineRule="auto"/>
        <w:rPr>
          <w:sz w:val="20"/>
          <w:szCs w:val="20"/>
          <w:color w:val="auto"/>
        </w:rPr>
      </w:pPr>
      <w:r>
        <w:rPr>
          <w:rFonts w:ascii="Arial" w:cs="Arial" w:eastAsia="Arial" w:hAnsi="Arial"/>
          <w:sz w:val="17"/>
          <w:szCs w:val="17"/>
          <w:color w:val="auto"/>
        </w:rPr>
        <w:t>On July 29, 2021, the Company drew $25.9 million on the Revolving Credit Facility and used the proceeds to prepay its then existing Loan and Security Agreement of $25.0 million (LSA). In connection with the transaction, the Company incurred debt issuance costs of $0.3 million and debt discount of $0.1 million. Debt issuance costs and debt discount are amortized on a straight-line basis over the contractual term of the agreement and are presented as a component of other assets on the Company's condensed consolidated balance sheets.</w:t>
      </w:r>
    </w:p>
    <w:p>
      <w:pPr>
        <w:spacing w:after="0" w:line="134"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On October 28, 2022, the Company repaid the $25.9 million outstanding under the Revolving Credit Facility. Following the repayment, the Company continued to have access to a total commitment of $50.0 million under the Revolving Credit Facility. As of September 30, 2023 and December 31, 2022, there was no outstanding indebtedness under the Revolving Credit Facility.</w:t>
      </w:r>
    </w:p>
    <w:p>
      <w:pPr>
        <w:spacing w:after="0" w:line="15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Interest expense for the three months ended September 30, 2023 and 2022 was $0.1 million and $0.4 million, respectively. Included in interest expense for the three months ended September 30, 2023 and 2022 is $0.1 million and $0.1 million, respectively, of amortization of debt issuance cost and debt discount. Interest expense for the nine months ended September 30, 2023 and 2022 was $0.3 million and $0.9 million, respectively. Included in interest expense for the nine months ended September 30, 2023 and 2022 is $0.2 million and $0.2 million, respectively, of amortization of debt issuance cost and debt discount.</w:t>
      </w:r>
    </w:p>
    <w:p>
      <w:pPr>
        <w:spacing w:after="0" w:line="29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tab/>
        <w:t>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The Company’s current amended and restated certificate of incorporation, which became effective on May 28, 2021, authorizes the issuance of 10,000,000 shares of undesignated preferred stock with a par value of $0.0001 per share with rights and preferences, including voting rights, designated from time to time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66"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Public Offering</w:t>
      </w:r>
    </w:p>
    <w:p>
      <w:pPr>
        <w:spacing w:after="0" w:line="18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On August 14, 2023, the Company sold 8,000,000 shares of its voting common stock and on September 12, 2023, the Underwriters exercised the Underwriters’ Option in part and purchased an additional 500,000 shares of the Company's voting common stock, in each instance at a price to the public of $32.00 per share. The Company raised aggregate proceeds of $260.1 million, net of underwriter discounts and commissions of $10.9 million and other issuance costs of $1.1 million.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the Company had reserved shares of common stock for future issuance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60" w:type="dxa"/>
            <w:vAlign w:val="bottom"/>
          </w:tcPr>
          <w:p>
            <w:pPr>
              <w:spacing w:after="0"/>
              <w:rPr>
                <w:sz w:val="16"/>
                <w:szCs w:val="16"/>
                <w:color w:val="auto"/>
              </w:rPr>
            </w:pPr>
          </w:p>
        </w:tc>
        <w:tc>
          <w:tcPr>
            <w:tcW w:w="19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r>
      <w:tr>
        <w:trPr>
          <w:trHeight w:val="223"/>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9,731,117</w:t>
            </w:r>
          </w:p>
        </w:tc>
        <w:tc>
          <w:tcPr>
            <w:tcW w:w="100" w:type="dxa"/>
            <w:vAlign w:val="bottom"/>
            <w:shd w:val="clear" w:color="auto" w:fill="CFF0FC"/>
          </w:tcPr>
          <w:p>
            <w:pPr>
              <w:spacing w:after="0"/>
              <w:rPr>
                <w:sz w:val="19"/>
                <w:szCs w:val="19"/>
                <w:color w:val="auto"/>
              </w:rPr>
            </w:pP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1980" w:type="dxa"/>
            <w:vAlign w:val="bottom"/>
          </w:tcPr>
          <w:p>
            <w:pPr>
              <w:jc w:val="right"/>
              <w:spacing w:after="0"/>
              <w:rPr>
                <w:sz w:val="20"/>
                <w:szCs w:val="20"/>
                <w:color w:val="auto"/>
              </w:rPr>
            </w:pPr>
            <w:r>
              <w:rPr>
                <w:rFonts w:ascii="Arial" w:cs="Arial" w:eastAsia="Arial" w:hAnsi="Arial"/>
                <w:sz w:val="18"/>
                <w:szCs w:val="18"/>
                <w:color w:val="auto"/>
              </w:rPr>
              <w:t>4,484,511</w:t>
            </w:r>
          </w:p>
        </w:tc>
        <w:tc>
          <w:tcPr>
            <w:tcW w:w="100" w:type="dxa"/>
            <w:vAlign w:val="bottom"/>
          </w:tcPr>
          <w:p>
            <w:pPr>
              <w:spacing w:after="0"/>
              <w:rPr>
                <w:sz w:val="19"/>
                <w:szCs w:val="19"/>
                <w:color w:val="auto"/>
              </w:rPr>
            </w:pPr>
          </w:p>
        </w:tc>
      </w:tr>
      <w:tr>
        <w:trPr>
          <w:trHeight w:val="229"/>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14,956,868</w:t>
            </w:r>
          </w:p>
        </w:tc>
        <w:tc>
          <w:tcPr>
            <w:tcW w:w="100" w:type="dxa"/>
            <w:vAlign w:val="bottom"/>
            <w:shd w:val="clear" w:color="auto" w:fill="CFF0FC"/>
          </w:tcPr>
          <w:p>
            <w:pPr>
              <w:spacing w:after="0"/>
              <w:rPr>
                <w:sz w:val="19"/>
                <w:szCs w:val="19"/>
                <w:color w:val="auto"/>
              </w:rPr>
            </w:pP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1980" w:type="dxa"/>
            <w:vAlign w:val="bottom"/>
          </w:tcPr>
          <w:p>
            <w:pPr>
              <w:jc w:val="right"/>
              <w:spacing w:after="0"/>
              <w:rPr>
                <w:sz w:val="20"/>
                <w:szCs w:val="20"/>
                <w:color w:val="auto"/>
              </w:rPr>
            </w:pPr>
            <w:r>
              <w:rPr>
                <w:rFonts w:ascii="Arial" w:cs="Arial" w:eastAsia="Arial" w:hAnsi="Arial"/>
                <w:sz w:val="18"/>
                <w:szCs w:val="18"/>
                <w:color w:val="auto"/>
              </w:rPr>
              <w:t>3,856,785</w:t>
            </w:r>
          </w:p>
        </w:tc>
        <w:tc>
          <w:tcPr>
            <w:tcW w:w="100" w:type="dxa"/>
            <w:vAlign w:val="bottom"/>
          </w:tcPr>
          <w:p>
            <w:pPr>
              <w:spacing w:after="0"/>
              <w:rPr>
                <w:sz w:val="19"/>
                <w:szCs w:val="19"/>
                <w:color w:val="auto"/>
              </w:rPr>
            </w:pPr>
          </w:p>
        </w:tc>
      </w:tr>
      <w:tr>
        <w:trPr>
          <w:trHeight w:val="229"/>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Committed to Settling Earn-out Liabilities</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shd w:val="clear" w:color="auto" w:fill="CFF0FC"/>
          </w:tcPr>
          <w:p>
            <w:pPr>
              <w:spacing w:after="0"/>
              <w:rPr>
                <w:sz w:val="19"/>
                <w:szCs w:val="19"/>
                <w:color w:val="auto"/>
              </w:rPr>
            </w:pP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1,873,320</w:t>
            </w:r>
          </w:p>
        </w:tc>
        <w:tc>
          <w:tcPr>
            <w:tcW w:w="100" w:type="dxa"/>
            <w:vAlign w:val="bottom"/>
          </w:tcPr>
          <w:p>
            <w:pPr>
              <w:spacing w:after="0"/>
              <w:rPr>
                <w:sz w:val="19"/>
                <w:szCs w:val="19"/>
                <w:color w:val="auto"/>
              </w:rPr>
            </w:pPr>
          </w:p>
        </w:tc>
      </w:tr>
      <w:tr>
        <w:trPr>
          <w:trHeight w:val="263"/>
        </w:trPr>
        <w:tc>
          <w:tcPr>
            <w:tcW w:w="9160" w:type="dxa"/>
            <w:vAlign w:val="bottom"/>
            <w:tcBorders>
              <w:bottom w:val="single" w:sz="8" w:color="CFF0FC"/>
            </w:tcBorders>
            <w:shd w:val="clear" w:color="auto" w:fill="CFF0FC"/>
          </w:tcPr>
          <w:p>
            <w:pPr>
              <w:spacing w:after="0"/>
              <w:rPr>
                <w:sz w:val="22"/>
                <w:szCs w:val="22"/>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34,916,767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8"/>
          <w:szCs w:val="18"/>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4"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w:t>
      </w:r>
    </w:p>
    <w:p>
      <w:pPr>
        <w:spacing w:after="0" w:line="133"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3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19,988,330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As of September 30, 2023, a total of 14,956,868 shares of the Company's common stock were available for future issuance under the 2021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1" w:lineRule="exact"/>
        <w:rPr>
          <w:sz w:val="20"/>
          <w:szCs w:val="20"/>
          <w:color w:val="auto"/>
        </w:rPr>
      </w:pPr>
    </w:p>
    <w:p>
      <w:pPr>
        <w:jc w:val="both"/>
        <w:ind w:right="260" w:firstLine="509"/>
        <w:spacing w:after="0" w:line="247"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three and nine months ended September 30,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72"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As of September 30, 2023, there was $13.1 million of total unrecognized compensation expense related to unvested stock options, which is expected to be recognized over a weighted-average period of 1.51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81"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During 2018, the Company granted restricted stock awards to employees under the 2018 Plan. The restricted stock awards vested ratably over a four year period from the date of grant. The fair value of each restricted stock award was the estimated fair value of the common stock on the date of grant. All restricted stock awards were fully vested as of 2022.</w:t>
      </w:r>
    </w:p>
    <w:p>
      <w:pPr>
        <w:spacing w:after="0" w:line="15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Starting in 2021, the Company has awarded restricted stock units to employees and certain non-employee board members under the 2021 Plan. During the three and nine months ended September 30, 2023, the Company awarded restricted stock units covering an aggregate of 214,464 and 2,750,945 shares of common stock, respectively. The fair value of each restricted stock unit is estimated based on the fair value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52"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As of September 30, 2023, there was $97.2 million of total unrecognized compensation expense related to unvested restricted stock units, which is expected to be recognized over a weighted-average period of 3.12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3,797,245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the lesser of up to 15% of their eligible compensation or IRS limit. Offering periods are generally 6 months long.</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a total of 3,856,785 shares of the Company's common stock were available for future issuance under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15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fair value of the ESPP offering during the three months ended September 30, 2023 was estimated at the start of the offering period using the Black-Scholes option-pricing model with the following assumptions: (i) expected term of 0.5 years, (ii) expected volatility of 41.32%, (iii) risk-free interest rate of 5.53% and (iv) expected dividend yield of 0%.</w:t>
      </w:r>
    </w:p>
    <w:p>
      <w:pPr>
        <w:spacing w:after="0" w:line="156"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As of September 30, 2023, the total unrecognized compensation expense related to the ESPP was $0.3 million, which is expected to be amortized over the next 3 months.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94"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The following table summarizes the stock-based compensation expense for stock options, restricted stock units and ESPP granted to employees and non-employee board members that was recorded in the Company’s condensed consolidated statements of operations and comprehensive income (loss)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56"/>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56"/>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76"/>
              <w:spacing w:after="0"/>
              <w:rPr>
                <w:sz w:val="20"/>
                <w:szCs w:val="20"/>
                <w:color w:val="auto"/>
              </w:rPr>
            </w:pPr>
            <w:r>
              <w:rPr>
                <w:rFonts w:ascii="Arial" w:cs="Arial" w:eastAsia="Arial" w:hAnsi="Arial"/>
                <w:sz w:val="14"/>
                <w:szCs w:val="14"/>
                <w:b w:val="1"/>
                <w:bCs w:val="1"/>
                <w:color w:val="auto"/>
                <w:w w:val="98"/>
              </w:rPr>
              <w:t>Nine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76"/>
              <w:spacing w:after="0"/>
              <w:rPr>
                <w:sz w:val="20"/>
                <w:szCs w:val="20"/>
                <w:color w:val="auto"/>
              </w:rPr>
            </w:pPr>
            <w:r>
              <w:rPr>
                <w:rFonts w:ascii="Arial" w:cs="Arial" w:eastAsia="Arial" w:hAnsi="Arial"/>
                <w:sz w:val="14"/>
                <w:szCs w:val="14"/>
                <w:b w:val="1"/>
                <w:bCs w:val="1"/>
                <w:color w:val="auto"/>
                <w:w w:val="98"/>
              </w:rPr>
              <w:t>Nine</w:t>
            </w:r>
          </w:p>
        </w:tc>
        <w:tc>
          <w:tcPr>
            <w:tcW w:w="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r>
      <w:tr>
        <w:trPr>
          <w:trHeight w:val="189"/>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11,320</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8,529</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31,299</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22,461</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-179070</wp:posOffset>
            </wp:positionV>
            <wp:extent cx="6858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-179070</wp:posOffset>
            </wp:positionV>
            <wp:extent cx="6858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-179070</wp:posOffset>
            </wp:positionV>
            <wp:extent cx="6858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Net Income (Loss) per Share</w:t>
      </w:r>
    </w:p>
    <w:p>
      <w:pPr>
        <w:spacing w:after="0" w:line="194"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15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gain attributable to common stockholders for the three months ended September 30, 2023. The Company reported a net loss attributable to common stockholders for the three months ended September 30, 2022 and nine months ended September 30, 2023 and 2022, respectively. For the three months ended September 30, 2022 and nine months ended September 30, 2023 and 2022, respectively net loss per share attributable to common stockholders was the same as diluted net loss per share attributable to common stockholders.</w:t>
      </w:r>
    </w:p>
    <w:p>
      <w:pPr>
        <w:spacing w:after="0" w:line="15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63"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amounts):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58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Numerator:</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10,643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(4,272 )</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(9,853 )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(38,218 )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80"/>
              <w:spacing w:after="0" w:line="178" w:lineRule="exact"/>
              <w:rPr>
                <w:sz w:val="20"/>
                <w:szCs w:val="20"/>
                <w:color w:val="auto"/>
              </w:rPr>
            </w:pPr>
            <w:r>
              <w:rPr>
                <w:rFonts w:ascii="Arial" w:cs="Arial" w:eastAsia="Arial" w:hAnsi="Arial"/>
                <w:sz w:val="17"/>
                <w:szCs w:val="17"/>
                <w:color w:val="auto"/>
              </w:rPr>
              <w:t>Net income (loss) attributable to common stockholders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10,643</w:t>
            </w:r>
          </w:p>
        </w:tc>
        <w:tc>
          <w:tcPr>
            <w:tcW w:w="28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(4,272 )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(9,853 )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(38,218 )</w:t>
            </w: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ind w:left="420"/>
              <w:spacing w:after="0" w:line="180" w:lineRule="exact"/>
              <w:rPr>
                <w:sz w:val="20"/>
                <w:szCs w:val="20"/>
                <w:color w:val="auto"/>
              </w:rPr>
            </w:pPr>
            <w:r>
              <w:rPr>
                <w:rFonts w:ascii="Arial" w:cs="Arial" w:eastAsia="Arial" w:hAnsi="Arial"/>
                <w:sz w:val="17"/>
                <w:szCs w:val="17"/>
                <w:color w:val="auto"/>
              </w:rPr>
              <w:t>basic and diluted</w:t>
            </w:r>
          </w:p>
        </w:tc>
        <w:tc>
          <w:tcPr>
            <w:tcW w:w="14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Denominator:</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80"/>
              <w:spacing w:after="0"/>
              <w:rPr>
                <w:sz w:val="20"/>
                <w:szCs w:val="20"/>
                <w:color w:val="auto"/>
              </w:rPr>
            </w:pPr>
            <w:r>
              <w:rPr>
                <w:rFonts w:ascii="Arial" w:cs="Arial" w:eastAsia="Arial" w:hAnsi="Arial"/>
                <w:sz w:val="17"/>
                <w:szCs w:val="17"/>
                <w:color w:val="auto"/>
              </w:rPr>
              <w:t>Weighted average common shares outstanding – basic</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116,492,191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107,925,637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112,495,539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107,562,799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7"/>
                <w:szCs w:val="17"/>
                <w:color w:val="auto"/>
              </w:rPr>
              <w:t>Effect of potentially dilutive stock options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7,819,509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80"/>
              <w:spacing w:after="0"/>
              <w:rPr>
                <w:sz w:val="20"/>
                <w:szCs w:val="20"/>
                <w:color w:val="auto"/>
              </w:rPr>
            </w:pPr>
            <w:r>
              <w:rPr>
                <w:rFonts w:ascii="Arial" w:cs="Arial" w:eastAsia="Arial" w:hAnsi="Arial"/>
                <w:sz w:val="17"/>
                <w:szCs w:val="17"/>
                <w:color w:val="auto"/>
              </w:rPr>
              <w:t>Effect of potentially dilutive restricted common stock</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1,168,693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7"/>
                <w:szCs w:val="17"/>
                <w:color w:val="auto"/>
              </w:rPr>
              <w:t>Weighted average common shares outstanding – diluted</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125,480,393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107,925,637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112,495,539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107,562,799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820" w:type="dxa"/>
            <w:vAlign w:val="bottom"/>
            <w:shd w:val="clear" w:color="auto" w:fill="CFF0FC"/>
          </w:tcPr>
          <w:p>
            <w:pPr>
              <w:ind w:left="280"/>
              <w:spacing w:after="0" w:line="165" w:lineRule="exact"/>
              <w:rPr>
                <w:sz w:val="20"/>
                <w:szCs w:val="20"/>
                <w:color w:val="auto"/>
              </w:rPr>
            </w:pPr>
            <w:r>
              <w:rPr>
                <w:rFonts w:ascii="Arial" w:cs="Arial" w:eastAsia="Arial" w:hAnsi="Arial"/>
                <w:sz w:val="17"/>
                <w:szCs w:val="17"/>
                <w:color w:val="auto"/>
              </w:rPr>
              <w:t>Net income (loss) per share attributable to common</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0.09</w:t>
            </w:r>
          </w:p>
        </w:tc>
        <w:tc>
          <w:tcPr>
            <w:tcW w:w="28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(0.04 )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(0.09 )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(0.36 )</w:t>
            </w:r>
          </w:p>
        </w:tc>
        <w:tc>
          <w:tcPr>
            <w:tcW w:w="0" w:type="dxa"/>
            <w:vAlign w:val="bottom"/>
          </w:tcPr>
          <w:p>
            <w:pPr>
              <w:spacing w:after="0"/>
              <w:rPr>
                <w:sz w:val="1"/>
                <w:szCs w:val="1"/>
                <w:color w:val="auto"/>
              </w:rPr>
            </w:pPr>
          </w:p>
        </w:tc>
      </w:tr>
      <w:tr>
        <w:trPr>
          <w:trHeight w:val="200"/>
        </w:trPr>
        <w:tc>
          <w:tcPr>
            <w:tcW w:w="5820" w:type="dxa"/>
            <w:vAlign w:val="bottom"/>
            <w:shd w:val="clear" w:color="auto" w:fill="CFF0FC"/>
          </w:tcPr>
          <w:p>
            <w:pPr>
              <w:ind w:left="420"/>
              <w:spacing w:after="0" w:line="180" w:lineRule="exact"/>
              <w:rPr>
                <w:sz w:val="20"/>
                <w:szCs w:val="20"/>
                <w:color w:val="auto"/>
              </w:rPr>
            </w:pPr>
            <w:r>
              <w:rPr>
                <w:rFonts w:ascii="Arial" w:cs="Arial" w:eastAsia="Arial" w:hAnsi="Arial"/>
                <w:sz w:val="17"/>
                <w:szCs w:val="17"/>
                <w:color w:val="auto"/>
              </w:rPr>
              <w:t>stockholders – basic</w:t>
            </w:r>
          </w:p>
        </w:tc>
        <w:tc>
          <w:tcPr>
            <w:tcW w:w="14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24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820" w:type="dxa"/>
            <w:vAlign w:val="bottom"/>
          </w:tcPr>
          <w:p>
            <w:pPr>
              <w:ind w:left="280"/>
              <w:spacing w:after="0" w:line="165" w:lineRule="exact"/>
              <w:rPr>
                <w:sz w:val="20"/>
                <w:szCs w:val="20"/>
                <w:color w:val="auto"/>
              </w:rPr>
            </w:pPr>
            <w:r>
              <w:rPr>
                <w:rFonts w:ascii="Arial" w:cs="Arial" w:eastAsia="Arial" w:hAnsi="Arial"/>
                <w:sz w:val="17"/>
                <w:szCs w:val="17"/>
                <w:color w:val="auto"/>
              </w:rPr>
              <w:t>Net income (loss) per share attributable to common</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0.08</w:t>
            </w:r>
          </w:p>
        </w:tc>
        <w:tc>
          <w:tcPr>
            <w:tcW w:w="28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(0.04 )</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(0.09 )</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(0.36 )</w:t>
            </w:r>
          </w:p>
        </w:tc>
        <w:tc>
          <w:tcPr>
            <w:tcW w:w="0" w:type="dxa"/>
            <w:vAlign w:val="bottom"/>
          </w:tcPr>
          <w:p>
            <w:pPr>
              <w:spacing w:after="0"/>
              <w:rPr>
                <w:sz w:val="1"/>
                <w:szCs w:val="1"/>
                <w:color w:val="auto"/>
              </w:rPr>
            </w:pPr>
          </w:p>
        </w:tc>
      </w:tr>
      <w:tr>
        <w:trPr>
          <w:trHeight w:val="180"/>
        </w:trPr>
        <w:tc>
          <w:tcPr>
            <w:tcW w:w="5820" w:type="dxa"/>
            <w:vAlign w:val="bottom"/>
          </w:tcPr>
          <w:p>
            <w:pPr>
              <w:ind w:left="420"/>
              <w:spacing w:after="0" w:line="180" w:lineRule="exact"/>
              <w:rPr>
                <w:sz w:val="20"/>
                <w:szCs w:val="20"/>
                <w:color w:val="auto"/>
              </w:rPr>
            </w:pPr>
            <w:r>
              <w:rPr>
                <w:rFonts w:ascii="Arial" w:cs="Arial" w:eastAsia="Arial" w:hAnsi="Arial"/>
                <w:sz w:val="17"/>
                <w:szCs w:val="17"/>
                <w:color w:val="auto"/>
              </w:rPr>
              <w:t>stockholders – diluted</w:t>
            </w:r>
          </w:p>
        </w:tc>
        <w:tc>
          <w:tcPr>
            <w:tcW w:w="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-1249680</wp:posOffset>
            </wp:positionV>
            <wp:extent cx="271399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13990" cy="16256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-281940</wp:posOffset>
            </wp:positionV>
            <wp:extent cx="2713990" cy="2825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13990" cy="282575"/>
                    </a:xfrm>
                    <a:prstGeom prst="rect">
                      <a:avLst/>
                    </a:prstGeom>
                    <a:noFill/>
                  </pic:spPr>
                </pic:pic>
              </a:graphicData>
            </a:graphic>
          </wp:anchor>
        </w:drawing>
      </w:r>
    </w:p>
    <w:p>
      <w:pPr>
        <w:spacing w:after="0" w:line="14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Outstanding potentially dilutive securities, which were excluded from the diluted net income (loss) per share calculations because they would have been antidilutive were as follows as of the dates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60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58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9"/>
        </w:trPr>
        <w:tc>
          <w:tcPr>
            <w:tcW w:w="574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r>
      <w:tr>
        <w:trPr>
          <w:trHeight w:val="182"/>
        </w:trPr>
        <w:tc>
          <w:tcPr>
            <w:tcW w:w="57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40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38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42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restricted stock units</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28,757</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2,875,428</w:t>
            </w: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4,484,511</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2,875,428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7"/>
                <w:szCs w:val="17"/>
                <w:color w:val="auto"/>
              </w:rPr>
              <w:t>Stock options to purchase common stock</w:t>
            </w:r>
          </w:p>
        </w:tc>
        <w:tc>
          <w:tcPr>
            <w:tcW w:w="1200" w:type="dxa"/>
            <w:vAlign w:val="bottom"/>
          </w:tcPr>
          <w:p>
            <w:pPr>
              <w:jc w:val="right"/>
              <w:spacing w:after="0"/>
              <w:rPr>
                <w:sz w:val="20"/>
                <w:szCs w:val="20"/>
                <w:color w:val="auto"/>
              </w:rPr>
            </w:pPr>
            <w:r>
              <w:rPr>
                <w:rFonts w:ascii="Arial" w:cs="Arial" w:eastAsia="Arial" w:hAnsi="Arial"/>
                <w:sz w:val="17"/>
                <w:szCs w:val="17"/>
                <w:color w:val="auto"/>
              </w:rPr>
              <w:t>676,344</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12,722,639</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9,791,643</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12,722,639</w:t>
            </w:r>
          </w:p>
        </w:tc>
        <w:tc>
          <w:tcPr>
            <w:tcW w:w="10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705,101</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15,598,067</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14,276,154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15,598,067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7"/>
          <w:szCs w:val="17"/>
          <w:b w:val="1"/>
          <w:bCs w:val="1"/>
          <w:color w:val="auto"/>
        </w:rPr>
        <w:t>Income Taxes</w:t>
      </w:r>
    </w:p>
    <w:p>
      <w:pPr>
        <w:spacing w:after="0" w:line="1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recorded an income tax expense of $0.8 million and $1.3 million for the three months ended September 30, 2023 and 2022, respectively. The income tax expense for the three months ended September 30, 2023 and 2022 was primarily attributable to activity in the Company's foreign subsidiaries and U.S. state taxes. The Company recorded an income tax expense of $2.3 million and $2.9 million for the nine months ended September 30, 2023 and 2022, respectively. The income tax expense for the nine months ended September 30, 2023 and 2022 was primarily attributable to activity in the Company's foreign subsidiaries and U.S. state taxes.</w:t>
      </w:r>
    </w:p>
    <w:p>
      <w:pPr>
        <w:spacing w:after="0" w:line="15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Company’s effective tax rate differs from the U.S.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spacing w:after="0" w:line="165" w:lineRule="exact"/>
        <w:rPr>
          <w:sz w:val="20"/>
          <w:szCs w:val="20"/>
          <w:color w:val="auto"/>
        </w:rPr>
      </w:pPr>
    </w:p>
    <w:p>
      <w:pPr>
        <w:jc w:val="both"/>
        <w:ind w:right="240" w:firstLine="509"/>
        <w:spacing w:after="0" w:line="242"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September 30, 2023, the Company continues to maintain a full valuation allowance of the U.S. and United Kingdom net deferred tax assets.</w:t>
      </w:r>
    </w:p>
    <w:p>
      <w:pPr>
        <w:spacing w:after="0" w:line="15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On August 16, 2022, the Inflation Reduction Act of 2022 was signed into law. This legislation imposes a federal Corporate Alternative Minimum Tax among other tax law changes. The Inflation Reduction Act of 2022 was effective for Flywire for years beginning after December 31, 2022. The Company has completed its analysis of this legislation and it does not expect the Inflation Reduction Act of 2022 will have a material impact on the Company's tax liability.</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4" w:lineRule="exact"/>
        <w:rPr>
          <w:sz w:val="20"/>
          <w:szCs w:val="20"/>
          <w:color w:val="auto"/>
        </w:rPr>
      </w:pPr>
    </w:p>
    <w:p>
      <w:pPr>
        <w:ind w:right="340" w:firstLine="509"/>
        <w:spacing w:after="0" w:line="241"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the occurrence of liability is probable, the Company will disclose the nature of the contingency, and if estimable, will provide the likely amount of such loss or range of loss.</w:t>
      </w:r>
    </w:p>
    <w:p>
      <w:pPr>
        <w:spacing w:after="0" w:line="16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As of September 30, 2023,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4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the course of implementing geolocation data-based sanctions screening measures, the Company identified certain payments which, based on geolocation data, appear to have been initiated from Cuba, Iran, or Syria, in potential violation of applicable sanctions regimes. Although Flywire continues to evaluate whether these transactions constitute potential violations of the U.S. Department of the Treasury’s Office of Foreign Assets Controls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9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for the periods ended September 30, 2023 and December 31, 2022.</w:t>
      </w:r>
    </w:p>
    <w:p>
      <w:pPr>
        <w:spacing w:after="0" w:line="1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StudyLink Acquisition</w:t>
      </w:r>
    </w:p>
    <w:p>
      <w:pPr>
        <w:spacing w:after="0" w:line="194"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On November 3, 2023, Flywire through its Australian entity Flywire Pacific Pty Ltd acquired all of the issued and outstanding shares of Learning Information Systems Pty Ltd (StudyLink), an Australian-based software as a service (SaaS) company for an estimated total aggregate purchase price of approximately $38.8 million, consisting of approximately $34.9 million in cash and up to approximately $3.9 million in contingent consideration. Purchase consideration is also subject to certain adjustments as specified in the sale agreement, including a net working capital adjustment. The estimated total aggregate purchase price of approximately $38.8 million is subject to change based on the fair value of $3.9 million of contingent consideration that will be assessed in purchase accounting. The contingent consideration represents additional payments that Flywire may be required to make in the future dependent on the successful achievement of revenue and engineering implementation milestones, a portion of which can be paid in the form of cash or shares of common stock, at the Company's option and is subject to exchange rate fluctuation adjustment between the U.S. Dollar and Australian Dollar. Unvested stock awards, which are subject to continued employment, have been excluded from purchase consideration.</w:t>
      </w:r>
    </w:p>
    <w:p>
      <w:pPr>
        <w:spacing w:after="0" w:line="154"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Study 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is intended to accelerate the Company's global expansion in its education vertical.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 Transition Agreement</w:t>
      </w:r>
    </w:p>
    <w:p>
      <w:pPr>
        <w:spacing w:after="0" w:line="194"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On November 6, 2023, the Company and Michael Ellis, its Chief Financial Officer, entered into a Transition Agreement, as filed as exhibit 10.1 to this Quarterly Report on Form 10-Q .</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 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7"/>
          <w:szCs w:val="17"/>
          <w:i w:val="1"/>
          <w:iCs w:val="1"/>
          <w:color w:val="auto"/>
        </w:rPr>
        <w:t>Flywire Advantage</w:t>
      </w:r>
      <w:r>
        <w:rPr>
          <w:rFonts w:ascii="Arial" w:cs="Arial" w:eastAsia="Arial" w:hAnsi="Arial"/>
          <w:sz w:val="17"/>
          <w:szCs w:val="17"/>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39"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379210" cy="43065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79210" cy="430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74" w:lineRule="exact"/>
        <w:rPr>
          <w:sz w:val="20"/>
          <w:szCs w:val="20"/>
          <w:color w:val="auto"/>
        </w:rPr>
      </w:pPr>
    </w:p>
    <w:p>
      <w:pPr>
        <w:ind w:left="1020" w:right="160" w:hanging="504"/>
        <w:spacing w:after="0" w:line="24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 period-over-period from $7.0 billion during the three months ended September 30, 2022 to $8.9 billion during the three months ended September 30, 2023. We have grown our total payment volume by approximately 33% period-over-period from $14.0 billion during the nine months ended September 30, 2022 to $18.6 billion during the nine months ended September 30, 2023.</w:t>
      </w:r>
    </w:p>
    <w:p>
      <w:pPr>
        <w:spacing w:after="0" w:line="138" w:lineRule="exact"/>
        <w:rPr>
          <w:rFonts w:ascii="Arial" w:cs="Arial" w:eastAsia="Arial" w:hAnsi="Arial"/>
          <w:sz w:val="18"/>
          <w:szCs w:val="18"/>
          <w:color w:val="auto"/>
        </w:rPr>
      </w:pPr>
    </w:p>
    <w:p>
      <w:pPr>
        <w:jc w:val="both"/>
        <w:ind w:left="1020" w:right="60" w:hanging="504"/>
        <w:spacing w:after="0" w:line="25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130" w:lineRule="exact"/>
        <w:rPr>
          <w:rFonts w:ascii="Arial" w:cs="Arial" w:eastAsia="Arial" w:hAnsi="Arial"/>
          <w:sz w:val="18"/>
          <w:szCs w:val="18"/>
          <w:color w:val="auto"/>
        </w:rPr>
      </w:pPr>
    </w:p>
    <w:p>
      <w:pPr>
        <w:ind w:left="1020" w:right="120" w:hanging="504"/>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net promoter score (NPS) score of 62 in fiscal year 2022 demonstrates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affinity among our clients for our platform.</w:t>
      </w:r>
    </w:p>
    <w:p>
      <w:pPr>
        <w:spacing w:after="0" w:line="125" w:lineRule="exact"/>
        <w:rPr>
          <w:rFonts w:ascii="Arial" w:cs="Arial" w:eastAsia="Arial" w:hAnsi="Arial"/>
          <w:sz w:val="18"/>
          <w:szCs w:val="18"/>
          <w:color w:val="auto"/>
        </w:rPr>
      </w:pPr>
    </w:p>
    <w:p>
      <w:pPr>
        <w:ind w:left="1020" w:hanging="504"/>
        <w:spacing w:after="0" w:line="24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2022,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124%.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52" w:lineRule="exact"/>
        <w:rPr>
          <w:sz w:val="20"/>
          <w:szCs w:val="20"/>
          <w:color w:val="auto"/>
        </w:rPr>
      </w:pPr>
    </w:p>
    <w:p>
      <w:pPr>
        <w:ind w:right="480" w:firstLine="509"/>
        <w:spacing w:after="0" w:line="259" w:lineRule="auto"/>
        <w:rPr>
          <w:sz w:val="20"/>
          <w:szCs w:val="20"/>
          <w:color w:val="auto"/>
        </w:rPr>
      </w:pPr>
      <w:r>
        <w:rPr>
          <w:rFonts w:ascii="Arial" w:cs="Arial" w:eastAsia="Arial" w:hAnsi="Arial"/>
          <w:sz w:val="18"/>
          <w:szCs w:val="18"/>
          <w:color w:val="auto"/>
        </w:rPr>
        <w:t>As of September 30, 2023, we serve over 3,700 clients around the world. In education, we serve more than 2,700 institutions. In healthcare, we power more than 80 healthcare systems, including four of the top 10 healthcare systems in</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United States ranked by hospital size as of December 31, 2022. In our newer payment verticals of travel and business-to-business (B2B) payments, we have a growing portfolio of more than 800 clients as of September 30, 2023.</w:t>
      </w:r>
    </w:p>
    <w:p>
      <w:pPr>
        <w:spacing w:after="0" w:line="147"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approximately $18.1 billion and $18.6 billion in total payment volume during the year ended December 31, 2022 and nine months ended September 30, 2023, respectively. We generated revenue of $289.4 million and $201.1 million for the years ended December 31, 2022 and 2021, respectively, and incurred net losses of $39.3 million and $28.1 million, respectively, for the same years. We generated revenue of $302.5 million and $216.3 million for the nine months ended September 30, 2023 and 2022, respectively, and incurred net loss of $9.9 million and $38.2 million, respectively, for the same periods.</w:t>
      </w:r>
    </w:p>
    <w:p>
      <w:pPr>
        <w:spacing w:after="0" w:line="152"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5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Offering</w:t>
      </w:r>
    </w:p>
    <w:p>
      <w:pPr>
        <w:spacing w:after="0" w:line="18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On August 9, 2023, the Company entered into an Underwriting Agreement with Goldman Sachs &amp; Co. LLC, as the Representative of the several Underwriters, in connection with the offer and sale by the Company of 8,000,000 shares of voting common stock of the Company, par value $0.0001 per share, at a price to the public of $32.00 per share. Pursuant to the terms of the Underwriting Agreement, the Company granted the underwriters an option to purchase up to 1,200,000 additional shares of Common Stock.</w:t>
      </w:r>
    </w:p>
    <w:p>
      <w:pPr>
        <w:spacing w:after="0" w:line="15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On August 14, 2023, the Company sold 8,000,000 shares of its voting common stock and on September 12, 2023, the Underwriters exercised the Underwriters’ Option in part and purchased an additional 500,000 shares of the Company's voting common stock, in each instance at a price to the public of $32.00 per share. The Company raised aggregate proceeds of $260.1 million, net of underwriter discounts and commissions of $10.9 million and other issuance costs of $1.1 million.</w:t>
      </w:r>
    </w:p>
    <w:p>
      <w:pPr>
        <w:spacing w:after="0" w:line="16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voting common stock sold in the Public Offering was offered and sold by means of an effective registration statement on Form S-3ASR, including a preliminary prospectus filed with the U.S. SEC on August 9, 2023 (File No. 333-273835) and a final prospectus dated August 9,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July 2022, we acquired all of the issued and outstanding shares of Cohort Go for an estimated aggregate purchase consideration of $23.1 million, consisting of $17.1 million in cash, net of cash acquired, $4.3 million in shares of common stock and up to $1.7 million in contingent consideration. Contingent consideration represented additional payments that Flywire was required to make which was dependent upon Cohort Go's achievement of specific post-acquisition milestones and was subject to exchange rate fluctuation adjustment between the U.S. Dollar and Australian Dollar. During March 2023, the Company made a payment of contingent consideration in the form of cash of $1.7 million based on Cohort Go's successful and timely achievement of the contracted milestones. No additional contingent consideration is due or payable with respect to the Cohort Go acquisition. Cohort Go is an Australian-based education payments provider that simplifies the student recruitment process by bringing together students, agents and essential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student services such as health insurance into one platform. The acquisition of Cohort Go accelerated the growth of Flywire's agent related revenue and contributed to our global expansion. Cohort Go contributed $5.2 million in transaction revenue and $2.5 million in platform revenue during the three months ended September 30, 2023 and $13.0 million in transaction revenue and $8.0 million in platform revenue during the nine months ended September 30,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13" w:lineRule="exact"/>
        <w:rPr>
          <w:sz w:val="20"/>
          <w:szCs w:val="20"/>
          <w:color w:val="auto"/>
        </w:rPr>
      </w:pPr>
    </w:p>
    <w:p>
      <w:pPr>
        <w:ind w:right="200" w:firstLine="8"/>
        <w:spacing w:after="0" w:line="245"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fees and (iv) fees related to printing and mailing services which we consider to be ancillary to the solutions we provide to our clients.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8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To supplement our consolidated financial statements, which are prepared in accordance with generally accepted accounting principles in the United States (GAAP), we use certain non-GAAP financials measures. The following table sets forth our key operating metrics and non-GAAP measures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September 30,</w:t>
            </w:r>
          </w:p>
        </w:tc>
      </w:tr>
      <w:tr>
        <w:trPr>
          <w:trHeight w:val="18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5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Payment Volume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18,634.2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302.5</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185.4</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63.6 %</w:t>
            </w:r>
          </w:p>
        </w:tc>
        <w:tc>
          <w:tcPr>
            <w:tcW w:w="4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64.4 %</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61.3 %</w:t>
            </w:r>
          </w:p>
        </w:tc>
        <w:tc>
          <w:tcPr>
            <w:tcW w:w="2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61.7 %</w:t>
            </w: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Adjusted Gross Margin</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68.6 %</w:t>
            </w:r>
          </w:p>
        </w:tc>
        <w:tc>
          <w:tcPr>
            <w:tcW w:w="4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70.4 %</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66.7 %</w:t>
            </w:r>
          </w:p>
        </w:tc>
        <w:tc>
          <w:tcPr>
            <w:tcW w:w="2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68.7 %</w:t>
            </w: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(38.2 )</w:t>
            </w:r>
          </w:p>
        </w:tc>
        <w:tc>
          <w:tcPr>
            <w:tcW w:w="60" w:type="dxa"/>
            <w:vAlign w:val="bottom"/>
          </w:tcPr>
          <w:p>
            <w:pPr>
              <w:spacing w:after="0"/>
              <w:rPr>
                <w:sz w:val="19"/>
                <w:szCs w:val="19"/>
                <w:color w:val="auto"/>
              </w:rPr>
            </w:pPr>
          </w:p>
        </w:tc>
      </w:tr>
      <w:tr>
        <w:trPr>
          <w:trHeight w:val="229"/>
        </w:trPr>
        <w:tc>
          <w:tcPr>
            <w:tcW w:w="5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2"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For the three months ended September 30, 2023, transaction revenue and platform and usage-based fee revenue represented 84.8% and 15.2% of our revenue, respectively. For the three months ended September 30, 2023, transaction revenue and platform and usage-based fee revenue represented 88.4% and 11.6% of our total revenue less ancillary services, respectively. For the three months ended September 30, 2022, transaction revenue and platform and usage-based fee revenue represented 81.0% and 19.0% of our revenue, respectively. For the three months ended September 30, 2022, transaction revenue and platform and usage-based fee revenue represented 85.7% and 14.3% of our total revenue less ancillary services, respectively.</w:t>
      </w:r>
    </w:p>
    <w:p>
      <w:pPr>
        <w:spacing w:after="0" w:line="15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For the nine months ended September 30, 2023, transaction revenue and platform and usage-based fee revenue represented 81.9% and 18.1% of our revenue, respectively. For the nine months ended September 30, 2023, transaction revenue and platform and usage-based fee revenue represented 86.2% and 13.8% of our total revenue less ancillary services, respectively. For the nine months ended September 30, 2022, transaction revenue and platform and usage-based fee revenue represented 77.4% and 22.6% of our revenue, respectively. For the nine months ended September 30, 2022, transaction revenue and platform and usage-based fee revenue represented 83.1% and 16.9% of our total revenue less ancillary services, respectively.</w:t>
      </w:r>
    </w:p>
    <w:p>
      <w:pPr>
        <w:spacing w:after="0" w:line="16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For the three months ended September 30, 2023, our total payment volume was approximately $8.9 billion, consisting of $6.7 billion of total payment volume from transactions included in transaction revenue, and $2.2 billion of total payment volume from transactions included in platform and usage-based fee revenue. For the three months ended September 30, 2022, our total payment volume was approximately $7.0 billion, consisting of $4.8 billion of total payment volume from transactions included in transaction revenue, and $2.2 billion of total payment volume from transactions included in platform and usage-based fee revenue.</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For nine months ended September 30, 2023, our total payment volume was approximately $18.6 billion, consisting of $13.5 billion of total payment volume from transactions included in transaction revenue and $5.1 billion of total payment volume from transactions included in platform and usage-based fee revenue. For nine months ended September 30, 2022, our total payment volume was approximately $14.0 billion, consisting of $9.3 billion of total payment volume from transactions included in transaction revenue and $4.7 billion of total payment volume from transactions included in platform and usage-based fee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8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42"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Revenue Less Ancillary Services, Revenue Less Ancillary Services at Constant Currency, Adjusted Gross Profit, Adjusted Gross Margin and Adjusted EBITDA</w:t>
      </w:r>
    </w:p>
    <w:p>
      <w:pPr>
        <w:spacing w:after="0" w:line="11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use non -GAAP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6"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 GAAP financial measures include the following:</w:t>
      </w:r>
    </w:p>
    <w:p>
      <w:pPr>
        <w:spacing w:after="0" w:line="137" w:lineRule="exact"/>
        <w:rPr>
          <w:sz w:val="20"/>
          <w:szCs w:val="20"/>
          <w:color w:val="auto"/>
        </w:rPr>
      </w:pPr>
    </w:p>
    <w:p>
      <w:pPr>
        <w:ind w:left="1020" w:right="80" w:hanging="504"/>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52" w:lineRule="exact"/>
        <w:rPr>
          <w:rFonts w:ascii="Arial" w:cs="Arial" w:eastAsia="Arial" w:hAnsi="Arial"/>
          <w:sz w:val="18"/>
          <w:szCs w:val="18"/>
          <w:color w:val="auto"/>
        </w:rPr>
      </w:pPr>
    </w:p>
    <w:p>
      <w:pPr>
        <w:ind w:left="1020" w:hanging="504"/>
        <w:spacing w:after="0" w:line="24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at Constant Currency </w:t>
      </w:r>
      <w:r>
        <w:rPr>
          <w:rFonts w:ascii="Arial" w:cs="Arial" w:eastAsia="Arial" w:hAnsi="Arial"/>
          <w:sz w:val="18"/>
          <w:szCs w:val="18"/>
          <w:color w:val="auto"/>
        </w:rPr>
        <w:t>- Revenue Less Ancillary Services at Constant Currency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43" w:lineRule="exact"/>
        <w:rPr>
          <w:rFonts w:ascii="Arial" w:cs="Arial" w:eastAsia="Arial" w:hAnsi="Arial"/>
          <w:sz w:val="18"/>
          <w:szCs w:val="18"/>
          <w:color w:val="auto"/>
        </w:rPr>
      </w:pPr>
    </w:p>
    <w:p>
      <w:pPr>
        <w:ind w:left="1020" w:hanging="504"/>
        <w:spacing w:after="0" w:line="24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 related services, which are the primary services we provide to our clients.</w:t>
      </w:r>
    </w:p>
    <w:p>
      <w:pPr>
        <w:spacing w:after="0" w:line="143" w:lineRule="exact"/>
        <w:rPr>
          <w:rFonts w:ascii="Arial" w:cs="Arial" w:eastAsia="Arial" w:hAnsi="Arial"/>
          <w:sz w:val="18"/>
          <w:szCs w:val="18"/>
          <w:color w:val="auto"/>
        </w:rPr>
      </w:pPr>
    </w:p>
    <w:p>
      <w:pPr>
        <w:ind w:left="1020" w:right="6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Margin </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Our adjusted gross profit and adjusted gross margin for the three and nine months ended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September 30, 2022 were recast to conform to the updated methodology and are reflected herein for comparison purposes.</w:t>
      </w:r>
    </w:p>
    <w:p>
      <w:pPr>
        <w:spacing w:after="0" w:line="178" w:lineRule="exact"/>
        <w:rPr>
          <w:sz w:val="20"/>
          <w:szCs w:val="20"/>
          <w:color w:val="auto"/>
        </w:rPr>
      </w:pPr>
    </w:p>
    <w:p>
      <w:pPr>
        <w:ind w:left="1020" w:right="1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interest income, (iv) loss from the remeasurement of foreign currency,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53"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194"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The tables below provide reconciliations of Revenue Less Ancillary Services, Revenue Less Ancillary Services at Constant Currency, Adjusted Gross Profit, Adjusted Gross Margin and Adjusted EBITDA to the most comparable GAAP figure on a consolidated basis for the periods presented. All amounts are rounded to the nearest million. As a result, certain amounts may not recalculate using the rounded amounts provided.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(5.2 )</w:t>
            </w: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(5.4 )</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(15.4 )</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7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(0.9 )</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000" w:type="dxa"/>
            <w:vAlign w:val="bottom"/>
            <w:tcBorders>
              <w:bottom w:val="single" w:sz="8" w:color="CFF0FC"/>
            </w:tcBorders>
            <w:gridSpan w:val="2"/>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Payment processing services costs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Hosting and amortization costs within technology and</w:t>
            </w: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development expenses</w:t>
            </w: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117.1</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to:</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printing and mailing costs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(5.2 )</w:t>
            </w:r>
          </w:p>
        </w:tc>
        <w:tc>
          <w:tcPr>
            <w:tcW w:w="7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(5.4 )</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(15.4 )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(1.3 )</w:t>
            </w: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(0.9 )</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(1.8 )</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depreciation and amortization</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(1.7 )</w:t>
            </w:r>
          </w:p>
        </w:tc>
        <w:tc>
          <w:tcPr>
            <w:tcW w:w="7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Cost of Revenue</w:t>
            </w:r>
          </w:p>
        </w:tc>
        <w:tc>
          <w:tcPr>
            <w:tcW w:w="1000" w:type="dxa"/>
            <w:vAlign w:val="bottom"/>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185.4</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63.6 %</w:t>
            </w: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64.4 %</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61.3 %</w:t>
            </w:r>
          </w:p>
        </w:tc>
        <w:tc>
          <w:tcPr>
            <w:tcW w:w="2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Adjusted Gross Profit</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62.6</w:t>
            </w:r>
          </w:p>
        </w:tc>
        <w:tc>
          <w:tcPr>
            <w:tcW w:w="26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190.4</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Gross Margin</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68.6 %</w:t>
            </w: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70.4 %</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66.7 %</w:t>
            </w:r>
          </w:p>
        </w:tc>
        <w:tc>
          <w:tcPr>
            <w:tcW w:w="2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68.7 %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-2336800</wp:posOffset>
            </wp:positionV>
            <wp:extent cx="271399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13990" cy="17145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-1899920</wp:posOffset>
            </wp:positionV>
            <wp:extent cx="76835"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-1899920</wp:posOffset>
            </wp:positionV>
            <wp:extent cx="6858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-1899920</wp:posOffset>
            </wp:positionV>
            <wp:extent cx="6858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132320" cy="4883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5"/>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September 30, 2023</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September 30, 2022</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rPr>
              <w:t>Platform</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3"/>
                <w:szCs w:val="13"/>
                <w:b w:val="1"/>
                <w:bCs w:val="1"/>
                <w:color w:val="auto"/>
              </w:rPr>
              <w:t>and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3"/>
                <w:szCs w:val="13"/>
                <w:b w:val="1"/>
                <w:bCs w:val="1"/>
                <w:color w:val="auto"/>
              </w:rPr>
              <w:t>Usage-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233"/>
              <w:spacing w:after="0"/>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1160" w:type="dxa"/>
            <w:vAlign w:val="bottom"/>
            <w:gridSpan w:val="4"/>
            <w:vMerge w:val="restart"/>
          </w:tcPr>
          <w:p>
            <w:pPr>
              <w:jc w:val="right"/>
              <w:ind w:right="500"/>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2"/>
                <w:szCs w:val="12"/>
                <w:color w:val="auto"/>
              </w:rPr>
            </w:pPr>
          </w:p>
        </w:tc>
        <w:tc>
          <w:tcPr>
            <w:tcW w:w="880" w:type="dxa"/>
            <w:vAlign w:val="bottom"/>
            <w:gridSpan w:val="2"/>
            <w:vMerge w:val="restart"/>
          </w:tcPr>
          <w:p>
            <w:pPr>
              <w:jc w:val="right"/>
              <w:ind w:right="35"/>
              <w:spacing w:after="0"/>
              <w:rPr>
                <w:sz w:val="20"/>
                <w:szCs w:val="20"/>
                <w:color w:val="auto"/>
              </w:rPr>
            </w:pPr>
            <w:r>
              <w:rPr>
                <w:rFonts w:ascii="Arial" w:cs="Arial" w:eastAsia="Arial" w:hAnsi="Arial"/>
                <w:sz w:val="13"/>
                <w:szCs w:val="13"/>
                <w:b w:val="1"/>
                <w:bCs w:val="1"/>
                <w:color w:val="auto"/>
              </w:rPr>
              <w:t>Transaction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3"/>
                <w:szCs w:val="13"/>
                <w:b w:val="1"/>
                <w:bCs w:val="1"/>
                <w:color w:val="auto"/>
              </w:rPr>
              <w:t>Based</w:t>
            </w:r>
          </w:p>
        </w:tc>
        <w:tc>
          <w:tcPr>
            <w:tcW w:w="140" w:type="dxa"/>
            <w:vAlign w:val="bottom"/>
          </w:tcPr>
          <w:p>
            <w:pPr>
              <w:spacing w:after="0"/>
              <w:rPr>
                <w:sz w:val="12"/>
                <w:szCs w:val="12"/>
                <w:color w:val="auto"/>
              </w:rPr>
            </w:pPr>
          </w:p>
        </w:tc>
        <w:tc>
          <w:tcPr>
            <w:tcW w:w="114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Fee</w:t>
            </w: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123.3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77.1</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Adjusted to exclude gross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40" w:type="dxa"/>
            <w:vAlign w:val="bottom"/>
            <w:gridSpan w:val="2"/>
            <w:shd w:val="clear" w:color="auto" w:fill="CFF0FC"/>
          </w:tcPr>
          <w:p>
            <w:pPr>
              <w:ind w:left="280"/>
              <w:spacing w:after="0" w:line="186" w:lineRule="exact"/>
              <w:rPr>
                <w:sz w:val="20"/>
                <w:szCs w:val="20"/>
                <w:color w:val="auto"/>
              </w:rPr>
            </w:pPr>
            <w:r>
              <w:rPr>
                <w:rFonts w:ascii="Arial" w:cs="Arial" w:eastAsia="Arial" w:hAnsi="Arial"/>
                <w:sz w:val="17"/>
                <w:szCs w:val="17"/>
                <w:color w:val="auto"/>
              </w:rPr>
              <w:t>Pass-through cost for</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4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(5.2 )</w:t>
            </w:r>
          </w:p>
        </w:tc>
        <w:tc>
          <w:tcPr>
            <w:tcW w:w="18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(5.2 )</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(5.4 )</w:t>
            </w: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120" w:type="dxa"/>
            <w:vAlign w:val="bottom"/>
          </w:tcPr>
          <w:p>
            <w:pPr>
              <w:spacing w:after="0"/>
              <w:rPr>
                <w:sz w:val="18"/>
                <w:szCs w:val="18"/>
                <w:color w:val="auto"/>
              </w:rPr>
            </w:pPr>
          </w:p>
        </w:tc>
        <w:tc>
          <w:tcPr>
            <w:tcW w:w="1080" w:type="dxa"/>
            <w:vAlign w:val="bottom"/>
            <w:gridSpan w:val="2"/>
          </w:tcPr>
          <w:p>
            <w:pPr>
              <w:jc w:val="right"/>
              <w:ind w:right="33"/>
              <w:spacing w:after="0"/>
              <w:rPr>
                <w:sz w:val="20"/>
                <w:szCs w:val="20"/>
                <w:color w:val="auto"/>
              </w:rPr>
            </w:pPr>
            <w:r>
              <w:rPr>
                <w:rFonts w:ascii="Arial" w:cs="Arial" w:eastAsia="Arial" w:hAnsi="Arial"/>
                <w:sz w:val="17"/>
                <w:szCs w:val="17"/>
                <w:color w:val="auto"/>
              </w:rPr>
              <w:t>(1.3 )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7"/>
                <w:szCs w:val="17"/>
                <w:color w:val="auto"/>
              </w:rPr>
              <w:t>(1.3 )</w:t>
            </w:r>
          </w:p>
        </w:tc>
        <w:tc>
          <w:tcPr>
            <w:tcW w:w="120" w:type="dxa"/>
            <w:vAlign w:val="bottom"/>
          </w:tcPr>
          <w:p>
            <w:pPr>
              <w:spacing w:after="0"/>
              <w:rPr>
                <w:sz w:val="18"/>
                <w:szCs w:val="18"/>
                <w:color w:val="auto"/>
              </w:rPr>
            </w:pPr>
          </w:p>
        </w:tc>
        <w:tc>
          <w:tcPr>
            <w:tcW w:w="1100" w:type="dxa"/>
            <w:vAlign w:val="bottom"/>
            <w:gridSpan w:val="3"/>
          </w:tcPr>
          <w:p>
            <w:pPr>
              <w:jc w:val="right"/>
              <w:ind w:right="90"/>
              <w:spacing w:after="0"/>
              <w:rPr>
                <w:sz w:val="20"/>
                <w:szCs w:val="20"/>
                <w:color w:val="auto"/>
              </w:rPr>
            </w:pPr>
            <w:r>
              <w:rPr>
                <w:rFonts w:ascii="Arial" w:cs="Arial" w:eastAsia="Arial" w:hAnsi="Arial"/>
                <w:sz w:val="17"/>
                <w:szCs w:val="17"/>
                <w:color w:val="auto"/>
              </w:rPr>
              <w:t>(0.9 )</w:t>
            </w:r>
          </w:p>
        </w:tc>
        <w:tc>
          <w:tcPr>
            <w:tcW w:w="18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(0.9 )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40" w:type="dxa"/>
            <w:vAlign w:val="bottom"/>
            <w:gridSpan w:val="2"/>
            <w:shd w:val="clear" w:color="auto" w:fill="CFF0FC"/>
          </w:tcPr>
          <w:p>
            <w:pPr>
              <w:ind w:left="20"/>
              <w:spacing w:after="0" w:line="178" w:lineRule="exact"/>
              <w:rPr>
                <w:sz w:val="20"/>
                <w:szCs w:val="20"/>
                <w:color w:val="auto"/>
              </w:rPr>
            </w:pPr>
            <w:r>
              <w:rPr>
                <w:rFonts w:ascii="Arial" w:cs="Arial" w:eastAsia="Arial" w:hAnsi="Arial"/>
                <w:sz w:val="17"/>
                <w:szCs w:val="17"/>
                <w:color w:val="auto"/>
              </w:rPr>
              <w:t>Revenue Less Ancillary</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103.3</w:t>
            </w:r>
          </w:p>
        </w:tc>
        <w:tc>
          <w:tcPr>
            <w:tcW w:w="160" w:type="dxa"/>
            <w:vAlign w:val="bottom"/>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260" w:type="dxa"/>
            <w:vAlign w:val="bottom"/>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116.8</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76.2</w:t>
            </w:r>
          </w:p>
        </w:tc>
        <w:tc>
          <w:tcPr>
            <w:tcW w:w="220" w:type="dxa"/>
            <w:vAlign w:val="bottom"/>
            <w:vMerge w:val="restart"/>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88.9</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40" w:type="dxa"/>
            <w:vAlign w:val="bottom"/>
            <w:tcBorders>
              <w:bottom w:val="single" w:sz="8" w:color="CFF0FC"/>
            </w:tcBorders>
            <w:gridSpan w:val="2"/>
            <w:shd w:val="clear" w:color="auto" w:fill="CFF0FC"/>
          </w:tcPr>
          <w:p>
            <w:pPr>
              <w:ind w:left="160"/>
              <w:spacing w:after="0" w:line="180" w:lineRule="exact"/>
              <w:rPr>
                <w:sz w:val="20"/>
                <w:szCs w:val="20"/>
                <w:color w:val="auto"/>
              </w:rPr>
            </w:pPr>
            <w:r>
              <w:rPr>
                <w:rFonts w:ascii="Arial" w:cs="Arial" w:eastAsia="Arial" w:hAnsi="Arial"/>
                <w:sz w:val="17"/>
                <w:szCs w:val="17"/>
                <w:color w:val="auto"/>
              </w:rPr>
              <w:t>Services</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gridSpan w:val="3"/>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right w:val="single" w:sz="8" w:color="CFF0FC"/>
            </w:tcBorders>
            <w:gridSpan w:val="2"/>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xml:space="preserve">84.8 </w:t>
            </w:r>
            <w:r>
              <w:rPr>
                <w:rFonts w:ascii="Arial" w:cs="Arial" w:eastAsia="Arial" w:hAnsi="Arial"/>
                <w:sz w:val="17"/>
                <w:szCs w:val="17"/>
                <w:color w:val="auto"/>
                <w:highlight w:val="white"/>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color w:val="auto"/>
                <w:highlight w:val="white"/>
              </w:rPr>
              <w:t>%</w:t>
            </w:r>
          </w:p>
        </w:tc>
        <w:tc>
          <w:tcPr>
            <w:tcW w:w="180" w:type="dxa"/>
            <w:vAlign w:val="bottom"/>
          </w:tcPr>
          <w:p>
            <w:pPr>
              <w:spacing w:after="0"/>
              <w:rPr>
                <w:sz w:val="17"/>
                <w:szCs w:val="17"/>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7"/>
                <w:szCs w:val="17"/>
                <w:color w:val="auto"/>
              </w:rPr>
              <w:t xml:space="preserve">100 </w:t>
            </w:r>
            <w:r>
              <w:rPr>
                <w:rFonts w:ascii="Arial" w:cs="Arial" w:eastAsia="Arial" w:hAnsi="Arial"/>
                <w:sz w:val="17"/>
                <w:szCs w:val="17"/>
                <w:color w:val="auto"/>
                <w:highlight w:val="white"/>
              </w:rPr>
              <w:t>%</w:t>
            </w:r>
          </w:p>
        </w:tc>
        <w:tc>
          <w:tcPr>
            <w:tcW w:w="1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color w:val="auto"/>
                <w:highlight w:val="white"/>
              </w:rPr>
              <w:t>%</w:t>
            </w:r>
          </w:p>
        </w:tc>
        <w:tc>
          <w:tcPr>
            <w:tcW w:w="18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 xml:space="preserve">19.0 </w:t>
            </w:r>
            <w:r>
              <w:rPr>
                <w:rFonts w:ascii="Arial" w:cs="Arial" w:eastAsia="Arial" w:hAnsi="Arial"/>
                <w:sz w:val="17"/>
                <w:szCs w:val="17"/>
                <w:color w:val="auto"/>
                <w:highlight w:val="white"/>
              </w:rPr>
              <w:t>%</w:t>
            </w:r>
          </w:p>
        </w:tc>
        <w:tc>
          <w:tcPr>
            <w:tcW w:w="1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 xml:space="preserve">100.0 </w:t>
            </w:r>
            <w:r>
              <w:rPr>
                <w:rFonts w:ascii="Arial" w:cs="Arial" w:eastAsia="Arial" w:hAnsi="Arial"/>
                <w:sz w:val="17"/>
                <w:szCs w:val="17"/>
                <w:color w:val="auto"/>
                <w:highlight w:val="white"/>
              </w:rPr>
              <w:t>%</w:t>
            </w: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Percentage of Revenue Less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Ancillary Services</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88.4 %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11.6 %</w:t>
            </w: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85.7 %</w:t>
            </w:r>
          </w:p>
        </w:tc>
        <w:tc>
          <w:tcPr>
            <w:tcW w:w="18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14.3 %</w:t>
            </w: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September 30, 2023</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September 30, 2022</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rPr>
              <w:t>Platform</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3"/>
                <w:szCs w:val="13"/>
                <w:b w:val="1"/>
                <w:bCs w:val="1"/>
                <w:color w:val="auto"/>
              </w:rPr>
              <w:t>and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3"/>
                <w:szCs w:val="13"/>
                <w:b w:val="1"/>
                <w:bCs w:val="1"/>
                <w:color w:val="auto"/>
              </w:rPr>
              <w:t>Usage-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233"/>
              <w:spacing w:after="0"/>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1160" w:type="dxa"/>
            <w:vAlign w:val="bottom"/>
            <w:gridSpan w:val="4"/>
            <w:vMerge w:val="restart"/>
          </w:tcPr>
          <w:p>
            <w:pPr>
              <w:jc w:val="right"/>
              <w:ind w:right="500"/>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2"/>
                <w:szCs w:val="12"/>
                <w:color w:val="auto"/>
              </w:rPr>
            </w:pPr>
          </w:p>
        </w:tc>
        <w:tc>
          <w:tcPr>
            <w:tcW w:w="880" w:type="dxa"/>
            <w:vAlign w:val="bottom"/>
            <w:gridSpan w:val="2"/>
            <w:vMerge w:val="restart"/>
          </w:tcPr>
          <w:p>
            <w:pPr>
              <w:jc w:val="right"/>
              <w:ind w:right="35"/>
              <w:spacing w:after="0"/>
              <w:rPr>
                <w:sz w:val="20"/>
                <w:szCs w:val="20"/>
                <w:color w:val="auto"/>
              </w:rPr>
            </w:pPr>
            <w:r>
              <w:rPr>
                <w:rFonts w:ascii="Arial" w:cs="Arial" w:eastAsia="Arial" w:hAnsi="Arial"/>
                <w:sz w:val="13"/>
                <w:szCs w:val="13"/>
                <w:b w:val="1"/>
                <w:bCs w:val="1"/>
                <w:color w:val="auto"/>
              </w:rPr>
              <w:t>Transaction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3"/>
                <w:szCs w:val="13"/>
                <w:b w:val="1"/>
                <w:bCs w:val="1"/>
                <w:color w:val="auto"/>
              </w:rPr>
              <w:t>Based</w:t>
            </w:r>
          </w:p>
        </w:tc>
        <w:tc>
          <w:tcPr>
            <w:tcW w:w="140" w:type="dxa"/>
            <w:vAlign w:val="bottom"/>
          </w:tcPr>
          <w:p>
            <w:pPr>
              <w:spacing w:after="0"/>
              <w:rPr>
                <w:sz w:val="12"/>
                <w:szCs w:val="12"/>
                <w:color w:val="auto"/>
              </w:rPr>
            </w:pPr>
          </w:p>
        </w:tc>
        <w:tc>
          <w:tcPr>
            <w:tcW w:w="114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Fee</w:t>
            </w: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302.5</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167.5</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216.3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Adjusted to exclude gross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40" w:type="dxa"/>
            <w:vAlign w:val="bottom"/>
            <w:gridSpan w:val="2"/>
            <w:shd w:val="clear" w:color="auto" w:fill="CFF0FC"/>
          </w:tcPr>
          <w:p>
            <w:pPr>
              <w:ind w:left="280"/>
              <w:spacing w:after="0" w:line="186" w:lineRule="exact"/>
              <w:rPr>
                <w:sz w:val="20"/>
                <w:szCs w:val="20"/>
                <w:color w:val="auto"/>
              </w:rPr>
            </w:pPr>
            <w:r>
              <w:rPr>
                <w:rFonts w:ascii="Arial" w:cs="Arial" w:eastAsia="Arial" w:hAnsi="Arial"/>
                <w:sz w:val="17"/>
                <w:szCs w:val="17"/>
                <w:color w:val="auto"/>
              </w:rPr>
              <w:t>Pass-through cost for</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4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(15.4 )</w:t>
            </w:r>
          </w:p>
        </w:tc>
        <w:tc>
          <w:tcPr>
            <w:tcW w:w="18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(15.4 )</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(15.1 )</w:t>
            </w: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120" w:type="dxa"/>
            <w:vAlign w:val="bottom"/>
          </w:tcPr>
          <w:p>
            <w:pPr>
              <w:spacing w:after="0"/>
              <w:rPr>
                <w:sz w:val="18"/>
                <w:szCs w:val="18"/>
                <w:color w:val="auto"/>
              </w:rPr>
            </w:pPr>
          </w:p>
        </w:tc>
        <w:tc>
          <w:tcPr>
            <w:tcW w:w="1080" w:type="dxa"/>
            <w:vAlign w:val="bottom"/>
            <w:gridSpan w:val="2"/>
          </w:tcPr>
          <w:p>
            <w:pPr>
              <w:jc w:val="right"/>
              <w:ind w:right="33"/>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7"/>
                <w:szCs w:val="17"/>
                <w:color w:val="auto"/>
              </w:rPr>
              <w:t>(1.8 )</w:t>
            </w:r>
          </w:p>
        </w:tc>
        <w:tc>
          <w:tcPr>
            <w:tcW w:w="120" w:type="dxa"/>
            <w:vAlign w:val="bottom"/>
          </w:tcPr>
          <w:p>
            <w:pPr>
              <w:spacing w:after="0"/>
              <w:rPr>
                <w:sz w:val="18"/>
                <w:szCs w:val="18"/>
                <w:color w:val="auto"/>
              </w:rPr>
            </w:pPr>
          </w:p>
        </w:tc>
        <w:tc>
          <w:tcPr>
            <w:tcW w:w="1100" w:type="dxa"/>
            <w:vAlign w:val="bottom"/>
            <w:gridSpan w:val="3"/>
          </w:tcPr>
          <w:p>
            <w:pPr>
              <w:jc w:val="right"/>
              <w:ind w:right="90"/>
              <w:spacing w:after="0"/>
              <w:rPr>
                <w:sz w:val="20"/>
                <w:szCs w:val="20"/>
                <w:color w:val="auto"/>
              </w:rPr>
            </w:pPr>
            <w:r>
              <w:rPr>
                <w:rFonts w:ascii="Arial" w:cs="Arial" w:eastAsia="Arial" w:hAnsi="Arial"/>
                <w:sz w:val="17"/>
                <w:szCs w:val="17"/>
                <w:color w:val="auto"/>
              </w:rPr>
              <w:t>(1.5 )</w:t>
            </w:r>
          </w:p>
        </w:tc>
        <w:tc>
          <w:tcPr>
            <w:tcW w:w="18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40" w:type="dxa"/>
            <w:vAlign w:val="bottom"/>
            <w:gridSpan w:val="2"/>
            <w:shd w:val="clear" w:color="auto" w:fill="CFF0FC"/>
          </w:tcPr>
          <w:p>
            <w:pPr>
              <w:ind w:left="20"/>
              <w:spacing w:after="0" w:line="178" w:lineRule="exact"/>
              <w:rPr>
                <w:sz w:val="20"/>
                <w:szCs w:val="20"/>
                <w:color w:val="auto"/>
              </w:rPr>
            </w:pPr>
            <w:r>
              <w:rPr>
                <w:rFonts w:ascii="Arial" w:cs="Arial" w:eastAsia="Arial" w:hAnsi="Arial"/>
                <w:sz w:val="17"/>
                <w:szCs w:val="17"/>
                <w:color w:val="auto"/>
              </w:rPr>
              <w:t>Revenue Less Ancillary</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245.9</w:t>
            </w:r>
          </w:p>
        </w:tc>
        <w:tc>
          <w:tcPr>
            <w:tcW w:w="160" w:type="dxa"/>
            <w:vAlign w:val="bottom"/>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39.4</w:t>
            </w:r>
          </w:p>
        </w:tc>
        <w:tc>
          <w:tcPr>
            <w:tcW w:w="260" w:type="dxa"/>
            <w:vAlign w:val="bottom"/>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285.3</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166.0</w:t>
            </w:r>
          </w:p>
        </w:tc>
        <w:tc>
          <w:tcPr>
            <w:tcW w:w="220" w:type="dxa"/>
            <w:vAlign w:val="bottom"/>
            <w:vMerge w:val="restart"/>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199.7</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40" w:type="dxa"/>
            <w:vAlign w:val="bottom"/>
            <w:tcBorders>
              <w:bottom w:val="single" w:sz="8" w:color="CFF0FC"/>
            </w:tcBorders>
            <w:gridSpan w:val="2"/>
            <w:shd w:val="clear" w:color="auto" w:fill="CFF0FC"/>
          </w:tcPr>
          <w:p>
            <w:pPr>
              <w:ind w:left="160"/>
              <w:spacing w:after="0" w:line="180" w:lineRule="exact"/>
              <w:rPr>
                <w:sz w:val="20"/>
                <w:szCs w:val="20"/>
                <w:color w:val="auto"/>
              </w:rPr>
            </w:pPr>
            <w:r>
              <w:rPr>
                <w:rFonts w:ascii="Arial" w:cs="Arial" w:eastAsia="Arial" w:hAnsi="Arial"/>
                <w:sz w:val="17"/>
                <w:szCs w:val="17"/>
                <w:color w:val="auto"/>
              </w:rPr>
              <w:t>Services</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gridSpan w:val="3"/>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right w:val="single" w:sz="8" w:color="CFF0FC"/>
            </w:tcBorders>
            <w:gridSpan w:val="2"/>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color w:val="auto"/>
                <w:highlight w:val="white"/>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color w:val="auto"/>
                <w:highlight w:val="white"/>
              </w:rPr>
              <w:t>%</w:t>
            </w:r>
          </w:p>
        </w:tc>
        <w:tc>
          <w:tcPr>
            <w:tcW w:w="180" w:type="dxa"/>
            <w:vAlign w:val="bottom"/>
          </w:tcPr>
          <w:p>
            <w:pPr>
              <w:spacing w:after="0"/>
              <w:rPr>
                <w:sz w:val="17"/>
                <w:szCs w:val="17"/>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7"/>
                <w:szCs w:val="17"/>
                <w:color w:val="auto"/>
              </w:rPr>
              <w:t xml:space="preserve">100 </w:t>
            </w:r>
            <w:r>
              <w:rPr>
                <w:rFonts w:ascii="Arial" w:cs="Arial" w:eastAsia="Arial" w:hAnsi="Arial"/>
                <w:sz w:val="17"/>
                <w:szCs w:val="17"/>
                <w:color w:val="auto"/>
                <w:highlight w:val="white"/>
              </w:rPr>
              <w:t>%</w:t>
            </w:r>
          </w:p>
        </w:tc>
        <w:tc>
          <w:tcPr>
            <w:tcW w:w="1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 xml:space="preserve">77.4 </w:t>
            </w:r>
            <w:r>
              <w:rPr>
                <w:rFonts w:ascii="Arial" w:cs="Arial" w:eastAsia="Arial" w:hAnsi="Arial"/>
                <w:sz w:val="17"/>
                <w:szCs w:val="17"/>
                <w:color w:val="auto"/>
                <w:highlight w:val="white"/>
              </w:rPr>
              <w:t>%</w:t>
            </w:r>
          </w:p>
        </w:tc>
        <w:tc>
          <w:tcPr>
            <w:tcW w:w="18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color w:val="auto"/>
                <w:highlight w:val="white"/>
              </w:rPr>
              <w:t>%</w:t>
            </w:r>
          </w:p>
        </w:tc>
        <w:tc>
          <w:tcPr>
            <w:tcW w:w="1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 xml:space="preserve">100.0 </w:t>
            </w:r>
            <w:r>
              <w:rPr>
                <w:rFonts w:ascii="Arial" w:cs="Arial" w:eastAsia="Arial" w:hAnsi="Arial"/>
                <w:sz w:val="17"/>
                <w:szCs w:val="17"/>
                <w:color w:val="auto"/>
                <w:highlight w:val="white"/>
              </w:rPr>
              <w:t>%</w:t>
            </w: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Percentage of Revenue Less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Ancillary Services</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86.2 %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13.8 %</w:t>
            </w: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83.1 %</w:t>
            </w:r>
          </w:p>
        </w:tc>
        <w:tc>
          <w:tcPr>
            <w:tcW w:w="18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16.9 %</w:t>
            </w: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395"/>
        </w:trPr>
        <w:tc>
          <w:tcPr>
            <w:tcW w:w="4840" w:type="dxa"/>
            <w:vAlign w:val="bottom"/>
            <w:gridSpan w:val="5"/>
          </w:tcPr>
          <w:p>
            <w:pPr>
              <w:spacing w:after="0"/>
              <w:rPr>
                <w:sz w:val="20"/>
                <w:szCs w:val="20"/>
                <w:color w:val="auto"/>
              </w:rPr>
            </w:pPr>
            <w:r>
              <w:rPr>
                <w:rFonts w:ascii="Arial" w:cs="Arial" w:eastAsia="Arial" w:hAnsi="Arial"/>
                <w:sz w:val="18"/>
                <w:szCs w:val="18"/>
                <w:i w:val="1"/>
                <w:iCs w:val="1"/>
                <w:color w:val="auto"/>
              </w:rPr>
              <w:t>Revenue Less Ancillary Services at Constant Currency:</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182"/>
        </w:trPr>
        <w:tc>
          <w:tcPr>
            <w:tcW w:w="36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Pr>
          <w:p>
            <w:pPr>
              <w:spacing w:after="0"/>
              <w:rPr>
                <w:sz w:val="19"/>
                <w:szCs w:val="19"/>
                <w:color w:val="auto"/>
              </w:rPr>
            </w:pPr>
          </w:p>
        </w:tc>
        <w:tc>
          <w:tcPr>
            <w:tcW w:w="220" w:type="dxa"/>
            <w:vAlign w:val="bottom"/>
          </w:tcPr>
          <w:p>
            <w:pPr>
              <w:jc w:val="right"/>
              <w:ind w:right="7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Ancillary services</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8"/>
                <w:szCs w:val="18"/>
                <w:color w:val="auto"/>
              </w:rPr>
              <w:t>(6.5 )</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(6.3 )</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Less Ancillary Services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520" w:type="dxa"/>
            <w:vAlign w:val="bottom"/>
          </w:tcPr>
          <w:p>
            <w:pPr>
              <w:jc w:val="right"/>
              <w:ind w:right="3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gridSpan w:val="5"/>
            <w:vMerge w:val="restart"/>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20" w:type="dxa"/>
            <w:vAlign w:val="bottom"/>
          </w:tcPr>
          <w:p>
            <w:pPr>
              <w:jc w:val="right"/>
              <w:ind w:right="3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9"/>
                <w:szCs w:val="19"/>
                <w:color w:val="auto"/>
              </w:rPr>
            </w:pPr>
          </w:p>
        </w:tc>
        <w:tc>
          <w:tcPr>
            <w:tcW w:w="220" w:type="dxa"/>
            <w:vAlign w:val="bottom"/>
          </w:tcPr>
          <w:p>
            <w:pPr>
              <w:jc w:val="right"/>
              <w:ind w:right="7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182"/>
        </w:trPr>
        <w:tc>
          <w:tcPr>
            <w:tcW w:w="36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302.5</w:t>
            </w:r>
          </w:p>
        </w:tc>
        <w:tc>
          <w:tcPr>
            <w:tcW w:w="280" w:type="dxa"/>
            <w:vAlign w:val="bottom"/>
          </w:tcPr>
          <w:p>
            <w:pPr>
              <w:spacing w:after="0"/>
              <w:rPr>
                <w:sz w:val="19"/>
                <w:szCs w:val="19"/>
                <w:color w:val="auto"/>
              </w:rPr>
            </w:pPr>
          </w:p>
        </w:tc>
        <w:tc>
          <w:tcPr>
            <w:tcW w:w="220" w:type="dxa"/>
            <w:vAlign w:val="bottom"/>
          </w:tcPr>
          <w:p>
            <w:pPr>
              <w:jc w:val="right"/>
              <w:ind w:right="7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Ancillary services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8"/>
                <w:szCs w:val="18"/>
                <w:color w:val="auto"/>
              </w:rPr>
              <w:t>(17.2 )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(16.6 )</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Less Ancillary Services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520" w:type="dxa"/>
            <w:vAlign w:val="bottom"/>
            <w:tcBorders>
              <w:bottom w:val="single" w:sz="8" w:color="auto"/>
            </w:tcBorders>
          </w:tcPr>
          <w:p>
            <w:pPr>
              <w:jc w:val="right"/>
              <w:ind w:right="3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5"/>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288.1</w:t>
            </w:r>
          </w:p>
        </w:tc>
        <w:tc>
          <w:tcPr>
            <w:tcW w:w="280" w:type="dxa"/>
            <w:vAlign w:val="bottom"/>
          </w:tcPr>
          <w:p>
            <w:pPr>
              <w:spacing w:after="0"/>
              <w:rPr>
                <w:sz w:val="19"/>
                <w:szCs w:val="19"/>
                <w:color w:val="auto"/>
              </w:rPr>
            </w:pPr>
          </w:p>
        </w:tc>
        <w:tc>
          <w:tcPr>
            <w:tcW w:w="220" w:type="dxa"/>
            <w:vAlign w:val="bottom"/>
          </w:tcPr>
          <w:p>
            <w:pPr>
              <w:jc w:val="right"/>
              <w:ind w:right="7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-5761990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-5761990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-5761990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-5761990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-5761990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-5761990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-5599430</wp:posOffset>
            </wp:positionV>
            <wp:extent cx="7132320" cy="2571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-3458845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-3458845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-3458845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-3458845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-3458845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-3295650</wp:posOffset>
            </wp:positionV>
            <wp:extent cx="7132320" cy="2571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-2422525</wp:posOffset>
            </wp:positionV>
            <wp:extent cx="713232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-2097405</wp:posOffset>
            </wp:positionV>
            <wp:extent cx="7132320" cy="10960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096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-847090</wp:posOffset>
            </wp:positionV>
            <wp:extent cx="7132320" cy="4965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4965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7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(4.3 )</w:t>
            </w: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(38.2 )</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23"/>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(25.2 )</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 and related taxes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(3.8 )</w:t>
            </w:r>
          </w:p>
        </w:tc>
        <w:tc>
          <w:tcPr>
            <w:tcW w:w="7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(7.7 )</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r>
      <w:tr>
        <w:trPr>
          <w:trHeight w:val="229"/>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from remeasurement of foreign currency</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24"/>
                <w:szCs w:val="24"/>
                <w:color w:val="auto"/>
                <w:vertAlign w:val="superscript"/>
              </w:rPr>
              <w:t>(1)</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(2)</w:t>
            </w:r>
          </w:p>
        </w:tc>
        <w:tc>
          <w:tcPr>
            <w:tcW w:w="7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(0.1 )</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76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18.2</w:t>
            </w:r>
          </w:p>
        </w:tc>
        <w:tc>
          <w:tcPr>
            <w:tcW w:w="2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855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Acquisition related transaction costs consisted of legal and advisory fees incurred in connection with the Cohort Go acquisition.</w:t>
      </w:r>
    </w:p>
    <w:p>
      <w:pPr>
        <w:spacing w:after="0" w:line="10" w:lineRule="exact"/>
        <w:rPr>
          <w:rFonts w:ascii="Arial" w:cs="Arial" w:eastAsia="Arial" w:hAnsi="Arial"/>
          <w:sz w:val="14"/>
          <w:szCs w:val="14"/>
          <w:color w:val="auto"/>
        </w:rPr>
      </w:pPr>
    </w:p>
    <w:p>
      <w:pPr>
        <w:ind w:left="520" w:right="380" w:hanging="512"/>
        <w:spacing w:after="0" w:line="257"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WPM and Simplificare's (Simplee) employees in connection with integration of the business. Simplee was acquired on February 13,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8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5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94"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50"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8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Israel and Hamas</w:t>
      </w:r>
    </w:p>
    <w:p>
      <w:pPr>
        <w:spacing w:after="0" w:line="1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has an office in Tel Aviv, Israel, which is one of the Company’s software development and product centers. As of the issuance date of these condensed consolidated financial statements, the conflict between Israel and Hamas has not had a material impact on the Company’s revenue, results of operations or financial position. The Company is engaged in active workforce management and efforts to preserve the health and safety of its Israeli FlyMates. However, since the Tel Aviv office is a healthcare engineering hub, the Company may experience customer service issues if there is a major problem as a result of the conflict and the Company is not able to service its platform on a timely basis. Further, the conflict may create a global challenge in outsourcing or hiring engineering talent.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9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do not have any operations, or long-lived assets, in Ukraine or Russia. We are actively monitoring the situation in Ukraine and assessing its impact on our business, but as of the issuance date of these condensed consolidated financial statements, the current conflict between Russia and Ukraine has not had a material impact on the Company’s revenue, results of operations or financial position. The Company notes Ukraine is a major engineering hub and the Company may from time to time utilize technology resources from Ukraine on a contracted basis. The conflict may create a global challenge in outsourcing or hiring engineering talent. However, we have no way to predict the progress or outcome of the conflict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9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and nine months ended September 30, 2023.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81" w:lineRule="exact"/>
        <w:rPr>
          <w:sz w:val="20"/>
          <w:szCs w:val="20"/>
          <w:color w:val="auto"/>
        </w:rPr>
      </w:pPr>
    </w:p>
    <w:p>
      <w:pPr>
        <w:ind w:right="540" w:firstLine="509"/>
        <w:spacing w:after="0" w:line="259"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9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pandemic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81"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From July 2020 through September 30, 2023, our workforce increased by approximately 143% in order to meet the demand of client growth and life as a public company with the goal of ensuring continuity and growth. As vaccination rates increased and the pandemic abated, we reopened our offices to the extent local requirements allowed, although FlyMates continue to have the flexibility to work remotely. With the recent outbreak of hostilities in Gaza, we have also engaged in active workforce planning to ensure Israeli FlyMates are prepared to support the business without interruption and safety measures for FlyMates in Israel.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177"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spacing w:after="0" w:line="152"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17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52" w:lineRule="exact"/>
        <w:rPr>
          <w:sz w:val="20"/>
          <w:szCs w:val="20"/>
          <w:color w:val="auto"/>
        </w:rPr>
      </w:pPr>
    </w:p>
    <w:p>
      <w:pPr>
        <w:ind w:right="440" w:firstLine="509"/>
        <w:spacing w:after="0" w:line="247" w:lineRule="auto"/>
        <w:rPr>
          <w:sz w:val="20"/>
          <w:szCs w:val="20"/>
          <w:color w:val="auto"/>
        </w:rPr>
      </w:pPr>
      <w:r>
        <w:rPr>
          <w:rFonts w:ascii="Arial" w:cs="Arial" w:eastAsia="Arial" w:hAnsi="Arial"/>
          <w:sz w:val="18"/>
          <w:szCs w:val="18"/>
          <w:color w:val="auto"/>
        </w:rPr>
        <w:t>Our insurance offering provides students a platform which enables them to compare, select and purchase the mandated health insurance coverage needed. We earn a commission from insurance providers when a student purchases an insurance policy as well as consideration from the student in the form of a markup on the foreign exchange rate.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9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81"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6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81"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41"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Interest expense consists of interest on our Revolving Credit Facility and amortization of debt issuance cost and debt discount from our previous LSA. On July 29, 2021, we entered into a $50.0 million Revolving Credit Facility. We drew $ 25.9 million on the Revolving Credit Facility and used the proceeds to prepay our then existing LSA. On October 28, 2022, we repaid the $25.9 million outstanding under the Revolving Credit Facility. As a result, we continue to have access to a total commitment of $50.0 million under the Revolving Credit Facility.</w:t>
      </w:r>
    </w:p>
    <w:p>
      <w:pPr>
        <w:spacing w:after="0" w:line="15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On June 23, 2023, we executed the First Amendment to the Revolving Credit Facility to transition from the LIBOR benchmark rate to the SOFR benchmark rate effective June 30, 2023.</w:t>
      </w:r>
    </w:p>
    <w:p>
      <w:pPr>
        <w:spacing w:after="0" w:line="147"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In accordance with the First Amendment, the Revolving Credit Facility has an adjustable rate of interest based on the type of loan requested, either at a rate based on the ABR plus an applicable rate or Adjusted Term SOFR plus an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our liquidity as of the most recent consolidated financial information and ranges from 0.75% to 2.25%.</w:t>
      </w:r>
    </w:p>
    <w:p>
      <w:pPr>
        <w:spacing w:after="0" w:line="165" w:lineRule="exact"/>
        <w:rPr>
          <w:sz w:val="20"/>
          <w:szCs w:val="20"/>
          <w:color w:val="auto"/>
        </w:rPr>
      </w:pPr>
    </w:p>
    <w:p>
      <w:pPr>
        <w:ind w:right="140" w:firstLine="509"/>
        <w:spacing w:after="0" w:line="256" w:lineRule="auto"/>
        <w:rPr>
          <w:sz w:val="20"/>
          <w:szCs w:val="20"/>
          <w:color w:val="auto"/>
        </w:rPr>
      </w:pPr>
      <w:r>
        <w:rPr>
          <w:rFonts w:ascii="Arial" w:cs="Arial" w:eastAsia="Arial" w:hAnsi="Arial"/>
          <w:sz w:val="17"/>
          <w:szCs w:val="17"/>
          <w:color w:val="auto"/>
        </w:rPr>
        <w:t>Prior to the First Amendment, the Revolving Credit Facility had an adjustable rate of interest based on the type of loan requested, either at a rate based on the ABR plus an applicable rate or LIBOR plus an applicable rate. The ABR rate was based on the greatest of (a) the Prime Rate, (b) the Federal Funds Effective Rate plus 1/2 of 1%, or (c) the Adjusted LIBOR for a one-month interest period, plus 1%. The adjusted LIBOR was based on (x) the LIBOR for such interest period, multiplied by (y) the Statutory Reserve Rate. The applicable rate was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based upon our liquidity as of the most recent consolidated financial information and ranged from 0.75% to 2.25%.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cash held in interest bearing accounts, including money market funds.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Remeasurement of Foreign Currency</w:t>
      </w:r>
    </w:p>
    <w:p>
      <w:pPr>
        <w:spacing w:after="0" w:line="181" w:lineRule="exact"/>
        <w:rPr>
          <w:sz w:val="20"/>
          <w:szCs w:val="20"/>
          <w:color w:val="auto"/>
        </w:rPr>
      </w:pPr>
    </w:p>
    <w:p>
      <w:pPr>
        <w:ind w:right="860" w:firstLine="509"/>
        <w:spacing w:after="0" w:line="259" w:lineRule="auto"/>
        <w:rPr>
          <w:sz w:val="20"/>
          <w:szCs w:val="20"/>
          <w:color w:val="auto"/>
        </w:rPr>
      </w:pPr>
      <w:r>
        <w:rPr>
          <w:rFonts w:ascii="Arial" w:cs="Arial" w:eastAsia="Arial" w:hAnsi="Arial"/>
          <w:sz w:val="18"/>
          <w:szCs w:val="18"/>
          <w:color w:val="auto"/>
        </w:rPr>
        <w:t>Gain (loss) from remeasurement of foreign currency consists of gains and losses from the remeasurement of foreign currency transactions into its functional currency.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w:t>
      </w:r>
    </w:p>
    <w:p>
      <w:pPr>
        <w:spacing w:after="0" w:line="194"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spacing w:after="0" w:line="14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2023 and 2022</w:t>
      </w:r>
    </w:p>
    <w:p>
      <w:pPr>
        <w:spacing w:after="0" w:line="18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All amounts in the tables below are rounded to the nearest million. As a result, certain amounts may not recalculate using the rounded amounts provided.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tcPr>
          <w:p>
            <w:pPr>
              <w:spacing w:after="0"/>
              <w:rPr>
                <w:sz w:val="15"/>
                <w:szCs w:val="15"/>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Pr>
          <w:p>
            <w:pPr>
              <w:spacing w:after="0"/>
              <w:rPr>
                <w:sz w:val="19"/>
                <w:szCs w:val="19"/>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29.5 %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32.8 %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9.0 %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24.9 %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11.2 %</w:t>
            </w:r>
          </w:p>
        </w:tc>
      </w:tr>
      <w:tr>
        <w:trPr>
          <w:trHeight w:val="229"/>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21.6 %</w:t>
            </w:r>
          </w:p>
        </w:tc>
      </w:tr>
      <w:tr>
        <w:trPr>
          <w:trHeight w:val="229"/>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Income from operations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221.6 %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(0.1 )</w:t>
            </w: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(0.4 )</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(75.0 )%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192.3 %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Loss from remeasurement of foreign currency</w:t>
            </w:r>
          </w:p>
        </w:tc>
        <w:tc>
          <w:tcPr>
            <w:tcW w:w="8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(4.2 )</w:t>
            </w: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(7.5 )</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(44.0 )%</w:t>
            </w:r>
          </w:p>
        </w:tc>
      </w:tr>
      <w:tr>
        <w:trPr>
          <w:trHeight w:val="229"/>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(0.5 )</w:t>
            </w: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(6.6 )</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(92.4 )%</w:t>
            </w:r>
          </w:p>
        </w:tc>
      </w:tr>
      <w:tr>
        <w:trPr>
          <w:trHeight w:val="229"/>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Income (loss) before provision for income taxes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(480.0 )%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(0.5 )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(38.5 )%</w:t>
            </w:r>
          </w:p>
        </w:tc>
      </w:tr>
      <w:tr>
        <w:trPr>
          <w:trHeight w:val="229"/>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(4.3 )</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(346.5 )%</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(2.6 )</w:t>
            </w: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(0.3 )</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(2.3 )</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766.7 %</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(4.5 )</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(280.0 )%</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-2713355</wp:posOffset>
            </wp:positionV>
            <wp:extent cx="713232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-2422525</wp:posOffset>
            </wp:positionV>
            <wp:extent cx="7132320"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-2131695</wp:posOffset>
            </wp:positionV>
            <wp:extent cx="713232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-1840230</wp:posOffset>
            </wp:positionV>
            <wp:extent cx="713232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-1549400</wp:posOffset>
            </wp:positionV>
            <wp:extent cx="7132320"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-1257935</wp:posOffset>
            </wp:positionV>
            <wp:extent cx="7132320" cy="145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45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3251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90"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Revenue was $123.3 million for the three months ended September 30, 2023, compared to $95.2 million for the three months ended September 30, 2022, an increase of $28.1 million or 29.5%. Revenue is comprised of transaction revenue and platform and usage-based fee revenue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Transaction revenue</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104.6</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2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2"/>
            <w:vMerge w:val="continue"/>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123.3</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2"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Transaction revenue was $104.6 million for the three months ended September 30, 2023, compared to $77.1 million for the three months ended September 30, 2022, an increase of $27.5 million or 35.7%. The increase in transaction revenue was primarily driven by growth in transaction payment volumes, from both our existing clients and new clients added during the three months ended September 30, 2023. We experienced strong growth in payment volume across all regions and verticals during the period. Total payment volume increased approximately 27% during the three months ended September 30, 2023 to $8.9 billion. Our marketing services revenue increased as a result of our payment partners using more of our marketing services during the three months ended September 30, 2023, compared to the three months ended September 30, 2022.</w:t>
      </w:r>
    </w:p>
    <w:p>
      <w:pPr>
        <w:spacing w:after="0" w:line="168" w:lineRule="exact"/>
        <w:rPr>
          <w:sz w:val="20"/>
          <w:szCs w:val="20"/>
          <w:color w:val="auto"/>
        </w:rPr>
      </w:pPr>
    </w:p>
    <w:p>
      <w:pPr>
        <w:jc w:val="both"/>
        <w:ind w:right="140" w:firstLine="509"/>
        <w:spacing w:after="0" w:line="242" w:lineRule="auto"/>
        <w:rPr>
          <w:sz w:val="20"/>
          <w:szCs w:val="20"/>
          <w:color w:val="auto"/>
        </w:rPr>
      </w:pPr>
      <w:r>
        <w:rPr>
          <w:rFonts w:ascii="Arial" w:cs="Arial" w:eastAsia="Arial" w:hAnsi="Arial"/>
          <w:sz w:val="18"/>
          <w:szCs w:val="18"/>
          <w:color w:val="auto"/>
        </w:rPr>
        <w:t>Platform and usage-based fee revenue was $18.7 million for the three months ended September 30, 2023, compared to $ 18.1 million for the three months ended September 30, 2022, an increase of $0.6 million or 3.3%. The increase in platform and usage-based fee revenue was attributable to increased usage by our clients and new clients signed during the three months ended September 30, 2023, compared to the three months ended September 30,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77"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Payment processing services costs were $ 42.9 million for the three months ended September 30, 2023, compared to $32.3 million for the three months ended September 30, 2022, an increase of $10.6 million or 32.8%. The increase in payment processing services costs is correlated with the increase in total payment volume of 27% over the same period as well as increased use of credit cards, which have higher processing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Technology and development expenses were $14.6 million for the three months ended September 30, 2023, compared to $13.4 million for the three months ended September 30, 2022, an increase of $1.2 million or 9.0%. The increase in technology and development costs was primarily driven by an increase in stock-based compensation expense, amortization expense and software and hosting expenses, partially offset by a decrease in training and recruiting expenses. Stock-based compensation expense was $ 2.4 million for the three months ended September 30, 2023, compared to $1.4 million for the three months ended September 30, 2022, an increase of $1.0 million or 71.4%. The increase in stock-based compensation expense is attributable to equity grants awarded to existing and new FlyMates. Amortization of intangible assets was $2.0 million for the three months ended September 30, 2023, compared to $1.6 million for the three months ended September 30, 2022, an increase of $0.4 million or 25.0%. The increase in amortization expense was primarily due to an increase in amortization for internally developed software. Software and hosting expenses were $1.3 million for the three months ended September 30, 2023, compared to $1.1 million for the three months ended September 30, 2022, an increase of $0.2 million or 18.2%. The increase in software and hosting expenses was primarily related to increased hosting fees based on payment volumes growth and additional software needs based on headcount growth. Training and recruiting expenses were $0 for the three months ended September 30, 2023, compared to $0.1 million for the three months ended September 30, 2022, a decrease of $0.1 million or 100.0%. Lower training and recruiting expenses were due to decreased FlyMate recruiting efforts for the three months ended September 30, 2023, compared to the for the three months ended September 30,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9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Selling and marketing expenses were $27.1 million for the three months ended September 30, 2023, compared to $21.7 million for the three months ended September 30, 2022, an increase of $5.4 million or 24.9%. The increase in selling and marketing expenses was primarily driven by an increase in personnel costs, professional fees, marketing expenses, stock-based compensation expense and amortization expense, partially offset by a decrease in other costs. Personnel costs were $13.8 million for the three months ended September 30, 2023, compared to $11.8 million for the</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three months ended September 30, 2022, an increase of $2.0 million or 16.9%. The increase in personnel costs was primarily driven by an increase in headcount within our selling and marketing teams and commissions earned on sales during the period. Professional fees were $5.5 million for the three months ended September 30, 2023, compared to $3.7 million for the three months ended September 30, 2022, an increase of $1.8 million or 48.6%. The increase in professional fees was due to increases in third party commissions. Marketing expenses were $2.0 million for the three months ended September 30, 2023, compared to $1.0 million for the three months ended September 30, 2022, an increase of $1.0 million or 100.0%. The increase in marketing expenses is attributable to marketing outreach efforts. Stock-based compensation expense was $3.1 million for the three months ended September 30, 2023, compared to $2.2 million for the three months ended September 30, 2022, an increase of $0.9 million or 40.9%. The increase in stock-based compensation expense is attributable to equity grants awarded to existing and new FlyMates. Amortization of intangible assets was $1.2 million for the three months ended September 30, 2023, compared to $0.9 million for the three months ended September 30, 2022, an increase of $0.3 million or 33.3%. The increase in amortization expense was due to acquired customer relationships related to the Cohort Go acquisition. Other costs were $0 for the three months ended September 30, 2023, compared to $0.4 million for the three months ended September 30, 2022, a decrease of $0.4 million or 100.0%. The decrease in other costs is primarily due to a decrease in uncollectible receivables from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General and administrative expenses were $26.9 million for the three months ended September 30, 2023, compared to $24.2 million for the three months ended September 30, 2022, an increase of $ 2.7 million or 11.2%. The increase in general and administrative expenses was primarily driven by an increase in stock-based compensation expense, personnel costs, software and hosting expenses, professional fees and other costs, partially offset by a change in the fair value of contingent consideration. Stock-based compensation expense was $5.9 million for the three months ended September 30, 2023, compared to $4.9 million for the three months ended September 30, 2022, an increase of $1.0 million or 20.4%. The increase in stock-based compensation expense is attributable to equity grants awarded to existing and new FlyMates. Personnel costs were $10.1 million for the three months ended September 30, 2023, compared to $9.0 million for the three months ended September 30, 2022, an increase of $1.1 million or 12.2%. The increase in personnel costs was primarily driven by an increase in headcount. Software and hosting expenses were $2.2 million for the three months ended September 30, 2023, compared to $1.4 million for the three months ended September 30, 2022, an increase of $0.8 million or 57.1%. The increase in software and hosting expenses was primarily related to increased hosting fees based on growth in payment volumes and additional software needs based on headcount growth. Professional fees were $3.2 million for the three months ended September 30, 2023, compared to $2.5 million for the three months ended September 30, 2022, an increase of $ 0.7 million or 28.0%. The increase in professional fees was due to increased legal, consulting and audit fees. Other costs were $2.2 million for the three months ended September 30, 2023, compared to $1.8 million for the three months ended September 30, 2022, an increase of $0.4 million or 22.2%. The increase in other costs was primarily due to increased indirect taxes and miscellaneous expenses recorded during the period. The change in the fair value of contingent consideration related to acquisitions was $0 for the three months ended September 30, 2023, compared to $1.2 million for the three months ended September 30, 2022, a decrease of $1.2 million or 100.0%. The decrease in the change in the fair value of contingent consideration was due to an adjustment related to the WPM contingent consideration for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0"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Interest expense was $0.1 million for the three months ended September 30, 2023, compared to $0.4 million for the three months ended September 30, 2022, a decrease of $0.3 or 75.0%. On October 28, 2022, we repaid the $25.9 million outstanding under our Revolving Credit Facility, which resulted in no interest expense on debt for the three months ended September 30, 2023. Interest expense for the three months ended September 30, 2023 consists primarily of amortization of debt issuance cost and debt discount from our previous LSA.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7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Interest income was $3.8 million for the three months ended September 30, 2023, compared to $1.3 million for the three months ended September 30, 2022, an increase of $ 2.5 million or 192.3%. The increase in interest income was due an increase in yield earned from our investment in money market funds as interest rates increased during the current period, combined with an increase in our cash balance, compared to the three months ended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Remeasurement of Foreign Currency</w:t>
      </w:r>
    </w:p>
    <w:p>
      <w:pPr>
        <w:spacing w:after="0" w:line="177"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Loss from remeasurement of foreign currency was $4.2 million for the three months ended September 30, 2023, compared to $7.5 million for the three months ended September 30, 2022, a decrease of $3.3 million or 44.0%. The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840"/>
        <w:spacing w:after="0" w:line="259" w:lineRule="auto"/>
        <w:rPr>
          <w:sz w:val="20"/>
          <w:szCs w:val="20"/>
          <w:color w:val="auto"/>
        </w:rPr>
      </w:pPr>
      <w:r>
        <w:rPr>
          <w:rFonts w:ascii="Arial" w:cs="Arial" w:eastAsia="Arial" w:hAnsi="Arial"/>
          <w:sz w:val="18"/>
          <w:szCs w:val="18"/>
          <w:color w:val="auto"/>
        </w:rPr>
        <w:t>decrease was primarily the result of the remeasurement of foreign currency transactions into the British pound sterling and impact of fluctuations in exchange rates during respective remeasurement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7" w:lineRule="exact"/>
        <w:rPr>
          <w:sz w:val="20"/>
          <w:szCs w:val="20"/>
          <w:color w:val="auto"/>
        </w:rPr>
      </w:pPr>
    </w:p>
    <w:p>
      <w:pPr>
        <w:jc w:val="both"/>
        <w:ind w:right="360" w:firstLine="509"/>
        <w:spacing w:after="0" w:line="242" w:lineRule="auto"/>
        <w:rPr>
          <w:sz w:val="20"/>
          <w:szCs w:val="20"/>
          <w:color w:val="auto"/>
        </w:rPr>
      </w:pPr>
      <w:r>
        <w:rPr>
          <w:rFonts w:ascii="Arial" w:cs="Arial" w:eastAsia="Arial" w:hAnsi="Arial"/>
          <w:sz w:val="18"/>
          <w:szCs w:val="18"/>
          <w:color w:val="auto"/>
        </w:rPr>
        <w:t>Provision for income taxes was $0.8 million for the three months ended September 30, 2023, compared to $1.3 million for the three months ended September 30, 2022, a decrease of $0.5 million or 38.5%. The income tax provision for the three months ended September 30, 2023 and 2022 was primarily attributable to activity in our foreign subsidiaries and U.S. state taxes. Our effective tax rate was 5.8% for the three months ended September 30, 2023, compared to (42.6)% for the three months ended September 30,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2023 and 2022</w:t>
      </w:r>
    </w:p>
    <w:p>
      <w:pPr>
        <w:spacing w:after="0" w:line="194"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All amounts in the tables below are rounded to the nearest million. As a result, certain amounts may not recalculate using the rounded amounts provided.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gridSpan w:val="5"/>
          </w:tcPr>
          <w:p>
            <w:pPr>
              <w:jc w:val="right"/>
              <w:ind w:right="960"/>
              <w:spacing w:after="0"/>
              <w:rPr>
                <w:sz w:val="20"/>
                <w:szCs w:val="20"/>
                <w:color w:val="auto"/>
              </w:rPr>
            </w:pPr>
            <w:r>
              <w:rPr>
                <w:rFonts w:ascii="Arial" w:cs="Arial" w:eastAsia="Arial" w:hAnsi="Arial"/>
                <w:sz w:val="13"/>
                <w:szCs w:val="13"/>
                <w:b w:val="1"/>
                <w:bCs w:val="1"/>
                <w:color w:val="auto"/>
              </w:rPr>
              <w:t>Nine Months Ended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302.5</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(11.5 )</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(20.8 )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(0.3 )</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(0.9 )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413.3 %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Loss from remeasurement of foreign currency</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(3.5 )</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(15.1 )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(76.8 )%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(14.5 )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(126.9 )%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8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(7.6 )</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(35.4 )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(78.5 )%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(0.6 )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(9.9 )</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(38.2 )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(74.1 )%</w:t>
            </w: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(0.5 )</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(0.4 )</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(0.1 )</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2"/>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45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Revenue was $302.5 million for the nine months ended September 30, 2023, compared to $216.3 million for the nine months ended September 30, 2022, an increase of $86.2 million or 39.9%. Revenue is comprised of transaction revenue and platform and usage-based fee revenue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3"/>
                <w:szCs w:val="13"/>
                <w:b w:val="1"/>
                <w:bCs w:val="1"/>
                <w:color w:val="auto"/>
              </w:rPr>
              <w:t>Nine Months Ended September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Transaction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247.7</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80.2</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47.9 %</w:t>
            </w:r>
          </w:p>
        </w:tc>
        <w:tc>
          <w:tcPr>
            <w:tcW w:w="0" w:type="dxa"/>
            <w:vAlign w:val="bottom"/>
          </w:tcPr>
          <w:p>
            <w:pPr>
              <w:spacing w:after="0"/>
              <w:rPr>
                <w:sz w:val="1"/>
                <w:szCs w:val="1"/>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28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302.5</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6"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Transaction revenue was $247.7 million for the nine months ended September 30, 2023, compared to $167.5 million for the nine months ended September 30, 2022, an increase of $80.2 million or 47.9%. The increase in transaction revenue was primarily driven by growth in transaction payment volumes, from both our existing clients and new clients added during the nine months ended September 30, 2023. We experienced strong growth in payment volume across all regions and verticals during the period. Total payment volume increased approximately 33% during the nine months ended September 30, 2023 to $18.6 billion. Our marketing services revenue increased as a result of our payments partners using more of our marketing services during the nine months ended September 30, 2023, compared to the nine months ended September 30, 2022.</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Platform and usage-based fee revenue was $54.8 million for the nine months ended September 30, 2023, compared to $48.8 million for the nine months ended September 30, 2022, an increase of $6.0 million or 12.3%. The increase in platform and usage-based fee revenue was attributable to increased usage by our clients and new clients signed during the nine months ended September 30, 2023, compared to the nine months ended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7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Payment processing services costs were $110.6 million for the nine months ended September 30, 2023, compared to $78.3 million for the nine months ended September 30, 2022, an increase of $32.3 million or 41.3%. The increase in payment processing services costs is correlated with the increase in total payment volume of 33% over the same period as well as increased use of credit cards, which have higher processing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9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Technology and development expenses were $45.1 million for the nine months ended September 30, 2023, compared to $37.6 million for the nine months ended September 30, 2022, an increase of $7.5 million or 19.9%. The increase in technology and development expenses was primarily driven by an increase in personnel costs, stock-based compensation expense and amortization expense. Personnel costs were $27.9 million for the nine months ended September 30, 2023, compared to $23.8 million for the nine months ended September 30, 2022, an increase of $4.1 million or 17.2%. The increase in personnel costs was primarily driven by an increase in headcount within our technology and development teams and bonuses. Stock-based compensation expense was $6.4 million for the nine months ended September 30, 2023, compared to $ 3.6 million for the nine months ended September 30, 2022, an increase of $2.8 million or 77.8%. The increase in stock-based compensation expense is attributable to equity grants awarded to existing and new FlyMates. Amortization of intangible assets was $5.8 million for the nine months ended September 30, 2023, compared to $4.7 million for the nine months ended September 30, 2022, an increase of $1.1 million or 23.4%. The increase in amortization expense was primarily due to an increase in amortization for internally developed software.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7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Selling and marketing expenses were $78.8 million for the nine months ended September 30, 2023, compared to $58.2 million for the nine months ended September 30, 2022, an increase of $20.6 million or 35.4%. The increase in selling and marketing expenses was primarily driven by an increase in personnel costs, professional fees, stock-based compensation expense, amortization expense and marketing expenses. Personnel costs were $41.5 million for the nine months ended September 30, 2023, compared to $33.0 million for the nine months ended September 30, 2022, an increase of $8.5 million or 25.7%. The increase in personnel costs was primarily driven by an increase in headcount within our selling and marketing teams and commissions earned on sales during the period. Professional fees were $14.1 million for the nine months ended September 30, 2023, compared to $ 7.2 million for the nine months ended September 30, 2022, an increase of $6.9 million or 95.8%. The increase in professional fees was due to increases in third party commissions. Stock-based compensation expense was $8.8 million for the nine months ended September 30, 2023, compared to $5.8 million for the nine months ended September 30, 2022, an increase of $3.0 million or 51.7%. The increase in stock-based compensation expense is attributable to equity grants awarded to existing and new FlyMates. Amortization of intangible assets was $3.8 million for the nine months ended September 30, 2023, compared to $2.8 million for the nine months ended September 30, 2022, an increase of $ 1.0 million or 35.7%. The increase in amortization expense was due to acquired customer relationships related to the Cohort Go acquisition. Marketing expenses were $5.4 million for the nine months ended September 30, 2023, compared to $4.5 million for the nine months ended September 30, 2022, an increase of $0.9 million or 20.0%. The increase in marketing expenses is primarily due to increase in marketing outreach efforts.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General and administrative expenses were $79.6 million for the nine months ended September 30, 2023, compared to $63.1 million for the nine months ended September 30, 2022, an increase of $16.5 million or 26.1%. The increase in general and administrative expenses was primarily driven by the increase in personnel costs, stock-based compensation expense, other costs, professional fees and software and hosting expenses. Personnel costs were $30.8 million for the nine months ended September 30, 2023, compared to $24.5 million for the nine months ended September 30, 2022, an increase of $6.3 million or 25.7%. The increase in personnel costs was primarily driven by an increase in headcount and bonuses. Stock-based compensation expense was $16.2 million for the nine months ended September 30, 2023, compared to $ 13.1 million for the nine months ended September 30, 2022, an increase of $3.1 million or 23.7%. The increase in stock-based compensation expense is attributable to equity grants awarded to existing and new FlyMates. Other costs were $5.7 million for the nine months ended September 30, 2023, compared to $3.0 million for the nine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months ended September 30, 2022, an increase of $2.7 million or 90.0%. The increase in other costs was primarily due to increased hedging fees related to an increase in total payment volume and indirect taxes recorded during the period. Professional fees were $10.5 million for the nine months ended September 30, 2023, compared to $8.0 million for the nine months ended September 30, 2022, an increase of $2.5 million or 31.2%. The increase in professional fees was due to increased legal, consulting and audit fees. Software and hosting expenses were $6.0 million for the nine months ended September 30, 2023, compared to $4.0 million for the nine months ended September 30, 2022, an increase of $2.0 million or 50.0%. The increase in software and hosting expenses was primarily related to increased hosting fees based on payment volumes growth and additional software needs based on headcount growth.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77"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Interest expense was $0.3 million for the nine months ended September 30, 2023, compared to $0.9 million for the nine months ended September 30, 2022, a decrease of $0.6 million or 66.7%. On October 28, 2022, we repaid the $25.9 million outstanding under our Revolving Credit Facility, which resulted in no interest expense on debt for the nine months ended September 30, 2023. Interest expense for the nine months ended September 30, 2023 consists primarily of amortization of debt issuance cost and debt discount from our previous LSA.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w:t>
      </w:r>
      <w:r>
        <w:rPr>
          <w:rFonts w:ascii="Arial" w:cs="Arial" w:eastAsia="Arial" w:hAnsi="Arial"/>
          <w:sz w:val="18"/>
          <w:szCs w:val="18"/>
          <w:color w:val="auto"/>
        </w:rPr>
        <w:t>est Income</w:t>
      </w:r>
    </w:p>
    <w:p>
      <w:pPr>
        <w:spacing w:after="0" w:line="19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Interest income was $ 7.7 million for the nine months ended September 30, 2023, compared to $1.5 million for the for the nine months ended September 30, 2022, an increase of $6.2 million or 413.3%. The increase in interest income was due the Company's investment in interest bearing accounts during the second quarter of 2022, an increase in yield earned from our investment in money market funds as interest rates increased during the current period, compared to the nine months ended September 30, 2022 and an increase in the Company's cash balance.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Remeasurement of Foreign Currency</w:t>
      </w:r>
    </w:p>
    <w:p>
      <w:pPr>
        <w:spacing w:after="0" w:line="177"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Loss from remeasurement of foreign currency was $3.5 million for the nine months ended September 30, 2023, compared to $15.1 million for the nine months ended September 30, 2022, a decrease of $11.6 million or 76.8%. The decrease was primarily the result of the remeasurement of foreign currency transactions into the British pound sterling and impact of fluctuations in exchange rates during respective remeasurement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Provision for income taxes was $2.3 million for the nine months ended September 30, 2023, compared to $2.9 million for the nine months ended September 30, 2022, a decrease of $0.6 million or 20.7%. The income tax provision for the nine months ended September 30, 2023 and 2022 was primarily attributable to activity in our foreign subsidiaries and U.S. state taxes. Our effective tax rate was (28.6)% for the nine months ended September 30, 2023 compared to (8.1)% for the nine months ended September 30,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4"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3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On August 14, 2023, the Company sold 8,000,000 shares of its voting common stock and on September 12, 2023, the Underwriters exercised the Underwriters’ Option in part and purchased an additional 500,000 shares of the Company's voting common stock, in each instance at a price to the public of $32.00 per share. The Company raised aggregate proceeds of $260.1 million, net of underwriter discounts and commissions of $10.9 million and other issuance costs of $1.1 million.</w:t>
      </w:r>
    </w:p>
    <w:p>
      <w:pPr>
        <w:spacing w:after="0" w:line="150" w:lineRule="exact"/>
        <w:rPr>
          <w:sz w:val="20"/>
          <w:szCs w:val="20"/>
          <w:color w:val="auto"/>
        </w:rPr>
      </w:pPr>
    </w:p>
    <w:p>
      <w:pPr>
        <w:ind w:right="740" w:firstLine="509"/>
        <w:spacing w:after="0" w:line="259" w:lineRule="auto"/>
        <w:rPr>
          <w:sz w:val="20"/>
          <w:szCs w:val="20"/>
          <w:color w:val="auto"/>
        </w:rPr>
      </w:pPr>
      <w:r>
        <w:rPr>
          <w:rFonts w:ascii="Arial" w:cs="Arial" w:eastAsia="Arial" w:hAnsi="Arial"/>
          <w:sz w:val="18"/>
          <w:szCs w:val="18"/>
          <w:color w:val="auto"/>
        </w:rPr>
        <w:t>As of September 30, 2023, our principal source of liquidity is cash and cash equivalents of $638.2 million. Cash equivalents is comprised primarily of money market funds.</w:t>
      </w:r>
    </w:p>
    <w:p>
      <w:pPr>
        <w:spacing w:after="0" w:line="14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(27.7 )</w:t>
            </w: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(5.1 )</w:t>
            </w: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(22.6 )</w:t>
            </w:r>
          </w:p>
        </w:tc>
      </w:tr>
      <w:tr>
        <w:trPr>
          <w:trHeight w:val="229"/>
        </w:trPr>
        <w:tc>
          <w:tcPr>
            <w:tcW w:w="7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r>
      <w:tr>
        <w:trPr>
          <w:trHeight w:val="243"/>
        </w:trPr>
        <w:tc>
          <w:tcPr>
            <w:tcW w:w="79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7" w:lineRule="exact"/>
        <w:rPr>
          <w:sz w:val="20"/>
          <w:szCs w:val="20"/>
          <w:color w:val="auto"/>
        </w:rPr>
      </w:pPr>
    </w:p>
    <w:p>
      <w:pPr>
        <w:jc w:val="both"/>
        <w:ind w:right="40" w:firstLine="509"/>
        <w:spacing w:after="0" w:line="259" w:lineRule="auto"/>
        <w:rPr>
          <w:sz w:val="20"/>
          <w:szCs w:val="20"/>
          <w:color w:val="auto"/>
        </w:rPr>
      </w:pPr>
      <w:r>
        <w:rPr>
          <w:rFonts w:ascii="Arial" w:cs="Arial" w:eastAsia="Arial" w:hAnsi="Arial"/>
          <w:sz w:val="18"/>
          <w:szCs w:val="18"/>
          <w:color w:val="auto"/>
        </w:rPr>
        <w:t>Net cash provided by (used in) operating activities consists of net loss adjusted for certain non-cash items and changes in other assets and liabilities.</w:t>
      </w:r>
    </w:p>
    <w:p>
      <w:pPr>
        <w:spacing w:after="0" w:line="133"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During the nine months ended September 30, 2023, cash provided by operating activities of $20.9 million was primarily the result of net loss of $9.9 million adjusted for non-cash expenses of $ 43.7 million, which primarily included stock-based compensation expenses of $31.3 million, depreciation and amortization of $11.8 million and provision for uncollectible accounts of $0.5 million, offset by a deferred tax benefit of $0.9 million and $13.0 million related to changes in our operating assets and liabilities.</w:t>
      </w:r>
    </w:p>
    <w:p>
      <w:pPr>
        <w:spacing w:after="0" w:line="163"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During the nine months ended September 30, 2022, cash used in operating activities of $27.7 million was primarily the result of net loss of $38.2 million adjusted for non-cash expenses of $ 32.0 million, which primarily included stock-based compensation expenses of $22.5 million, depreciation and amortization of $9.2 million, and change in fair value of contingent consideration of $0.3 million, offset by $21.5 million related to changes in our operating assets and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During the nine months ended September 30, 2023, cash used in investing activities of $5.1 million was the result of capitalization of internally developed software costs of $4.1 million and purchase of property and equipment of $0.9 million.</w:t>
      </w:r>
    </w:p>
    <w:p>
      <w:pPr>
        <w:spacing w:after="0" w:line="14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During the nine months ended September 30, 2022, cash used in investing activities of $22.6 million was primarily the result of our acquisition of Cohort Go for purchase consideration of $16.9 million, capitalization of internally developed software costs of $4.1 million and purchase of property and equipment of $1.1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7"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During the nine months ended September 30, 2023, cash provided by financing activities of $270.7 million was the result of proceeds from issuance of common stock under public offering of $261.1 million, proceeds from exercise of stock options of $8.5 million and proceeds from issuance of stock under the ESPP of $2.7 million, offset by payments for contingent consideration of $1.2 million related to our acquisition of Cohort Go and payments of costs related to public offering of $0.4 million.</w:t>
      </w:r>
    </w:p>
    <w:p>
      <w:pPr>
        <w:spacing w:after="0" w:line="16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During the nine months ended September 30, 2022, cash provided by financing activities of $0.6 million was the result of proceeds from the exercise of stock options of $5.2 million and proceeds from the issuance of stock under the ESPP of $1.3 million, offset by payments of contingent consideration of $3.3 million related to our acquisition of Simplee and payments of tax withholdings of $2.6 million for net settled option exercises.</w:t>
      </w:r>
    </w:p>
    <w:p>
      <w:pPr>
        <w:spacing w:after="0" w:line="15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As of September 30, 2022, we had $25.9 million of outstanding indebtedness under the Revolving Credit Facility. On October 28, 2022, we repaid the $25.9 million outstanding under the Revolving Credit Facility. As of September 30, 2023, we had $0 of outstanding indebtedness under the Revolving Credit Facility. Following the repayment, we continue to have access to a total commitment of $50.0 million under the Revolving Credit Facility. On June 23, 2023, the Company executed the First Amendment to the Revolving Credit Facility to transition from the LIBOR benchmark rate to the SOFR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reference rate effective June 30, 2023. The Revolving Credit Facility consists of ABR loans or Eurodollar Borrowings, at our option. In accordance with the First Amendment, ABR loans bear interest at the ABR plus the applicable rate. Eurodollar Borrowings bear interest at the Adjusted Term SOFR plus the applicable rate. The ABR rate is based on the greatest of (a) the Prime Rate (b) the Federal Funds Effective Rate plus 1/2 of 1% and (c) the Adjusted Term SOFR for a one-month interest period plus 1%. The Adjusted Term SOFR is based on (a) the Term SOFR plus (b) the applicable spread adjustment ranging from 0.11448% to 0.71513% depending on the length of the SOFR interest period multiplied by (c) the Statutory Reserve Rate. The applicable rate is based upon the Company’s liquidity as of the most recent consolidated financial information and ranges from 0.75% to 2.25%. Prior to the First Amendment, ABR loans borne interest at the ABR plus the applicable rate. Eurodollar Borrowings borne interest at the Adjusted LIBOR plus the applicable rate. ABR rate was based on the greatest of (a) the Prime Rate (b) the Federal Funds Effective Rate plus 1/2 of 1% and (c) the Adjusted LIBOR for a one-month interest period plus 1%. The adjusted LIBOR was based on (a) the LIBOR for such interest period multiplied by (b) the Statutory Reserve Rate. The applicable rate was based upon the Company’s liquidity as of the most recent consolidated financial information and ranged from 0.75% to 2.25%. The Revolving Credit Facility incurs a commitment fee ranging from 0.25% to 0.35% based upon our liquidity as of the most recent consolidated financial information assessed on the average undrawn portion of the available commitment.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1"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 xml:space="preserve">There have been no material changes to our critical accounting policies as compared to the critical accounting policies and estimates described in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 of our Annual Report on Form 10-K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5"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4"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Revolving Credit Facility consists of ABR loans or Eurodollar Borrowings, at our option.</w:t>
      </w:r>
    </w:p>
    <w:p>
      <w:pPr>
        <w:spacing w:after="0" w:line="18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June 23, 2023, the Company executed the First Amendment to its Revolving Credit Facility to transition from the LIBOR benchmark rate to the SOFR benchmark rate effective June 30, 2023. In accordance with the First Amendment, ABR loans bear interest at the ABR plus the applicable rate. Eurodollar Borrowings bear interest at the Adjusted Term SOFR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our liquidity as of the most recent consolidated financial information and ranges from 0.75% to 2.25%.</w:t>
      </w:r>
    </w:p>
    <w:p>
      <w:pPr>
        <w:spacing w:after="0" w:line="154" w:lineRule="exact"/>
        <w:rPr>
          <w:sz w:val="20"/>
          <w:szCs w:val="20"/>
          <w:color w:val="auto"/>
        </w:rPr>
      </w:pPr>
    </w:p>
    <w:p>
      <w:pPr>
        <w:ind w:right="180" w:firstLine="509"/>
        <w:spacing w:after="0" w:line="256" w:lineRule="auto"/>
        <w:rPr>
          <w:sz w:val="20"/>
          <w:szCs w:val="20"/>
          <w:color w:val="auto"/>
        </w:rPr>
      </w:pPr>
      <w:r>
        <w:rPr>
          <w:rFonts w:ascii="Arial" w:cs="Arial" w:eastAsia="Arial" w:hAnsi="Arial"/>
          <w:sz w:val="17"/>
          <w:szCs w:val="17"/>
          <w:color w:val="auto"/>
        </w:rPr>
        <w:t>Prior to the First Amendment, ABR loans borne interest at the ABR plus applicable rate. Eurodollar Borrowings borne interest at the Adjusted LIBOR plus the applicable rate. The ABR rate was based on the greatest of (a) the Prime Rate, (b) the Federal Funds Effective Rate plus 1/2 of 1%, or (c) the Adjusted LIBOR for a one-month interest period, plus 1%. The adjusted LIBOR was based on (x) the LIBOR, multiplied by (y) the Statutory Reserve Rate. The applicable rate was based upon our liquidity as of the most recent consolidated 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 and ranged from 0.75% to 2.25%.</w:t>
      </w:r>
    </w:p>
    <w:p>
      <w:pPr>
        <w:spacing w:after="0" w:line="184"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 Revolving Credit Facility incurs a commitment fee ranging from 0.25% to 0.35% based upon our liquidity as of the most recent consolidated financial information assessed on the average undrawn portion of the available commitment.</w:t>
      </w:r>
    </w:p>
    <w:p>
      <w:pPr>
        <w:spacing w:after="0" w:line="14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As of September 30, 2023 and December 31, 2022, there was no outstanding indebtedness under the Revolving Credit Facility. An immediate 10% increase or decrease in interest rates would not have a material effect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6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During the quarter ended September 30, 2023, as the U.S. Dollar weakened against several currencies, including the British Pound, relative to the same period in the prior year, these foreign exchange impacts increased our reported revenue in U.S. Dollars by approximately $2.3 million compared to the quarter ended September 30, 2022 on a constant currency basis.</w:t>
      </w:r>
    </w:p>
    <w:p>
      <w:pPr>
        <w:spacing w:after="0" w:line="152"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 our condensed consolidated balance sheets. Gains and losses from the remeasurement of foreign currencies into functional currencies are recognized in the condensed consolidated statements of operations and comprehensive income (loss). A potential change in foreign exchange rates of 10% from such remeasurement would have impacted loss before income taxes by approximately $16.7 million and $10.9 million at September 30, 2023 and December 31, 2022,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1"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or nine months ended September 30, 2023. If our costs were to become subject to significant inflationary pressures, we may not be able to fully offset such higher costs through increase in prices of our product offerings.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September 30, 2023.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September 30, 2023,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September 30, 2023 that have materially affected, or are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 effective control system, misstatements due to error or fraud may occur and not be detected.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II—OTHER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the course of implementing geolocation data-based sanctions screening measures, the Company identified certain payments which, based on geolocation data, appear to have been initiated from Cuba, Iran, or Syria, in potential violation of applicable sanctions regimes. Although Flywire continues to evaluate whether these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94"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81" w:lineRule="exact"/>
        <w:rPr>
          <w:sz w:val="20"/>
          <w:szCs w:val="20"/>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97" w:lineRule="exact"/>
        <w:rPr>
          <w:rFonts w:ascii="Arial" w:cs="Arial" w:eastAsia="Arial" w:hAnsi="Arial"/>
          <w:sz w:val="18"/>
          <w:szCs w:val="18"/>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quarterly fluctuations in operating results.</w:t>
      </w:r>
    </w:p>
    <w:p>
      <w:pPr>
        <w:spacing w:after="0" w:line="184" w:lineRule="exact"/>
        <w:rPr>
          <w:rFonts w:ascii="Arial" w:cs="Arial" w:eastAsia="Arial" w:hAnsi="Arial"/>
          <w:sz w:val="18"/>
          <w:szCs w:val="18"/>
          <w:color w:val="auto"/>
        </w:rPr>
      </w:pPr>
    </w:p>
    <w:p>
      <w:pPr>
        <w:ind w:left="900" w:right="60" w:hanging="263"/>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Efforts to attract new clients may be unsuccessful.</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97" w:lineRule="exact"/>
        <w:rPr>
          <w:rFonts w:ascii="Arial" w:cs="Arial" w:eastAsia="Arial" w:hAnsi="Arial"/>
          <w:sz w:val="18"/>
          <w:szCs w:val="18"/>
          <w:color w:val="auto"/>
        </w:rPr>
      </w:pPr>
    </w:p>
    <w:p>
      <w:pPr>
        <w:ind w:left="900" w:right="920" w:hanging="263"/>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97" w:lineRule="exact"/>
        <w:rPr>
          <w:rFonts w:ascii="Arial" w:cs="Arial" w:eastAsia="Arial" w:hAnsi="Arial"/>
          <w:sz w:val="18"/>
          <w:szCs w:val="18"/>
          <w:color w:val="auto"/>
        </w:rPr>
      </w:pPr>
    </w:p>
    <w:p>
      <w:pPr>
        <w:ind w:left="900" w:right="120" w:hanging="263"/>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84" w:lineRule="exact"/>
        <w:rPr>
          <w:rFonts w:ascii="Arial" w:cs="Arial" w:eastAsia="Arial" w:hAnsi="Arial"/>
          <w:sz w:val="18"/>
          <w:szCs w:val="18"/>
          <w:color w:val="auto"/>
        </w:rPr>
      </w:pPr>
    </w:p>
    <w:p>
      <w:pPr>
        <w:ind w:left="900" w:right="860" w:hanging="263"/>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markets are highly competitive.</w:t>
      </w:r>
    </w:p>
    <w:p>
      <w:pPr>
        <w:spacing w:after="0" w:line="184" w:lineRule="exact"/>
        <w:rPr>
          <w:rFonts w:ascii="Arial" w:cs="Arial" w:eastAsia="Arial" w:hAnsi="Arial"/>
          <w:sz w:val="18"/>
          <w:szCs w:val="18"/>
          <w:color w:val="auto"/>
        </w:rPr>
      </w:pPr>
    </w:p>
    <w:p>
      <w:pPr>
        <w:ind w:left="900" w:right="540" w:hanging="263"/>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33" w:lineRule="exact"/>
        <w:rPr>
          <w:rFonts w:ascii="Arial" w:cs="Arial" w:eastAsia="Arial" w:hAnsi="Arial"/>
          <w:sz w:val="18"/>
          <w:szCs w:val="18"/>
          <w:color w:val="auto"/>
        </w:rPr>
      </w:pPr>
    </w:p>
    <w:p>
      <w:pPr>
        <w:ind w:left="900" w:hanging="263"/>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84" w:lineRule="exact"/>
        <w:rPr>
          <w:rFonts w:ascii="Arial" w:cs="Arial" w:eastAsia="Arial" w:hAnsi="Arial"/>
          <w:sz w:val="18"/>
          <w:szCs w:val="18"/>
          <w:color w:val="auto"/>
        </w:rPr>
      </w:pPr>
    </w:p>
    <w:p>
      <w:pPr>
        <w:ind w:left="900" w:right="40" w:hanging="263"/>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or sub-verticals, including our relatively new business-to-business (B2B) payment vertical.</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94" w:lineRule="exact"/>
        <w:rPr>
          <w:sz w:val="20"/>
          <w:szCs w:val="20"/>
          <w:color w:val="auto"/>
        </w:rPr>
      </w:pPr>
    </w:p>
    <w:p>
      <w:pPr>
        <w:ind w:left="900" w:hanging="2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84" w:lineRule="exact"/>
        <w:rPr>
          <w:rFonts w:ascii="Arial" w:cs="Arial" w:eastAsia="Arial" w:hAnsi="Arial"/>
          <w:sz w:val="18"/>
          <w:szCs w:val="18"/>
          <w:color w:val="auto"/>
        </w:rPr>
      </w:pPr>
    </w:p>
    <w:p>
      <w:pPr>
        <w:ind w:left="900" w:hanging="263"/>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46" w:lineRule="exact"/>
        <w:rPr>
          <w:rFonts w:ascii="Arial" w:cs="Arial" w:eastAsia="Arial" w:hAnsi="Arial"/>
          <w:sz w:val="18"/>
          <w:szCs w:val="18"/>
          <w:color w:val="auto"/>
        </w:rPr>
      </w:pPr>
    </w:p>
    <w:p>
      <w:pPr>
        <w:ind w:left="900" w:right="80" w:hanging="263"/>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97" w:lineRule="exact"/>
        <w:rPr>
          <w:rFonts w:ascii="Arial" w:cs="Arial" w:eastAsia="Arial" w:hAnsi="Arial"/>
          <w:sz w:val="18"/>
          <w:szCs w:val="18"/>
          <w:color w:val="auto"/>
        </w:rPr>
      </w:pPr>
    </w:p>
    <w:p>
      <w:pPr>
        <w:ind w:left="900" w:right="160" w:hanging="263"/>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84" w:lineRule="exact"/>
        <w:rPr>
          <w:rFonts w:ascii="Arial" w:cs="Arial" w:eastAsia="Arial" w:hAnsi="Arial"/>
          <w:sz w:val="18"/>
          <w:szCs w:val="18"/>
          <w:color w:val="auto"/>
        </w:rPr>
      </w:pPr>
    </w:p>
    <w:p>
      <w:pPr>
        <w:ind w:left="900" w:right="500" w:hanging="263"/>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81" w:lineRule="exact"/>
        <w:rPr>
          <w:sz w:val="20"/>
          <w:szCs w:val="20"/>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84" w:lineRule="exact"/>
        <w:rPr>
          <w:rFonts w:ascii="Arial" w:cs="Arial" w:eastAsia="Arial" w:hAnsi="Arial"/>
          <w:sz w:val="18"/>
          <w:szCs w:val="18"/>
          <w:color w:val="auto"/>
        </w:rPr>
      </w:pPr>
    </w:p>
    <w:p>
      <w:pPr>
        <w:ind w:left="900" w:right="140" w:hanging="263"/>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(AML), countering the financing of terrorism (CFT) and those applicable to a money service business (MSB).</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left="900" w:right="620" w:hanging="263"/>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81" w:lineRule="exact"/>
        <w:rPr>
          <w:sz w:val="20"/>
          <w:szCs w:val="20"/>
          <w:color w:val="auto"/>
        </w:rPr>
      </w:pPr>
    </w:p>
    <w:p>
      <w:pPr>
        <w:ind w:left="900" w:hanging="26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97" w:lineRule="exact"/>
        <w:rPr>
          <w:rFonts w:ascii="Arial" w:cs="Arial" w:eastAsia="Arial" w:hAnsi="Arial"/>
          <w:sz w:val="18"/>
          <w:szCs w:val="18"/>
          <w:color w:val="auto"/>
        </w:rPr>
      </w:pPr>
    </w:p>
    <w:p>
      <w:pPr>
        <w:ind w:left="900" w:hanging="26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continue to incur increased costs as a public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81" w:lineRule="exact"/>
        <w:rPr>
          <w:sz w:val="20"/>
          <w:szCs w:val="20"/>
          <w:color w:val="auto"/>
        </w:rPr>
      </w:pPr>
    </w:p>
    <w:p>
      <w:pPr>
        <w:ind w:left="900" w:right="140" w:hanging="263"/>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94"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$39.3 million and $28.1 million for the years ended December 31, 2022 and 2021, respectively, and $9.9 million during the nine months ended September 30, 2023. In addition, as of September 30, 2023, we had an accumulated deficit of $175.1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including our transition to a large accelerated filer status as of December 31, 2022.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5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84" w:lineRule="exact"/>
        <w:rPr>
          <w:sz w:val="20"/>
          <w:szCs w:val="20"/>
          <w:color w:val="auto"/>
        </w:rPr>
      </w:pPr>
    </w:p>
    <w:p>
      <w:pPr>
        <w:ind w:left="900" w:right="260" w:hanging="263"/>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left="900" w:right="140" w:hanging="263"/>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97" w:lineRule="exact"/>
        <w:rPr>
          <w:rFonts w:ascii="Arial" w:cs="Arial" w:eastAsia="Arial" w:hAnsi="Arial"/>
          <w:sz w:val="18"/>
          <w:szCs w:val="18"/>
          <w:color w:val="auto"/>
        </w:rPr>
      </w:pPr>
    </w:p>
    <w:p>
      <w:pPr>
        <w:ind w:left="900" w:hanging="26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6"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9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84"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197" w:lineRule="exact"/>
        <w:rPr>
          <w:rFonts w:ascii="Arial" w:cs="Arial" w:eastAsia="Arial" w:hAnsi="Arial"/>
          <w:sz w:val="18"/>
          <w:szCs w:val="18"/>
          <w:color w:val="auto"/>
        </w:rPr>
      </w:pPr>
    </w:p>
    <w:p>
      <w:pPr>
        <w:ind w:left="1020" w:right="100" w:hanging="504"/>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3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 and respond to microeconomic and macroeconomic changes;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(IT) downtime, cybersecurity breaches, or labor stoppages;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manage foreign currency exchange risk;</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00" w:lineRule="exact"/>
        <w:rPr>
          <w:sz w:val="20"/>
          <w:szCs w:val="20"/>
          <w:color w:val="auto"/>
        </w:rPr>
      </w:pPr>
    </w:p>
    <w:p>
      <w:pPr>
        <w:ind w:left="1020" w:right="320" w:hanging="504"/>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environmental, social and governance (ESG) matters;</w:t>
      </w:r>
    </w:p>
    <w:p>
      <w:pPr>
        <w:spacing w:after="0" w:line="65"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pandemics, such as COVID-19, or other public health emergencies;</w:t>
      </w:r>
    </w:p>
    <w:p>
      <w:pPr>
        <w:spacing w:after="0" w:line="184" w:lineRule="exact"/>
        <w:rPr>
          <w:rFonts w:ascii="Arial" w:cs="Arial" w:eastAsia="Arial" w:hAnsi="Arial"/>
          <w:sz w:val="18"/>
          <w:szCs w:val="18"/>
          <w:color w:val="auto"/>
        </w:rPr>
      </w:pPr>
    </w:p>
    <w:p>
      <w:pPr>
        <w:ind w:left="1020" w:right="240" w:hanging="504"/>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46" w:lineRule="exact"/>
        <w:rPr>
          <w:rFonts w:ascii="Arial" w:cs="Arial" w:eastAsia="Arial" w:hAnsi="Arial"/>
          <w:sz w:val="18"/>
          <w:szCs w:val="18"/>
          <w:color w:val="auto"/>
        </w:rPr>
      </w:pPr>
    </w:p>
    <w:p>
      <w:pPr>
        <w:ind w:left="1020" w:right="20" w:hanging="504"/>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3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3"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1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5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65"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ind w:right="320"/>
        <w:spacing w:after="0" w:line="316"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8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50"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43" w:lineRule="exact"/>
        <w:rPr>
          <w:sz w:val="20"/>
          <w:szCs w:val="20"/>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97" w:lineRule="exact"/>
        <w:rPr>
          <w:rFonts w:ascii="Arial" w:cs="Arial" w:eastAsia="Arial" w:hAnsi="Arial"/>
          <w:sz w:val="18"/>
          <w:szCs w:val="18"/>
          <w:color w:val="auto"/>
        </w:rPr>
      </w:pPr>
    </w:p>
    <w:p>
      <w:pPr>
        <w:ind w:left="1020" w:right="840" w:hanging="504"/>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33"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acquisitions of WPM and Cohort Go;</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184"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w:t>
      </w:r>
    </w:p>
    <w:p>
      <w:pPr>
        <w:spacing w:after="0" w:line="133"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level of scrutiny applied by regulators and investors on our ESG program;</w:t>
      </w:r>
    </w:p>
    <w:p>
      <w:pPr>
        <w:spacing w:after="0" w:line="197" w:lineRule="exact"/>
        <w:rPr>
          <w:rFonts w:ascii="Arial" w:cs="Arial" w:eastAsia="Arial" w:hAnsi="Arial"/>
          <w:sz w:val="18"/>
          <w:szCs w:val="18"/>
          <w:color w:val="auto"/>
        </w:rPr>
      </w:pPr>
    </w:p>
    <w:p>
      <w:pPr>
        <w:ind w:left="1020" w:right="160" w:hanging="504"/>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133" w:lineRule="exact"/>
        <w:rPr>
          <w:rFonts w:ascii="Arial" w:cs="Arial" w:eastAsia="Arial" w:hAnsi="Arial"/>
          <w:sz w:val="18"/>
          <w:szCs w:val="18"/>
          <w:color w:val="auto"/>
        </w:rPr>
      </w:pPr>
    </w:p>
    <w:p>
      <w:pPr>
        <w:ind w:left="1020" w:right="300" w:hanging="504"/>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which among other things could impact visa issuances and educational financial aid payments;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-15875</wp:posOffset>
            </wp:positionV>
            <wp:extent cx="317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00" w:lineRule="exact"/>
        <w:rPr>
          <w:sz w:val="20"/>
          <w:szCs w:val="20"/>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18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56"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8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55"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42"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ind w:right="1080"/>
        <w:spacing w:after="0" w:line="285"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8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55" w:lineRule="exact"/>
        <w:rPr>
          <w:sz w:val="20"/>
          <w:szCs w:val="20"/>
          <w:color w:val="auto"/>
        </w:rPr>
      </w:pPr>
    </w:p>
    <w:p>
      <w:pPr>
        <w:ind w:right="760"/>
        <w:spacing w:after="0" w:line="285"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8"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during the quarter ended September 30, 2023, as the U.S. Dollar weakened against several currencies, including the British Pound, relative to the same period in the prior year, these foreign exchange impacts increased our reported revenue in U.S. Dollars by approximately $2.3 million compared to the quarter ended September 30, 2022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 Russian ruble, could result in the dollar equivalent of our expenses being higher which may not be offset by additional revenue earned in the local currency. This could have a negative impact on our reported results of operations.</w:t>
      </w:r>
    </w:p>
    <w:p>
      <w:pPr>
        <w:spacing w:after="0" w:line="159"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6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9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56"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Recent instability and volatility in the banking and financial services sectors, including bank failures, have increased uncertainty in the global economy and increased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65"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81"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8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72"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22"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55"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9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43" w:lineRule="exact"/>
        <w:rPr>
          <w:sz w:val="20"/>
          <w:szCs w:val="20"/>
          <w:color w:val="auto"/>
        </w:rPr>
      </w:pPr>
    </w:p>
    <w:p>
      <w:pPr>
        <w:ind w:left="900" w:right="80" w:hanging="263"/>
        <w:spacing w:after="0" w:line="24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62" w:lineRule="exact"/>
        <w:rPr>
          <w:rFonts w:ascii="Arial" w:cs="Arial" w:eastAsia="Arial" w:hAnsi="Arial"/>
          <w:sz w:val="18"/>
          <w:szCs w:val="18"/>
          <w:color w:val="auto"/>
        </w:rPr>
      </w:pPr>
    </w:p>
    <w:p>
      <w:pPr>
        <w:ind w:left="900" w:right="360" w:hanging="263"/>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33" w:lineRule="exact"/>
        <w:rPr>
          <w:rFonts w:ascii="Arial" w:cs="Arial" w:eastAsia="Arial" w:hAnsi="Arial"/>
          <w:sz w:val="18"/>
          <w:szCs w:val="18"/>
          <w:color w:val="auto"/>
        </w:rPr>
      </w:pPr>
    </w:p>
    <w:p>
      <w:pPr>
        <w:ind w:left="900" w:right="160" w:hanging="263"/>
        <w:spacing w:after="0" w:line="24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43" w:lineRule="exact"/>
        <w:rPr>
          <w:rFonts w:ascii="Arial" w:cs="Arial" w:eastAsia="Arial" w:hAnsi="Arial"/>
          <w:sz w:val="18"/>
          <w:szCs w:val="18"/>
          <w:color w:val="auto"/>
        </w:rPr>
      </w:pPr>
    </w:p>
    <w:p>
      <w:pPr>
        <w:ind w:left="900" w:right="160" w:hanging="263"/>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jc w:val="both"/>
        <w:ind w:left="900" w:right="480" w:hanging="263"/>
        <w:spacing w:after="0" w:line="24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Declines in international student enrollment. Global conflict and restrictions on immigration or the award of student visas can negatively impact the cross-border education industry and schools that rely on foreign student populations will be negatively affected or may cease operations.</w:t>
      </w:r>
    </w:p>
    <w:p>
      <w:pPr>
        <w:spacing w:after="0" w:line="156" w:lineRule="exact"/>
        <w:rPr>
          <w:rFonts w:ascii="Arial" w:cs="Arial" w:eastAsia="Arial" w:hAnsi="Arial"/>
          <w:sz w:val="18"/>
          <w:szCs w:val="18"/>
          <w:color w:val="auto"/>
        </w:rPr>
      </w:pPr>
    </w:p>
    <w:p>
      <w:pPr>
        <w:jc w:val="both"/>
        <w:ind w:left="900" w:right="560" w:hanging="263"/>
        <w:spacing w:after="0" w:line="24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43"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 More recently, political friction between India and Canada could potentially slow the growth of Indian students studying in Canada, especially if tensions continue to rise.</w:t>
      </w:r>
    </w:p>
    <w:p>
      <w:pPr>
        <w:spacing w:after="0" w:line="15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5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2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5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65"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5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68"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4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it may become difficult for us to be paid in full in a timely manner, if at all. For instance, in May 2023, Client A filed for voluntary petitions for reorganization under Chapter 11 of the U.S. Bankruptcy Code. As of September 30, 2023, we had $3.1 million recorded within accounts receivable attributed to Client A, net of allowance. On November 2, 2023, a settlement agreement was reached and the Company collected all of its pre-petition outstanding balance of $2.6 million from Client A.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94"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from our travel vertical represents less than 10% of our total payment volume.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5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years ended December 31, 2021 and 2022, we witnessed recoveries in our financial results and growth in revenue and payment volumes in our travel payment vertical. While improvements have been noted, we are still experiencing impacts to our travel clients but the extent and duration of such impact in the long term is largely uncertain as it is dependent on future developments that cannot be accurately predicted at this time, including, but not limited to, the emergence of variants and sub-variants,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international regulations and restrictions that inhibit cross-border travel, global availability of vaccines and administration of vaccination, the rate of "herd immunity" and the impact of these and other factors on travel behavior.</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52"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1"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98"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8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we seek to continue to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United States-China and Canada-India diplomatic and trade friction, and the resulting impact on business continuity and travel, supply chain disruptions, inflation, security issues, and overall uncertainty with respect to the economy, including with respect to tariff and trade issues. To the extent that inflationary pressures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other global factors lead to an economic recession, demand for our solutions, our business and financial condition could be negatively impacted.</w:t>
      </w:r>
    </w:p>
    <w:p>
      <w:pPr>
        <w:spacing w:after="0" w:line="14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 armed conflict is ongoing as of the date of this filing. 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Quarterly Report on Form 10-Q.</w:t>
      </w:r>
    </w:p>
    <w:p>
      <w:pPr>
        <w:spacing w:after="0" w:line="15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 any of the countries in which we operate could harm our business, results of operations and financial condition.</w:t>
      </w:r>
    </w:p>
    <w:p>
      <w:pPr>
        <w:spacing w:after="0" w:line="14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More recently, inflation rates have increased to levels not seen in several years, which may result in decreased demand for our solutions, increases in our operating costs including our labor costs, constrained credit and liquidity, and volatility in financial markets and the banking ecosystem. The United States Federal Reserve has raised, and may again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the COVID-19 pandemic and concerns over inflation risk. A sharp rise in interest rates could have an adverse impact on the fair market value of securities we may invest in as part of our portfolio investments, which could adversely affect our financial results.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We have an office in Tel Aviv, Israel. Conditions in Israel, including the recent attack by Hamas and other terrorist organizations from the Gaza Strip and Israel’s war against them, may affect our operations.</w:t>
      </w:r>
    </w:p>
    <w:p>
      <w:pPr>
        <w:spacing w:after="0" w:line="98" w:lineRule="exact"/>
        <w:rPr>
          <w:sz w:val="20"/>
          <w:szCs w:val="20"/>
          <w:color w:val="auto"/>
        </w:rPr>
      </w:pPr>
    </w:p>
    <w:p>
      <w:pPr>
        <w:jc w:val="both"/>
        <w:ind w:right="80" w:firstLine="509"/>
        <w:spacing w:after="0" w:line="242" w:lineRule="auto"/>
        <w:rPr>
          <w:sz w:val="20"/>
          <w:szCs w:val="20"/>
          <w:color w:val="auto"/>
        </w:rPr>
      </w:pPr>
      <w:r>
        <w:rPr>
          <w:rFonts w:ascii="Arial" w:cs="Arial" w:eastAsia="Arial" w:hAnsi="Arial"/>
          <w:sz w:val="18"/>
          <w:szCs w:val="18"/>
          <w:color w:val="auto"/>
        </w:rPr>
        <w:t>Because we have an office in Tel Aviv, Israel, our business and operations are directly affected by economic, political, geopolitical and military conditions in Israel. Since the establishment of the State of Israel in 1948, a number of armed conflicts have occurred between Israel and its neighboring countries and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63"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On October 7,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On October 8, 2023, Israel formally declared war on Hamas, and the armed conflict is ongoing as of the date of this filing.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Moreover, the clash between Israel and Hezbollah in Lebanon, may escalate in the future into a greater regional conflict.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Although we currently do not expect the ongoing conflict to affect our business, financial condition and results of operations, there can be no assurances that further unforeseen events will not have a material adverse effect on our business, financial condition and results of operations in the future.</w:t>
      </w:r>
    </w:p>
    <w:p>
      <w:pPr>
        <w:spacing w:after="0" w:line="156"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The Israel Defense Force (the “IDF”), the national military of Israel, is a conscripted military service, subject to certain exceptions. Since October 7, 2023,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36"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33"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It is currently not possible to predict the duration or severity of the ongoing conflict or its effects on our business, operations and financial conditions. The ongoing conflict is rapidly evolving and developing, and could disrupt our business and operations, interrupt our sources and availability of supply and hamper our ability to raise additional funds or sell our securities, among others.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1" w:lineRule="exact"/>
        <w:rPr>
          <w:sz w:val="20"/>
          <w:szCs w:val="20"/>
          <w:color w:val="auto"/>
        </w:rPr>
      </w:pPr>
    </w:p>
    <w:p>
      <w:pPr>
        <w:ind w:right="900"/>
        <w:spacing w:after="0" w:line="285"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8"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6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46" w:lineRule="exact"/>
        <w:rPr>
          <w:sz w:val="20"/>
          <w:szCs w:val="20"/>
          <w:color w:val="auto"/>
        </w:rPr>
      </w:pPr>
    </w:p>
    <w:p>
      <w:pPr>
        <w:ind w:right="480"/>
        <w:spacing w:after="0" w:line="316"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75"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For the year ended December 31, 2022, we processed over $18.1 billion in payments on our solutions, compared to approximately $13.2 billion for the year ended December 31, 2021. For the nine months ended September 30, 2023, we processed approximately $18.6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 has gone out of business, we may be unable to collect on the chargeback and will bear the economic loss, which will negatively impact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jc w:val="both"/>
        <w:ind w:right="620" w:firstLine="509"/>
        <w:spacing w:after="0" w:line="242"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63" w:lineRule="exact"/>
        <w:rPr>
          <w:sz w:val="20"/>
          <w:szCs w:val="20"/>
          <w:color w:val="auto"/>
        </w:rPr>
      </w:pPr>
    </w:p>
    <w:p>
      <w:pPr>
        <w:ind w:left="90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197" w:lineRule="exact"/>
        <w:rPr>
          <w:rFonts w:ascii="Arial" w:cs="Arial" w:eastAsia="Arial" w:hAnsi="Arial"/>
          <w:sz w:val="18"/>
          <w:szCs w:val="18"/>
          <w:color w:val="auto"/>
        </w:rPr>
      </w:pPr>
    </w:p>
    <w:p>
      <w:pPr>
        <w:ind w:left="90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diversion of our resources, including through increased service expenses or financial concessions, and increased insurance costs.</w:t>
      </w:r>
    </w:p>
    <w:p>
      <w:pPr>
        <w:spacing w:after="0" w:line="196"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6"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9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4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Volatility in the banking and financial services sectors may impact our bank partnerships and relationships, which could adversely affect our operations and liquidity.</w:t>
      </w:r>
    </w:p>
    <w:p>
      <w:pPr>
        <w:spacing w:after="0" w:line="11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Recent instability and volatility in the banking and financial services sectors, including limited liquidity, defaults, non-performance or other adverse developments that affect the banking ecosystem, or concerns or rumors about any such events or other similar risks, have increased uncertainty in the global economy and increased the risk of a recession. Volatility in the banking and financial services sectors may impact our bank partnerships and relationships, which could adversely affect our operations and liquidity.</w:t>
      </w:r>
    </w:p>
    <w:p>
      <w:pPr>
        <w:spacing w:after="0" w:line="15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claims or litigation, which may be costly to address.</w:t>
      </w:r>
    </w:p>
    <w:p>
      <w:pPr>
        <w:spacing w:after="0" w:line="15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2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5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2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65"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52"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Gramm-Leach-Bliley Act (GLBA), and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63"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5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the scope of the attack is still undetermined. Therefore, there is residual risk that we could experience a security breach arising from the SolarWinds supply chain attack.</w:t>
      </w:r>
    </w:p>
    <w:p>
      <w:pPr>
        <w:spacing w:after="0" w:line="16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65"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5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9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112"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5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50"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5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22" w:lineRule="exact"/>
        <w:rPr>
          <w:sz w:val="20"/>
          <w:szCs w:val="20"/>
          <w:color w:val="auto"/>
        </w:rPr>
      </w:pPr>
    </w:p>
    <w:p>
      <w:pPr>
        <w:ind w:right="140" w:firstLine="509"/>
        <w:spacing w:after="0" w:line="258"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36"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Tel Aviv, Israel and Brisbane,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ind w:right="780"/>
        <w:spacing w:after="0" w:line="285"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9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8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3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50" w:lineRule="exact"/>
        <w:rPr>
          <w:sz w:val="20"/>
          <w:szCs w:val="20"/>
          <w:color w:val="auto"/>
        </w:rPr>
      </w:pPr>
    </w:p>
    <w:p>
      <w:pPr>
        <w:jc w:val="both"/>
        <w:ind w:right="520" w:firstLine="509"/>
        <w:spacing w:after="0" w:line="247"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4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particular, if we are unable to adapt to such changes, we may not be able to utilize these strategic partners and we may lose access to large numbers of clients as a result.</w:t>
      </w:r>
    </w:p>
    <w:p>
      <w:pPr>
        <w:spacing w:after="0" w:line="147"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40"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55"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In August 2023, we announced that Michael Ellis, our Chief Financial Officer, would be transitioning from such position in 2024. We have commenced a search for a new Chief Financial Officer, but we may experience difficulties or delays in identifying a qualified replacement. This or other changes in our senior management may be disruptive to our business, and, if we are unable to manage an orderly transition, our business may be adversely affected.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45"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1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8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81" w:lineRule="exact"/>
        <w:rPr>
          <w:sz w:val="20"/>
          <w:szCs w:val="20"/>
          <w:color w:val="auto"/>
        </w:rPr>
      </w:pPr>
    </w:p>
    <w:p>
      <w:pPr>
        <w:ind w:right="300" w:firstLine="509"/>
        <w:spacing w:after="0" w:line="289"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10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increased inflationary conditions, recession concern</w:t>
      </w:r>
      <w:r>
        <w:rPr>
          <w:rFonts w:ascii="Arial" w:cs="Arial" w:eastAsia="Arial" w:hAnsi="Arial"/>
          <w:sz w:val="18"/>
          <w:szCs w:val="18"/>
          <w:u w:val="single" w:color="auto"/>
          <w:color w:val="auto"/>
        </w:rPr>
        <w:t>s</w:t>
      </w:r>
      <w:r>
        <w:rPr>
          <w:rFonts w:ascii="Arial" w:cs="Arial" w:eastAsia="Arial" w:hAnsi="Arial"/>
          <w:sz w:val="18"/>
          <w:szCs w:val="18"/>
          <w:color w:val="auto"/>
        </w:rPr>
        <w:t xml:space="preserve">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6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52" w:lineRule="exact"/>
        <w:rPr>
          <w:sz w:val="20"/>
          <w:szCs w:val="20"/>
          <w:color w:val="auto"/>
        </w:rPr>
      </w:pPr>
    </w:p>
    <w:p>
      <w:pPr>
        <w:ind w:right="360" w:firstLine="509"/>
        <w:spacing w:after="0"/>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56"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40"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12"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8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acquisitions we undertake or have recently completed, including the acquisitions of Cohort Go in July 2022 and WPM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2021, will likely be accompanied by business risks which may include, among other things:</w:t>
      </w:r>
    </w:p>
    <w:p>
      <w:pPr>
        <w:spacing w:after="0" w:line="159" w:lineRule="exact"/>
        <w:rPr>
          <w:sz w:val="20"/>
          <w:szCs w:val="20"/>
          <w:color w:val="auto"/>
        </w:rPr>
      </w:pPr>
    </w:p>
    <w:p>
      <w:pPr>
        <w:ind w:left="900" w:hanging="26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184" w:lineRule="exact"/>
        <w:rPr>
          <w:rFonts w:ascii="Arial" w:cs="Arial" w:eastAsia="Arial" w:hAnsi="Arial"/>
          <w:sz w:val="18"/>
          <w:szCs w:val="18"/>
          <w:color w:val="auto"/>
        </w:rPr>
      </w:pPr>
    </w:p>
    <w:p>
      <w:pPr>
        <w:ind w:left="900" w:right="160" w:hanging="263"/>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left="900" w:right="1000" w:hanging="263"/>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4" w:lineRule="exact"/>
        <w:rPr>
          <w:rFonts w:ascii="Arial" w:cs="Arial" w:eastAsia="Arial" w:hAnsi="Arial"/>
          <w:sz w:val="18"/>
          <w:szCs w:val="18"/>
          <w:color w:val="auto"/>
        </w:rPr>
      </w:pPr>
    </w:p>
    <w:p>
      <w:pPr>
        <w:ind w:left="900" w:right="440" w:hanging="263"/>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33" w:lineRule="exact"/>
        <w:rPr>
          <w:rFonts w:ascii="Arial" w:cs="Arial" w:eastAsia="Arial" w:hAnsi="Arial"/>
          <w:sz w:val="18"/>
          <w:szCs w:val="18"/>
          <w:color w:val="auto"/>
        </w:rPr>
      </w:pPr>
    </w:p>
    <w:p>
      <w:pPr>
        <w:ind w:left="900" w:right="580" w:hanging="263"/>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4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5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66" w:lineRule="exact"/>
        <w:rPr>
          <w:sz w:val="20"/>
          <w:szCs w:val="20"/>
          <w:color w:val="auto"/>
        </w:rPr>
      </w:pPr>
    </w:p>
    <w:p>
      <w:pPr>
        <w:ind w:right="520" w:firstLine="509"/>
        <w:spacing w:after="0" w:line="242"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71"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6" w:lineRule="exact"/>
        <w:rPr>
          <w:rFonts w:ascii="Arial" w:cs="Arial" w:eastAsia="Arial" w:hAnsi="Arial"/>
          <w:sz w:val="18"/>
          <w:szCs w:val="18"/>
          <w:color w:val="auto"/>
        </w:rPr>
      </w:pPr>
    </w:p>
    <w:p>
      <w:pPr>
        <w:ind w:left="1020" w:right="300" w:hanging="504"/>
        <w:spacing w:after="0" w:line="24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lingering impact of the COVID-19 pandemic, as cybercriminals attempt DDoS related attacks, phishing scams and other disruptive actions, given the shift to online banking, e-commerce and other online activity, as well as more FlyMates working remotely as a result of the pandemic; and</w:t>
      </w:r>
    </w:p>
    <w:p>
      <w:pPr>
        <w:spacing w:after="0" w:line="75" w:lineRule="exact"/>
        <w:rPr>
          <w:rFonts w:ascii="Arial" w:cs="Arial" w:eastAsia="Arial" w:hAnsi="Arial"/>
          <w:sz w:val="18"/>
          <w:szCs w:val="18"/>
          <w:color w:val="auto"/>
        </w:rPr>
      </w:pPr>
    </w:p>
    <w:p>
      <w:pPr>
        <w:ind w:left="1020" w:hanging="504"/>
        <w:spacing w:after="0" w:line="26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27"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5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5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and Canada-India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70" w:lineRule="exact"/>
        <w:rPr>
          <w:sz w:val="20"/>
          <w:szCs w:val="20"/>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184" w:lineRule="exact"/>
        <w:rPr>
          <w:rFonts w:ascii="Arial" w:cs="Arial" w:eastAsia="Arial" w:hAnsi="Arial"/>
          <w:sz w:val="18"/>
          <w:szCs w:val="18"/>
          <w:color w:val="auto"/>
        </w:rPr>
      </w:pPr>
    </w:p>
    <w:p>
      <w:pPr>
        <w:ind w:left="900" w:right="24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197" w:lineRule="exact"/>
        <w:rPr>
          <w:rFonts w:ascii="Arial" w:cs="Arial" w:eastAsia="Arial" w:hAnsi="Arial"/>
          <w:sz w:val="18"/>
          <w:szCs w:val="18"/>
          <w:color w:val="auto"/>
        </w:rPr>
      </w:pPr>
    </w:p>
    <w:p>
      <w:pPr>
        <w:ind w:left="900" w:right="12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84" w:lineRule="exact"/>
        <w:rPr>
          <w:rFonts w:ascii="Arial" w:cs="Arial" w:eastAsia="Arial" w:hAnsi="Arial"/>
          <w:sz w:val="18"/>
          <w:szCs w:val="18"/>
          <w:color w:val="auto"/>
        </w:rPr>
      </w:pPr>
    </w:p>
    <w:p>
      <w:pPr>
        <w:ind w:left="900" w:right="720" w:hanging="263"/>
        <w:spacing w:after="0" w:line="289"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22" w:lineRule="exact"/>
        <w:rPr>
          <w:rFonts w:ascii="Arial" w:cs="Arial" w:eastAsia="Arial" w:hAnsi="Arial"/>
          <w:sz w:val="17"/>
          <w:szCs w:val="17"/>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184" w:lineRule="exact"/>
        <w:rPr>
          <w:rFonts w:ascii="Arial" w:cs="Arial" w:eastAsia="Arial" w:hAnsi="Arial"/>
          <w:sz w:val="18"/>
          <w:szCs w:val="18"/>
          <w:color w:val="auto"/>
        </w:rPr>
      </w:pPr>
    </w:p>
    <w:p>
      <w:pPr>
        <w:ind w:left="900" w:right="26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government sanctions on our ability to offer services in a region, such as the sanctions recently announced by the U.S. and other countries against Russia;</w:t>
      </w:r>
    </w:p>
    <w:p>
      <w:pPr>
        <w:spacing w:after="0" w:line="133" w:lineRule="exact"/>
        <w:rPr>
          <w:rFonts w:ascii="Arial" w:cs="Arial" w:eastAsia="Arial" w:hAnsi="Arial"/>
          <w:sz w:val="18"/>
          <w:szCs w:val="18"/>
          <w:color w:val="auto"/>
        </w:rPr>
      </w:pPr>
    </w:p>
    <w:p>
      <w:pPr>
        <w:ind w:left="900" w:right="28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184" w:lineRule="exact"/>
        <w:rPr>
          <w:rFonts w:ascii="Arial" w:cs="Arial" w:eastAsia="Arial" w:hAnsi="Arial"/>
          <w:sz w:val="18"/>
          <w:szCs w:val="18"/>
          <w:color w:val="auto"/>
        </w:rPr>
      </w:pPr>
    </w:p>
    <w:p>
      <w:pPr>
        <w:ind w:left="900" w:right="34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33" w:lineRule="exact"/>
        <w:rPr>
          <w:rFonts w:ascii="Arial" w:cs="Arial" w:eastAsia="Arial" w:hAnsi="Arial"/>
          <w:sz w:val="18"/>
          <w:szCs w:val="18"/>
          <w:color w:val="auto"/>
        </w:rPr>
      </w:pPr>
    </w:p>
    <w:p>
      <w:pPr>
        <w:ind w:left="90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and between Israel and Hamas, respectively, economic instability, repression, or human rights issues;</w:t>
      </w:r>
    </w:p>
    <w:p>
      <w:pPr>
        <w:spacing w:after="0" w:line="146" w:lineRule="exact"/>
        <w:rPr>
          <w:rFonts w:ascii="Arial" w:cs="Arial" w:eastAsia="Arial" w:hAnsi="Arial"/>
          <w:sz w:val="18"/>
          <w:szCs w:val="18"/>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4" w:lineRule="exact"/>
        <w:rPr>
          <w:rFonts w:ascii="Arial" w:cs="Arial" w:eastAsia="Arial" w:hAnsi="Arial"/>
          <w:sz w:val="18"/>
          <w:szCs w:val="18"/>
          <w:color w:val="auto"/>
        </w:rPr>
      </w:pPr>
    </w:p>
    <w:p>
      <w:pPr>
        <w:ind w:left="900" w:right="42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97" w:lineRule="exact"/>
        <w:rPr>
          <w:rFonts w:ascii="Arial" w:cs="Arial" w:eastAsia="Arial" w:hAnsi="Arial"/>
          <w:sz w:val="18"/>
          <w:szCs w:val="18"/>
          <w:color w:val="auto"/>
        </w:rPr>
      </w:pPr>
    </w:p>
    <w:p>
      <w:pPr>
        <w:ind w:left="900" w:right="40" w:hanging="26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left="900" w:right="100" w:hanging="26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recently enacted Inflation Reduction Act of 2022, which includes a minimum corporate tax which could result in an additional tax liability in a given year;</w:t>
      </w:r>
    </w:p>
    <w:p>
      <w:pPr>
        <w:spacing w:after="0" w:line="165" w:lineRule="exact"/>
        <w:rPr>
          <w:rFonts w:ascii="Arial" w:cs="Arial" w:eastAsia="Arial" w:hAnsi="Arial"/>
          <w:sz w:val="18"/>
          <w:szCs w:val="18"/>
          <w:color w:val="auto"/>
        </w:rPr>
      </w:pPr>
    </w:p>
    <w:p>
      <w:pPr>
        <w:ind w:left="900" w:right="500" w:hanging="263"/>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policy;</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9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52"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3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55"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98"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in our Annual Report on Form 10-K for the year ended December 31, 2022.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Certain of our subsidiaries are registered with the U.S. Department of the Treasury’s Financial Crimes Enforcement Network (FinCEN). Our subsidiary Flywire Global Corp. has obtained licenses to operate as a money transmitter (or the statutory equivalent) in 42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5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in our Annual Report on Form 10-K for the year ended December 31, 2022.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5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42"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1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47" w:lineRule="exact"/>
        <w:rPr>
          <w:sz w:val="20"/>
          <w:szCs w:val="20"/>
          <w:color w:val="auto"/>
        </w:rPr>
      </w:pPr>
    </w:p>
    <w:p>
      <w:pPr>
        <w:ind w:left="900" w:right="280" w:hanging="263"/>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97" w:lineRule="exact"/>
        <w:rPr>
          <w:rFonts w:ascii="Arial" w:cs="Arial" w:eastAsia="Arial" w:hAnsi="Arial"/>
          <w:sz w:val="18"/>
          <w:szCs w:val="18"/>
          <w:color w:val="auto"/>
        </w:rPr>
      </w:pPr>
    </w:p>
    <w:p>
      <w:pPr>
        <w:ind w:left="900" w:right="800" w:hanging="263"/>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33" w:lineRule="exact"/>
        <w:rPr>
          <w:rFonts w:ascii="Arial" w:cs="Arial" w:eastAsia="Arial" w:hAnsi="Arial"/>
          <w:sz w:val="18"/>
          <w:szCs w:val="18"/>
          <w:color w:val="auto"/>
        </w:rPr>
      </w:pPr>
    </w:p>
    <w:p>
      <w:pPr>
        <w:ind w:left="900" w:hanging="26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84" w:lineRule="exact"/>
        <w:rPr>
          <w:rFonts w:ascii="Arial" w:cs="Arial" w:eastAsia="Arial" w:hAnsi="Arial"/>
          <w:sz w:val="18"/>
          <w:szCs w:val="18"/>
          <w:color w:val="auto"/>
        </w:rPr>
      </w:pPr>
    </w:p>
    <w:p>
      <w:pPr>
        <w:ind w:left="900" w:right="420" w:hanging="263"/>
        <w:spacing w:after="0" w:line="24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56" w:lineRule="exact"/>
        <w:rPr>
          <w:rFonts w:ascii="Arial" w:cs="Arial" w:eastAsia="Arial" w:hAnsi="Arial"/>
          <w:sz w:val="18"/>
          <w:szCs w:val="18"/>
          <w:color w:val="auto"/>
        </w:rPr>
      </w:pPr>
    </w:p>
    <w:p>
      <w:pPr>
        <w:ind w:left="900" w:hanging="26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84" w:lineRule="exact"/>
        <w:rPr>
          <w:rFonts w:ascii="Arial" w:cs="Arial" w:eastAsia="Arial" w:hAnsi="Arial"/>
          <w:sz w:val="18"/>
          <w:szCs w:val="18"/>
          <w:color w:val="auto"/>
        </w:rPr>
      </w:pPr>
    </w:p>
    <w:p>
      <w:pPr>
        <w:ind w:left="900" w:right="300" w:hanging="263"/>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33" w:lineRule="exact"/>
        <w:rPr>
          <w:rFonts w:ascii="Arial" w:cs="Arial" w:eastAsia="Arial" w:hAnsi="Arial"/>
          <w:sz w:val="18"/>
          <w:szCs w:val="18"/>
          <w:color w:val="auto"/>
        </w:rPr>
      </w:pPr>
    </w:p>
    <w:p>
      <w:pPr>
        <w:ind w:left="900" w:right="140" w:hanging="263"/>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46" w:lineRule="exact"/>
        <w:rPr>
          <w:rFonts w:ascii="Arial" w:cs="Arial" w:eastAsia="Arial" w:hAnsi="Arial"/>
          <w:sz w:val="18"/>
          <w:szCs w:val="18"/>
          <w:color w:val="auto"/>
        </w:rPr>
      </w:pPr>
    </w:p>
    <w:p>
      <w:pPr>
        <w:ind w:left="900" w:right="540" w:hanging="263"/>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23"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9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the Treasury’s Office of Foreign Assets Controls (OFAC) and we have processes in place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implementing geolocation data-based sanctions screening measures, we identified certain payments which, based on geolocation data, appear to have been initiated from Cuba, Iran, or Syria, in potential violation of applicable sanctions regimes. We have made a voluntary submission to OFAC to report the potential violations. Although the internal investigation completed to date suggests that any loss incurred as a result of this matter would not be material to our business, if OFAC ultimately concludes a violation has occurred, it could result in penalties, costs, and restrictions on our ability to do business, which could also harm our operating results.</w:t>
      </w:r>
    </w:p>
    <w:p>
      <w:pPr>
        <w:spacing w:after="0" w:line="16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54"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Our business operations in other parts of the world such as the U.K., Lithuania, Canada, Australia, New Zealand and Singapore are subject to similar laws and requirements. Regulators in the United States and globally continue to increase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5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2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6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52"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took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took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For example, the Utah Consumer Privacy Act became law on March 24, 2022. The Utah legislation most closely mirrors Virginia’s CDPA and will go into effect on December 31, 2023. Oregon enacted a rigorous privacy law – the Oregon Consumer Privacy Act (OCPA) – that will go into effect on July 1, 2024. The OCPA incorporates provisions from the CPA and its unique rules, elements of the Connecticut Data Privacy Act and Virginia’s CDPA, and an amalgamation of other laws while also introducing its own unique requirements.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8"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59" w:lineRule="exact"/>
        <w:rPr>
          <w:sz w:val="20"/>
          <w:szCs w:val="20"/>
          <w:color w:val="auto"/>
        </w:rPr>
      </w:pPr>
    </w:p>
    <w:p>
      <w:pPr>
        <w:ind w:right="20" w:firstLine="509"/>
        <w:spacing w:after="0" w:line="249" w:lineRule="auto"/>
        <w:rPr>
          <w:sz w:val="20"/>
          <w:szCs w:val="20"/>
          <w:color w:val="auto"/>
        </w:rPr>
      </w:pPr>
      <w:r>
        <w:rPr>
          <w:rFonts w:ascii="Arial" w:cs="Arial" w:eastAsia="Arial" w:hAnsi="Arial"/>
          <w:sz w:val="17"/>
          <w:szCs w:val="17"/>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7"/>
          <w:szCs w:val="17"/>
          <w:i w:val="1"/>
          <w:iCs w:val="1"/>
          <w:color w:val="auto"/>
        </w:rPr>
        <w:t>Schrems</w:t>
      </w:r>
    </w:p>
    <w:p>
      <w:pPr>
        <w:spacing w:after="0" w:line="7" w:lineRule="exact"/>
        <w:rPr>
          <w:sz w:val="20"/>
          <w:szCs w:val="20"/>
          <w:color w:val="auto"/>
        </w:rPr>
      </w:pPr>
    </w:p>
    <w:p>
      <w:pPr>
        <w:ind w:firstLine="8"/>
        <w:spacing w:after="0" w:line="236" w:lineRule="auto"/>
        <w:tabs>
          <w:tab w:leader="none" w:pos="15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 xml:space="preserve">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53"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6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5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5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5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5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3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5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recent enforcement actions against Alibaba Group Holding Ltd and Didi Global Inc. in 2022.</w:t>
      </w:r>
    </w:p>
    <w:p>
      <w:pPr>
        <w:spacing w:after="0" w:line="163"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As a reaction to data security concerns, the Australian parliament recently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will have new regulatory tools and flexibility that should, together with an ongoing focus on funding, see a more proactive regulator with capacity and capability to investigate and litigate more privacy incidents in Australia.</w:t>
      </w:r>
    </w:p>
    <w:p>
      <w:pPr>
        <w:spacing w:after="0" w:line="154"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4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6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42"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can be held liable for the corrupt or other illegal activities of these third-party intermediaries, our FlyMates, representatives, contractors, partners, and agents, even if we do not explicitly authorize such activities.</w:t>
      </w:r>
    </w:p>
    <w:p>
      <w:pPr>
        <w:spacing w:after="0" w:line="147"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5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1"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60"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54"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70"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66"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2"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9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55"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54"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46"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2"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12"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5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For example, the recently enacted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5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67"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8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As of September 30, 2023, we had U.S. federal NOL carryforwards of approximately $ 115.5 million and state NOL carryforwards of approximately $108.7 million. The federal and material state NOL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including, but not limited to, as a result of our initial public offering, or if we undergo one or more ownership changes as a result of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3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During 2022, we completed a Section 382 study from January 1, 2010, the first day of the first taxable year that we had NOL carryforwards, through June 30, 2021. During this period, we underwent two ownership changes for Section 382 purposes. The ownership changes occurred on June 29, 2011 (the June 2011 Change) and July 12, 2013 (the July 2013 Change) as result of our issuance and sale of preferred stock. Approximately $ 14.9 million of NOLs were generated through December 31, 2013. As a result of the ownership changes, all of Flywire's NOLs as of the June 2011 Change and the July 2013 Change are subject to limitation under Section 382, of which $1.6 million NOLs will expire unutilized, assuming sufficient taxable income is generated in the future. Additionally, we completed a Section 382 study for Simplificare (Simplee) which we acquired in February 2020. The study was completed for the periods from August 26, 2010, the inception of Simplee, through February 13, 2020, the date that we acquired Simplee. During this period, Simplee underwent four ownership changes. The ownership changes occurred on October 27, 2010, April 13, 2011, May 10, 2012 (the May 2012 Change), all in connection with the issuance and sale of preferred stock, and February 13, 2020 (the February 2020 Change), in connection with its complete acquisition by Flywire. Approximately $35.7 million of NOLs were generated through February 13, 2020. As a result of the ownership changes, all of Simplee’s NOLs as of the May 2012 Change and the February 2020 Change are subject to limitation under Section 382, of which $0.2 million NOLs will expire unutilized, assuming sufficient taxable income is generated in the future.</w:t>
      </w:r>
    </w:p>
    <w:p>
      <w:pPr>
        <w:spacing w:after="0" w:line="172"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65"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5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5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actively engaged in the ongoing costly and challenging process of performing the evaluation needed to comply with Section</w:t>
      </w:r>
    </w:p>
    <w:p>
      <w:pPr>
        <w:spacing w:after="0" w:line="7" w:lineRule="exact"/>
        <w:rPr>
          <w:sz w:val="20"/>
          <w:szCs w:val="20"/>
          <w:color w:val="auto"/>
        </w:rPr>
      </w:pPr>
    </w:p>
    <w:p>
      <w:pPr>
        <w:ind w:right="100" w:firstLine="8"/>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4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3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70"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40"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we expect to further increase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8" w:lineRule="exact"/>
        <w:rPr>
          <w:sz w:val="20"/>
          <w:szCs w:val="20"/>
          <w:color w:val="auto"/>
        </w:rPr>
      </w:pPr>
    </w:p>
    <w:p>
      <w:pPr>
        <w:ind w:right="820" w:firstLine="509"/>
        <w:spacing w:after="0" w:line="259" w:lineRule="auto"/>
        <w:rPr>
          <w:sz w:val="20"/>
          <w:szCs w:val="20"/>
          <w:color w:val="auto"/>
        </w:rPr>
      </w:pPr>
      <w:r>
        <w:rPr>
          <w:rFonts w:ascii="Arial" w:cs="Arial" w:eastAsia="Arial" w:hAnsi="Arial"/>
          <w:sz w:val="18"/>
          <w:szCs w:val="18"/>
          <w:color w:val="auto"/>
        </w:rPr>
        <w:t>An active or liquid market in our common stock may not be sustainable. The market price of our common stock may fluctuate significantly in response to numerous factors, many of which are beyond our control, including:</w:t>
      </w:r>
    </w:p>
    <w:p>
      <w:pPr>
        <w:spacing w:after="0" w:line="147" w:lineRule="exact"/>
        <w:rPr>
          <w:sz w:val="20"/>
          <w:szCs w:val="20"/>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197" w:lineRule="exact"/>
        <w:rPr>
          <w:rFonts w:ascii="Arial" w:cs="Arial" w:eastAsia="Arial" w:hAnsi="Arial"/>
          <w:sz w:val="18"/>
          <w:szCs w:val="18"/>
          <w:color w:val="auto"/>
        </w:rPr>
      </w:pPr>
    </w:p>
    <w:p>
      <w:pPr>
        <w:ind w:left="1020" w:right="50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33"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84" w:lineRule="exact"/>
        <w:rPr>
          <w:rFonts w:ascii="Arial" w:cs="Arial" w:eastAsia="Arial" w:hAnsi="Arial"/>
          <w:sz w:val="18"/>
          <w:szCs w:val="18"/>
          <w:color w:val="auto"/>
        </w:rPr>
      </w:pPr>
    </w:p>
    <w:p>
      <w:pPr>
        <w:ind w:left="1020" w:right="340" w:hanging="504"/>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lingering effects of the COVID-19 pandemic;</w:t>
      </w:r>
    </w:p>
    <w:p>
      <w:pPr>
        <w:spacing w:after="0" w:line="133" w:lineRule="exact"/>
        <w:rPr>
          <w:rFonts w:ascii="Arial" w:cs="Arial" w:eastAsia="Arial" w:hAnsi="Arial"/>
          <w:sz w:val="18"/>
          <w:szCs w:val="18"/>
          <w:color w:val="auto"/>
        </w:rPr>
      </w:pPr>
    </w:p>
    <w:p>
      <w:pPr>
        <w:ind w:left="1020" w:right="360" w:hanging="504"/>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or between Israel and Hamas, respectively, economic instability, repression, or human rights issues;</w:t>
      </w:r>
    </w:p>
    <w:p>
      <w:pPr>
        <w:spacing w:after="0" w:line="146"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ongoing United States-China and Canada-India diplomatic and trade friction;</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97"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factors discussed in this Quarterly Report on Form 10-Q and our other SEC filings.</w:t>
      </w:r>
    </w:p>
    <w:p>
      <w:pPr>
        <w:spacing w:after="0" w:line="184"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4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Concerns over economic recession,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3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1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65"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8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5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1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119,382,702 shares of our voting common stock and 1,873,320 shares of our non-voting common stock outstanding as of September 30, 2023.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5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50" w:lineRule="exact"/>
        <w:rPr>
          <w:sz w:val="20"/>
          <w:szCs w:val="20"/>
          <w:color w:val="auto"/>
        </w:rPr>
      </w:pPr>
    </w:p>
    <w:p>
      <w:pPr>
        <w:ind w:right="340" w:firstLine="509"/>
        <w:spacing w:after="0" w:line="289"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13"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9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September 30, 2023, our current executive officers, directors and the holders of more than 5% of our outstanding voting and non-voting common stock, in the aggregate, beneficially owned a significant percentage of our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460"/>
        <w:spacing w:after="0" w:line="242" w:lineRule="auto"/>
        <w:rPr>
          <w:sz w:val="20"/>
          <w:szCs w:val="20"/>
          <w:color w:val="auto"/>
        </w:rPr>
      </w:pPr>
      <w:r>
        <w:rPr>
          <w:rFonts w:ascii="Arial" w:cs="Arial" w:eastAsia="Arial" w:hAnsi="Arial"/>
          <w:sz w:val="18"/>
          <w:szCs w:val="18"/>
          <w:color w:val="auto"/>
        </w:rPr>
        <w:t>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9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1"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52" w:lineRule="exact"/>
        <w:rPr>
          <w:sz w:val="20"/>
          <w:szCs w:val="20"/>
          <w:color w:val="auto"/>
        </w:rPr>
      </w:pPr>
    </w:p>
    <w:p>
      <w:pPr>
        <w:ind w:left="900" w:right="700" w:hanging="263"/>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33" w:lineRule="exact"/>
        <w:rPr>
          <w:rFonts w:ascii="Arial" w:cs="Arial" w:eastAsia="Arial" w:hAnsi="Arial"/>
          <w:sz w:val="18"/>
          <w:szCs w:val="18"/>
          <w:color w:val="auto"/>
        </w:rPr>
      </w:pPr>
    </w:p>
    <w:p>
      <w:pPr>
        <w:jc w:val="both"/>
        <w:ind w:left="900" w:right="140" w:hanging="263"/>
        <w:spacing w:after="0" w:line="24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56" w:lineRule="exact"/>
        <w:rPr>
          <w:rFonts w:ascii="Arial" w:cs="Arial" w:eastAsia="Arial" w:hAnsi="Arial"/>
          <w:sz w:val="18"/>
          <w:szCs w:val="18"/>
          <w:color w:val="auto"/>
        </w:rPr>
      </w:pPr>
    </w:p>
    <w:p>
      <w:pPr>
        <w:ind w:left="900" w:right="20" w:hanging="263"/>
        <w:spacing w:after="0" w:line="24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3" w:lineRule="exact"/>
        <w:rPr>
          <w:rFonts w:ascii="Arial" w:cs="Arial" w:eastAsia="Arial" w:hAnsi="Arial"/>
          <w:sz w:val="18"/>
          <w:szCs w:val="18"/>
          <w:color w:val="auto"/>
        </w:rPr>
      </w:pPr>
    </w:p>
    <w:p>
      <w:pPr>
        <w:ind w:left="900" w:right="40" w:hanging="263"/>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3"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56" w:lineRule="exact"/>
        <w:rPr>
          <w:rFonts w:ascii="Arial" w:cs="Arial" w:eastAsia="Arial" w:hAnsi="Arial"/>
          <w:sz w:val="18"/>
          <w:szCs w:val="18"/>
          <w:color w:val="auto"/>
        </w:rPr>
      </w:pPr>
    </w:p>
    <w:p>
      <w:pPr>
        <w:ind w:left="900" w:right="220" w:hanging="263"/>
        <w:spacing w:after="0" w:line="242"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9"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5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4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During the quarter ended September 30, 2023, we issued an aggregate of 14,166 shares of common stock (the Shares) as a part of a settlement with a former stockholder of WPM. The Shares were issued to a former stockholder of WPM that was not a “U.S. person”, as defined in Rule 902 of Regulation S under the Securities Act, or were an “accredited investor,” and the issuances are exempt from the registration requirements of the Securities Act under Regulation S and Rule 506 of Regulation D, respectively. The certificates evidencing the Shares are endorsed with a restrictive Securities Act legend.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 Transition Agreement</w:t>
      </w:r>
    </w:p>
    <w:p>
      <w:pPr>
        <w:spacing w:after="0" w:line="1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August 8, 2023, the Company announced that Michael Ellis, its Chief Financial Officer, would be transitioning from the Company in 2024. In order to facilitate a smooth and orderly transition of his responsibilities as Chief Financial Officer, on November 6, 2023, the Company entered into a Transition Agreement with Mr. Ellis (the Transition Agreement), pursuant to which Mr. Ellis has agreed to serve as the Company’s Chief Financial Officer until the earlier of (a) March 31, 2024 or such later date as the Company requests for Mr. Ellis to continue to serve as Chief Financial Officer, but such later date shall not be after June 30, 2024, unless the Company and Mr. Ellis mutually agree in writing to such later date, or (b) if the Company appoints Mr. Ellis’ successor as Chief Financial Officer prior to March 31, 2024, such date that the Company determines that the transition of Mr. Ellis’ knowledge and duties as Chief Financial Officer to such successor Chief Financial Officer is complete (such date, the CFO Transition Date), which shall be no later than the Separation Date (as defined below). The actual date of the termination of Mr. Ellis’ employment is referred to as the Separation Date and the period between October 23, 2023 and the Separation Date is referred to as the Transition Period.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material terms of the Transition Agreement are as follows:</w:t>
      </w:r>
    </w:p>
    <w:p>
      <w:pPr>
        <w:spacing w:after="0" w:line="184" w:lineRule="exact"/>
        <w:rPr>
          <w:sz w:val="20"/>
          <w:szCs w:val="20"/>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Transition Period, Mr. Ellis shall be eligible to receive from the Company:</w:t>
      </w:r>
    </w:p>
    <w:p>
      <w:pPr>
        <w:spacing w:after="0" w:line="11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his current base salary through the Separation Date;</w:t>
      </w:r>
    </w:p>
    <w:p>
      <w:pPr>
        <w:spacing w:after="0" w:line="11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the same bonus opportunity for fiscal year 2023</w:t>
      </w:r>
    </w:p>
    <w:p>
      <w:pPr>
        <w:spacing w:after="0" w:line="11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the same benefits as in effect immediately prior to October 23, 2023 ; and</w:t>
      </w:r>
    </w:p>
    <w:p>
      <w:pPr>
        <w:spacing w:after="0" w:line="116" w:lineRule="exact"/>
        <w:rPr>
          <w:rFonts w:ascii="Arial" w:cs="Arial" w:eastAsia="Arial" w:hAnsi="Arial"/>
          <w:sz w:val="18"/>
          <w:szCs w:val="18"/>
          <w:color w:val="auto"/>
        </w:rPr>
      </w:pPr>
    </w:p>
    <w:p>
      <w:pPr>
        <w:ind w:left="1540" w:right="220" w:hanging="509"/>
        <w:spacing w:after="0" w:line="242" w:lineRule="auto"/>
        <w:rPr>
          <w:rFonts w:ascii="Arial" w:cs="Arial" w:eastAsia="Arial" w:hAnsi="Arial"/>
          <w:sz w:val="18"/>
          <w:szCs w:val="18"/>
          <w:color w:val="auto"/>
        </w:rPr>
      </w:pPr>
      <w:r>
        <w:rPr>
          <w:rFonts w:ascii="Arial" w:cs="Arial" w:eastAsia="Arial" w:hAnsi="Arial"/>
          <w:sz w:val="18"/>
          <w:szCs w:val="18"/>
          <w:color w:val="auto"/>
        </w:rPr>
        <w:t>oin fiscal year 2024, in the sole discretion of the Compensation Committee of the Company’s Board of Directors, he shall be eligible to receive a one-time cash bonus in the target amount of $150,000, which may be greater than or less then such target as determined by the Company’s Board of Directors and shall be paid within 2 ½ months following the CFO Transition Date.</w:t>
      </w:r>
    </w:p>
    <w:p>
      <w:pPr>
        <w:spacing w:after="0" w:line="83"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Ellis shall be entitled to receive the following severance :</w:t>
      </w:r>
    </w:p>
    <w:p>
      <w:pPr>
        <w:spacing w:after="0" w:line="115" w:lineRule="exact"/>
        <w:rPr>
          <w:rFonts w:ascii="Arial" w:cs="Arial" w:eastAsia="Arial" w:hAnsi="Arial"/>
          <w:sz w:val="18"/>
          <w:szCs w:val="18"/>
          <w:color w:val="auto"/>
        </w:rPr>
      </w:pPr>
    </w:p>
    <w:p>
      <w:pPr>
        <w:ind w:left="1540" w:right="420" w:hanging="509"/>
        <w:spacing w:after="0" w:line="259" w:lineRule="auto"/>
        <w:rPr>
          <w:rFonts w:ascii="Arial" w:cs="Arial" w:eastAsia="Arial" w:hAnsi="Arial"/>
          <w:sz w:val="18"/>
          <w:szCs w:val="18"/>
          <w:color w:val="auto"/>
        </w:rPr>
      </w:pPr>
      <w:r>
        <w:rPr>
          <w:rFonts w:ascii="Arial" w:cs="Arial" w:eastAsia="Arial" w:hAnsi="Arial"/>
          <w:sz w:val="18"/>
          <w:szCs w:val="18"/>
          <w:color w:val="auto"/>
        </w:rPr>
        <w:t>obeginning on the Separation Date the Company will continue to pay his base salary until the later of (i) December 31, 2024 or (ii) the date nine (9) months after the Separation Date; and</w:t>
      </w:r>
    </w:p>
    <w:p>
      <w:pPr>
        <w:spacing w:after="0" w:line="65" w:lineRule="exact"/>
        <w:rPr>
          <w:rFonts w:ascii="Arial" w:cs="Arial" w:eastAsia="Arial" w:hAnsi="Arial"/>
          <w:sz w:val="18"/>
          <w:szCs w:val="18"/>
          <w:color w:val="auto"/>
        </w:rPr>
      </w:pPr>
    </w:p>
    <w:p>
      <w:pPr>
        <w:jc w:val="right"/>
        <w:ind w:left="1540" w:right="20" w:hanging="509"/>
        <w:spacing w:after="0" w:line="256"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if he is subject to an Involuntary Termination (as such term is defined in the Transition Agreement) in the three (3) months prior to a Change in Control (as such term is defined in the Transition Agreement), on a Change in Control or in the twelve</w:t>
      </w:r>
    </w:p>
    <w:p>
      <w:pPr>
        <w:ind w:left="1540" w:right="20" w:hanging="5"/>
        <w:spacing w:after="0"/>
        <w:tabs>
          <w:tab w:leader="none" w:pos="1909" w:val="left"/>
        </w:tabs>
        <w:numPr>
          <w:ilvl w:val="1"/>
          <w:numId w:val="42"/>
        </w:numPr>
        <w:rPr>
          <w:rFonts w:ascii="Arial" w:cs="Arial" w:eastAsia="Arial" w:hAnsi="Arial"/>
          <w:sz w:val="18"/>
          <w:szCs w:val="18"/>
          <w:color w:val="auto"/>
        </w:rPr>
      </w:pPr>
      <w:r>
        <w:rPr>
          <w:rFonts w:ascii="Arial" w:cs="Arial" w:eastAsia="Arial" w:hAnsi="Arial"/>
          <w:sz w:val="18"/>
          <w:szCs w:val="18"/>
          <w:color w:val="auto"/>
        </w:rPr>
        <w:t>months following a Change in Control, then the Company will pay him a lump sum cash payment equal to: 1 times the sum of (x) his base salary at the rate in effect at the time of the Separation Date plus (y) his annual target bonus at the target in effect at the time of the Separation Date.</w:t>
      </w:r>
    </w:p>
    <w:p>
      <w:pPr>
        <w:spacing w:after="0" w:line="81" w:lineRule="exact"/>
        <w:rPr>
          <w:rFonts w:ascii="Arial" w:cs="Arial" w:eastAsia="Arial" w:hAnsi="Arial"/>
          <w:sz w:val="18"/>
          <w:szCs w:val="18"/>
          <w:color w:val="auto"/>
        </w:rPr>
      </w:pPr>
    </w:p>
    <w:p>
      <w:pPr>
        <w:ind w:left="1020" w:right="240" w:hanging="504"/>
        <w:spacing w:after="0" w:line="24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Beginning on the Separation Date, at Mr. Ellis’ election, the Company will continue to pay the same percentage of his monthly premium under COBRA, until the later of (i) December 31, 2024 or (ii) the date nine (9) months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00" w:lineRule="exact"/>
        <w:rPr>
          <w:sz w:val="20"/>
          <w:szCs w:val="20"/>
          <w:color w:val="auto"/>
        </w:rPr>
      </w:pPr>
    </w:p>
    <w:p>
      <w:pPr>
        <w:ind w:left="1020"/>
        <w:spacing w:after="0" w:line="242" w:lineRule="auto"/>
        <w:rPr>
          <w:sz w:val="20"/>
          <w:szCs w:val="20"/>
          <w:color w:val="auto"/>
        </w:rPr>
      </w:pPr>
      <w:r>
        <w:rPr>
          <w:rFonts w:ascii="Arial" w:cs="Arial" w:eastAsia="Arial" w:hAnsi="Arial"/>
          <w:sz w:val="18"/>
          <w:szCs w:val="18"/>
          <w:color w:val="auto"/>
        </w:rPr>
        <w:t>after the Separation Date. If Mr. Ellis is subject an Involuntary Termination in the three (3) months prior to a Change in Control, on a Change in Control or in the twelve (12) months following a Change in Control and he elects to continue his health insurance coverage under COBRA following the Separation Date, then the Company will continue to pay the same percentage of his monthly premium under COBRA, until twelve (12) months after the Separation Date.</w:t>
      </w:r>
    </w:p>
    <w:p>
      <w:pPr>
        <w:spacing w:after="0" w:line="82" w:lineRule="exact"/>
        <w:rPr>
          <w:sz w:val="20"/>
          <w:szCs w:val="20"/>
          <w:color w:val="auto"/>
        </w:rPr>
      </w:pPr>
    </w:p>
    <w:p>
      <w:pPr>
        <w:ind w:left="1020" w:right="140" w:hanging="504"/>
        <w:spacing w:after="0" w:line="24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Ellis’ outstanding stock options and restricted stock units in the Company shall continue to vest in accordance with their applicable equity award agreements through the Separation Date. The vesting of Mr. Ellis’ outstanding equity awards shall also be subject to the following:</w:t>
      </w:r>
    </w:p>
    <w:p>
      <w:pPr>
        <w:spacing w:after="0" w:line="74" w:lineRule="exact"/>
        <w:rPr>
          <w:rFonts w:ascii="Arial" w:cs="Arial" w:eastAsia="Arial" w:hAnsi="Arial"/>
          <w:sz w:val="18"/>
          <w:szCs w:val="18"/>
          <w:color w:val="auto"/>
        </w:rPr>
      </w:pPr>
    </w:p>
    <w:p>
      <w:pPr>
        <w:ind w:left="1540" w:right="20" w:hanging="509"/>
        <w:spacing w:after="0" w:line="238" w:lineRule="auto"/>
        <w:rPr>
          <w:rFonts w:ascii="Arial" w:cs="Arial" w:eastAsia="Arial" w:hAnsi="Arial"/>
          <w:sz w:val="18"/>
          <w:szCs w:val="18"/>
          <w:color w:val="auto"/>
        </w:rPr>
      </w:pPr>
      <w:r>
        <w:rPr>
          <w:rFonts w:ascii="Arial" w:cs="Arial" w:eastAsia="Arial" w:hAnsi="Arial"/>
          <w:sz w:val="18"/>
          <w:szCs w:val="18"/>
          <w:color w:val="auto"/>
        </w:rPr>
        <w:t>oif Mr. Ellis is subject to the Benefits Trigger (as such term is defined in the Transition Agreement), then the Company will accelerate the vesting of his then-outstanding and unvested nonqualified option shares and equity awards that are subject to time-based vesting such that the vested percentage of the shares subject to such nonqualified options and equity awards will be determined as if Mr. Ellis had remained in continuous service with the Company through December 31, 2024. The period of time to exercise any vested nonqualified stock options will be extended from 3 months after the Separation Date to the earlier of (i) the expiration date of the applicable nonqualified option or (ii) one year after the Separation Date;</w:t>
      </w:r>
    </w:p>
    <w:p>
      <w:pPr>
        <w:spacing w:after="0" w:line="86" w:lineRule="exact"/>
        <w:rPr>
          <w:rFonts w:ascii="Arial" w:cs="Arial" w:eastAsia="Arial" w:hAnsi="Arial"/>
          <w:sz w:val="18"/>
          <w:szCs w:val="18"/>
          <w:color w:val="auto"/>
        </w:rPr>
      </w:pPr>
    </w:p>
    <w:p>
      <w:pPr>
        <w:ind w:left="1540" w:hanging="509"/>
        <w:spacing w:after="0" w:line="238" w:lineRule="auto"/>
        <w:rPr>
          <w:rFonts w:ascii="Arial" w:cs="Arial" w:eastAsia="Arial" w:hAnsi="Arial"/>
          <w:sz w:val="18"/>
          <w:szCs w:val="18"/>
          <w:color w:val="auto"/>
        </w:rPr>
      </w:pPr>
      <w:r>
        <w:rPr>
          <w:rFonts w:ascii="Arial" w:cs="Arial" w:eastAsia="Arial" w:hAnsi="Arial"/>
          <w:sz w:val="18"/>
          <w:szCs w:val="18"/>
          <w:color w:val="auto"/>
        </w:rPr>
        <w:t>oin the event that the CFO Transition Date is extended later than March 31, 2024 (but it shall not be extended any later than June 30, 2024 or such later date as Mr. Ellis and the Company mutually agree in writing), then the Company will accelerate the vesting of Mr. Ellis’ then-outstanding and unvested option shares and equity awards that are subject to time-based vesting such that the vested percentage of the shares subject to such options and equity awards will be determined as if Mr. Ellis had remained in continuous service with the Company through December 31, 2024 plus the number of days between March 31, 2024 and the Separation Date, provided that if such date falls between two vesting periods then, notwithstanding anything to the contrary in the governing award agreement, he shall be eligible for additional acceleration for such vesting period determined on a pro-rata basis;</w:t>
      </w:r>
    </w:p>
    <w:p>
      <w:pPr>
        <w:spacing w:after="0" w:line="83" w:lineRule="exact"/>
        <w:rPr>
          <w:rFonts w:ascii="Arial" w:cs="Arial" w:eastAsia="Arial" w:hAnsi="Arial"/>
          <w:sz w:val="18"/>
          <w:szCs w:val="18"/>
          <w:color w:val="auto"/>
        </w:rPr>
      </w:pPr>
    </w:p>
    <w:p>
      <w:pPr>
        <w:ind w:left="1540" w:right="60" w:hanging="509"/>
        <w:spacing w:after="0" w:line="242" w:lineRule="auto"/>
        <w:rPr>
          <w:rFonts w:ascii="Arial" w:cs="Arial" w:eastAsia="Arial" w:hAnsi="Arial"/>
          <w:sz w:val="18"/>
          <w:szCs w:val="18"/>
          <w:color w:val="auto"/>
        </w:rPr>
      </w:pPr>
      <w:r>
        <w:rPr>
          <w:rFonts w:ascii="Arial" w:cs="Arial" w:eastAsia="Arial" w:hAnsi="Arial"/>
          <w:sz w:val="18"/>
          <w:szCs w:val="18"/>
          <w:color w:val="auto"/>
        </w:rPr>
        <w:t>oany equity awards which vest as a result of an extension for CFO Transition services after March 31, 2024 will vest on the Separation Date, provided, however that if Mr. Ellis resigns for other than Good Reason or is terminated by the Company for Cause (as such term is defined in the Transition Agreement prior to the Separation Date (which can be no later than June 30, 2024), then he will forfeit any right to acceleration of vesting; and</w:t>
      </w:r>
    </w:p>
    <w:p>
      <w:pPr>
        <w:spacing w:after="0" w:line="82" w:lineRule="exact"/>
        <w:rPr>
          <w:rFonts w:ascii="Arial" w:cs="Arial" w:eastAsia="Arial" w:hAnsi="Arial"/>
          <w:sz w:val="18"/>
          <w:szCs w:val="18"/>
          <w:color w:val="auto"/>
        </w:rPr>
      </w:pPr>
    </w:p>
    <w:p>
      <w:pPr>
        <w:ind w:left="1540" w:right="40" w:hanging="509"/>
        <w:spacing w:after="0" w:line="237" w:lineRule="auto"/>
        <w:rPr>
          <w:rFonts w:ascii="Arial" w:cs="Arial" w:eastAsia="Arial" w:hAnsi="Arial"/>
          <w:sz w:val="18"/>
          <w:szCs w:val="18"/>
          <w:color w:val="auto"/>
        </w:rPr>
      </w:pPr>
      <w:r>
        <w:rPr>
          <w:rFonts w:ascii="Arial" w:cs="Arial" w:eastAsia="Arial" w:hAnsi="Arial"/>
          <w:sz w:val="18"/>
          <w:szCs w:val="18"/>
          <w:color w:val="auto"/>
        </w:rPr>
        <w:t>oin the event Mr. Ellis is subject to an Involuntary Termination (i) and the Company reasonably anticipates a Change in Control in the three (3) months following his Involuntary Termination, (ii) on a Change in Control or (iii) in the twelve (12) months following a Change in Control, then all of his outstanding and unvested option shares and equity awards that are subject to time-based vesting shall be 100% vested and non-forfeitable. In the event that prior to such Involuntary Termination, any unvested options held by Mr. Ellis were terminated without payment upon the closing of the Change in Control, then, in lieu of the acceleration of vesting set forth above, Mr. Ellis shall receive a cash payment equal in value to the difference between (A) the “Per Share Consideration,” defined as the amount payable per share in the Change in Control, times the number of option shares that would have been accelerated pursuant to the preceding sentence and (B) the aggregate exercise price of such shares, which amount shall be payable in a lump sum within 15 business days of the Involuntary Termination.</w:t>
      </w:r>
    </w:p>
    <w:p>
      <w:pPr>
        <w:spacing w:after="0" w:line="88" w:lineRule="exact"/>
        <w:rPr>
          <w:rFonts w:ascii="Arial" w:cs="Arial" w:eastAsia="Arial" w:hAnsi="Arial"/>
          <w:sz w:val="18"/>
          <w:szCs w:val="18"/>
          <w:color w:val="auto"/>
        </w:rPr>
      </w:pPr>
    </w:p>
    <w:p>
      <w:pPr>
        <w:ind w:left="1020" w:right="200" w:hanging="504"/>
        <w:spacing w:after="0" w:line="24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Employee Invention Assignment and Confidentiality Agreement, dated April 23, 2015, between Mr. Ellis and the Company shall remain in effect, and Mr. Ellis has affirmed his obligations under the Employee Invention Assignment and Confidentiality Agreement in connection with the execution of the Transition Agreement; and</w:t>
      </w:r>
    </w:p>
    <w:p>
      <w:pPr>
        <w:spacing w:after="0" w:line="75" w:lineRule="exact"/>
        <w:rPr>
          <w:rFonts w:ascii="Arial" w:cs="Arial" w:eastAsia="Arial" w:hAnsi="Arial"/>
          <w:sz w:val="18"/>
          <w:szCs w:val="18"/>
          <w:color w:val="auto"/>
        </w:rPr>
      </w:pPr>
    </w:p>
    <w:p>
      <w:pPr>
        <w:ind w:left="1020" w:right="120" w:hanging="504"/>
        <w:spacing w:after="0" w:line="242"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consideration of and in order to be eligible for the compensation and benefits described above, Mr. Ellis has signed a release of claims in connection with the execution of the Agreement, has agreed to be subject to customary non-compete, during the Transition Period and for 9 months following the Transition Period and has agreed to sign an additional release on the Separation Date.</w:t>
      </w:r>
    </w:p>
    <w:p>
      <w:pPr>
        <w:spacing w:after="0" w:line="15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foregoing description of the terms and conditions of the Transition Agreement does not purport to be complete and is qualified in its entirety by reference to the full text of the Transition Agreement, which is filed as an exhibit to this Quarterly Report on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 Trading Plans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August 11, 2023, Michael Massaro, our Chief Executive Officer and Director, adopted a trading arrangement for the sale of shares of our common stock (a "Rule 10b-5 Trading Plan") that is intended to satisfy the affirmative defense conditions of Securities Exchange Act Rule 10b5-1(c). Mr. Massaro's Rule 10b-5 Trading Plan provides for the sale of up to 550,000 shares of common stock pursuant to the terms of the plan. The plan is effective through November 13, 2024 unless earlier terminated in accordance with the terms of the plan.</w:t>
      </w:r>
    </w:p>
    <w:p>
      <w:pPr>
        <w:spacing w:after="0" w:line="16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On September 8, 2023, Peter Butterfield, our General Counsel and Chief Compliance Officer, adopted a Rule 10b-5 Trading Plan that is intended to satisfy the affirmative defense conditions of Securities Exchange Act Rule 10b5-1(c). Mr. Butterfield's Rule 10b-5 Trading Plan provides for the sale of up to 134,784 shares of common stock pursuant to the terms of the plan. The plan is effective through January 8, 2025 unless earlier terminated in accordance with the terms of the plan.</w:t>
      </w:r>
    </w:p>
    <w:p>
      <w:pPr>
        <w:spacing w:after="0" w:line="15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On September 11, 2023, David King, our Senior Vice President, Product and Engineering &amp; Chief Technology Officer, adopted a Rule 10b-5 Trading Plan that is intended to satisfy the affirmative defense conditions of Securities Exchange Act Rule 10b5-1(c). Mr. King's Rule 10b-5 Trading Plan provides for the sale of up to 170,719 shares of common stock pursuant to the terms of the plan. The plan is effective through December 11, 2024 unless earlier terminated in accordance with the terms of the plan.</w:t>
      </w: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gridSpan w:val="11"/>
          </w:tcPr>
          <w:p>
            <w:pPr>
              <w:ind w:left="1200"/>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140" w:type="dxa"/>
            <w:vAlign w:val="bottom"/>
          </w:tcPr>
          <w:p>
            <w:pPr>
              <w:ind w:left="14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96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Amended and Restated Certificate of Incorporation of Flywire Corporation, incorporated by reference to Exhibit 3.1 to the</w:t>
              </w:r>
            </w:hyperlink>
          </w:p>
        </w:tc>
        <w:tc>
          <w:tcPr>
            <w:tcW w:w="340" w:type="dxa"/>
            <w:vAlign w:val="bottom"/>
            <w:gridSpan w:val="6"/>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0" w:type="dxa"/>
            <w:vAlign w:val="bottom"/>
            <w:tcBorders>
              <w:bottom w:val="single" w:sz="8" w:color="0000EE"/>
            </w:tcBorders>
            <w:gridSpan w:val="3"/>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Registrant’s Current Report on Form 8-K filed on June 1, 2021</w:t>
              </w:r>
            </w:hyperlink>
          </w:p>
        </w:tc>
        <w:tc>
          <w:tcPr>
            <w:tcW w:w="4980" w:type="dxa"/>
            <w:vAlign w:val="bottom"/>
            <w:gridSpan w:val="10"/>
          </w:tcPr>
          <w:p>
            <w:pPr>
              <w:spacing w:after="0"/>
              <w:rPr>
                <w:sz w:val="15"/>
                <w:szCs w:val="15"/>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9740" w:type="dxa"/>
            <w:vAlign w:val="bottom"/>
            <w:tcBorders>
              <w:bottom w:val="single" w:sz="8" w:color="0000FF"/>
            </w:tcBorders>
            <w:gridSpan w:val="10"/>
          </w:tcPr>
          <w:p>
            <w:pPr>
              <w:spacing w:after="0"/>
              <w:rPr>
                <w:rFonts w:ascii="Arial" w:cs="Arial" w:eastAsia="Arial" w:hAnsi="Arial"/>
                <w:sz w:val="18"/>
                <w:szCs w:val="18"/>
                <w:color w:val="0000FF"/>
              </w:rPr>
            </w:pPr>
            <w:hyperlink r:id="rId440">
              <w:r>
                <w:rPr>
                  <w:rFonts w:ascii="Arial" w:cs="Arial" w:eastAsia="Arial" w:hAnsi="Arial"/>
                  <w:sz w:val="18"/>
                  <w:szCs w:val="18"/>
                  <w:color w:val="0000FF"/>
                </w:rPr>
                <w:t>Amended and Restated Bylaws of Flywire Corporation, incorporated by reference to Exhibit 3.2 to the Registrant’s Current</w:t>
              </w:r>
            </w:hyperlink>
          </w:p>
        </w:tc>
        <w:tc>
          <w:tcPr>
            <w:tcW w:w="240" w:type="dxa"/>
            <w:vAlign w:val="bottom"/>
            <w:gridSpan w:val="3"/>
          </w:tcPr>
          <w:p>
            <w:pPr>
              <w:spacing w:after="0"/>
              <w:rPr>
                <w:sz w:val="18"/>
                <w:szCs w:val="18"/>
                <w:color w:val="auto"/>
              </w:rPr>
            </w:pPr>
          </w:p>
        </w:tc>
      </w:tr>
      <w:tr>
        <w:trPr>
          <w:trHeight w:val="182"/>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13"/>
          </w:tcPr>
          <w:p>
            <w:pPr>
              <w:spacing w:after="0" w:line="182" w:lineRule="exact"/>
              <w:rPr>
                <w:rFonts w:ascii="Arial" w:cs="Arial" w:eastAsia="Arial" w:hAnsi="Arial"/>
                <w:sz w:val="18"/>
                <w:szCs w:val="18"/>
                <w:color w:val="0000FF"/>
              </w:rPr>
            </w:pPr>
            <w:hyperlink r:id="rId440">
              <w:r>
                <w:rPr>
                  <w:rFonts w:ascii="Arial" w:cs="Arial" w:eastAsia="Arial" w:hAnsi="Arial"/>
                  <w:sz w:val="18"/>
                  <w:szCs w:val="18"/>
                  <w:color w:val="0000FF"/>
                </w:rPr>
                <w:t>Report on Form 8-K filed on June 1,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5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Transition Agreement by and between Flywire Corporation and Michael Ellis, dated as of November 6, 2023</w:t>
            </w:r>
          </w:p>
        </w:tc>
        <w:tc>
          <w:tcPr>
            <w:tcW w:w="1420" w:type="dxa"/>
            <w:vAlign w:val="bottom"/>
            <w:gridSpan w:val="7"/>
          </w:tcPr>
          <w:p>
            <w:pPr>
              <w:spacing w:after="0"/>
              <w:rPr>
                <w:sz w:val="18"/>
                <w:szCs w:val="18"/>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98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140" w:type="dxa"/>
            <w:vAlign w:val="bottom"/>
          </w:tcPr>
          <w:p>
            <w:pPr>
              <w:spacing w:after="0"/>
              <w:rPr>
                <w:sz w:val="18"/>
                <w:szCs w:val="18"/>
                <w:color w:val="auto"/>
              </w:rPr>
            </w:pPr>
          </w:p>
        </w:tc>
      </w:tr>
      <w:tr>
        <w:trPr>
          <w:trHeight w:val="182"/>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8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780" w:type="dxa"/>
            <w:vAlign w:val="bottom"/>
            <w:gridSpan w:val="8"/>
          </w:tcPr>
          <w:p>
            <w:pPr>
              <w:spacing w:after="0"/>
              <w:rPr>
                <w:sz w:val="15"/>
                <w:szCs w:val="15"/>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97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200" w:type="dxa"/>
            <w:vAlign w:val="bottom"/>
            <w:gridSpan w:val="2"/>
          </w:tcPr>
          <w:p>
            <w:pPr>
              <w:spacing w:after="0"/>
              <w:rPr>
                <w:sz w:val="18"/>
                <w:szCs w:val="18"/>
                <w:color w:val="auto"/>
              </w:rPr>
            </w:pPr>
          </w:p>
        </w:tc>
      </w:tr>
      <w:tr>
        <w:trPr>
          <w:trHeight w:val="182"/>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8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780" w:type="dxa"/>
            <w:vAlign w:val="bottom"/>
            <w:gridSpan w:val="8"/>
          </w:tcPr>
          <w:p>
            <w:pPr>
              <w:spacing w:after="0"/>
              <w:rPr>
                <w:sz w:val="15"/>
                <w:szCs w:val="15"/>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97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260" w:type="dxa"/>
            <w:vAlign w:val="bottom"/>
            <w:gridSpan w:val="4"/>
          </w:tcPr>
          <w:p>
            <w:pPr>
              <w:spacing w:after="0"/>
              <w:rPr>
                <w:sz w:val="18"/>
                <w:szCs w:val="18"/>
                <w:color w:val="auto"/>
              </w:rPr>
            </w:pPr>
          </w:p>
        </w:tc>
      </w:tr>
      <w:tr>
        <w:trPr>
          <w:trHeight w:val="182"/>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13"/>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96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320" w:type="dxa"/>
            <w:vAlign w:val="bottom"/>
            <w:gridSpan w:val="5"/>
          </w:tcPr>
          <w:p>
            <w:pPr>
              <w:spacing w:after="0"/>
              <w:rPr>
                <w:sz w:val="18"/>
                <w:szCs w:val="18"/>
                <w:color w:val="auto"/>
              </w:rPr>
            </w:pPr>
          </w:p>
        </w:tc>
      </w:tr>
      <w:tr>
        <w:trPr>
          <w:trHeight w:val="182"/>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13"/>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7720" w:type="dxa"/>
            <w:vAlign w:val="bottom"/>
            <w:gridSpan w:val="12"/>
          </w:tcPr>
          <w:p>
            <w:pPr>
              <w:spacing w:after="0" w:line="20" w:lineRule="exact"/>
              <w:rPr>
                <w:sz w:val="1"/>
                <w:szCs w:val="1"/>
                <w:color w:val="auto"/>
              </w:rPr>
            </w:pPr>
          </w:p>
        </w:tc>
      </w:tr>
      <w:tr>
        <w:trPr>
          <w:trHeight w:val="223"/>
        </w:trPr>
        <w:tc>
          <w:tcPr>
            <w:tcW w:w="1140" w:type="dxa"/>
            <w:vAlign w:val="bottom"/>
          </w:tcPr>
          <w:p>
            <w:pPr>
              <w:ind w:left="1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1140" w:type="dxa"/>
            <w:vAlign w:val="bottom"/>
          </w:tcPr>
          <w:p>
            <w:pPr>
              <w:ind w:left="1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140" w:type="dxa"/>
            <w:vAlign w:val="bottom"/>
          </w:tcPr>
          <w:p>
            <w:pPr>
              <w:ind w:left="1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140" w:type="dxa"/>
            <w:vAlign w:val="bottom"/>
          </w:tcPr>
          <w:p>
            <w:pPr>
              <w:ind w:left="1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40" w:type="dxa"/>
            <w:vAlign w:val="bottom"/>
          </w:tcPr>
          <w:p>
            <w:pPr>
              <w:ind w:left="1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140" w:type="dxa"/>
            <w:vAlign w:val="bottom"/>
          </w:tcPr>
          <w:p>
            <w:pPr>
              <w:ind w:left="1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9"/>
        </w:trPr>
        <w:tc>
          <w:tcPr>
            <w:tcW w:w="1140" w:type="dxa"/>
            <w:vAlign w:val="bottom"/>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9980" w:type="dxa"/>
            <w:vAlign w:val="bottom"/>
            <w:gridSpan w:val="1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rPr>
          <w:sz w:val="20"/>
          <w:szCs w:val="20"/>
          <w:color w:val="auto"/>
        </w:rPr>
      </w:pPr>
      <w:r>
        <w:rPr>
          <w:rFonts w:ascii="Arial" w:cs="Arial" w:eastAsia="Arial" w:hAnsi="Arial"/>
          <w:sz w:val="14"/>
          <w:szCs w:val="14"/>
          <w:color w:val="auto"/>
        </w:rPr>
        <w:t>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9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FLYWIRE CORPORATION</w:t>
      </w:r>
    </w:p>
    <w:p>
      <w:pPr>
        <w:spacing w:after="0" w:line="244" w:lineRule="exact"/>
        <w:rPr>
          <w:sz w:val="20"/>
          <w:szCs w:val="20"/>
          <w:color w:val="auto"/>
        </w:rPr>
      </w:pPr>
    </w:p>
    <w:p>
      <w:pPr>
        <w:ind w:left="20"/>
        <w:spacing w:after="0"/>
        <w:tabs>
          <w:tab w:leader="none" w:pos="5440" w:val="left"/>
          <w:tab w:leader="none" w:pos="7840" w:val="left"/>
        </w:tabs>
        <w:rPr>
          <w:sz w:val="20"/>
          <w:szCs w:val="20"/>
          <w:color w:val="auto"/>
        </w:rPr>
      </w:pPr>
      <w:r>
        <w:rPr>
          <w:rFonts w:ascii="Arial" w:cs="Arial" w:eastAsia="Arial" w:hAnsi="Arial"/>
          <w:sz w:val="17"/>
          <w:szCs w:val="17"/>
          <w:color w:val="auto"/>
        </w:rPr>
        <w:t>Date: November 7,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15875</wp:posOffset>
            </wp:positionV>
            <wp:extent cx="330517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35"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Massaro</w:t>
      </w:r>
    </w:p>
    <w:p>
      <w:pPr>
        <w:spacing w:after="0" w:line="4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p>
    <w:p>
      <w:pPr>
        <w:ind w:left="7480"/>
        <w:spacing w:after="0"/>
        <w:rPr>
          <w:sz w:val="20"/>
          <w:szCs w:val="20"/>
          <w:color w:val="auto"/>
        </w:rPr>
      </w:pPr>
      <w:r>
        <w:rPr>
          <w:rFonts w:ascii="Arial" w:cs="Arial" w:eastAsia="Arial" w:hAnsi="Arial"/>
          <w:sz w:val="17"/>
          <w:szCs w:val="17"/>
          <w:b w:val="1"/>
          <w:bCs w:val="1"/>
          <w:color w:val="auto"/>
        </w:rPr>
        <w:t>(Principal Executive Officer)</w:t>
      </w:r>
    </w:p>
    <w:p>
      <w:pPr>
        <w:spacing w:after="0" w:line="224" w:lineRule="exact"/>
        <w:rPr>
          <w:sz w:val="20"/>
          <w:szCs w:val="20"/>
          <w:color w:val="auto"/>
        </w:rPr>
      </w:pPr>
    </w:p>
    <w:p>
      <w:pPr>
        <w:ind w:left="20"/>
        <w:spacing w:after="0"/>
        <w:tabs>
          <w:tab w:leader="none" w:pos="5440" w:val="left"/>
          <w:tab w:leader="none" w:pos="8020" w:val="left"/>
        </w:tabs>
        <w:rPr>
          <w:sz w:val="20"/>
          <w:szCs w:val="20"/>
          <w:color w:val="auto"/>
        </w:rPr>
      </w:pPr>
      <w:r>
        <w:rPr>
          <w:rFonts w:ascii="Arial" w:cs="Arial" w:eastAsia="Arial" w:hAnsi="Arial"/>
          <w:sz w:val="17"/>
          <w:szCs w:val="17"/>
          <w:color w:val="auto"/>
        </w:rPr>
        <w:t>Date: November 7,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15875</wp:posOffset>
            </wp:positionV>
            <wp:extent cx="330517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35"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Ellis</w:t>
      </w:r>
    </w:p>
    <w:p>
      <w:pPr>
        <w:spacing w:after="0" w:line="4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p>
    <w:p>
      <w:pPr>
        <w:ind w:left="684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98" w:name="page99"/>
    <w:bookmarkEnd w:id="98"/>
    <w:p>
      <w:pPr>
        <w:ind w:left="1020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Agreement</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following transition agreement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between Michael Ellis (“</w:t>
      </w:r>
      <w:r>
        <w:rPr>
          <w:rFonts w:ascii="Arial" w:cs="Arial" w:eastAsia="Arial" w:hAnsi="Arial"/>
          <w:sz w:val="20"/>
          <w:szCs w:val="20"/>
          <w:b w:val="1"/>
          <w:bCs w:val="1"/>
          <w:i w:val="1"/>
          <w:iCs w:val="1"/>
          <w:color w:val="auto"/>
        </w:rPr>
        <w:t>you</w:t>
      </w:r>
      <w:r>
        <w:rPr>
          <w:rFonts w:ascii="Arial" w:cs="Arial" w:eastAsia="Arial" w:hAnsi="Arial"/>
          <w:sz w:val="20"/>
          <w:szCs w:val="20"/>
          <w:color w:val="auto"/>
        </w:rPr>
        <w:t>”, “</w:t>
      </w:r>
      <w:r>
        <w:rPr>
          <w:rFonts w:ascii="Arial" w:cs="Arial" w:eastAsia="Arial" w:hAnsi="Arial"/>
          <w:sz w:val="20"/>
          <w:szCs w:val="20"/>
          <w:b w:val="1"/>
          <w:bCs w:val="1"/>
          <w:i w:val="1"/>
          <w:iCs w:val="1"/>
          <w:color w:val="auto"/>
        </w:rPr>
        <w:t>your</w:t>
      </w:r>
      <w:r>
        <w:rPr>
          <w:rFonts w:ascii="Arial" w:cs="Arial" w:eastAsia="Arial" w:hAnsi="Arial"/>
          <w:sz w:val="20"/>
          <w:szCs w:val="20"/>
          <w:color w:val="auto"/>
        </w:rPr>
        <w:t>”, or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and Flywire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confirms your transition and separation from employment and offers you certain benefits to which you would not otherwise be entitled, conditioned upon your provision of a general release of claims and agreement and adherence to other terms and conditions set forth in this Agreement and the attached Release (defined below). Company and Employee may be referred to herein collectively as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and each an individual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If you agree to the terms outlined here, please sign and return this Agreement in the timeframe outlined below.</w:t>
      </w:r>
    </w:p>
    <w:p>
      <w:pPr>
        <w:spacing w:after="0" w:line="194" w:lineRule="exact"/>
        <w:rPr>
          <w:sz w:val="20"/>
          <w:szCs w:val="20"/>
          <w:color w:val="auto"/>
        </w:rPr>
      </w:pPr>
    </w:p>
    <w:p>
      <w:pPr>
        <w:jc w:val="both"/>
        <w:ind w:firstLine="757"/>
        <w:spacing w:after="0" w:line="269" w:lineRule="auto"/>
        <w:tabs>
          <w:tab w:leader="none" w:pos="1018"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Transition and Separation from Employment</w:t>
      </w:r>
      <w:r>
        <w:rPr>
          <w:rFonts w:ascii="Arial" w:cs="Arial" w:eastAsia="Arial" w:hAnsi="Arial"/>
          <w:sz w:val="18"/>
          <w:szCs w:val="18"/>
          <w:color w:val="auto"/>
        </w:rPr>
        <w:t>: Employee’s employment with the Company in his role as the Chief Financial Officer shall continue until the earlier of (a) March 31, 2024 or such later date as the Company requests for you to continue in your role as Chief Financial Officer, but such later date shall not be after June 30, 2024, or such later date as the Parties may mutually agree to in writing, or (b) if the Company appoints your successor as Chief Financial Officer prior to March 31, 2024, such date that the Company determines that the transition of your knowledge and duties as Chief Financial Officer to such successor Chief Financial Officer is complete (such date, the “</w:t>
      </w:r>
      <w:r>
        <w:rPr>
          <w:rFonts w:ascii="Arial" w:cs="Arial" w:eastAsia="Arial" w:hAnsi="Arial"/>
          <w:sz w:val="18"/>
          <w:szCs w:val="18"/>
          <w:b w:val="1"/>
          <w:bCs w:val="1"/>
          <w:i w:val="1"/>
          <w:iCs w:val="1"/>
          <w:color w:val="auto"/>
        </w:rPr>
        <w:t>CFO Transition Date</w:t>
      </w:r>
      <w:r>
        <w:rPr>
          <w:rFonts w:ascii="Arial" w:cs="Arial" w:eastAsia="Arial" w:hAnsi="Arial"/>
          <w:sz w:val="18"/>
          <w:szCs w:val="18"/>
          <w:color w:val="auto"/>
        </w:rPr>
        <w:t>”), which shall be no later than the Separation Date. You shall remain an employee through earlier of (i) your termination of employment, or (ii) June 30, 2024 or such later date as the Parties may mutually agree in writing. You agree to travel to the Company’s Boston headquarters consistent with past practice as well as other customary and ordinary business travel. You agree to continue to utilize your best efforts in the performance of your duties as the Company’s Chief Financial Officer through March 31, 2024, and for the period from April 1, 2024 through the CFO Transition Date if after March 31, 2024, you will continue to use your best efforts in the performance of your duties as reasonably assigned by the Company. The actual date of the termination of your employment is herein referred to as the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Consistent with past practice, you will be allowed to enter into advisory agreements with other companies which do not compete with the Company upon approval by the Company which will not be unreasonably withheld.</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You acknowledge and agree that you were provided a copy of this Agreement on October 23, 2023 (the “</w:t>
      </w:r>
      <w:r>
        <w:rPr>
          <w:rFonts w:ascii="Arial" w:cs="Arial" w:eastAsia="Arial" w:hAnsi="Arial"/>
          <w:sz w:val="20"/>
          <w:szCs w:val="20"/>
          <w:b w:val="1"/>
          <w:bCs w:val="1"/>
          <w:i w:val="1"/>
          <w:iCs w:val="1"/>
          <w:color w:val="auto"/>
        </w:rPr>
        <w:t>Notification Date</w:t>
      </w:r>
      <w:r>
        <w:rPr>
          <w:rFonts w:ascii="Arial" w:cs="Arial" w:eastAsia="Arial" w:hAnsi="Arial"/>
          <w:sz w:val="20"/>
          <w:szCs w:val="20"/>
          <w:color w:val="auto"/>
        </w:rPr>
        <w:t>”). This Agreement is intended to provide you with additional benefits and compensation than you would have otherwise been entitled. The period between the Notification Date and Separation Date is herein referred to as the “</w:t>
      </w:r>
      <w:r>
        <w:rPr>
          <w:rFonts w:ascii="Arial" w:cs="Arial" w:eastAsia="Arial" w:hAnsi="Arial"/>
          <w:sz w:val="20"/>
          <w:szCs w:val="20"/>
          <w:b w:val="1"/>
          <w:bCs w:val="1"/>
          <w:i w:val="1"/>
          <w:iCs w:val="1"/>
          <w:color w:val="auto"/>
        </w:rPr>
        <w:t>Transition Period</w:t>
      </w:r>
      <w:r>
        <w:rPr>
          <w:rFonts w:ascii="Arial" w:cs="Arial" w:eastAsia="Arial" w:hAnsi="Arial"/>
          <w:sz w:val="20"/>
          <w:szCs w:val="20"/>
          <w:color w:val="auto"/>
        </w:rPr>
        <w:t>.”</w:t>
      </w:r>
    </w:p>
    <w:p>
      <w:pPr>
        <w:spacing w:after="0" w:line="188" w:lineRule="exact"/>
        <w:rPr>
          <w:sz w:val="20"/>
          <w:szCs w:val="20"/>
          <w:color w:val="auto"/>
        </w:rPr>
      </w:pPr>
    </w:p>
    <w:p>
      <w:pPr>
        <w:jc w:val="both"/>
        <w:ind w:firstLine="757"/>
        <w:spacing w:after="0" w:line="244" w:lineRule="auto"/>
        <w:tabs>
          <w:tab w:leader="none" w:pos="1018" w:val="left"/>
        </w:tabs>
        <w:numPr>
          <w:ilvl w:val="0"/>
          <w:numId w:val="45"/>
        </w:numPr>
        <w:rPr>
          <w:rFonts w:ascii="Arial" w:cs="Arial" w:eastAsia="Arial" w:hAnsi="Arial"/>
          <w:sz w:val="20"/>
          <w:szCs w:val="20"/>
          <w:color w:val="010000"/>
        </w:rPr>
      </w:pPr>
      <w:r>
        <w:rPr>
          <w:rFonts w:ascii="Arial" w:cs="Arial" w:eastAsia="Arial" w:hAnsi="Arial"/>
          <w:sz w:val="20"/>
          <w:szCs w:val="20"/>
          <w:u w:val="single" w:color="auto"/>
          <w:color w:val="auto"/>
        </w:rPr>
        <w:t>Final Pay and Benefits</w:t>
      </w:r>
      <w:r>
        <w:rPr>
          <w:rFonts w:ascii="Arial" w:cs="Arial" w:eastAsia="Arial" w:hAnsi="Arial"/>
          <w:sz w:val="20"/>
          <w:szCs w:val="20"/>
          <w:color w:val="auto"/>
        </w:rPr>
        <w:t>: The Company will provide your final pay, which represents all of your earned but unpaid compensation, less lawful deductions (the “</w:t>
      </w:r>
      <w:r>
        <w:rPr>
          <w:rFonts w:ascii="Arial" w:cs="Arial" w:eastAsia="Arial" w:hAnsi="Arial"/>
          <w:sz w:val="20"/>
          <w:szCs w:val="20"/>
          <w:b w:val="1"/>
          <w:bCs w:val="1"/>
          <w:i w:val="1"/>
          <w:iCs w:val="1"/>
          <w:color w:val="auto"/>
        </w:rPr>
        <w:t>Final Pay</w:t>
      </w:r>
      <w:r>
        <w:rPr>
          <w:rFonts w:ascii="Arial" w:cs="Arial" w:eastAsia="Arial" w:hAnsi="Arial"/>
          <w:sz w:val="20"/>
          <w:szCs w:val="20"/>
          <w:color w:val="auto"/>
        </w:rPr>
        <w:t>”) through the Separation Date, in a timely manner and in accordance with your state’s law. You are not required to sign this Agreement to receive your Final Pay. After the Separation Date, under separate cover, you will receive information about your rights, if any, to continue your participation in the Company’s health insurance plan under the Consolidated Omnibus Budget Reconciliation Act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or its equivalent in your state.</w:t>
      </w:r>
    </w:p>
    <w:p>
      <w:pPr>
        <w:spacing w:after="0" w:line="192" w:lineRule="exact"/>
        <w:rPr>
          <w:rFonts w:ascii="Arial" w:cs="Arial" w:eastAsia="Arial" w:hAnsi="Arial"/>
          <w:sz w:val="20"/>
          <w:szCs w:val="20"/>
          <w:color w:val="010000"/>
        </w:rPr>
      </w:pPr>
    </w:p>
    <w:p>
      <w:pPr>
        <w:jc w:val="both"/>
        <w:ind w:firstLine="757"/>
        <w:spacing w:after="0" w:line="275" w:lineRule="auto"/>
        <w:tabs>
          <w:tab w:leader="none" w:pos="1018"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auto"/>
        </w:rPr>
        <w:t>Transition Benefits</w:t>
      </w:r>
      <w:r>
        <w:rPr>
          <w:rFonts w:ascii="Arial" w:cs="Arial" w:eastAsia="Arial" w:hAnsi="Arial"/>
          <w:sz w:val="18"/>
          <w:szCs w:val="18"/>
          <w:color w:val="auto"/>
        </w:rPr>
        <w:t>. If you sign and return this Agreement to the Company before the end of the Consideration Period (defined below), then the Company will continue to employ you and to pay you your current base salary through the Separation Date, less lawful deductions, in accordance with the Company's regular payroll schedule (the “</w:t>
      </w:r>
      <w:r>
        <w:rPr>
          <w:rFonts w:ascii="Arial" w:cs="Arial" w:eastAsia="Arial" w:hAnsi="Arial"/>
          <w:sz w:val="18"/>
          <w:szCs w:val="18"/>
          <w:b w:val="1"/>
          <w:bCs w:val="1"/>
          <w:i w:val="1"/>
          <w:iCs w:val="1"/>
          <w:color w:val="auto"/>
        </w:rPr>
        <w:t>Transition Benefits</w:t>
      </w:r>
      <w:r>
        <w:rPr>
          <w:rFonts w:ascii="Arial" w:cs="Arial" w:eastAsia="Arial" w:hAnsi="Arial"/>
          <w:sz w:val="18"/>
          <w:szCs w:val="18"/>
          <w:color w:val="auto"/>
        </w:rPr>
        <w:t>”). During the Transition Period you shall continue to be eligible to receive the same base salary, bonus opportunity (for fiscal year 2023 only) and benefits from the Company as in effect immediately prior to the Notification Date and will be expected to perform those duties and tasks as Chief Financial Officer prior to the CFO Transition Date and, if applicable, as an employee after CFO Transition Date, including but not limited to such tasks as may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9" w:name="page100"/>
    <w:bookmarkEnd w:id="99"/>
    <w:p>
      <w:pPr>
        <w:jc w:val="both"/>
        <w:spacing w:after="0" w:line="275" w:lineRule="auto"/>
        <w:rPr>
          <w:sz w:val="20"/>
          <w:szCs w:val="20"/>
          <w:color w:val="auto"/>
        </w:rPr>
      </w:pPr>
      <w:r>
        <w:rPr>
          <w:rFonts w:ascii="Arial" w:cs="Arial" w:eastAsia="Arial" w:hAnsi="Arial"/>
          <w:sz w:val="18"/>
          <w:szCs w:val="18"/>
          <w:color w:val="auto"/>
        </w:rPr>
        <w:t>related to the transition of your knowledge and duties (such duties and tasks, the “</w:t>
      </w:r>
      <w:r>
        <w:rPr>
          <w:rFonts w:ascii="Arial" w:cs="Arial" w:eastAsia="Arial" w:hAnsi="Arial"/>
          <w:sz w:val="18"/>
          <w:szCs w:val="18"/>
          <w:b w:val="1"/>
          <w:bCs w:val="1"/>
          <w:i w:val="1"/>
          <w:iCs w:val="1"/>
          <w:color w:val="auto"/>
        </w:rPr>
        <w:t>Transition Services</w:t>
      </w:r>
      <w:r>
        <w:rPr>
          <w:rFonts w:ascii="Arial" w:cs="Arial" w:eastAsia="Arial" w:hAnsi="Arial"/>
          <w:sz w:val="18"/>
          <w:szCs w:val="18"/>
          <w:color w:val="auto"/>
        </w:rPr>
        <w:t>”). You acknowledge and agree that the Transition Benefits constitute additional payments and benefits provided to you, to which you are not otherwise entitled, and are made in exchange for your accepting this Agreement. These additional benefits include enhanced severance, accelerated vesting of certain outstanding equity awards and the opportunity to remain employed for a period of time following the CFO Transition Date. Further, you expressly acknowledge and agree that if you do not sign and return this Agreement to the Company before the end of the Consideration Period, you shall not be entitled to the Transition Benefits, and your employment with the Company will be terminated.</w:t>
      </w:r>
    </w:p>
    <w:p>
      <w:pPr>
        <w:spacing w:after="0" w:line="168" w:lineRule="exact"/>
        <w:rPr>
          <w:sz w:val="20"/>
          <w:szCs w:val="20"/>
          <w:color w:val="auto"/>
        </w:rPr>
      </w:pPr>
    </w:p>
    <w:p>
      <w:pPr>
        <w:jc w:val="both"/>
        <w:ind w:firstLine="757"/>
        <w:spacing w:after="0" w:line="244" w:lineRule="auto"/>
        <w:tabs>
          <w:tab w:leader="none" w:pos="1018" w:val="left"/>
        </w:tabs>
        <w:numPr>
          <w:ilvl w:val="0"/>
          <w:numId w:val="46"/>
        </w:numPr>
        <w:rPr>
          <w:rFonts w:ascii="Arial" w:cs="Arial" w:eastAsia="Arial" w:hAnsi="Arial"/>
          <w:sz w:val="20"/>
          <w:szCs w:val="20"/>
          <w:color w:val="010000"/>
        </w:rPr>
      </w:pPr>
      <w:r>
        <w:rPr>
          <w:rFonts w:ascii="Arial" w:cs="Arial" w:eastAsia="Arial" w:hAnsi="Arial"/>
          <w:sz w:val="20"/>
          <w:szCs w:val="20"/>
          <w:u w:val="single" w:color="auto"/>
          <w:color w:val="auto"/>
        </w:rPr>
        <w:t>Discretionary Bonus</w:t>
      </w:r>
      <w:r>
        <w:rPr>
          <w:rFonts w:ascii="Arial" w:cs="Arial" w:eastAsia="Arial" w:hAnsi="Arial"/>
          <w:sz w:val="20"/>
          <w:szCs w:val="20"/>
          <w:color w:val="auto"/>
        </w:rPr>
        <w:t>. In fiscal year 2024, in the sole discretion of the Compensation Committee of the Company’s Board of Directors, you shall be eligible to receive a one-time cash bonus in the target amount of $150,000 (the “</w:t>
      </w:r>
      <w:r>
        <w:rPr>
          <w:rFonts w:ascii="Arial" w:cs="Arial" w:eastAsia="Arial" w:hAnsi="Arial"/>
          <w:sz w:val="20"/>
          <w:szCs w:val="20"/>
          <w:b w:val="1"/>
          <w:bCs w:val="1"/>
          <w:i w:val="1"/>
          <w:iCs w:val="1"/>
          <w:color w:val="auto"/>
        </w:rPr>
        <w:t>Bonus</w:t>
      </w:r>
      <w:r>
        <w:rPr>
          <w:rFonts w:ascii="Arial" w:cs="Arial" w:eastAsia="Arial" w:hAnsi="Arial"/>
          <w:sz w:val="20"/>
          <w:szCs w:val="20"/>
          <w:color w:val="auto"/>
        </w:rPr>
        <w:t>”), which may be greater than or less then such target as determined by the Board. The Bonus, if any, shall be paid within 2 ½ months following the CFO Transition Date. The determinations of the Compensation Committee of the Company’s Board of Directors that are made in good faith with respect to the Bonus will be final and binding.</w:t>
      </w:r>
    </w:p>
    <w:p>
      <w:pPr>
        <w:spacing w:after="0" w:line="192" w:lineRule="exact"/>
        <w:rPr>
          <w:rFonts w:ascii="Arial" w:cs="Arial" w:eastAsia="Arial" w:hAnsi="Arial"/>
          <w:sz w:val="20"/>
          <w:szCs w:val="20"/>
          <w:color w:val="010000"/>
        </w:rPr>
      </w:pPr>
    </w:p>
    <w:p>
      <w:pPr>
        <w:ind w:left="1020" w:hanging="263"/>
        <w:spacing w:after="0"/>
        <w:tabs>
          <w:tab w:leader="none" w:pos="1020" w:val="left"/>
        </w:tabs>
        <w:numPr>
          <w:ilvl w:val="0"/>
          <w:numId w:val="46"/>
        </w:numPr>
        <w:rPr>
          <w:rFonts w:ascii="Arial" w:cs="Arial" w:eastAsia="Arial" w:hAnsi="Arial"/>
          <w:sz w:val="20"/>
          <w:szCs w:val="20"/>
          <w:color w:val="010000"/>
        </w:rPr>
      </w:pPr>
      <w:r>
        <w:rPr>
          <w:rFonts w:ascii="Arial" w:cs="Arial" w:eastAsia="Arial" w:hAnsi="Arial"/>
          <w:sz w:val="20"/>
          <w:szCs w:val="20"/>
          <w:u w:val="single" w:color="auto"/>
          <w:color w:val="auto"/>
        </w:rPr>
        <w:t>Termination Benefits</w:t>
      </w:r>
      <w:r>
        <w:rPr>
          <w:rFonts w:ascii="Arial" w:cs="Arial" w:eastAsia="Arial" w:hAnsi="Arial"/>
          <w:sz w:val="20"/>
          <w:szCs w:val="20"/>
          <w:color w:val="auto"/>
        </w:rPr>
        <w:t>:</w:t>
      </w:r>
    </w:p>
    <w:p>
      <w:pPr>
        <w:spacing w:after="0" w:line="214" w:lineRule="exact"/>
        <w:rPr>
          <w:rFonts w:ascii="Arial" w:cs="Arial" w:eastAsia="Arial" w:hAnsi="Arial"/>
          <w:sz w:val="20"/>
          <w:szCs w:val="20"/>
          <w:color w:val="010000"/>
        </w:rPr>
      </w:pPr>
    </w:p>
    <w:p>
      <w:pPr>
        <w:jc w:val="both"/>
        <w:ind w:firstLine="1505"/>
        <w:spacing w:after="0" w:line="272" w:lineRule="auto"/>
        <w:tabs>
          <w:tab w:leader="none" w:pos="2037" w:val="left"/>
        </w:tabs>
        <w:numPr>
          <w:ilvl w:val="1"/>
          <w:numId w:val="46"/>
        </w:numPr>
        <w:rPr>
          <w:rFonts w:ascii="Arial" w:cs="Arial" w:eastAsia="Arial" w:hAnsi="Arial"/>
          <w:sz w:val="18"/>
          <w:szCs w:val="18"/>
          <w:color w:val="010000"/>
        </w:rPr>
      </w:pPr>
      <w:r>
        <w:rPr>
          <w:rFonts w:ascii="Arial" w:cs="Arial" w:eastAsia="Arial" w:hAnsi="Arial"/>
          <w:sz w:val="18"/>
          <w:szCs w:val="18"/>
          <w:i w:val="1"/>
          <w:iCs w:val="1"/>
          <w:color w:val="auto"/>
        </w:rPr>
        <w:t>General</w:t>
      </w:r>
      <w:r>
        <w:rPr>
          <w:rFonts w:ascii="Arial" w:cs="Arial" w:eastAsia="Arial" w:hAnsi="Arial"/>
          <w:sz w:val="18"/>
          <w:szCs w:val="18"/>
          <w:color w:val="auto"/>
        </w:rPr>
        <w:t>. If you are either (i) subject to the Benefits Trigger or (ii) are subject to an Involuntary Termination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three (3) months prior to a Change in Control, on a Change in Control or in the twelve (12) months following a Change in Control then you will be entitled to the applicable benefits described in this </w:t>
      </w:r>
      <w:r>
        <w:rPr>
          <w:rFonts w:ascii="Arial" w:cs="Arial" w:eastAsia="Arial" w:hAnsi="Arial"/>
          <w:sz w:val="18"/>
          <w:szCs w:val="18"/>
          <w:u w:val="single" w:color="auto"/>
          <w:color w:val="auto"/>
        </w:rPr>
        <w:t>Termination Benefits</w:t>
      </w:r>
      <w:r>
        <w:rPr>
          <w:rFonts w:ascii="Arial" w:cs="Arial" w:eastAsia="Arial" w:hAnsi="Arial"/>
          <w:sz w:val="18"/>
          <w:szCs w:val="18"/>
          <w:color w:val="auto"/>
        </w:rPr>
        <w:t xml:space="preserve"> section. However, this </w:t>
      </w:r>
      <w:r>
        <w:rPr>
          <w:rFonts w:ascii="Arial" w:cs="Arial" w:eastAsia="Arial" w:hAnsi="Arial"/>
          <w:sz w:val="18"/>
          <w:szCs w:val="18"/>
          <w:u w:val="single" w:color="auto"/>
          <w:color w:val="auto"/>
        </w:rPr>
        <w:t>Termination Benefits</w:t>
      </w:r>
      <w:r>
        <w:rPr>
          <w:rFonts w:ascii="Arial" w:cs="Arial" w:eastAsia="Arial" w:hAnsi="Arial"/>
          <w:sz w:val="18"/>
          <w:szCs w:val="18"/>
          <w:color w:val="auto"/>
        </w:rPr>
        <w:t xml:space="preserve"> section will not apply unless you have (x) returned all Company property in your possession, and (y) timely signed and returned to the Company on, but not before, the Separation Date, and do not revoke the release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this Agreement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You must execute and return the Release on or before the date specified by the Company in the prescribed form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xml:space="preserve">”). The Release Deadline will in no event be later than 60 days after your Separation. If you fail to return the release on or before the Release Deadline, or if you revoke the Release, then you will not be entitled to the benefits described in this </w:t>
      </w:r>
      <w:r>
        <w:rPr>
          <w:rFonts w:ascii="Arial" w:cs="Arial" w:eastAsia="Arial" w:hAnsi="Arial"/>
          <w:sz w:val="18"/>
          <w:szCs w:val="18"/>
          <w:u w:val="single" w:color="auto"/>
          <w:color w:val="auto"/>
        </w:rPr>
        <w:t>Termination Benefits</w:t>
      </w:r>
      <w:r>
        <w:rPr>
          <w:rFonts w:ascii="Arial" w:cs="Arial" w:eastAsia="Arial" w:hAnsi="Arial"/>
          <w:sz w:val="18"/>
          <w:szCs w:val="18"/>
          <w:color w:val="auto"/>
        </w:rPr>
        <w:t xml:space="preserve"> section.</w:t>
      </w:r>
    </w:p>
    <w:p>
      <w:pPr>
        <w:spacing w:after="0" w:line="172" w:lineRule="exact"/>
        <w:rPr>
          <w:rFonts w:ascii="Arial" w:cs="Arial" w:eastAsia="Arial" w:hAnsi="Arial"/>
          <w:sz w:val="18"/>
          <w:szCs w:val="18"/>
          <w:color w:val="010000"/>
        </w:rPr>
      </w:pPr>
    </w:p>
    <w:p>
      <w:pPr>
        <w:jc w:val="both"/>
        <w:ind w:firstLine="1505"/>
        <w:spacing w:after="0" w:line="258" w:lineRule="auto"/>
        <w:tabs>
          <w:tab w:leader="none" w:pos="2037" w:val="left"/>
        </w:tabs>
        <w:numPr>
          <w:ilvl w:val="1"/>
          <w:numId w:val="46"/>
        </w:numPr>
        <w:rPr>
          <w:rFonts w:ascii="Arial" w:cs="Arial" w:eastAsia="Arial" w:hAnsi="Arial"/>
          <w:sz w:val="19"/>
          <w:szCs w:val="19"/>
          <w:color w:val="010000"/>
        </w:rPr>
      </w:pPr>
      <w:r>
        <w:rPr>
          <w:rFonts w:ascii="Arial" w:cs="Arial" w:eastAsia="Arial" w:hAnsi="Arial"/>
          <w:sz w:val="19"/>
          <w:szCs w:val="19"/>
          <w:i w:val="1"/>
          <w:iCs w:val="1"/>
          <w:color w:val="auto"/>
        </w:rPr>
        <w:t>Severance Payment outside a Change in Control</w:t>
      </w:r>
      <w:r>
        <w:rPr>
          <w:rFonts w:ascii="Arial" w:cs="Arial" w:eastAsia="Arial" w:hAnsi="Arial"/>
          <w:sz w:val="19"/>
          <w:szCs w:val="19"/>
          <w:color w:val="auto"/>
        </w:rPr>
        <w:t>. Beginning on the Separation Date the Company will continue to</w:t>
      </w:r>
      <w:r>
        <w:rPr>
          <w:rFonts w:ascii="Arial" w:cs="Arial" w:eastAsia="Arial" w:hAnsi="Arial"/>
          <w:sz w:val="19"/>
          <w:szCs w:val="19"/>
          <w:i w:val="1"/>
          <w:iCs w:val="1"/>
          <w:color w:val="auto"/>
        </w:rPr>
        <w:t xml:space="preserve"> </w:t>
      </w:r>
      <w:r>
        <w:rPr>
          <w:rFonts w:ascii="Arial" w:cs="Arial" w:eastAsia="Arial" w:hAnsi="Arial"/>
          <w:sz w:val="19"/>
          <w:szCs w:val="19"/>
          <w:color w:val="auto"/>
        </w:rPr>
        <w:t>pay your base salary until the later of (i) December 31, 2024 or (ii) the date nine (9) months after your 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81" w:lineRule="exact"/>
        <w:rPr>
          <w:rFonts w:ascii="Arial" w:cs="Arial" w:eastAsia="Arial" w:hAnsi="Arial"/>
          <w:sz w:val="19"/>
          <w:szCs w:val="19"/>
          <w:color w:val="010000"/>
        </w:rPr>
      </w:pPr>
    </w:p>
    <w:p>
      <w:pPr>
        <w:jc w:val="both"/>
        <w:ind w:firstLine="1505"/>
        <w:spacing w:after="0" w:line="257" w:lineRule="auto"/>
        <w:tabs>
          <w:tab w:leader="none" w:pos="2037" w:val="left"/>
        </w:tabs>
        <w:numPr>
          <w:ilvl w:val="1"/>
          <w:numId w:val="46"/>
        </w:numPr>
        <w:rPr>
          <w:rFonts w:ascii="Arial" w:cs="Arial" w:eastAsia="Arial" w:hAnsi="Arial"/>
          <w:sz w:val="19"/>
          <w:szCs w:val="19"/>
          <w:color w:val="010000"/>
        </w:rPr>
      </w:pPr>
      <w:r>
        <w:rPr>
          <w:rFonts w:ascii="Arial" w:cs="Arial" w:eastAsia="Arial" w:hAnsi="Arial"/>
          <w:sz w:val="19"/>
          <w:szCs w:val="19"/>
          <w:i w:val="1"/>
          <w:iCs w:val="1"/>
          <w:color w:val="auto"/>
        </w:rPr>
        <w:t>Equity Benefit outside a Change in Control</w:t>
      </w:r>
      <w:r>
        <w:rPr>
          <w:rFonts w:ascii="Arial" w:cs="Arial" w:eastAsia="Arial" w:hAnsi="Arial"/>
          <w:sz w:val="19"/>
          <w:szCs w:val="19"/>
          <w:color w:val="auto"/>
        </w:rPr>
        <w:t>. If you are subject to the Benefits Trigger, then the Company will</w:t>
      </w:r>
      <w:r>
        <w:rPr>
          <w:rFonts w:ascii="Arial" w:cs="Arial" w:eastAsia="Arial" w:hAnsi="Arial"/>
          <w:sz w:val="19"/>
          <w:szCs w:val="19"/>
          <w:i w:val="1"/>
          <w:iCs w:val="1"/>
          <w:color w:val="auto"/>
        </w:rPr>
        <w:t xml:space="preserve"> </w:t>
      </w:r>
      <w:r>
        <w:rPr>
          <w:rFonts w:ascii="Arial" w:cs="Arial" w:eastAsia="Arial" w:hAnsi="Arial"/>
          <w:sz w:val="19"/>
          <w:szCs w:val="19"/>
          <w:color w:val="auto"/>
        </w:rPr>
        <w:t>accelerate the vesting of your then-outstanding and unvested nonqualified option shares and equity awards that are subject to time-based vesting such that the vested percentage of the shares subject to such nonqualified options and equity awards will be determined as if you had remained in continuous service with the Company through December 31, 2024 (the “</w:t>
      </w:r>
      <w:r>
        <w:rPr>
          <w:rFonts w:ascii="Arial" w:cs="Arial" w:eastAsia="Arial" w:hAnsi="Arial"/>
          <w:sz w:val="19"/>
          <w:szCs w:val="19"/>
          <w:b w:val="1"/>
          <w:bCs w:val="1"/>
          <w:i w:val="1"/>
          <w:iCs w:val="1"/>
          <w:color w:val="auto"/>
        </w:rPr>
        <w:t>Equity Benefits</w:t>
      </w:r>
      <w:r>
        <w:rPr>
          <w:rFonts w:ascii="Arial" w:cs="Arial" w:eastAsia="Arial" w:hAnsi="Arial"/>
          <w:sz w:val="19"/>
          <w:szCs w:val="19"/>
          <w:color w:val="auto"/>
        </w:rPr>
        <w:t>”). The period of time to exercise any vested nonqualified stock options will be extended from 3 months after the Separation Date to the earlier of (i) the expiration date of the applicable nonqualified option or (ii) one year after the Separation Date. For the avoidance of doubt, you understand that the extension of the post-termination option exercise period shall not apply to any incentive stock options.</w:t>
      </w:r>
    </w:p>
    <w:p>
      <w:pPr>
        <w:spacing w:after="0" w:line="183" w:lineRule="exact"/>
        <w:rPr>
          <w:sz w:val="20"/>
          <w:szCs w:val="20"/>
          <w:color w:val="auto"/>
        </w:rPr>
      </w:pPr>
    </w:p>
    <w:p>
      <w:pPr>
        <w:ind w:right="20" w:firstLine="2246"/>
        <w:spacing w:after="0" w:line="260" w:lineRule="auto"/>
        <w:rPr>
          <w:sz w:val="20"/>
          <w:szCs w:val="20"/>
          <w:color w:val="auto"/>
        </w:rPr>
      </w:pPr>
      <w:r>
        <w:rPr>
          <w:rFonts w:ascii="Arial" w:cs="Arial" w:eastAsia="Arial" w:hAnsi="Arial"/>
          <w:sz w:val="20"/>
          <w:szCs w:val="20"/>
          <w:color w:val="auto"/>
        </w:rPr>
        <w:t>In the event that the CFO Transition Date is extended later than March 31, 2024 (but it shall not be extended any later than June 30, 2024 or such later date as the Parties mutually agree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0" w:name="page101"/>
    <w:bookmarkEnd w:id="100"/>
    <w:p>
      <w:pPr>
        <w:jc w:val="both"/>
        <w:spacing w:after="0" w:line="270" w:lineRule="auto"/>
        <w:rPr>
          <w:sz w:val="20"/>
          <w:szCs w:val="20"/>
          <w:color w:val="auto"/>
        </w:rPr>
      </w:pPr>
      <w:r>
        <w:rPr>
          <w:rFonts w:ascii="Arial" w:cs="Arial" w:eastAsia="Arial" w:hAnsi="Arial"/>
          <w:sz w:val="18"/>
          <w:szCs w:val="18"/>
          <w:color w:val="auto"/>
        </w:rPr>
        <w:t>writing), then the Company will accelerate the vesting of your then-outstanding and unvested option shares and equity awards that are subject to time-based vesting such that the vested percentage of the shares subject to such options and equity awards will be determined as if you had remained in continuous service with the Company through December 31, 2024 plus the number of days between March 31, 2024 and the Separation Date (such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xml:space="preserve">”); provided, however, if such date falls between two vesting periods, the vesting percentage of the shares for the applicable option or equity award for such period shall be determined on a pro-rata basis as follows: the number of shares eligible to vest for such vesting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equal to (x) the number of days between the vesting date for the prior vesting period and the Acceleration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days between the vesting date for the prior vesting period and the vesting date for the next vesting period, rounded down to the nearest whole share, notwithstanding anything to the contrary in the governing award agreement. Any equity awards which vest as a result of an extension for CFO Transition services after March 31, 2024 will vest on the Separation Date. Notwithstanding anything in this Agreement to the contrary, if you resign for other than Good Reason or are terminated by the Company for Cause prior to the Separation Date (which can be no later than June 30, 2024), then you will forfeit any right to acceleration of vesting for all Equity Benefits.</w:t>
      </w:r>
    </w:p>
    <w:p>
      <w:pPr>
        <w:spacing w:after="0" w:line="172" w:lineRule="exact"/>
        <w:rPr>
          <w:sz w:val="20"/>
          <w:szCs w:val="20"/>
          <w:color w:val="auto"/>
        </w:rPr>
      </w:pPr>
    </w:p>
    <w:p>
      <w:pPr>
        <w:jc w:val="both"/>
        <w:ind w:firstLine="1505"/>
        <w:spacing w:after="0" w:line="258" w:lineRule="auto"/>
        <w:tabs>
          <w:tab w:leader="none" w:pos="2037" w:val="left"/>
        </w:tabs>
        <w:numPr>
          <w:ilvl w:val="1"/>
          <w:numId w:val="47"/>
        </w:numPr>
        <w:rPr>
          <w:rFonts w:ascii="Arial" w:cs="Arial" w:eastAsia="Arial" w:hAnsi="Arial"/>
          <w:sz w:val="19"/>
          <w:szCs w:val="19"/>
          <w:color w:val="010000"/>
        </w:rPr>
      </w:pPr>
      <w:r>
        <w:rPr>
          <w:rFonts w:ascii="Arial" w:cs="Arial" w:eastAsia="Arial" w:hAnsi="Arial"/>
          <w:sz w:val="19"/>
          <w:szCs w:val="19"/>
          <w:i w:val="1"/>
          <w:iCs w:val="1"/>
          <w:color w:val="auto"/>
        </w:rPr>
        <w:t>Severance Payment in connection with a Change in Control</w:t>
      </w:r>
      <w:r>
        <w:rPr>
          <w:rFonts w:ascii="Arial" w:cs="Arial" w:eastAsia="Arial" w:hAnsi="Arial"/>
          <w:sz w:val="19"/>
          <w:szCs w:val="19"/>
          <w:color w:val="auto"/>
        </w:rPr>
        <w:t>. If you are subject to an Involuntary Termination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three (3) months prior to a Change in Control, on a Change in Control or in the twelve (12) months following a Change in Control, then the Company will pay you a lump sum cash payment equal to: 1 times the sum of (x) your base salary at the rate in effect at the time of your Separation plus (y) your annual target bonus at the target in effect at the time of your Separation. However, if the 60-day period described in subsection (a) of this </w:t>
      </w:r>
      <w:r>
        <w:rPr>
          <w:rFonts w:ascii="Arial" w:cs="Arial" w:eastAsia="Arial" w:hAnsi="Arial"/>
          <w:sz w:val="19"/>
          <w:szCs w:val="19"/>
          <w:u w:val="single" w:color="auto"/>
          <w:color w:val="auto"/>
        </w:rPr>
        <w:t>Termination Benefits</w:t>
      </w:r>
      <w:r>
        <w:rPr>
          <w:rFonts w:ascii="Arial" w:cs="Arial" w:eastAsia="Arial" w:hAnsi="Arial"/>
          <w:sz w:val="19"/>
          <w:szCs w:val="19"/>
          <w:color w:val="auto"/>
        </w:rPr>
        <w:t xml:space="preserve"> section spans two (2) calendar years, then the lump sum payment will be paid on the first payroll date following expiration of the applicable revocation period in the second calendar year.</w:t>
      </w:r>
    </w:p>
    <w:p>
      <w:pPr>
        <w:spacing w:after="0" w:line="181" w:lineRule="exact"/>
        <w:rPr>
          <w:rFonts w:ascii="Arial" w:cs="Arial" w:eastAsia="Arial" w:hAnsi="Arial"/>
          <w:sz w:val="19"/>
          <w:szCs w:val="19"/>
          <w:color w:val="010000"/>
        </w:rPr>
      </w:pPr>
    </w:p>
    <w:p>
      <w:pPr>
        <w:ind w:left="2040" w:hanging="535"/>
        <w:spacing w:after="0"/>
        <w:tabs>
          <w:tab w:leader="none" w:pos="2040" w:val="left"/>
        </w:tabs>
        <w:numPr>
          <w:ilvl w:val="1"/>
          <w:numId w:val="47"/>
        </w:numPr>
        <w:rPr>
          <w:rFonts w:ascii="Arial" w:cs="Arial" w:eastAsia="Arial" w:hAnsi="Arial"/>
          <w:sz w:val="18"/>
          <w:szCs w:val="18"/>
          <w:color w:val="010000"/>
        </w:rPr>
      </w:pPr>
      <w:r>
        <w:rPr>
          <w:rFonts w:ascii="Arial" w:cs="Arial" w:eastAsia="Arial" w:hAnsi="Arial"/>
          <w:sz w:val="18"/>
          <w:szCs w:val="18"/>
          <w:i w:val="1"/>
          <w:iCs w:val="1"/>
          <w:color w:val="auto"/>
        </w:rPr>
        <w:t>Equity Benefit in connection with a Change in Control</w:t>
      </w:r>
      <w:r>
        <w:rPr>
          <w:rFonts w:ascii="Arial" w:cs="Arial" w:eastAsia="Arial" w:hAnsi="Arial"/>
          <w:sz w:val="18"/>
          <w:szCs w:val="18"/>
          <w:color w:val="auto"/>
        </w:rPr>
        <w:t>. In the event you are subject to an Involuntary Termination</w:t>
      </w:r>
    </w:p>
    <w:p>
      <w:pPr>
        <w:spacing w:after="0" w:line="38" w:lineRule="exact"/>
        <w:rPr>
          <w:rFonts w:ascii="Arial" w:cs="Arial" w:eastAsia="Arial" w:hAnsi="Arial"/>
          <w:sz w:val="18"/>
          <w:szCs w:val="18"/>
          <w:color w:val="010000"/>
        </w:rPr>
      </w:pPr>
    </w:p>
    <w:p>
      <w:pPr>
        <w:jc w:val="both"/>
        <w:ind w:firstLine="8"/>
        <w:spacing w:after="0" w:line="254" w:lineRule="auto"/>
        <w:tabs>
          <w:tab w:leader="none" w:pos="253"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and the Company reasonably anticipates a Change in Control in the three (3) months following your Involuntary Termination, (ii) on a Change in Control or (iii) in the twelve (12) months following a Change in Control, then all of your outstanding and unvested option shares and equity awards that are subject to time-based vesting shall be 100% vested and non-forfeitable. In the event that prior to such Involuntary Termination, any unvested options held by you were terminated without payment upon the closing of the Change in Control, then, in lieu of the acceleration of vesting set forth above, you shall receive a cash payment equal in value to the difference between (A) the “Per Share Consideration,” defined as the amount payable per share in the Change in Control, times the number of option shares that would have been accelerated pursuant to the preceding sentence and (B) the aggregate exercise price of such shares, which amount shall be payable in a lump sum within 15 business days of the Involuntary Termination.</w:t>
      </w:r>
    </w:p>
    <w:p>
      <w:pPr>
        <w:spacing w:after="0" w:line="183" w:lineRule="exact"/>
        <w:rPr>
          <w:rFonts w:ascii="Arial" w:cs="Arial" w:eastAsia="Arial" w:hAnsi="Arial"/>
          <w:sz w:val="19"/>
          <w:szCs w:val="19"/>
          <w:color w:val="auto"/>
        </w:rPr>
      </w:pPr>
    </w:p>
    <w:p>
      <w:pPr>
        <w:jc w:val="both"/>
        <w:ind w:firstLine="1505"/>
        <w:spacing w:after="0" w:line="242" w:lineRule="auto"/>
        <w:tabs>
          <w:tab w:leader="none" w:pos="2037" w:val="left"/>
        </w:tabs>
        <w:numPr>
          <w:ilvl w:val="1"/>
          <w:numId w:val="48"/>
        </w:numPr>
        <w:rPr>
          <w:rFonts w:ascii="Arial" w:cs="Arial" w:eastAsia="Arial" w:hAnsi="Arial"/>
          <w:sz w:val="20"/>
          <w:szCs w:val="20"/>
          <w:color w:val="010000"/>
        </w:rPr>
      </w:pPr>
      <w:r>
        <w:rPr>
          <w:rFonts w:ascii="Arial" w:cs="Arial" w:eastAsia="Arial" w:hAnsi="Arial"/>
          <w:sz w:val="20"/>
          <w:szCs w:val="20"/>
          <w:i w:val="1"/>
          <w:iCs w:val="1"/>
          <w:color w:val="auto"/>
        </w:rPr>
        <w:t>COBRA Benefits</w:t>
      </w:r>
      <w:r>
        <w:rPr>
          <w:rFonts w:ascii="Arial" w:cs="Arial" w:eastAsia="Arial" w:hAnsi="Arial"/>
          <w:sz w:val="20"/>
          <w:szCs w:val="20"/>
          <w:color w:val="auto"/>
        </w:rPr>
        <w:t>. Beginning on the Separation Date, if you elect to continue your health insurance coverage under</w:t>
      </w:r>
      <w:r>
        <w:rPr>
          <w:rFonts w:ascii="Arial" w:cs="Arial" w:eastAsia="Arial" w:hAnsi="Arial"/>
          <w:sz w:val="20"/>
          <w:szCs w:val="20"/>
          <w:i w:val="1"/>
          <w:iCs w:val="1"/>
          <w:color w:val="auto"/>
        </w:rPr>
        <w:t xml:space="preserve"> </w:t>
      </w:r>
      <w:r>
        <w:rPr>
          <w:rFonts w:ascii="Arial" w:cs="Arial" w:eastAsia="Arial" w:hAnsi="Arial"/>
          <w:sz w:val="20"/>
          <w:szCs w:val="20"/>
          <w:color w:val="auto"/>
        </w:rPr>
        <w:t>COBRA following your Separation, then the Company will continue to pay the same percentage of your monthly premium under COBRA, which is understood to potentially be higher than said premium for active employees, until the later of (i) December 31, 2024 or (ii) the date nine (9) months after your Separation. If you are subject an Involuntary Termination in the three (3) months prior to a Change in Control, on a Change in Control or in the twelve (12) months following a Change in Control and you elect to continue your health insurance coverage under COBRA following your Separation, then the Company will continue to pay the same percentage of your monthly premium under COBRA, which is understood to potentially be higher than said premium for active employees, until twelve (12) months after your Separation.</w:t>
      </w:r>
    </w:p>
    <w:p>
      <w:pPr>
        <w:spacing w:after="0" w:line="194" w:lineRule="exact"/>
        <w:rPr>
          <w:rFonts w:ascii="Arial" w:cs="Arial" w:eastAsia="Arial" w:hAnsi="Arial"/>
          <w:sz w:val="20"/>
          <w:szCs w:val="20"/>
          <w:color w:val="010000"/>
        </w:rPr>
      </w:pPr>
    </w:p>
    <w:p>
      <w:pPr>
        <w:ind w:firstLine="1505"/>
        <w:spacing w:after="0" w:line="260" w:lineRule="auto"/>
        <w:tabs>
          <w:tab w:leader="none" w:pos="2037" w:val="left"/>
        </w:tabs>
        <w:numPr>
          <w:ilvl w:val="1"/>
          <w:numId w:val="48"/>
        </w:numPr>
        <w:rPr>
          <w:rFonts w:ascii="Arial" w:cs="Arial" w:eastAsia="Arial" w:hAnsi="Arial"/>
          <w:sz w:val="20"/>
          <w:szCs w:val="20"/>
          <w:color w:val="010000"/>
        </w:rPr>
      </w:pPr>
      <w:r>
        <w:rPr>
          <w:rFonts w:ascii="Arial" w:cs="Arial" w:eastAsia="Arial" w:hAnsi="Arial"/>
          <w:sz w:val="20"/>
          <w:szCs w:val="20"/>
          <w:i w:val="1"/>
          <w:iCs w:val="1"/>
          <w:color w:val="auto"/>
        </w:rPr>
        <w:t xml:space="preserve">Accrued Rights. </w:t>
      </w:r>
      <w:r>
        <w:rPr>
          <w:rFonts w:ascii="Arial" w:cs="Arial" w:eastAsia="Arial" w:hAnsi="Arial"/>
          <w:sz w:val="20"/>
          <w:szCs w:val="20"/>
          <w:color w:val="auto"/>
        </w:rPr>
        <w:t>You will be entitled to receive the following upon termination of employment for any reason: (i)</w:t>
      </w:r>
      <w:r>
        <w:rPr>
          <w:rFonts w:ascii="Arial" w:cs="Arial" w:eastAsia="Arial" w:hAnsi="Arial"/>
          <w:sz w:val="20"/>
          <w:szCs w:val="20"/>
          <w:i w:val="1"/>
          <w:iCs w:val="1"/>
          <w:color w:val="auto"/>
        </w:rPr>
        <w:t xml:space="preserve"> </w:t>
      </w:r>
      <w:r>
        <w:rPr>
          <w:rFonts w:ascii="Arial" w:cs="Arial" w:eastAsia="Arial" w:hAnsi="Arial"/>
          <w:sz w:val="20"/>
          <w:szCs w:val="20"/>
          <w:color w:val="auto"/>
        </w:rPr>
        <w:t>your Final Pay; (ii) reimbursement for any unreimbursed business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1" w:name="page102"/>
    <w:bookmarkEnd w:id="101"/>
    <w:p>
      <w:pPr>
        <w:spacing w:after="0" w:line="315" w:lineRule="auto"/>
        <w:rPr>
          <w:sz w:val="20"/>
          <w:szCs w:val="20"/>
          <w:color w:val="auto"/>
        </w:rPr>
      </w:pPr>
      <w:r>
        <w:rPr>
          <w:rFonts w:ascii="Arial" w:cs="Arial" w:eastAsia="Arial" w:hAnsi="Arial"/>
          <w:sz w:val="18"/>
          <w:szCs w:val="18"/>
          <w:color w:val="auto"/>
        </w:rPr>
        <w:t>and (iii) such employee benefits, if any, to which the Employee may be entitled under the applicable Company plans upon termination of employment. Paid time off earned through the Separation Date, including the full carryover of any unused days as of December 31, 2023.</w:t>
      </w:r>
    </w:p>
    <w:p>
      <w:pPr>
        <w:spacing w:after="0" w:line="131" w:lineRule="exact"/>
        <w:rPr>
          <w:sz w:val="20"/>
          <w:szCs w:val="20"/>
          <w:color w:val="auto"/>
        </w:rPr>
      </w:pPr>
    </w:p>
    <w:p>
      <w:pPr>
        <w:jc w:val="both"/>
        <w:ind w:firstLine="1505"/>
        <w:spacing w:after="0" w:line="256" w:lineRule="auto"/>
        <w:tabs>
          <w:tab w:leader="none" w:pos="2037" w:val="left"/>
        </w:tabs>
        <w:numPr>
          <w:ilvl w:val="2"/>
          <w:numId w:val="49"/>
        </w:numPr>
        <w:rPr>
          <w:rFonts w:ascii="Arial" w:cs="Arial" w:eastAsia="Arial" w:hAnsi="Arial"/>
          <w:sz w:val="19"/>
          <w:szCs w:val="19"/>
          <w:color w:val="010000"/>
        </w:rPr>
      </w:pPr>
      <w:r>
        <w:rPr>
          <w:rFonts w:ascii="Arial" w:cs="Arial" w:eastAsia="Arial" w:hAnsi="Arial"/>
          <w:sz w:val="19"/>
          <w:szCs w:val="19"/>
          <w:i w:val="1"/>
          <w:iCs w:val="1"/>
          <w:color w:val="auto"/>
        </w:rPr>
        <w:t xml:space="preserve">Acknowledgement. </w:t>
      </w:r>
      <w:r>
        <w:rPr>
          <w:rFonts w:ascii="Arial" w:cs="Arial" w:eastAsia="Arial" w:hAnsi="Arial"/>
          <w:sz w:val="19"/>
          <w:szCs w:val="19"/>
          <w:color w:val="auto"/>
        </w:rPr>
        <w:t>You acknowledge and agree that the Company’s obligation to make any severance payments set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forth in this </w:t>
      </w:r>
      <w:r>
        <w:rPr>
          <w:rFonts w:ascii="Arial" w:cs="Arial" w:eastAsia="Arial" w:hAnsi="Arial"/>
          <w:sz w:val="19"/>
          <w:szCs w:val="19"/>
          <w:u w:val="single" w:color="auto"/>
          <w:color w:val="auto"/>
        </w:rPr>
        <w:t>Termination Benefits</w:t>
      </w:r>
      <w:r>
        <w:rPr>
          <w:rFonts w:ascii="Arial" w:cs="Arial" w:eastAsia="Arial" w:hAnsi="Arial"/>
          <w:sz w:val="19"/>
          <w:szCs w:val="19"/>
          <w:color w:val="auto"/>
        </w:rPr>
        <w:t xml:space="preserve"> section will cease immediately upon your material breach of the Confidentiality Agreement (as defined below) after being provided written notice of such breach and 30 days’ opportunity to cure as provided below. You agree to faithfully and diligently discharge (i) your duties as Chief Financial Officer, including all duties reasonably and customarily expected as a Chief Financial Officer without any further instruction from the Company, the Company’s officers or the Company’s Board of Directors and (ii) such other reasonable duties as assigned to you by the Company’s Chief Executive Officer, Company’s President and Chief Operating Officer or the Company’s Board of Directors. You further acknowledge and agree that this </w:t>
      </w:r>
      <w:r>
        <w:rPr>
          <w:rFonts w:ascii="Arial" w:cs="Arial" w:eastAsia="Arial" w:hAnsi="Arial"/>
          <w:sz w:val="19"/>
          <w:szCs w:val="19"/>
          <w:u w:val="single" w:color="auto"/>
          <w:color w:val="auto"/>
        </w:rPr>
        <w:t>Termination Benefits</w:t>
      </w:r>
      <w:r>
        <w:rPr>
          <w:rFonts w:ascii="Arial" w:cs="Arial" w:eastAsia="Arial" w:hAnsi="Arial"/>
          <w:sz w:val="19"/>
          <w:szCs w:val="19"/>
          <w:color w:val="auto"/>
        </w:rPr>
        <w:t xml:space="preserve"> section replaces and supersedes, your right, if any, to the termination benefits described in Section 5 of the Employment Agreement between you and the Company executed May 14, 2021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w:t>
      </w:r>
    </w:p>
    <w:p>
      <w:pPr>
        <w:spacing w:after="0" w:line="181" w:lineRule="exact"/>
        <w:rPr>
          <w:rFonts w:ascii="Arial" w:cs="Arial" w:eastAsia="Arial" w:hAnsi="Arial"/>
          <w:sz w:val="19"/>
          <w:szCs w:val="19"/>
          <w:color w:val="010000"/>
        </w:rPr>
      </w:pPr>
    </w:p>
    <w:p>
      <w:pPr>
        <w:ind w:left="1020" w:hanging="263"/>
        <w:spacing w:after="0"/>
        <w:tabs>
          <w:tab w:leader="none" w:pos="1020" w:val="left"/>
        </w:tabs>
        <w:numPr>
          <w:ilvl w:val="1"/>
          <w:numId w:val="50"/>
        </w:numPr>
        <w:rPr>
          <w:rFonts w:ascii="Arial" w:cs="Arial" w:eastAsia="Arial" w:hAnsi="Arial"/>
          <w:sz w:val="20"/>
          <w:szCs w:val="20"/>
          <w:color w:val="010000"/>
        </w:rPr>
      </w:pPr>
      <w:r>
        <w:rPr>
          <w:rFonts w:ascii="Arial" w:cs="Arial" w:eastAsia="Arial" w:hAnsi="Arial"/>
          <w:sz w:val="20"/>
          <w:szCs w:val="20"/>
          <w:u w:val="single" w:color="auto"/>
          <w:color w:val="auto"/>
        </w:rPr>
        <w:t>Equity</w:t>
      </w:r>
      <w:r>
        <w:rPr>
          <w:rFonts w:ascii="Arial" w:cs="Arial" w:eastAsia="Arial" w:hAnsi="Arial"/>
          <w:sz w:val="20"/>
          <w:szCs w:val="20"/>
          <w:color w:val="auto"/>
        </w:rPr>
        <w:t>:</w:t>
      </w:r>
    </w:p>
    <w:p>
      <w:pPr>
        <w:spacing w:after="0" w:line="214" w:lineRule="exact"/>
        <w:rPr>
          <w:rFonts w:ascii="Arial" w:cs="Arial" w:eastAsia="Arial" w:hAnsi="Arial"/>
          <w:sz w:val="20"/>
          <w:szCs w:val="20"/>
          <w:color w:val="010000"/>
        </w:rPr>
      </w:pPr>
    </w:p>
    <w:p>
      <w:pPr>
        <w:jc w:val="both"/>
        <w:ind w:firstLine="1505"/>
        <w:spacing w:after="0" w:line="268" w:lineRule="auto"/>
        <w:tabs>
          <w:tab w:leader="none" w:pos="2037" w:val="left"/>
        </w:tabs>
        <w:numPr>
          <w:ilvl w:val="2"/>
          <w:numId w:val="50"/>
        </w:numPr>
        <w:rPr>
          <w:rFonts w:ascii="Arial" w:cs="Arial" w:eastAsia="Arial" w:hAnsi="Arial"/>
          <w:sz w:val="18"/>
          <w:szCs w:val="18"/>
          <w:color w:val="010000"/>
        </w:rPr>
      </w:pPr>
      <w:r>
        <w:rPr>
          <w:rFonts w:ascii="Arial" w:cs="Arial" w:eastAsia="Arial" w:hAnsi="Arial"/>
          <w:sz w:val="18"/>
          <w:szCs w:val="18"/>
          <w:i w:val="1"/>
          <w:iCs w:val="1"/>
          <w:color w:val="auto"/>
        </w:rPr>
        <w:t>Options</w:t>
      </w:r>
      <w:r>
        <w:rPr>
          <w:rFonts w:ascii="Arial" w:cs="Arial" w:eastAsia="Arial" w:hAnsi="Arial"/>
          <w:sz w:val="18"/>
          <w:szCs w:val="18"/>
          <w:color w:val="auto"/>
        </w:rPr>
        <w:t>. On April 26, 2015, you were granted a stock option (the “</w:t>
      </w:r>
      <w:r>
        <w:rPr>
          <w:rFonts w:ascii="Arial" w:cs="Arial" w:eastAsia="Arial" w:hAnsi="Arial"/>
          <w:sz w:val="18"/>
          <w:szCs w:val="18"/>
          <w:b w:val="1"/>
          <w:bCs w:val="1"/>
          <w:i w:val="1"/>
          <w:iCs w:val="1"/>
          <w:color w:val="auto"/>
        </w:rPr>
        <w:t>First Option</w:t>
      </w:r>
      <w:r>
        <w:rPr>
          <w:rFonts w:ascii="Arial" w:cs="Arial" w:eastAsia="Arial" w:hAnsi="Arial"/>
          <w:sz w:val="18"/>
          <w:szCs w:val="18"/>
          <w:color w:val="auto"/>
        </w:rPr>
        <w:t>”) to purchase 516,873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under the Company’s 2009 Equity Incentive Plan (the “</w:t>
      </w:r>
      <w:r>
        <w:rPr>
          <w:rFonts w:ascii="Arial" w:cs="Arial" w:eastAsia="Arial" w:hAnsi="Arial"/>
          <w:sz w:val="18"/>
          <w:szCs w:val="18"/>
          <w:b w:val="1"/>
          <w:bCs w:val="1"/>
          <w:i w:val="1"/>
          <w:iCs w:val="1"/>
          <w:color w:val="auto"/>
        </w:rPr>
        <w:t>2009 Plan</w:t>
      </w:r>
      <w:r>
        <w:rPr>
          <w:rFonts w:ascii="Arial" w:cs="Arial" w:eastAsia="Arial" w:hAnsi="Arial"/>
          <w:sz w:val="18"/>
          <w:szCs w:val="18"/>
          <w:color w:val="auto"/>
        </w:rPr>
        <w:t>”). On November 28, 2018, you were granted a stock option (the “</w:t>
      </w:r>
      <w:r>
        <w:rPr>
          <w:rFonts w:ascii="Arial" w:cs="Arial" w:eastAsia="Arial" w:hAnsi="Arial"/>
          <w:sz w:val="18"/>
          <w:szCs w:val="18"/>
          <w:b w:val="1"/>
          <w:bCs w:val="1"/>
          <w:i w:val="1"/>
          <w:iCs w:val="1"/>
          <w:color w:val="auto"/>
        </w:rPr>
        <w:t>Second Option</w:t>
      </w:r>
      <w:r>
        <w:rPr>
          <w:rFonts w:ascii="Arial" w:cs="Arial" w:eastAsia="Arial" w:hAnsi="Arial"/>
          <w:sz w:val="18"/>
          <w:szCs w:val="18"/>
          <w:color w:val="auto"/>
        </w:rPr>
        <w:t>”) to purchase 195,000 shares of Common Stock under the Company’s 2018 Equity Incentive Plan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 On January 21, 2021, you were granted an additional stock option (the “</w:t>
      </w:r>
      <w:r>
        <w:rPr>
          <w:rFonts w:ascii="Arial" w:cs="Arial" w:eastAsia="Arial" w:hAnsi="Arial"/>
          <w:sz w:val="18"/>
          <w:szCs w:val="18"/>
          <w:b w:val="1"/>
          <w:bCs w:val="1"/>
          <w:i w:val="1"/>
          <w:iCs w:val="1"/>
          <w:color w:val="auto"/>
        </w:rPr>
        <w:t>Third Option</w:t>
      </w:r>
      <w:r>
        <w:rPr>
          <w:rFonts w:ascii="Arial" w:cs="Arial" w:eastAsia="Arial" w:hAnsi="Arial"/>
          <w:sz w:val="18"/>
          <w:szCs w:val="18"/>
          <w:color w:val="auto"/>
        </w:rPr>
        <w:t>” and collectively with the First Option and the Second Option, the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to purchase an additional 195,000 shares of Common Stock under the 2018 Plan. As of the Notification Date: (i) all of the shares subject to the First Option have vested, 101,729 of which remain exercisable,</w:t>
      </w:r>
    </w:p>
    <w:p>
      <w:pPr>
        <w:spacing w:after="0" w:line="4" w:lineRule="exact"/>
        <w:rPr>
          <w:rFonts w:ascii="Arial" w:cs="Arial" w:eastAsia="Arial" w:hAnsi="Arial"/>
          <w:sz w:val="18"/>
          <w:szCs w:val="18"/>
          <w:color w:val="010000"/>
        </w:rPr>
      </w:pPr>
    </w:p>
    <w:p>
      <w:pPr>
        <w:jc w:val="both"/>
        <w:ind w:firstLine="8"/>
        <w:spacing w:after="0" w:line="269" w:lineRule="auto"/>
        <w:tabs>
          <w:tab w:leader="none" w:pos="2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the shares subject to the Second Option have vested, 117,456 of which remain exercisable, and (iii) 134,062 of the shares subject to the Third Option have vested, of which 42,562 remain exercisable and 60,938 remain unvested. You have exercised and subsequently sold certain of the shares subject to the Options. You acknowledge and agree that as of the date hereof, you hold 240,901 shares of Common Stock (including any unvested RSUs (defined below)) and you hold an additional 27,805 shares of Common Stock (including any unvested RSUs) through the Michael Ellis 2021 Grantor Retained Annuity Trust No. 2. Pursuant to the applicable notice of stock option grants and stock option agreements (each, collectively, a “</w:t>
      </w:r>
      <w:r>
        <w:rPr>
          <w:rFonts w:ascii="Arial" w:cs="Arial" w:eastAsia="Arial" w:hAnsi="Arial"/>
          <w:sz w:val="18"/>
          <w:szCs w:val="18"/>
          <w:b w:val="1"/>
          <w:bCs w:val="1"/>
          <w:i w:val="1"/>
          <w:iCs w:val="1"/>
          <w:color w:val="auto"/>
        </w:rPr>
        <w:t>Stock Option Agreement</w:t>
      </w:r>
      <w:r>
        <w:rPr>
          <w:rFonts w:ascii="Arial" w:cs="Arial" w:eastAsia="Arial" w:hAnsi="Arial"/>
          <w:sz w:val="18"/>
          <w:szCs w:val="18"/>
          <w:color w:val="auto"/>
        </w:rPr>
        <w:t>”) between you and the Company, any vested shares subject to your Options shall remain exercisable at any time until the date three months after the Separation Date (and such shares to the extent unexercised will expire on such date). Any unvested shares subject to your Options will expire on the Separation Date for no consideration. The Stock Option Agreements and, if applicable, any agreements or notices pursuant to which you acquired or acquire any shares subject to your Options will remain in full force and effect, and you agree to remain bound by those agreements.</w:t>
      </w:r>
    </w:p>
    <w:p>
      <w:pPr>
        <w:spacing w:after="0" w:line="172" w:lineRule="exact"/>
        <w:rPr>
          <w:rFonts w:ascii="Arial" w:cs="Arial" w:eastAsia="Arial" w:hAnsi="Arial"/>
          <w:sz w:val="18"/>
          <w:szCs w:val="18"/>
          <w:color w:val="auto"/>
        </w:rPr>
      </w:pPr>
    </w:p>
    <w:p>
      <w:pPr>
        <w:jc w:val="both"/>
        <w:ind w:firstLine="1505"/>
        <w:spacing w:after="0" w:line="256" w:lineRule="auto"/>
        <w:tabs>
          <w:tab w:leader="none" w:pos="2037" w:val="left"/>
        </w:tabs>
        <w:numPr>
          <w:ilvl w:val="2"/>
          <w:numId w:val="51"/>
        </w:numPr>
        <w:rPr>
          <w:rFonts w:ascii="Arial" w:cs="Arial" w:eastAsia="Arial" w:hAnsi="Arial"/>
          <w:sz w:val="19"/>
          <w:szCs w:val="19"/>
          <w:color w:val="010000"/>
        </w:rPr>
      </w:pPr>
      <w:r>
        <w:rPr>
          <w:rFonts w:ascii="Arial" w:cs="Arial" w:eastAsia="Arial" w:hAnsi="Arial"/>
          <w:sz w:val="19"/>
          <w:szCs w:val="19"/>
          <w:i w:val="1"/>
          <w:iCs w:val="1"/>
          <w:color w:val="auto"/>
        </w:rPr>
        <w:t>RSUs</w:t>
      </w:r>
      <w:r>
        <w:rPr>
          <w:rFonts w:ascii="Arial" w:cs="Arial" w:eastAsia="Arial" w:hAnsi="Arial"/>
          <w:sz w:val="19"/>
          <w:szCs w:val="19"/>
          <w:color w:val="auto"/>
        </w:rPr>
        <w:t>. On March 4, 2022, the Company granted you 90,014 restricted stock units (the “</w:t>
      </w:r>
      <w:r>
        <w:rPr>
          <w:rFonts w:ascii="Arial" w:cs="Arial" w:eastAsia="Arial" w:hAnsi="Arial"/>
          <w:sz w:val="19"/>
          <w:szCs w:val="19"/>
          <w:b w:val="1"/>
          <w:bCs w:val="1"/>
          <w:i w:val="1"/>
          <w:iCs w:val="1"/>
          <w:color w:val="auto"/>
        </w:rPr>
        <w:t>First RSUs</w:t>
      </w:r>
      <w:r>
        <w:rPr>
          <w:rFonts w:ascii="Arial" w:cs="Arial" w:eastAsia="Arial" w:hAnsi="Arial"/>
          <w:sz w:val="19"/>
          <w:szCs w:val="19"/>
          <w:color w:val="auto"/>
        </w:rPr>
        <w: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pursuant to a Restricted Stock Unit Award Agreement (the “</w:t>
      </w:r>
      <w:r>
        <w:rPr>
          <w:rFonts w:ascii="Arial" w:cs="Arial" w:eastAsia="Arial" w:hAnsi="Arial"/>
          <w:sz w:val="19"/>
          <w:szCs w:val="19"/>
          <w:b w:val="1"/>
          <w:bCs w:val="1"/>
          <w:i w:val="1"/>
          <w:iCs w:val="1"/>
          <w:color w:val="auto"/>
        </w:rPr>
        <w:t>First RSU Agreement</w:t>
      </w:r>
      <w:r>
        <w:rPr>
          <w:rFonts w:ascii="Arial" w:cs="Arial" w:eastAsia="Arial" w:hAnsi="Arial"/>
          <w:sz w:val="19"/>
          <w:szCs w:val="19"/>
          <w:color w:val="auto"/>
        </w:rPr>
        <w:t>”). As of the Notification Date, you will have satisfied the time-based vesting requirement with respect to 33,754 of the First RSUs (the “</w:t>
      </w:r>
      <w:r>
        <w:rPr>
          <w:rFonts w:ascii="Arial" w:cs="Arial" w:eastAsia="Arial" w:hAnsi="Arial"/>
          <w:sz w:val="19"/>
          <w:szCs w:val="19"/>
          <w:b w:val="1"/>
          <w:bCs w:val="1"/>
          <w:i w:val="1"/>
          <w:iCs w:val="1"/>
          <w:color w:val="auto"/>
        </w:rPr>
        <w:t>First Grant Vested RSUs</w:t>
      </w:r>
      <w:r>
        <w:rPr>
          <w:rFonts w:ascii="Arial" w:cs="Arial" w:eastAsia="Arial" w:hAnsi="Arial"/>
          <w:sz w:val="19"/>
          <w:szCs w:val="19"/>
          <w:color w:val="auto"/>
        </w:rPr>
        <w:t>”) and you will not have satisfied the time-based vesting requirement with respect to 56,260 of the First RSUs (the “</w:t>
      </w:r>
      <w:r>
        <w:rPr>
          <w:rFonts w:ascii="Arial" w:cs="Arial" w:eastAsia="Arial" w:hAnsi="Arial"/>
          <w:sz w:val="19"/>
          <w:szCs w:val="19"/>
          <w:b w:val="1"/>
          <w:bCs w:val="1"/>
          <w:i w:val="1"/>
          <w:iCs w:val="1"/>
          <w:color w:val="auto"/>
        </w:rPr>
        <w:t>First Grant Unvested RSUs</w:t>
      </w:r>
      <w:r>
        <w:rPr>
          <w:rFonts w:ascii="Arial" w:cs="Arial" w:eastAsia="Arial" w:hAnsi="Arial"/>
          <w:sz w:val="19"/>
          <w:szCs w:val="19"/>
          <w:color w:val="auto"/>
        </w:rPr>
        <w:t>”). On March 14, 2023, the Company granted you 101,023 restricted stock units (the “</w:t>
      </w:r>
      <w:r>
        <w:rPr>
          <w:rFonts w:ascii="Arial" w:cs="Arial" w:eastAsia="Arial" w:hAnsi="Arial"/>
          <w:sz w:val="19"/>
          <w:szCs w:val="19"/>
          <w:b w:val="1"/>
          <w:bCs w:val="1"/>
          <w:i w:val="1"/>
          <w:iCs w:val="1"/>
          <w:color w:val="auto"/>
        </w:rPr>
        <w:t>Second RSUs</w:t>
      </w:r>
      <w:r>
        <w:rPr>
          <w:rFonts w:ascii="Arial" w:cs="Arial" w:eastAsia="Arial" w:hAnsi="Arial"/>
          <w:sz w:val="19"/>
          <w:szCs w:val="19"/>
          <w:color w:val="auto"/>
        </w:rPr>
        <w:t>” and together with the First RSUs,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pursuant to a Restricted Stock Unit Award Agreement (the “</w:t>
      </w:r>
      <w:r>
        <w:rPr>
          <w:rFonts w:ascii="Arial" w:cs="Arial" w:eastAsia="Arial" w:hAnsi="Arial"/>
          <w:sz w:val="19"/>
          <w:szCs w:val="19"/>
          <w:b w:val="1"/>
          <w:bCs w:val="1"/>
          <w:i w:val="1"/>
          <w:iCs w:val="1"/>
          <w:color w:val="auto"/>
        </w:rPr>
        <w:t>Second RSU Agreement</w:t>
      </w:r>
      <w:r>
        <w:rPr>
          <w:rFonts w:ascii="Arial" w:cs="Arial" w:eastAsia="Arial" w:hAnsi="Arial"/>
          <w:sz w:val="19"/>
          <w:szCs w:val="19"/>
          <w:color w:val="auto"/>
        </w:rPr>
        <w:t>” and together with the First RSU Agreement, the “</w:t>
      </w:r>
      <w:r>
        <w:rPr>
          <w:rFonts w:ascii="Arial" w:cs="Arial" w:eastAsia="Arial" w:hAnsi="Arial"/>
          <w:sz w:val="19"/>
          <w:szCs w:val="19"/>
          <w:b w:val="1"/>
          <w:bCs w:val="1"/>
          <w:i w:val="1"/>
          <w:iCs w:val="1"/>
          <w:color w:val="auto"/>
        </w:rPr>
        <w:t>RSU</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Agreements</w:t>
      </w:r>
      <w:r>
        <w:rPr>
          <w:rFonts w:ascii="Arial" w:cs="Arial" w:eastAsia="Arial" w:hAnsi="Arial"/>
          <w:sz w:val="19"/>
          <w:szCs w:val="19"/>
          <w:color w:val="auto"/>
        </w:rPr>
        <w:t>”). As of the Notification Date, you will have satisfied the time-based vesting requirement with respect to none of the Second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RSUs (the “</w:t>
      </w:r>
      <w:r>
        <w:rPr>
          <w:rFonts w:ascii="Arial" w:cs="Arial" w:eastAsia="Arial" w:hAnsi="Arial"/>
          <w:sz w:val="19"/>
          <w:szCs w:val="19"/>
          <w:b w:val="1"/>
          <w:bCs w:val="1"/>
          <w:i w:val="1"/>
          <w:iCs w:val="1"/>
          <w:color w:val="auto"/>
        </w:rPr>
        <w:t>Second Grant Vested RSUs</w:t>
      </w:r>
      <w:r>
        <w:rPr>
          <w:rFonts w:ascii="Arial" w:cs="Arial" w:eastAsia="Arial" w:hAnsi="Arial"/>
          <w:sz w:val="19"/>
          <w:szCs w:val="19"/>
          <w:color w:val="auto"/>
        </w:rPr>
        <w:t>” and together with the First Grant Vested RSUs,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Vested RSUs</w:t>
      </w:r>
      <w:r>
        <w:rPr>
          <w:rFonts w:ascii="Arial" w:cs="Arial" w:eastAsia="Arial" w:hAnsi="Arial"/>
          <w:sz w:val="19"/>
          <w:szCs w:val="19"/>
          <w:color w:val="auto"/>
        </w:rPr>
        <w:t>”) and you will not have satisfied the time-based vesting requirement with respect to all 101,023 of the Second RSUs (the “</w:t>
      </w:r>
      <w:r>
        <w:rPr>
          <w:rFonts w:ascii="Arial" w:cs="Arial" w:eastAsia="Arial" w:hAnsi="Arial"/>
          <w:sz w:val="19"/>
          <w:szCs w:val="19"/>
          <w:b w:val="1"/>
          <w:bCs w:val="1"/>
          <w:i w:val="1"/>
          <w:iCs w:val="1"/>
          <w:color w:val="auto"/>
        </w:rPr>
        <w:t>Second Grant Unvested RSUs</w:t>
      </w:r>
      <w:r>
        <w:rPr>
          <w:rFonts w:ascii="Arial" w:cs="Arial" w:eastAsia="Arial" w:hAnsi="Arial"/>
          <w:sz w:val="19"/>
          <w:szCs w:val="19"/>
          <w:color w:val="auto"/>
        </w:rPr>
        <w:t>” and together with the First Grant Unvested RSUs, the “</w:t>
      </w:r>
      <w:r>
        <w:rPr>
          <w:rFonts w:ascii="Arial" w:cs="Arial" w:eastAsia="Arial" w:hAnsi="Arial"/>
          <w:sz w:val="19"/>
          <w:szCs w:val="19"/>
          <w:b w:val="1"/>
          <w:bCs w:val="1"/>
          <w:i w:val="1"/>
          <w:iCs w:val="1"/>
          <w:color w:val="auto"/>
        </w:rPr>
        <w:t>Unvested RSUs</w:t>
      </w:r>
      <w:r>
        <w:rPr>
          <w:rFonts w:ascii="Arial" w:cs="Arial" w:eastAsia="Arial" w:hAnsi="Arial"/>
          <w:sz w:val="19"/>
          <w:szCs w:val="19"/>
          <w:color w:val="auto"/>
        </w:rPr>
        <w:t>”). The Vested RSUs have settled or will settle pursuant to the terms of the RSU Agreements and the then-Unvested RSUs will terminate on the Separation Date. The RSU Agreements will remain in full force and effect and you agree to be bound by those Agreements.</w:t>
      </w:r>
    </w:p>
    <w:p>
      <w:pPr>
        <w:spacing w:after="0" w:line="175" w:lineRule="exact"/>
        <w:rPr>
          <w:sz w:val="20"/>
          <w:szCs w:val="20"/>
          <w:color w:val="auto"/>
        </w:rPr>
      </w:pPr>
    </w:p>
    <w:p>
      <w:pPr>
        <w:jc w:val="both"/>
        <w:ind w:firstLine="1505"/>
        <w:spacing w:after="0" w:line="246" w:lineRule="auto"/>
        <w:tabs>
          <w:tab w:leader="none" w:pos="2037" w:val="left"/>
        </w:tabs>
        <w:numPr>
          <w:ilvl w:val="1"/>
          <w:numId w:val="52"/>
        </w:numPr>
        <w:rPr>
          <w:rFonts w:ascii="Arial" w:cs="Arial" w:eastAsia="Arial" w:hAnsi="Arial"/>
          <w:sz w:val="20"/>
          <w:szCs w:val="20"/>
          <w:color w:val="010000"/>
        </w:rPr>
      </w:pPr>
      <w:r>
        <w:rPr>
          <w:rFonts w:ascii="Arial" w:cs="Arial" w:eastAsia="Arial" w:hAnsi="Arial"/>
          <w:sz w:val="20"/>
          <w:szCs w:val="20"/>
          <w:i w:val="1"/>
          <w:iCs w:val="1"/>
          <w:color w:val="auto"/>
        </w:rPr>
        <w:t>ESPP</w:t>
      </w:r>
      <w:r>
        <w:rPr>
          <w:rFonts w:ascii="Arial" w:cs="Arial" w:eastAsia="Arial" w:hAnsi="Arial"/>
          <w:sz w:val="20"/>
          <w:szCs w:val="20"/>
          <w:color w:val="auto"/>
        </w:rPr>
        <w:t>. You elected to participate in the Company’s Employee Stock Purchase Plan (the “</w:t>
      </w:r>
      <w:r>
        <w:rPr>
          <w:rFonts w:ascii="Arial" w:cs="Arial" w:eastAsia="Arial" w:hAnsi="Arial"/>
          <w:sz w:val="20"/>
          <w:szCs w:val="20"/>
          <w:b w:val="1"/>
          <w:bCs w:val="1"/>
          <w:i w:val="1"/>
          <w:iCs w:val="1"/>
          <w:color w:val="auto"/>
        </w:rPr>
        <w:t>ESPP</w:t>
      </w:r>
      <w:r>
        <w:rPr>
          <w:rFonts w:ascii="Arial" w:cs="Arial" w:eastAsia="Arial" w:hAnsi="Arial"/>
          <w:sz w:val="20"/>
          <w:szCs w:val="20"/>
          <w:color w:val="auto"/>
        </w:rPr>
        <w:t>”). As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Separation Date you will no longer be able to participate in the ESPP. Any contributions to the ESPP you made during the offering period in effect at the time of your termination will be used to purchase shares or returned to you, in accordance with the ESPP’s terms. Please refer to the Fidelity NetBenefits platform for the details regarding your equity holdings, if any.</w:t>
      </w:r>
    </w:p>
    <w:p>
      <w:pPr>
        <w:spacing w:after="0" w:line="189" w:lineRule="exact"/>
        <w:rPr>
          <w:rFonts w:ascii="Arial" w:cs="Arial" w:eastAsia="Arial" w:hAnsi="Arial"/>
          <w:sz w:val="20"/>
          <w:szCs w:val="20"/>
          <w:color w:val="010000"/>
        </w:rPr>
      </w:pPr>
    </w:p>
    <w:p>
      <w:pPr>
        <w:jc w:val="both"/>
        <w:ind w:firstLine="1505"/>
        <w:spacing w:after="0" w:line="275" w:lineRule="auto"/>
        <w:tabs>
          <w:tab w:leader="none" w:pos="2037" w:val="left"/>
        </w:tabs>
        <w:numPr>
          <w:ilvl w:val="1"/>
          <w:numId w:val="52"/>
        </w:numPr>
        <w:rPr>
          <w:rFonts w:ascii="Arial" w:cs="Arial" w:eastAsia="Arial" w:hAnsi="Arial"/>
          <w:sz w:val="18"/>
          <w:szCs w:val="18"/>
          <w:color w:val="010000"/>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section (and subject to vesting acceleration, if any, set forth in subsection (c) or subsection (e) of the </w:t>
      </w:r>
      <w:r>
        <w:rPr>
          <w:rFonts w:ascii="Arial" w:cs="Arial" w:eastAsia="Arial" w:hAnsi="Arial"/>
          <w:sz w:val="18"/>
          <w:szCs w:val="18"/>
          <w:u w:val="single" w:color="auto"/>
          <w:color w:val="auto"/>
        </w:rPr>
        <w:t>Termination Benefits</w:t>
      </w:r>
      <w:r>
        <w:rPr>
          <w:rFonts w:ascii="Arial" w:cs="Arial" w:eastAsia="Arial" w:hAnsi="Arial"/>
          <w:sz w:val="18"/>
          <w:szCs w:val="18"/>
          <w:color w:val="auto"/>
        </w:rPr>
        <w:t xml:space="preserve"> section), you further acknowledge and agree that you do not have any other rights to receive, acquire, possess or vest into any additional shares of Common Stock or any other shares, warrants, securities, derivative securities or other class of capital stock of the Company or any of its parent, subsidiary or affiliated entities. In addition, you acknowledge and agree that, notwithstanding any prior negotiations and agreements, whether written or oral, to the contrary, except as provided in this Agreement, you will not be eligible for either a fiscal year 2024 bonus or any additional equity awards during the Transition Period.</w:t>
      </w:r>
    </w:p>
    <w:p>
      <w:pPr>
        <w:spacing w:after="0" w:line="168" w:lineRule="exact"/>
        <w:rPr>
          <w:rFonts w:ascii="Arial" w:cs="Arial" w:eastAsia="Arial" w:hAnsi="Arial"/>
          <w:sz w:val="18"/>
          <w:szCs w:val="18"/>
          <w:color w:val="010000"/>
        </w:rPr>
      </w:pPr>
    </w:p>
    <w:p>
      <w:pPr>
        <w:ind w:left="1020" w:hanging="263"/>
        <w:spacing w:after="0"/>
        <w:tabs>
          <w:tab w:leader="none" w:pos="1020"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Employee Representations</w:t>
      </w:r>
      <w:r>
        <w:rPr>
          <w:rFonts w:ascii="Arial" w:cs="Arial" w:eastAsia="Arial" w:hAnsi="Arial"/>
          <w:sz w:val="19"/>
          <w:szCs w:val="19"/>
          <w:color w:val="auto"/>
        </w:rPr>
        <w:t>:  You acknowledge that the Company relies on these representations by you entering into this</w:t>
      </w:r>
    </w:p>
    <w:p>
      <w:pPr>
        <w:spacing w:after="0" w:line="2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Agreement:</w:t>
      </w:r>
    </w:p>
    <w:p>
      <w:pPr>
        <w:spacing w:after="0" w:line="198" w:lineRule="exact"/>
        <w:rPr>
          <w:rFonts w:ascii="Arial" w:cs="Arial" w:eastAsia="Arial" w:hAnsi="Arial"/>
          <w:sz w:val="19"/>
          <w:szCs w:val="19"/>
          <w:color w:val="010000"/>
        </w:rPr>
      </w:pPr>
    </w:p>
    <w:p>
      <w:pPr>
        <w:jc w:val="both"/>
        <w:ind w:firstLine="1505"/>
        <w:spacing w:after="0" w:line="249" w:lineRule="auto"/>
        <w:tabs>
          <w:tab w:leader="none" w:pos="2037"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You do not have a claim against the Company or the Releasees (defined below), or otherwise have not made internal, administrative, or judicial complaints, claims, or actions against or regarding the Company or the Releasees, for claims you are releasing in this Agreement;</w:t>
      </w:r>
    </w:p>
    <w:p>
      <w:pPr>
        <w:spacing w:after="0" w:line="187" w:lineRule="exact"/>
        <w:rPr>
          <w:rFonts w:ascii="Arial" w:cs="Arial" w:eastAsia="Arial" w:hAnsi="Arial"/>
          <w:sz w:val="20"/>
          <w:szCs w:val="20"/>
          <w:color w:val="010000"/>
        </w:rPr>
      </w:pPr>
    </w:p>
    <w:p>
      <w:pPr>
        <w:ind w:firstLine="1505"/>
        <w:spacing w:after="0" w:line="260" w:lineRule="auto"/>
        <w:tabs>
          <w:tab w:leader="none" w:pos="2037"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You have reported to the Company any work-related injuries or occupational illnesses sustained by you during your employment with the Company;</w:t>
      </w:r>
    </w:p>
    <w:p>
      <w:pPr>
        <w:spacing w:after="0" w:line="175" w:lineRule="exact"/>
        <w:rPr>
          <w:rFonts w:ascii="Arial" w:cs="Arial" w:eastAsia="Arial" w:hAnsi="Arial"/>
          <w:sz w:val="20"/>
          <w:szCs w:val="20"/>
          <w:color w:val="010000"/>
        </w:rPr>
      </w:pPr>
    </w:p>
    <w:p>
      <w:pPr>
        <w:jc w:val="both"/>
        <w:ind w:firstLine="1505"/>
        <w:spacing w:after="0" w:line="249" w:lineRule="auto"/>
        <w:tabs>
          <w:tab w:leader="none" w:pos="2037"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You have been properly provided any leaves of absence requested and available to you based on your or your family members’ health or medical condition or military service, and have not been subjected to any improper treatment, conduct, or actions due to a request for or taking such leave;</w:t>
      </w:r>
    </w:p>
    <w:p>
      <w:pPr>
        <w:spacing w:after="0" w:line="187" w:lineRule="exact"/>
        <w:rPr>
          <w:rFonts w:ascii="Arial" w:cs="Arial" w:eastAsia="Arial" w:hAnsi="Arial"/>
          <w:sz w:val="20"/>
          <w:szCs w:val="20"/>
          <w:color w:val="010000"/>
        </w:rPr>
      </w:pPr>
    </w:p>
    <w:p>
      <w:pPr>
        <w:ind w:firstLine="1505"/>
        <w:spacing w:after="0" w:line="260" w:lineRule="auto"/>
        <w:tabs>
          <w:tab w:leader="none" w:pos="2037"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Through the Effective Date (defined below), you have received all compensation due because of services you performed for the Company; and</w:t>
      </w:r>
    </w:p>
    <w:p>
      <w:pPr>
        <w:spacing w:after="0" w:line="175" w:lineRule="exact"/>
        <w:rPr>
          <w:rFonts w:ascii="Arial" w:cs="Arial" w:eastAsia="Arial" w:hAnsi="Arial"/>
          <w:sz w:val="20"/>
          <w:szCs w:val="20"/>
          <w:color w:val="010000"/>
        </w:rPr>
      </w:pPr>
    </w:p>
    <w:p>
      <w:pPr>
        <w:jc w:val="both"/>
        <w:ind w:firstLine="1505"/>
        <w:spacing w:after="0" w:line="249" w:lineRule="auto"/>
        <w:tabs>
          <w:tab w:leader="none" w:pos="2037"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You are not aware of any conduct by any person that violates Company policy or the Company’s legal, compliance, or regulatory obligations, or any other suspected ethical or compliance issues by the Company or the other Releasees that you have not brought to the attention of the Company.</w:t>
      </w:r>
    </w:p>
    <w:p>
      <w:pPr>
        <w:spacing w:after="0" w:line="187" w:lineRule="exact"/>
        <w:rPr>
          <w:rFonts w:ascii="Arial" w:cs="Arial" w:eastAsia="Arial" w:hAnsi="Arial"/>
          <w:sz w:val="20"/>
          <w:szCs w:val="20"/>
          <w:color w:val="010000"/>
        </w:rPr>
      </w:pPr>
    </w:p>
    <w:p>
      <w:pPr>
        <w:jc w:val="both"/>
        <w:ind w:firstLine="757"/>
        <w:spacing w:after="0" w:line="274" w:lineRule="auto"/>
        <w:tabs>
          <w:tab w:leader="none" w:pos="1018" w:val="left"/>
        </w:tabs>
        <w:numPr>
          <w:ilvl w:val="0"/>
          <w:numId w:val="53"/>
        </w:numPr>
        <w:rPr>
          <w:rFonts w:ascii="Arial" w:cs="Arial" w:eastAsia="Arial" w:hAnsi="Arial"/>
          <w:sz w:val="18"/>
          <w:szCs w:val="18"/>
          <w:color w:val="010000"/>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You warrant to the Company that upon the earlier of (a) the Separation Date or (b) upon the request of the Company, you will return to the Company all of its property and data of any type in your possession, custody, or control including, but not limited to keys, access codes or devices, physical or electronically stored documents or files, cell phone, and passwords (“</w:t>
      </w:r>
      <w:r>
        <w:rPr>
          <w:rFonts w:ascii="Arial" w:cs="Arial" w:eastAsia="Arial" w:hAnsi="Arial"/>
          <w:sz w:val="18"/>
          <w:szCs w:val="18"/>
          <w:b w:val="1"/>
          <w:bCs w:val="1"/>
          <w:i w:val="1"/>
          <w:iCs w:val="1"/>
          <w:color w:val="auto"/>
        </w:rPr>
        <w:t>Company Property</w:t>
      </w:r>
      <w:r>
        <w:rPr>
          <w:rFonts w:ascii="Arial" w:cs="Arial" w:eastAsia="Arial" w:hAnsi="Arial"/>
          <w:sz w:val="18"/>
          <w:szCs w:val="18"/>
          <w:color w:val="auto"/>
        </w:rPr>
        <w:t>”). All of the Company’s property and data will be returned in the same working condition in which they were issued. Notwithstanding anything to the contrary in this Agreement, you are allowed to retain your laptop computer (the “</w:t>
      </w:r>
      <w:r>
        <w:rPr>
          <w:rFonts w:ascii="Arial" w:cs="Arial" w:eastAsia="Arial" w:hAnsi="Arial"/>
          <w:sz w:val="18"/>
          <w:szCs w:val="18"/>
          <w:b w:val="1"/>
          <w:bCs w:val="1"/>
          <w:i w:val="1"/>
          <w:iCs w:val="1"/>
          <w:color w:val="auto"/>
        </w:rPr>
        <w:t>Company Laptop</w:t>
      </w:r>
      <w:r>
        <w:rPr>
          <w:rFonts w:ascii="Arial" w:cs="Arial" w:eastAsia="Arial" w:hAnsi="Arial"/>
          <w:sz w:val="18"/>
          <w:szCs w:val="18"/>
          <w:color w:val="auto"/>
        </w:rPr>
        <w:t>”) and printer (the “</w:t>
      </w:r>
      <w:r>
        <w:rPr>
          <w:rFonts w:ascii="Arial" w:cs="Arial" w:eastAsia="Arial" w:hAnsi="Arial"/>
          <w:sz w:val="18"/>
          <w:szCs w:val="18"/>
          <w:b w:val="1"/>
          <w:bCs w:val="1"/>
          <w:i w:val="1"/>
          <w:iCs w:val="1"/>
          <w:color w:val="auto"/>
        </w:rPr>
        <w:t>Company Issued Computer and Printer Benefit</w:t>
      </w:r>
      <w:r>
        <w:rPr>
          <w:rFonts w:ascii="Arial" w:cs="Arial" w:eastAsia="Arial" w:hAnsi="Arial"/>
          <w:sz w:val="18"/>
          <w:szCs w:val="18"/>
          <w:color w:val="auto"/>
        </w:rPr>
        <w:t>”). The Company Issued Computer and Printer Benefit is also contingent upon you submitting the Company Laptop back to the Company for purposes of allowing the Company to wipe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3" w:name="page104"/>
    <w:bookmarkEnd w:id="103"/>
    <w:p>
      <w:pPr>
        <w:spacing w:after="0" w:line="315" w:lineRule="auto"/>
        <w:rPr>
          <w:sz w:val="20"/>
          <w:szCs w:val="20"/>
          <w:color w:val="auto"/>
        </w:rPr>
      </w:pPr>
      <w:r>
        <w:rPr>
          <w:rFonts w:ascii="Arial" w:cs="Arial" w:eastAsia="Arial" w:hAnsi="Arial"/>
          <w:sz w:val="18"/>
          <w:szCs w:val="18"/>
          <w:color w:val="auto"/>
        </w:rPr>
        <w:t>Company information and programs from the Company Laptop on or before the Separation Date. Once wiped by the Company, subject to the conditions set forth herein, the Company Laptop will be provided to you in “as is” condition, without warranty or guarantee.</w:t>
      </w:r>
    </w:p>
    <w:p>
      <w:pPr>
        <w:spacing w:after="0" w:line="131" w:lineRule="exact"/>
        <w:rPr>
          <w:sz w:val="20"/>
          <w:szCs w:val="20"/>
          <w:color w:val="auto"/>
        </w:rPr>
      </w:pPr>
    </w:p>
    <w:p>
      <w:pPr>
        <w:jc w:val="both"/>
        <w:ind w:firstLine="757"/>
        <w:spacing w:after="0" w:line="249" w:lineRule="auto"/>
        <w:tabs>
          <w:tab w:leader="none" w:pos="1018" w:val="left"/>
        </w:tabs>
        <w:numPr>
          <w:ilvl w:val="0"/>
          <w:numId w:val="54"/>
        </w:numPr>
        <w:rPr>
          <w:rFonts w:ascii="Arial" w:cs="Arial" w:eastAsia="Arial" w:hAnsi="Arial"/>
          <w:sz w:val="20"/>
          <w:szCs w:val="20"/>
          <w:color w:val="010000"/>
        </w:rPr>
      </w:pPr>
      <w:r>
        <w:rPr>
          <w:rFonts w:ascii="Arial" w:cs="Arial" w:eastAsia="Arial" w:hAnsi="Arial"/>
          <w:sz w:val="20"/>
          <w:szCs w:val="20"/>
          <w:u w:val="single" w:color="auto"/>
          <w:color w:val="auto"/>
        </w:rPr>
        <w:t>Proprietary Information and Restrictive Covenants</w:t>
      </w:r>
      <w:r>
        <w:rPr>
          <w:rFonts w:ascii="Arial" w:cs="Arial" w:eastAsia="Arial" w:hAnsi="Arial"/>
          <w:sz w:val="20"/>
          <w:szCs w:val="20"/>
          <w:color w:val="auto"/>
        </w:rPr>
        <w:t>: You acknowledge that you are bound and continue to be bound by the Company’s Employee Invention Assignment and Confidentiality Agreement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xml:space="preserve">”), a copy of which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7" w:lineRule="exact"/>
        <w:rPr>
          <w:rFonts w:ascii="Arial" w:cs="Arial" w:eastAsia="Arial" w:hAnsi="Arial"/>
          <w:sz w:val="20"/>
          <w:szCs w:val="20"/>
          <w:color w:val="010000"/>
        </w:rPr>
      </w:pPr>
    </w:p>
    <w:p>
      <w:pPr>
        <w:jc w:val="both"/>
        <w:ind w:firstLine="757"/>
        <w:spacing w:after="0" w:line="282" w:lineRule="auto"/>
        <w:tabs>
          <w:tab w:leader="none" w:pos="1018"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Resignation</w:t>
      </w:r>
      <w:r>
        <w:rPr>
          <w:rFonts w:ascii="Arial" w:cs="Arial" w:eastAsia="Arial" w:hAnsi="Arial"/>
          <w:sz w:val="18"/>
          <w:szCs w:val="18"/>
          <w:color w:val="auto"/>
        </w:rPr>
        <w:t>: Effective as of the CFO Transition Date, without any further action by the Parties, Employee hereby voluntarily resigns from all positions held by Employee as an officer of Company and as a director and/or officer of Company’s subsidiaries (or such equivalent positions). To the extent that Employee is an employee of Company as of such date, the foregoing does not constitute a resignation from such employment.</w:t>
      </w:r>
    </w:p>
    <w:p>
      <w:pPr>
        <w:spacing w:after="0" w:line="159" w:lineRule="exact"/>
        <w:rPr>
          <w:rFonts w:ascii="Arial" w:cs="Arial" w:eastAsia="Arial" w:hAnsi="Arial"/>
          <w:sz w:val="18"/>
          <w:szCs w:val="18"/>
          <w:color w:val="010000"/>
        </w:rPr>
      </w:pPr>
    </w:p>
    <w:p>
      <w:pPr>
        <w:jc w:val="both"/>
        <w:ind w:firstLine="757"/>
        <w:spacing w:after="0" w:line="230" w:lineRule="exact"/>
        <w:tabs>
          <w:tab w:leader="none" w:pos="1018"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 You acknowledge and agree that the payments and promises set forth in this Agreement are in full satisfaction of all accrued salary, paid time off, bonus and commission pay, profit</w:t>
      </w:r>
      <w:r>
        <w:rPr>
          <w:rFonts w:ascii="MS PGothic" w:cs="MS PGothic" w:eastAsia="MS PGothic" w:hAnsi="MS PGothic"/>
          <w:sz w:val="18"/>
          <w:szCs w:val="18"/>
          <w:color w:val="auto"/>
        </w:rPr>
        <w:t>‑</w:t>
      </w:r>
      <w:r>
        <w:rPr>
          <w:rFonts w:ascii="Arial" w:cs="Arial" w:eastAsia="Arial" w:hAnsi="Arial"/>
          <w:sz w:val="18"/>
          <w:szCs w:val="18"/>
          <w:color w:val="auto"/>
        </w:rPr>
        <w:t>sharing, stock, stock options, restricted stock units or other ownership interest in the Company, termination benefits or other compensation to which you may be entitled by your employment with the Company, your separation from the Company or otherwise. To the fullest extent permitted by law, you on behalf of yourself, your heirs, family members, executors, estates, agents and assigns, or any controlled affiliate and any trust or other entity of which you or your heirs, estates or family directly or indirectly hold a majority beneficial interest, fully, finally, and forever release and discharge the Company and its owners, agents, officers, shareholders, employees, directors, attorneys, subscribers, subsidiaries, affiliates, successors, investors, and assigns (collectively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of and from all claims and potential claims that may legally be waived by private agreement, whether known or unknown, whether specifically enumerated or not in this Agreement, which you have asserted or could assert against the Company arising out of or relating in any way to acts, circumstances, facts, transactions, or omissions based on facts occurring up to and including the date you sign this Agreement (the “</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The Released Claims specifically include but are not limited to: claims under common law or equity; claims for additional compensation or benefits arising out of your employment or your separation from employment; wage and hour claims; unlawful discharge; breach of contract; breach of the covenant of good faith and fair dealing; fraud; violation of public policy; defamation; physical injury; emotional distress; negligence; claims under Title VII of the 1964 Civil Rights Act; the Age Discrimination in Employment Act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Older Workers Benefit Protection Act (“</w:t>
      </w:r>
      <w:r>
        <w:rPr>
          <w:rFonts w:ascii="Arial" w:cs="Arial" w:eastAsia="Arial" w:hAnsi="Arial"/>
          <w:sz w:val="18"/>
          <w:szCs w:val="18"/>
          <w:b w:val="1"/>
          <w:bCs w:val="1"/>
          <w:i w:val="1"/>
          <w:iCs w:val="1"/>
          <w:color w:val="auto"/>
        </w:rPr>
        <w:t>OWBPA</w:t>
      </w:r>
      <w:r>
        <w:rPr>
          <w:rFonts w:ascii="Arial" w:cs="Arial" w:eastAsia="Arial" w:hAnsi="Arial"/>
          <w:sz w:val="18"/>
          <w:szCs w:val="18"/>
          <w:color w:val="auto"/>
        </w:rPr>
        <w:t>”); the Employee Retirement Income Security Act of 1974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the Americans with Disabilities Act; the Workers Adjustment and Retraining Notification Act (“</w:t>
      </w:r>
      <w:r>
        <w:rPr>
          <w:rFonts w:ascii="Arial" w:cs="Arial" w:eastAsia="Arial" w:hAnsi="Arial"/>
          <w:sz w:val="18"/>
          <w:szCs w:val="18"/>
          <w:b w:val="1"/>
          <w:bCs w:val="1"/>
          <w:i w:val="1"/>
          <w:iCs w:val="1"/>
          <w:color w:val="auto"/>
        </w:rPr>
        <w:t>WARN</w:t>
      </w:r>
      <w:r>
        <w:rPr>
          <w:rFonts w:ascii="Arial" w:cs="Arial" w:eastAsia="Arial" w:hAnsi="Arial"/>
          <w:sz w:val="18"/>
          <w:szCs w:val="18"/>
          <w:color w:val="auto"/>
        </w:rPr>
        <w:t>”); the Equal Pay Act; the Family Medical Leave Act; the Civil Rights Act of 1866; the Pregnancy Discrimination Act; the Pregnant Workers Fairness Act; the Massachusetts Wage Act (M.G.L. c. 149, §§ 148 et seq.); the Massachusetts Minimum Fair Wage Law (M.G.L. c. 151); the Massachusetts Civil Rights Act; the Massachusetts Fair Employment Practices Act; the Massachusetts Equal Rights Law; the Massachusetts Equal Pay Act; the anti-discrimination provisions of the Massachusetts Paid Family and Medical Leave law; the Massachusetts COVID-19 Emergency Earned Sick Time law; the Massachusetts Privacy Act; the Florida Civil Rights Act (§§ 760.01 to 760.11, Fla. Stat.); the Florida Whistleblower Protection Act (§§ 448.101 to 448.105, Fla. Stat.); the Florida Workers' Compensation Retaliation provision (§ 440.205, Fla. Stat.); the Florida Minimum Wage Act (§ 448.110, Fla. Stat.); and any other federal, state, or local laws, constitution, rule, ordinance, order, and/or regulations, including their amendments and respective implementing regulations.</w:t>
      </w:r>
    </w:p>
    <w:p>
      <w:pPr>
        <w:spacing w:after="0" w:line="211" w:lineRule="exact"/>
        <w:rPr>
          <w:rFonts w:ascii="Arial" w:cs="Arial" w:eastAsia="Arial" w:hAnsi="Arial"/>
          <w:sz w:val="18"/>
          <w:szCs w:val="18"/>
          <w:color w:val="010000"/>
        </w:rPr>
      </w:pPr>
    </w:p>
    <w:p>
      <w:pPr>
        <w:ind w:left="1020" w:hanging="263"/>
        <w:spacing w:after="0"/>
        <w:tabs>
          <w:tab w:leader="none" w:pos="1020"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Protected Rights</w:t>
      </w:r>
      <w:r>
        <w:rPr>
          <w:rFonts w:ascii="Arial" w:cs="Arial" w:eastAsia="Arial" w:hAnsi="Arial"/>
          <w:sz w:val="18"/>
          <w:szCs w:val="18"/>
          <w:color w:val="auto"/>
        </w:rPr>
        <w:t>:</w:t>
      </w:r>
    </w:p>
    <w:p>
      <w:pPr>
        <w:spacing w:after="0" w:line="238" w:lineRule="exact"/>
        <w:rPr>
          <w:sz w:val="20"/>
          <w:szCs w:val="20"/>
          <w:color w:val="auto"/>
        </w:rPr>
      </w:pPr>
    </w:p>
    <w:p>
      <w:pPr>
        <w:ind w:right="20" w:firstLine="1505"/>
        <w:spacing w:after="0" w:line="260" w:lineRule="auto"/>
        <w:tabs>
          <w:tab w:leader="none" w:pos="2037"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You understand that nothing in this Agreement limits your ability to file a charge or complaint with, to provide documents or information voluntarily or in response to a lawfully-served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4" w:name="page105"/>
    <w:bookmarkEnd w:id="104"/>
    <w:p>
      <w:pPr>
        <w:jc w:val="both"/>
        <w:spacing w:after="0" w:line="275" w:lineRule="auto"/>
        <w:rPr>
          <w:sz w:val="20"/>
          <w:szCs w:val="20"/>
          <w:color w:val="auto"/>
        </w:rPr>
      </w:pPr>
      <w:r>
        <w:rPr>
          <w:rFonts w:ascii="Arial" w:cs="Arial" w:eastAsia="Arial" w:hAnsi="Arial"/>
          <w:sz w:val="18"/>
          <w:szCs w:val="18"/>
          <w:color w:val="auto"/>
        </w:rPr>
        <w:t>subpoena or other information request to, or to participate in an investigation or proceeding conducted by, the Equal Employment Opportunity Commission, the National Labor Relations Board, the Occupational Safety and Health Administration, the Securities and Exchange Commission, or any other federal, state, or local government agency or commission (each, a “</w:t>
      </w:r>
      <w:r>
        <w:rPr>
          <w:rFonts w:ascii="Arial" w:cs="Arial" w:eastAsia="Arial" w:hAnsi="Arial"/>
          <w:sz w:val="18"/>
          <w:szCs w:val="18"/>
          <w:b w:val="1"/>
          <w:bCs w:val="1"/>
          <w:i w:val="1"/>
          <w:iCs w:val="1"/>
          <w:color w:val="auto"/>
        </w:rPr>
        <w:t>Government Agenc</w:t>
      </w:r>
      <w:r>
        <w:rPr>
          <w:rFonts w:ascii="Arial" w:cs="Arial" w:eastAsia="Arial" w:hAnsi="Arial"/>
          <w:sz w:val="18"/>
          <w:szCs w:val="18"/>
          <w:b w:val="1"/>
          <w:bCs w:val="1"/>
          <w:color w:val="auto"/>
        </w:rPr>
        <w:t>y</w:t>
      </w:r>
      <w:r>
        <w:rPr>
          <w:rFonts w:ascii="Arial" w:cs="Arial" w:eastAsia="Arial" w:hAnsi="Arial"/>
          <w:sz w:val="18"/>
          <w:szCs w:val="18"/>
          <w:color w:val="auto"/>
        </w:rPr>
        <w:t>”). You further understand this Agreement does not limit your ability to communicate with any Government Agency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Agency.</w:t>
      </w:r>
    </w:p>
    <w:p>
      <w:pPr>
        <w:spacing w:after="0" w:line="168" w:lineRule="exact"/>
        <w:rPr>
          <w:sz w:val="20"/>
          <w:szCs w:val="20"/>
          <w:color w:val="auto"/>
        </w:rPr>
      </w:pPr>
    </w:p>
    <w:p>
      <w:pPr>
        <w:jc w:val="both"/>
        <w:ind w:firstLine="1505"/>
        <w:spacing w:after="0" w:line="269" w:lineRule="auto"/>
        <w:tabs>
          <w:tab w:leader="none" w:pos="2037"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You understand that nothing in this Agreement: (i) applies to claims for unemployment or workers’ compensation benefits; (ii) applies to claims arising after the date you sign this Agreement; (iii) applies to claims for reimbursement of expenses under the Company’s expense reimbursement policies; (iv) applies to claims for any vested rights under the Company’s ERISA-covered employee benefit plans as applicable on the date you sign this Agreement; (v) applies to claims that controlling law clearly states may not be released by private agreement; (vi) limits or affects your right, if any, to challenge the validity of this Agreement under the ADEA or the OWBPA;</w:t>
      </w:r>
    </w:p>
    <w:p>
      <w:pPr>
        <w:spacing w:after="0" w:line="2" w:lineRule="exact"/>
        <w:rPr>
          <w:rFonts w:ascii="Arial" w:cs="Arial" w:eastAsia="Arial" w:hAnsi="Arial"/>
          <w:sz w:val="18"/>
          <w:szCs w:val="18"/>
          <w:color w:val="010000"/>
        </w:rPr>
      </w:pPr>
    </w:p>
    <w:p>
      <w:pPr>
        <w:jc w:val="both"/>
        <w:ind w:firstLine="8"/>
        <w:spacing w:after="0" w:line="253" w:lineRule="auto"/>
        <w:tabs>
          <w:tab w:leader="none" w:pos="392" w:val="left"/>
        </w:tabs>
        <w:numPr>
          <w:ilvl w:val="0"/>
          <w:numId w:val="57"/>
        </w:numPr>
        <w:rPr>
          <w:rFonts w:ascii="Arial" w:cs="Arial" w:eastAsia="Arial" w:hAnsi="Arial"/>
          <w:sz w:val="19"/>
          <w:szCs w:val="19"/>
          <w:color w:val="auto"/>
        </w:rPr>
      </w:pPr>
      <w:r>
        <w:rPr>
          <w:rFonts w:ascii="Arial" w:cs="Arial" w:eastAsia="Arial" w:hAnsi="Arial"/>
          <w:sz w:val="19"/>
          <w:szCs w:val="19"/>
          <w:color w:val="auto"/>
        </w:rPr>
        <w:t>applies to a non-disclosure or non-disparagement clause agreed to before a dispute arises involving a nonconsensual sexual act or sexual contact, including when the victim lacks capacity to consent, or relating to conduct that is alleged to constitute sexual harassment; (viii) shall be deemed to be a waiver or release by you of any rights of yours to indemnification, contribution or defense from or through the Company or its insurers, under the Company’s (or its affiliates’) charter or Bylaws, or under applicable law, with respect to prior actions or inactions relating in any way to Employee’s duties as a director, employee or officer of the Company (including pursuant to that certain Indemnification Agreement, dated as of May 26, 2021 by and between the Company and you (the “</w:t>
      </w:r>
      <w:r>
        <w:rPr>
          <w:rFonts w:ascii="Arial" w:cs="Arial" w:eastAsia="Arial" w:hAnsi="Arial"/>
          <w:sz w:val="19"/>
          <w:szCs w:val="19"/>
          <w:b w:val="1"/>
          <w:bCs w:val="1"/>
          <w:i w:val="1"/>
          <w:iCs w:val="1"/>
          <w:color w:val="auto"/>
        </w:rPr>
        <w:t>Indemnification Agreement</w:t>
      </w:r>
      <w:r>
        <w:rPr>
          <w:rFonts w:ascii="Arial" w:cs="Arial" w:eastAsia="Arial" w:hAnsi="Arial"/>
          <w:sz w:val="19"/>
          <w:szCs w:val="19"/>
          <w:color w:val="auto"/>
        </w:rPr>
        <w:t>”)) or claims under any directors’ and officers’ liability insurance policy (or similar policy); (ix) shall be deemed a waiver or release by you of your right to enforce the terms of this Agreement; or (x) precludes you from exercising your rights, if any, under Section 7 of the National Labor Relations Act (“</w:t>
      </w:r>
      <w:r>
        <w:rPr>
          <w:rFonts w:ascii="Arial" w:cs="Arial" w:eastAsia="Arial" w:hAnsi="Arial"/>
          <w:sz w:val="19"/>
          <w:szCs w:val="19"/>
          <w:b w:val="1"/>
          <w:bCs w:val="1"/>
          <w:i w:val="1"/>
          <w:iCs w:val="1"/>
          <w:color w:val="auto"/>
        </w:rPr>
        <w:t>NLRA</w:t>
      </w:r>
      <w:r>
        <w:rPr>
          <w:rFonts w:ascii="Arial" w:cs="Arial" w:eastAsia="Arial" w:hAnsi="Arial"/>
          <w:sz w:val="19"/>
          <w:szCs w:val="19"/>
          <w:color w:val="auto"/>
        </w:rPr>
        <w:t>”) or under similar state law to engage in protected, concerted activity with other employees, including discussing your compensation or terms and conditions of employment. However, by signing this Agreement, you are waiving your right to recover any individual relief, including any backpay, frontpay, reinstatement or other legal or equitable relief, in any charge, complaint, or lawsuit or other proceeding brought by you or on your behalf by any third party, except for any right you may have to receive a payment or award from a Government Agency (and not the Company) for information provided to said Government Agency and except as provided under applicable law.</w:t>
      </w:r>
    </w:p>
    <w:p>
      <w:pPr>
        <w:spacing w:after="0" w:line="184" w:lineRule="exact"/>
        <w:rPr>
          <w:rFonts w:ascii="Arial" w:cs="Arial" w:eastAsia="Arial" w:hAnsi="Arial"/>
          <w:sz w:val="19"/>
          <w:szCs w:val="19"/>
          <w:color w:val="auto"/>
        </w:rPr>
      </w:pPr>
    </w:p>
    <w:p>
      <w:pPr>
        <w:jc w:val="both"/>
        <w:ind w:firstLine="1505"/>
        <w:spacing w:after="0" w:line="278" w:lineRule="auto"/>
        <w:tabs>
          <w:tab w:leader="none" w:pos="2037" w:val="left"/>
        </w:tabs>
        <w:numPr>
          <w:ilvl w:val="1"/>
          <w:numId w:val="57"/>
        </w:numPr>
        <w:rPr>
          <w:rFonts w:ascii="Arial" w:cs="Arial" w:eastAsia="Arial" w:hAnsi="Arial"/>
          <w:sz w:val="18"/>
          <w:szCs w:val="18"/>
          <w:color w:val="010000"/>
        </w:rPr>
      </w:pPr>
      <w:r>
        <w:rPr>
          <w:rFonts w:ascii="Arial" w:cs="Arial" w:eastAsia="Arial" w:hAnsi="Arial"/>
          <w:sz w:val="18"/>
          <w:szCs w:val="18"/>
          <w:color w:val="auto"/>
        </w:rPr>
        <w:t>Notwithstanding your confidentiality obligations to the Company under the Confidentiality Agreement, this Agreement, and otherwise, you understand that as provided by the Federal Defend Trade Secrets Act, you will not be held criminally or civilly liable under any federal or state trade secret law for the disclosure of a trade secret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63" w:lineRule="exact"/>
        <w:rPr>
          <w:rFonts w:ascii="Arial" w:cs="Arial" w:eastAsia="Arial" w:hAnsi="Arial"/>
          <w:sz w:val="18"/>
          <w:szCs w:val="18"/>
          <w:color w:val="010000"/>
        </w:rPr>
      </w:pPr>
    </w:p>
    <w:p>
      <w:pPr>
        <w:jc w:val="both"/>
        <w:ind w:firstLine="1505"/>
        <w:spacing w:after="0" w:line="278" w:lineRule="auto"/>
        <w:tabs>
          <w:tab w:leader="none" w:pos="2037" w:val="left"/>
        </w:tabs>
        <w:numPr>
          <w:ilvl w:val="1"/>
          <w:numId w:val="57"/>
        </w:numPr>
        <w:rPr>
          <w:rFonts w:ascii="Arial" w:cs="Arial" w:eastAsia="Arial" w:hAnsi="Arial"/>
          <w:sz w:val="18"/>
          <w:szCs w:val="18"/>
          <w:color w:val="010000"/>
        </w:rPr>
      </w:pPr>
      <w:r>
        <w:rPr>
          <w:rFonts w:ascii="Arial" w:cs="Arial" w:eastAsia="Arial" w:hAnsi="Arial"/>
          <w:sz w:val="18"/>
          <w:szCs w:val="18"/>
          <w:color w:val="auto"/>
        </w:rPr>
        <w:t>Notwithstanding your confidentiality obligations to the Company under the Confidentiality Agreement, this Agreement, and otherwise, you understand that as provided by the Federal Defend Trade Secrets Act, you will not be held criminally or civilly liable under any federal or state trade secret law for the disclosure of a trade secret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5" w:name="page106"/>
    <w:bookmarkEnd w:id="105"/>
    <w:p>
      <w:pPr>
        <w:jc w:val="both"/>
        <w:ind w:firstLine="1505"/>
        <w:spacing w:after="0" w:line="282" w:lineRule="auto"/>
        <w:tabs>
          <w:tab w:leader="none" w:pos="2037"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Notwithstanding the above, you understand that upon the Effective Date, this Agreement will be final and binding. You promise not to pursue any claim released by this Agreement. Notwithstanding the foregoing, although you are releasing claims you may have under the ADEA and the OWBPA, you may challenge the knowing and voluntary nature of this release before a court, the Equal Employment Opportunity Commission or any other Government Agency charged with the enforcement of any employment laws.</w:t>
      </w:r>
    </w:p>
    <w:p>
      <w:pPr>
        <w:spacing w:after="0" w:line="159" w:lineRule="exact"/>
        <w:rPr>
          <w:rFonts w:ascii="Arial" w:cs="Arial" w:eastAsia="Arial" w:hAnsi="Arial"/>
          <w:sz w:val="18"/>
          <w:szCs w:val="18"/>
          <w:color w:val="010000"/>
        </w:rPr>
      </w:pPr>
    </w:p>
    <w:p>
      <w:pPr>
        <w:jc w:val="both"/>
        <w:ind w:firstLine="757"/>
        <w:spacing w:after="0" w:line="278" w:lineRule="auto"/>
        <w:tabs>
          <w:tab w:leader="none" w:pos="1018"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Except as required by law and subject to the </w:t>
      </w:r>
      <w:r>
        <w:rPr>
          <w:rFonts w:ascii="Arial" w:cs="Arial" w:eastAsia="Arial" w:hAnsi="Arial"/>
          <w:sz w:val="18"/>
          <w:szCs w:val="18"/>
          <w:u w:val="single" w:color="auto"/>
          <w:color w:val="auto"/>
        </w:rPr>
        <w:t>Protected Rights</w:t>
      </w:r>
      <w:r>
        <w:rPr>
          <w:rFonts w:ascii="Arial" w:cs="Arial" w:eastAsia="Arial" w:hAnsi="Arial"/>
          <w:sz w:val="18"/>
          <w:szCs w:val="18"/>
          <w:color w:val="auto"/>
        </w:rPr>
        <w:t xml:space="preserve"> paragraph above, you must keep the existence, contents, terms, and conditions of this Agreement confidential and may not disclose them except to your immediate family, accountant(s), attorneys, or under subpoena or court order. If asked for information about this Agreement, you will simply respond that you and the Company have separated on agreed terms. Any breach of this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paragraph shall be deemed a material breach of this Agreement.</w:t>
      </w:r>
    </w:p>
    <w:p>
      <w:pPr>
        <w:spacing w:after="0" w:line="163" w:lineRule="exact"/>
        <w:rPr>
          <w:rFonts w:ascii="Arial" w:cs="Arial" w:eastAsia="Arial" w:hAnsi="Arial"/>
          <w:sz w:val="18"/>
          <w:szCs w:val="18"/>
          <w:color w:val="010000"/>
        </w:rPr>
      </w:pPr>
    </w:p>
    <w:p>
      <w:pPr>
        <w:jc w:val="both"/>
        <w:ind w:firstLine="757"/>
        <w:spacing w:after="0" w:line="274" w:lineRule="auto"/>
        <w:tabs>
          <w:tab w:leader="none" w:pos="1018"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No Disparagement</w:t>
      </w:r>
      <w:r>
        <w:rPr>
          <w:rFonts w:ascii="Arial" w:cs="Arial" w:eastAsia="Arial" w:hAnsi="Arial"/>
          <w:sz w:val="18"/>
          <w:szCs w:val="18"/>
          <w:color w:val="auto"/>
        </w:rPr>
        <w:t xml:space="preserve">: Subject to the </w:t>
      </w:r>
      <w:r>
        <w:rPr>
          <w:rFonts w:ascii="Arial" w:cs="Arial" w:eastAsia="Arial" w:hAnsi="Arial"/>
          <w:sz w:val="18"/>
          <w:szCs w:val="18"/>
          <w:u w:val="single" w:color="auto"/>
          <w:color w:val="auto"/>
        </w:rPr>
        <w:t>Protected Rights</w:t>
      </w:r>
      <w:r>
        <w:rPr>
          <w:rFonts w:ascii="Arial" w:cs="Arial" w:eastAsia="Arial" w:hAnsi="Arial"/>
          <w:sz w:val="18"/>
          <w:szCs w:val="18"/>
          <w:color w:val="auto"/>
        </w:rPr>
        <w:t xml:space="preserve"> paragraph above, you agree that you will never intentionally make any disparaging, defamatory, or negative statements publicly or privately, online or offline, orally or in writing about the Company or its stockholders, directors, officers, employees, products, services or business practices, your employment with the Company, or the termination of that employment. In exchange for entering into this Agreement, the Company agrees that the Company shall direct its officers and directors to not make any disparaging, defamatory, or negative statements publicly or privately, online or offline, orally or in writing about you, your employment with the Company or the termination of your employment or your relationship with the Company, except to the extent required by law.</w:t>
      </w:r>
    </w:p>
    <w:p>
      <w:pPr>
        <w:spacing w:after="0" w:line="166" w:lineRule="exact"/>
        <w:rPr>
          <w:rFonts w:ascii="Arial" w:cs="Arial" w:eastAsia="Arial" w:hAnsi="Arial"/>
          <w:sz w:val="18"/>
          <w:szCs w:val="18"/>
          <w:color w:val="010000"/>
        </w:rPr>
      </w:pPr>
    </w:p>
    <w:p>
      <w:pPr>
        <w:jc w:val="both"/>
        <w:ind w:firstLine="757"/>
        <w:spacing w:after="0" w:line="274" w:lineRule="auto"/>
        <w:tabs>
          <w:tab w:leader="none" w:pos="1018"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Restricted Activities</w:t>
      </w:r>
      <w:r>
        <w:rPr>
          <w:rFonts w:ascii="Arial" w:cs="Arial" w:eastAsia="Arial" w:hAnsi="Arial"/>
          <w:sz w:val="18"/>
          <w:szCs w:val="18"/>
          <w:color w:val="auto"/>
        </w:rPr>
        <w:t>. During the Transition Period and for a period of nine (9) months immediately following your termination of employment with the Company (for any or no reason, whether voluntary or involuntary), you hereby agree that you will not directly or indirectly engage in any Competitive Activities (a) anywhere the Company offers its services or has customers during your employment with the Company or where your use or disclosure of the Company’s proprietary information could materially disadvantage the Company regardless of your physical location; or (b) anywhere within a fifty (50) mile radius of any physical location where you worked for the Company. The foregoing timeframes shall be increased by the period of time beginning from the commencement of any violation of the foregoing provisions until such time as you have cured such violation.</w:t>
      </w:r>
    </w:p>
    <w:p>
      <w:pPr>
        <w:spacing w:after="0" w:line="16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Restricted Activities</w:t>
      </w:r>
      <w:r>
        <w:rPr>
          <w:rFonts w:ascii="Arial" w:cs="Arial" w:eastAsia="Arial" w:hAnsi="Arial"/>
          <w:sz w:val="20"/>
          <w:szCs w:val="20"/>
          <w:color w:val="auto"/>
        </w:rPr>
        <w:t xml:space="preserve"> section, “the Company” includes the Company and all other persons or entities that control, are controlled by or are under common control with the Company and for whom Employee performed responsibilities or about whom Employee has any of the Company’s proprietary information.</w:t>
      </w:r>
    </w:p>
    <w:p>
      <w:pPr>
        <w:spacing w:after="0" w:line="18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Restricted Activities</w:t>
      </w:r>
      <w:r>
        <w:rPr>
          <w:rFonts w:ascii="Arial" w:cs="Arial" w:eastAsia="Arial" w:hAnsi="Arial"/>
          <w:sz w:val="20"/>
          <w:szCs w:val="20"/>
          <w:color w:val="auto"/>
        </w:rPr>
        <w:t xml:space="preserve"> section, “Competitive Activities” means any direct or indirect non-Company activity for a company that generates over $5,000,000 in higher education payments revenue (as aggregated across both domestic and cross-border revenue). For the avoidance of doubt, Competitive Activities do not include being a holder of less than one percent (1%) of the outstanding equity of a public company.</w:t>
      </w:r>
    </w:p>
    <w:p>
      <w:pPr>
        <w:spacing w:after="0" w:line="190" w:lineRule="exact"/>
        <w:rPr>
          <w:sz w:val="20"/>
          <w:szCs w:val="20"/>
          <w:color w:val="auto"/>
        </w:rPr>
      </w:pPr>
    </w:p>
    <w:p>
      <w:pPr>
        <w:jc w:val="both"/>
        <w:ind w:firstLine="757"/>
        <w:spacing w:after="0" w:line="278" w:lineRule="auto"/>
        <w:tabs>
          <w:tab w:leader="none" w:pos="1018"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You agree to cooperate with the Company relating to matters within your knowledge or responsibility following termination of your employment. Without limiting this commitment, you agree (a) to meet with Company representatives, its counsel, or other designees at mutually convenient times and places with respect to any items within the scope of this provision; (b) to provide truthful testimony regarding same to any court, agency, or other adjudicatory body; (c) to execute such instruments and documents necessary to transition contracts, accounts and licenses to a Company designee following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6" w:name="page107"/>
    <w:bookmarkEnd w:id="106"/>
    <w:p>
      <w:pPr>
        <w:jc w:val="both"/>
        <w:spacing w:after="0" w:line="269" w:lineRule="auto"/>
        <w:rPr>
          <w:sz w:val="20"/>
          <w:szCs w:val="20"/>
          <w:color w:val="auto"/>
        </w:rPr>
      </w:pPr>
      <w:r>
        <w:rPr>
          <w:rFonts w:ascii="Arial" w:cs="Arial" w:eastAsia="Arial" w:hAnsi="Arial"/>
          <w:sz w:val="19"/>
          <w:szCs w:val="19"/>
          <w:color w:val="auto"/>
        </w:rPr>
        <w:t>your termination of employment, subject to the Indemnification Agreement; and (d) to provide the Company with notice of contact by any non-governmental adverse party or such adverse party’s representative, except as may be required by law. The Company will reimburse you for reasonable out of pocket expenses, if any, in connection with the cooperation described in this paragraph.</w:t>
      </w:r>
    </w:p>
    <w:p>
      <w:pPr>
        <w:spacing w:after="0" w:line="169" w:lineRule="exact"/>
        <w:rPr>
          <w:sz w:val="20"/>
          <w:szCs w:val="20"/>
          <w:color w:val="auto"/>
        </w:rPr>
      </w:pPr>
    </w:p>
    <w:p>
      <w:pPr>
        <w:jc w:val="both"/>
        <w:ind w:firstLine="757"/>
        <w:spacing w:after="0" w:line="278" w:lineRule="auto"/>
        <w:tabs>
          <w:tab w:leader="none" w:pos="1018"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xml:space="preserve">: This Agreement shall not be construed or contended by you to be an admission or evidence of any wrongdoing, unlawful conduct, or liability by the Company or the Releasees. This Agreement shall be afforded the maximum protection allowable under Federal Rule of Evidence 408 and/or any other state or federal law of similar effect. However, </w:t>
      </w:r>
      <w:r>
        <w:rPr>
          <w:rFonts w:ascii="Arial" w:cs="Arial" w:eastAsia="Arial" w:hAnsi="Arial"/>
          <w:sz w:val="19"/>
          <w:szCs w:val="19"/>
          <w:color w:val="auto"/>
        </w:rPr>
        <w:t>the</w:t>
      </w:r>
      <w:r>
        <w:rPr>
          <w:rFonts w:ascii="Arial" w:cs="Arial" w:eastAsia="Arial" w:hAnsi="Arial"/>
          <w:sz w:val="18"/>
          <w:szCs w:val="18"/>
          <w:color w:val="auto"/>
        </w:rPr>
        <w:t xml:space="preserve"> Parties agree that this Agreement may be used as evidence in a subsequent proceeding in which any of the Parties allege a breach of this Agreement or as a complete defense to any lawsuit brought by any party.</w:t>
      </w:r>
    </w:p>
    <w:p>
      <w:pPr>
        <w:spacing w:after="0" w:line="163" w:lineRule="exact"/>
        <w:rPr>
          <w:rFonts w:ascii="Arial" w:cs="Arial" w:eastAsia="Arial" w:hAnsi="Arial"/>
          <w:sz w:val="18"/>
          <w:szCs w:val="18"/>
          <w:color w:val="010000"/>
        </w:rPr>
      </w:pPr>
    </w:p>
    <w:p>
      <w:pPr>
        <w:jc w:val="both"/>
        <w:ind w:firstLine="757"/>
        <w:spacing w:after="0" w:line="271" w:lineRule="auto"/>
        <w:tabs>
          <w:tab w:leader="none" w:pos="1018"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Complete and Voluntary Agreement</w:t>
      </w:r>
      <w:r>
        <w:rPr>
          <w:rFonts w:ascii="Arial" w:cs="Arial" w:eastAsia="Arial" w:hAnsi="Arial"/>
          <w:sz w:val="18"/>
          <w:szCs w:val="18"/>
          <w:color w:val="auto"/>
        </w:rPr>
        <w:t>: This Agreement, including any exhibit(s) and the Indemnification Agreement constitutes the entire agreement between you and Releasees regarding the subject hereof and supersedes all prior negotiations and agreements, whether written or oral, relating to such subject, including, but not limited to, the Employment Agreement. In addition, notwithstanding the foregoing, this Agreement shall not supersede obligations you may have under any agreements with the Company regarding the non-disclosure of trade secrets and confidential or proprietary information, prohibiting solicitation of customers, suppliers, or employees, prohibiting competition with the Company, assigning intellectual property, indemnification or providing for a dispute resolution mechanism. You acknowledge that neither the Company, the Releasees, nor their agents or attorneys have made any promise, representation or warranty, either express or implied, written or oral, which is not contained in this Agreement to induce you to execute the Agreement. You acknowledge that you have executed this Agreement in reliance only upon the promises, representations and warranties herein, and that you are executing this Agreement voluntarily and free of any duress or coercion.</w:t>
      </w:r>
    </w:p>
    <w:p>
      <w:pPr>
        <w:spacing w:after="0" w:line="170" w:lineRule="exact"/>
        <w:rPr>
          <w:rFonts w:ascii="Arial" w:cs="Arial" w:eastAsia="Arial" w:hAnsi="Arial"/>
          <w:sz w:val="18"/>
          <w:szCs w:val="18"/>
          <w:color w:val="010000"/>
        </w:rPr>
      </w:pPr>
    </w:p>
    <w:p>
      <w:pPr>
        <w:ind w:left="1020" w:hanging="263"/>
        <w:spacing w:after="0"/>
        <w:tabs>
          <w:tab w:leader="none" w:pos="1020"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 set forth below wherever they are used in this Agreement:</w:t>
      </w:r>
    </w:p>
    <w:p>
      <w:pPr>
        <w:spacing w:after="0" w:line="237" w:lineRule="exact"/>
        <w:rPr>
          <w:rFonts w:ascii="Arial" w:cs="Arial" w:eastAsia="Arial" w:hAnsi="Arial"/>
          <w:sz w:val="18"/>
          <w:szCs w:val="18"/>
          <w:color w:val="010000"/>
        </w:rPr>
      </w:pPr>
    </w:p>
    <w:p>
      <w:pPr>
        <w:jc w:val="both"/>
        <w:ind w:firstLine="1505"/>
        <w:spacing w:after="0" w:line="259" w:lineRule="auto"/>
        <w:tabs>
          <w:tab w:leader="none" w:pos="2037" w:val="left"/>
        </w:tabs>
        <w:numPr>
          <w:ilvl w:val="1"/>
          <w:numId w:val="61"/>
        </w:numPr>
        <w:rPr>
          <w:rFonts w:ascii="Arial" w:cs="Arial" w:eastAsia="Arial" w:hAnsi="Arial"/>
          <w:sz w:val="19"/>
          <w:szCs w:val="19"/>
          <w:color w:val="010000"/>
        </w:rPr>
      </w:pPr>
      <w:r>
        <w:rPr>
          <w:rFonts w:ascii="Arial" w:cs="Arial" w:eastAsia="Arial" w:hAnsi="Arial"/>
          <w:sz w:val="19"/>
          <w:szCs w:val="19"/>
          <w:b w:val="1"/>
          <w:bCs w:val="1"/>
          <w:i w:val="1"/>
          <w:iCs w:val="1"/>
          <w:color w:val="auto"/>
        </w:rPr>
        <w:t>Benefits Trigger</w:t>
      </w:r>
      <w:r>
        <w:rPr>
          <w:rFonts w:ascii="Arial" w:cs="Arial" w:eastAsia="Arial" w:hAnsi="Arial"/>
          <w:sz w:val="19"/>
          <w:szCs w:val="19"/>
          <w:color w:val="auto"/>
        </w:rPr>
        <w:t>. The term “Benefits Trigger” shall mean that either (i) you do not voluntarily resign from your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employment or you are not terminated by the Company for Cause before March 31, 2024 (unless the Company requests that you continue in your capacity as Chief Financial Officer, in which case, you must not voluntarily resign from your employment or you must not be terminated for by the Company for Cause before the earlier of (x) the CFO Transition Date and (y) June 30, 2024, or such later date as the Parties may mutually agree in writing), you satisfactorily perform the Transition Services, you adhere to your obligations in this Agreement, and you do not voluntarily resign as the Company’s Chief Financial Officer prior to the CFO Transition Date; (ii) you are subject to an Involuntary Termination prior to the later of (x) March 31, 2024 or (y) if the Company requests that you continue in your capacity as </w:t>
      </w:r>
      <w:r>
        <w:rPr>
          <w:rFonts w:ascii="Arial" w:cs="Arial" w:eastAsia="Arial" w:hAnsi="Arial"/>
          <w:sz w:val="16"/>
          <w:szCs w:val="16"/>
          <w:color w:val="auto"/>
        </w:rPr>
        <w:t>Chief Financial</w:t>
      </w:r>
      <w:r>
        <w:rPr>
          <w:rFonts w:ascii="Arial" w:cs="Arial" w:eastAsia="Arial" w:hAnsi="Arial"/>
          <w:sz w:val="19"/>
          <w:szCs w:val="19"/>
          <w:color w:val="auto"/>
        </w:rPr>
        <w:t xml:space="preserve"> </w:t>
      </w:r>
      <w:r>
        <w:rPr>
          <w:rFonts w:ascii="Arial" w:cs="Arial" w:eastAsia="Arial" w:hAnsi="Arial"/>
          <w:sz w:val="16"/>
          <w:szCs w:val="16"/>
          <w:color w:val="auto"/>
        </w:rPr>
        <w:t xml:space="preserve">Officer, </w:t>
      </w:r>
      <w:r>
        <w:rPr>
          <w:rFonts w:ascii="Arial" w:cs="Arial" w:eastAsia="Arial" w:hAnsi="Arial"/>
          <w:sz w:val="18"/>
          <w:szCs w:val="18"/>
          <w:color w:val="auto"/>
        </w:rPr>
        <w:t>the earlier of (A) the CFO Transition Date and (B) June 30, 2024, or such later date as the Parties may mutually agree in writing (and</w:t>
      </w:r>
      <w:r>
        <w:rPr>
          <w:rFonts w:ascii="Arial" w:cs="Arial" w:eastAsia="Arial" w:hAnsi="Arial"/>
          <w:sz w:val="16"/>
          <w:szCs w:val="16"/>
          <w:color w:val="auto"/>
        </w:rPr>
        <w:t xml:space="preserve"> </w:t>
      </w:r>
      <w:r>
        <w:rPr>
          <w:rFonts w:ascii="Arial" w:cs="Arial" w:eastAsia="Arial" w:hAnsi="Arial"/>
          <w:sz w:val="18"/>
          <w:szCs w:val="18"/>
          <w:color w:val="auto"/>
        </w:rPr>
        <w:t>a Change in Control does not occur within the three (3) months prior to the Separation Date or twelve (12) months after the Separation Date); or (iii) you voluntarily resign with 30 days written notice after the CFO Transition Date. For the avoidance of doubt only, and without limiting the scope of this provision, the Benefits Trigger shall include any circumstances where the Company terminates your employment without Cause prior to March 31, 2024.</w:t>
      </w:r>
    </w:p>
    <w:p>
      <w:pPr>
        <w:spacing w:after="0" w:line="186" w:lineRule="exact"/>
        <w:rPr>
          <w:rFonts w:ascii="Arial" w:cs="Arial" w:eastAsia="Arial" w:hAnsi="Arial"/>
          <w:sz w:val="19"/>
          <w:szCs w:val="19"/>
          <w:color w:val="010000"/>
        </w:rPr>
      </w:pPr>
    </w:p>
    <w:p>
      <w:pPr>
        <w:ind w:left="2040" w:hanging="535"/>
        <w:spacing w:after="0"/>
        <w:tabs>
          <w:tab w:leader="none" w:pos="2040" w:val="left"/>
        </w:tabs>
        <w:numPr>
          <w:ilvl w:val="1"/>
          <w:numId w:val="61"/>
        </w:numPr>
        <w:rPr>
          <w:rFonts w:ascii="Arial" w:cs="Arial" w:eastAsia="Arial" w:hAnsi="Arial"/>
          <w:sz w:val="20"/>
          <w:szCs w:val="20"/>
          <w:color w:val="010000"/>
        </w:rPr>
      </w:pPr>
      <w:r>
        <w:rPr>
          <w:rFonts w:ascii="Arial" w:cs="Arial" w:eastAsia="Arial" w:hAnsi="Arial"/>
          <w:sz w:val="20"/>
          <w:szCs w:val="20"/>
          <w:b w:val="1"/>
          <w:bCs w:val="1"/>
          <w:i w:val="1"/>
          <w:iCs w:val="1"/>
          <w:color w:val="auto"/>
        </w:rPr>
        <w:t>Cause</w:t>
      </w:r>
      <w:r>
        <w:rPr>
          <w:rFonts w:ascii="Arial" w:cs="Arial" w:eastAsia="Arial" w:hAnsi="Arial"/>
          <w:sz w:val="20"/>
          <w:szCs w:val="20"/>
          <w:color w:val="auto"/>
        </w:rPr>
        <w:t>. The term “Cause” shall mean:</w:t>
      </w:r>
    </w:p>
    <w:p>
      <w:pPr>
        <w:spacing w:after="0" w:line="214" w:lineRule="exact"/>
        <w:rPr>
          <w:rFonts w:ascii="Arial" w:cs="Arial" w:eastAsia="Arial" w:hAnsi="Arial"/>
          <w:sz w:val="20"/>
          <w:szCs w:val="20"/>
          <w:color w:val="010000"/>
        </w:rPr>
      </w:pPr>
    </w:p>
    <w:p>
      <w:pPr>
        <w:jc w:val="both"/>
        <w:ind w:firstLine="2246"/>
        <w:spacing w:after="0" w:line="249" w:lineRule="auto"/>
        <w:rPr>
          <w:rFonts w:ascii="Arial" w:cs="Arial" w:eastAsia="Arial" w:hAnsi="Arial"/>
          <w:sz w:val="20"/>
          <w:szCs w:val="20"/>
          <w:color w:val="010000"/>
        </w:rPr>
      </w:pPr>
      <w:r>
        <w:rPr>
          <w:rFonts w:ascii="Arial" w:cs="Arial" w:eastAsia="Arial" w:hAnsi="Arial"/>
          <w:sz w:val="20"/>
          <w:szCs w:val="20"/>
          <w:color w:val="010000"/>
        </w:rPr>
        <w:t xml:space="preserve">i. </w:t>
      </w:r>
      <w:r>
        <w:rPr>
          <w:rFonts w:ascii="Arial" w:cs="Arial" w:eastAsia="Arial" w:hAnsi="Arial"/>
          <w:sz w:val="20"/>
          <w:szCs w:val="20"/>
          <w:color w:val="000000"/>
        </w:rPr>
        <w:t>a material failure by you to comply with the Company’s written policies or rules after being provided written</w:t>
      </w:r>
      <w:r>
        <w:rPr>
          <w:rFonts w:ascii="Arial" w:cs="Arial" w:eastAsia="Arial" w:hAnsi="Arial"/>
          <w:sz w:val="20"/>
          <w:szCs w:val="20"/>
          <w:color w:val="010000"/>
        </w:rPr>
        <w:t xml:space="preserve"> </w:t>
      </w:r>
      <w:r>
        <w:rPr>
          <w:rFonts w:ascii="Arial" w:cs="Arial" w:eastAsia="Arial" w:hAnsi="Arial"/>
          <w:sz w:val="20"/>
          <w:szCs w:val="20"/>
          <w:color w:val="000000"/>
        </w:rPr>
        <w:t>notice and 30 days’ opportunity to cure and, after such notice period, you have not cured the material failure alleged in the Company’s written notice;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7" w:name="page108"/>
    <w:bookmarkEnd w:id="107"/>
    <w:p>
      <w:pPr>
        <w:ind w:firstLine="2254"/>
        <w:spacing w:after="0" w:line="260" w:lineRule="auto"/>
        <w:tabs>
          <w:tab w:leader="none" w:pos="2546"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your conviction of, or plea of “guilty” or “no contest” to, a crime involving moral turpitude, deceit, dishonesty or fraud that has caused harm to the Company or any affiliate of the Company;</w:t>
      </w:r>
    </w:p>
    <w:p>
      <w:pPr>
        <w:spacing w:after="0" w:line="175" w:lineRule="exact"/>
        <w:rPr>
          <w:rFonts w:ascii="Arial" w:cs="Arial" w:eastAsia="Arial" w:hAnsi="Arial"/>
          <w:sz w:val="20"/>
          <w:szCs w:val="20"/>
          <w:color w:val="010000"/>
        </w:rPr>
      </w:pPr>
    </w:p>
    <w:p>
      <w:pPr>
        <w:ind w:firstLine="2254"/>
        <w:spacing w:after="0" w:line="286" w:lineRule="auto"/>
        <w:tabs>
          <w:tab w:leader="none" w:pos="2546"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your continued failure to perform (other than by reason of Disability) your duties and responsibilities assigned or delegated after receiving written notification of such failure from the Company and 15 days’ opportunity to cure;</w:t>
      </w:r>
    </w:p>
    <w:p>
      <w:pPr>
        <w:spacing w:after="0" w:line="153" w:lineRule="exact"/>
        <w:rPr>
          <w:rFonts w:ascii="Arial" w:cs="Arial" w:eastAsia="Arial" w:hAnsi="Arial"/>
          <w:sz w:val="19"/>
          <w:szCs w:val="19"/>
          <w:color w:val="010000"/>
        </w:rPr>
      </w:pPr>
    </w:p>
    <w:p>
      <w:pPr>
        <w:ind w:right="20" w:firstLine="2254"/>
        <w:spacing w:after="0" w:line="315" w:lineRule="auto"/>
        <w:tabs>
          <w:tab w:leader="none" w:pos="2546"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any intentional act of dishonesty, deceit, fraud, moral turpitude, misconduct, breach of trust or acts intentionally against the financial or business interests of the Company by you, or your use or possession of illegal drugs in the workplace;</w:t>
      </w:r>
    </w:p>
    <w:p>
      <w:pPr>
        <w:spacing w:after="0" w:line="130" w:lineRule="exact"/>
        <w:rPr>
          <w:rFonts w:ascii="Arial" w:cs="Arial" w:eastAsia="Arial" w:hAnsi="Arial"/>
          <w:sz w:val="18"/>
          <w:szCs w:val="18"/>
          <w:color w:val="010000"/>
        </w:rPr>
      </w:pPr>
    </w:p>
    <w:p>
      <w:pPr>
        <w:jc w:val="both"/>
        <w:ind w:firstLine="2254"/>
        <w:spacing w:after="0" w:line="249" w:lineRule="auto"/>
        <w:tabs>
          <w:tab w:leader="none" w:pos="2546"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the material breach by you of any of your obligations under any agreement between you and the Company after being provided written notice and 30 days’ opportunity to cure and, after such notice period, you have not cured the material failure alleged in the Company’s written notice; or</w:t>
      </w:r>
    </w:p>
    <w:p>
      <w:pPr>
        <w:spacing w:after="0" w:line="187" w:lineRule="exact"/>
        <w:rPr>
          <w:rFonts w:ascii="Arial" w:cs="Arial" w:eastAsia="Arial" w:hAnsi="Arial"/>
          <w:sz w:val="20"/>
          <w:szCs w:val="20"/>
          <w:color w:val="010000"/>
        </w:rPr>
      </w:pPr>
    </w:p>
    <w:p>
      <w:pPr>
        <w:ind w:right="20" w:firstLine="2254"/>
        <w:spacing w:after="0" w:line="260" w:lineRule="auto"/>
        <w:tabs>
          <w:tab w:leader="none" w:pos="2546"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your failure to cooperate in good faith with a governmental or internal investigation of the Company or its directors, officers or employees, if the Company has requested your cooperation.</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For purposes of this definition of Cause, no act, or failure to act, will be deemed “willful” or “intentional” if done or omitted to be done by the Employee in good faith with a reasonable belief that Employee’s act, or failure to act, was in the best interest of the Company.</w:t>
      </w:r>
    </w:p>
    <w:p>
      <w:pPr>
        <w:spacing w:after="0" w:line="153" w:lineRule="exact"/>
        <w:rPr>
          <w:sz w:val="20"/>
          <w:szCs w:val="20"/>
          <w:color w:val="auto"/>
        </w:rPr>
      </w:pPr>
    </w:p>
    <w:p>
      <w:pPr>
        <w:jc w:val="both"/>
        <w:ind w:firstLine="1505"/>
        <w:spacing w:after="0" w:line="241" w:lineRule="auto"/>
        <w:tabs>
          <w:tab w:leader="none" w:pos="2037" w:val="left"/>
        </w:tabs>
        <w:numPr>
          <w:ilvl w:val="0"/>
          <w:numId w:val="63"/>
        </w:numPr>
        <w:rPr>
          <w:rFonts w:ascii="Arial" w:cs="Arial" w:eastAsia="Arial" w:hAnsi="Arial"/>
          <w:sz w:val="20"/>
          <w:szCs w:val="20"/>
          <w:color w:val="010000"/>
        </w:rPr>
      </w:pP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The term “Change in Control” shall mean (i) any “person” (as such term is used in Sections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w:t>
      </w:r>
    </w:p>
    <w:p>
      <w:pPr>
        <w:spacing w:after="0" w:line="200" w:lineRule="exact"/>
        <w:rPr>
          <w:rFonts w:ascii="Arial" w:cs="Arial" w:eastAsia="Arial" w:hAnsi="Arial"/>
          <w:sz w:val="20"/>
          <w:szCs w:val="20"/>
          <w:color w:val="010000"/>
        </w:rPr>
      </w:pPr>
    </w:p>
    <w:p>
      <w:pPr>
        <w:ind w:left="2040" w:hanging="535"/>
        <w:spacing w:after="0"/>
        <w:tabs>
          <w:tab w:leader="none" w:pos="2040" w:val="left"/>
        </w:tabs>
        <w:numPr>
          <w:ilvl w:val="0"/>
          <w:numId w:val="63"/>
        </w:numPr>
        <w:rPr>
          <w:rFonts w:ascii="Arial" w:cs="Arial" w:eastAsia="Arial" w:hAnsi="Arial"/>
          <w:sz w:val="20"/>
          <w:szCs w:val="20"/>
          <w:color w:val="010000"/>
        </w:rPr>
      </w:pPr>
      <w:r>
        <w:rPr>
          <w:rFonts w:ascii="Arial" w:cs="Arial" w:eastAsia="Arial" w:hAnsi="Arial"/>
          <w:sz w:val="20"/>
          <w:szCs w:val="20"/>
          <w:b w:val="1"/>
          <w:bCs w:val="1"/>
          <w:i w:val="1"/>
          <w:iCs w:val="1"/>
          <w:color w:val="auto"/>
        </w:rPr>
        <w:t>Code</w:t>
      </w:r>
      <w:r>
        <w:rPr>
          <w:rFonts w:ascii="Arial" w:cs="Arial" w:eastAsia="Arial" w:hAnsi="Arial"/>
          <w:sz w:val="20"/>
          <w:szCs w:val="20"/>
          <w:color w:val="auto"/>
        </w:rPr>
        <w:t>. The term “Code” shall mean the Internal Revenue Code of 1986, as amended.</w:t>
      </w:r>
    </w:p>
    <w:p>
      <w:pPr>
        <w:spacing w:after="0" w:line="214" w:lineRule="exact"/>
        <w:rPr>
          <w:rFonts w:ascii="Arial" w:cs="Arial" w:eastAsia="Arial" w:hAnsi="Arial"/>
          <w:sz w:val="20"/>
          <w:szCs w:val="20"/>
          <w:color w:val="010000"/>
        </w:rPr>
      </w:pPr>
    </w:p>
    <w:p>
      <w:pPr>
        <w:jc w:val="both"/>
        <w:ind w:firstLine="1505"/>
        <w:spacing w:after="0" w:line="269" w:lineRule="auto"/>
        <w:tabs>
          <w:tab w:leader="none" w:pos="2037" w:val="left"/>
        </w:tabs>
        <w:numPr>
          <w:ilvl w:val="0"/>
          <w:numId w:val="63"/>
        </w:numPr>
        <w:rPr>
          <w:rFonts w:ascii="Arial" w:cs="Arial" w:eastAsia="Arial" w:hAnsi="Arial"/>
          <w:sz w:val="19"/>
          <w:szCs w:val="19"/>
          <w:color w:val="010000"/>
        </w:rPr>
      </w:pP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The term “Disability” shall mean that the Employee is unable to engage in any substantial gainful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activity as required to perform his material duties (with reasonable accommodation) by reason of any medically determinable physical or mental impairment which can be expected to result in death or to last for a continuous period of not less than twelve months.</w:t>
      </w:r>
    </w:p>
    <w:p>
      <w:pPr>
        <w:spacing w:after="0" w:line="168" w:lineRule="exact"/>
        <w:rPr>
          <w:rFonts w:ascii="Arial" w:cs="Arial" w:eastAsia="Arial" w:hAnsi="Arial"/>
          <w:sz w:val="19"/>
          <w:szCs w:val="19"/>
          <w:color w:val="010000"/>
        </w:rPr>
      </w:pPr>
    </w:p>
    <w:p>
      <w:pPr>
        <w:ind w:firstLine="1505"/>
        <w:spacing w:after="0" w:line="260" w:lineRule="auto"/>
        <w:tabs>
          <w:tab w:leader="none" w:pos="2037" w:val="left"/>
        </w:tabs>
        <w:numPr>
          <w:ilvl w:val="0"/>
          <w:numId w:val="63"/>
        </w:numPr>
        <w:rPr>
          <w:rFonts w:ascii="Arial" w:cs="Arial" w:eastAsia="Arial" w:hAnsi="Arial"/>
          <w:sz w:val="20"/>
          <w:szCs w:val="20"/>
          <w:color w:val="010000"/>
        </w:rPr>
      </w:pPr>
      <w:r>
        <w:rPr>
          <w:rFonts w:ascii="Arial" w:cs="Arial" w:eastAsia="Arial" w:hAnsi="Arial"/>
          <w:sz w:val="20"/>
          <w:szCs w:val="20"/>
          <w:b w:val="1"/>
          <w:bCs w:val="1"/>
          <w:i w:val="1"/>
          <w:iCs w:val="1"/>
          <w:color w:val="auto"/>
        </w:rPr>
        <w:t>Involuntary Termination</w:t>
      </w:r>
      <w:r>
        <w:rPr>
          <w:rFonts w:ascii="Arial" w:cs="Arial" w:eastAsia="Arial" w:hAnsi="Arial"/>
          <w:sz w:val="20"/>
          <w:szCs w:val="20"/>
          <w:color w:val="auto"/>
        </w:rPr>
        <w:t>. The term “Involuntary Termination” shall mean either the Employee’s (i) Termination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Without Cause or (ii) Resignation for Good Reason.</w:t>
      </w:r>
    </w:p>
    <w:p>
      <w:pPr>
        <w:spacing w:after="0" w:line="175" w:lineRule="exact"/>
        <w:rPr>
          <w:rFonts w:ascii="Arial" w:cs="Arial" w:eastAsia="Arial" w:hAnsi="Arial"/>
          <w:sz w:val="20"/>
          <w:szCs w:val="20"/>
          <w:color w:val="010000"/>
        </w:rPr>
      </w:pPr>
    </w:p>
    <w:p>
      <w:pPr>
        <w:jc w:val="both"/>
        <w:ind w:firstLine="1505"/>
        <w:spacing w:after="0" w:line="249" w:lineRule="auto"/>
        <w:tabs>
          <w:tab w:leader="none" w:pos="2037" w:val="left"/>
        </w:tabs>
        <w:numPr>
          <w:ilvl w:val="0"/>
          <w:numId w:val="63"/>
        </w:numPr>
        <w:rPr>
          <w:rFonts w:ascii="Arial" w:cs="Arial" w:eastAsia="Arial" w:hAnsi="Arial"/>
          <w:sz w:val="20"/>
          <w:szCs w:val="20"/>
          <w:color w:val="010000"/>
        </w:rPr>
      </w:pP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The term “Resignation for Good Reason” means a Separation as a result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Employee’s resignation within 12 months after one of the following conditions has come into existence without the Employee’s written consent: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8" w:name="page109"/>
    <w:bookmarkEnd w:id="108"/>
    <w:p>
      <w:pPr>
        <w:ind w:left="2560" w:hanging="306"/>
        <w:spacing w:after="0"/>
        <w:tabs>
          <w:tab w:leader="none" w:pos="2560" w:val="left"/>
        </w:tabs>
        <w:numPr>
          <w:ilvl w:val="0"/>
          <w:numId w:val="64"/>
        </w:numPr>
        <w:rPr>
          <w:rFonts w:ascii="Arial" w:cs="Arial" w:eastAsia="Arial" w:hAnsi="Arial"/>
          <w:sz w:val="20"/>
          <w:szCs w:val="20"/>
          <w:color w:val="010000"/>
        </w:rPr>
      </w:pPr>
      <w:r>
        <w:rPr>
          <w:rFonts w:ascii="Arial" w:cs="Arial" w:eastAsia="Arial" w:hAnsi="Arial"/>
          <w:sz w:val="20"/>
          <w:szCs w:val="20"/>
          <w:color w:val="auto"/>
        </w:rPr>
        <w:t>a material diminution in your compensation;</w:t>
      </w:r>
    </w:p>
    <w:p>
      <w:pPr>
        <w:spacing w:after="0" w:line="214" w:lineRule="exact"/>
        <w:rPr>
          <w:rFonts w:ascii="Arial" w:cs="Arial" w:eastAsia="Arial" w:hAnsi="Arial"/>
          <w:sz w:val="20"/>
          <w:szCs w:val="20"/>
          <w:color w:val="010000"/>
        </w:rPr>
      </w:pPr>
    </w:p>
    <w:p>
      <w:pPr>
        <w:ind w:firstLine="2254"/>
        <w:spacing w:after="0" w:line="260" w:lineRule="auto"/>
        <w:tabs>
          <w:tab w:leader="none" w:pos="2546" w:val="left"/>
        </w:tabs>
        <w:numPr>
          <w:ilvl w:val="0"/>
          <w:numId w:val="64"/>
        </w:numPr>
        <w:rPr>
          <w:rFonts w:ascii="Arial" w:cs="Arial" w:eastAsia="Arial" w:hAnsi="Arial"/>
          <w:sz w:val="20"/>
          <w:szCs w:val="20"/>
          <w:color w:val="010000"/>
        </w:rPr>
      </w:pPr>
      <w:r>
        <w:rPr>
          <w:rFonts w:ascii="Arial" w:cs="Arial" w:eastAsia="Arial" w:hAnsi="Arial"/>
          <w:sz w:val="20"/>
          <w:szCs w:val="20"/>
          <w:color w:val="auto"/>
        </w:rPr>
        <w:t>relocation of your principal workplace (i.e., Boston, Massachusetts) by more than fifty (50) miles away from the location which you were working immediately prior to the required relocation without your prior consent; or</w:t>
      </w:r>
    </w:p>
    <w:p>
      <w:pPr>
        <w:spacing w:after="0" w:line="175" w:lineRule="exact"/>
        <w:rPr>
          <w:rFonts w:ascii="Arial" w:cs="Arial" w:eastAsia="Arial" w:hAnsi="Arial"/>
          <w:sz w:val="20"/>
          <w:szCs w:val="20"/>
          <w:color w:val="010000"/>
        </w:rPr>
      </w:pPr>
    </w:p>
    <w:p>
      <w:pPr>
        <w:ind w:left="2560" w:hanging="306"/>
        <w:spacing w:after="0"/>
        <w:tabs>
          <w:tab w:leader="none" w:pos="2560"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a material breach of the Company’s obligation under any agreement between the Company and you.</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 Resignation for Good Reason shall not be deemed to have occurred unless the Employee gives the Company written notice of the condition within 60 days after the condition comes into existence and the Company fails to remedy the condition within 30 days after receiving the Employee’s written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appointment of your successor as Chief Financial Officer of the Company shall not constitute Good Reason.</w:t>
      </w:r>
    </w:p>
    <w:p>
      <w:pPr>
        <w:spacing w:after="0" w:line="238" w:lineRule="exact"/>
        <w:rPr>
          <w:sz w:val="20"/>
          <w:szCs w:val="20"/>
          <w:color w:val="auto"/>
        </w:rPr>
      </w:pPr>
    </w:p>
    <w:p>
      <w:pPr>
        <w:ind w:firstLine="1505"/>
        <w:spacing w:after="0" w:line="260" w:lineRule="auto"/>
        <w:tabs>
          <w:tab w:leader="none" w:pos="2037" w:val="left"/>
        </w:tabs>
        <w:numPr>
          <w:ilvl w:val="1"/>
          <w:numId w:val="65"/>
        </w:numPr>
        <w:rPr>
          <w:rFonts w:ascii="Arial" w:cs="Arial" w:eastAsia="Arial" w:hAnsi="Arial"/>
          <w:sz w:val="20"/>
          <w:szCs w:val="20"/>
          <w:color w:val="010000"/>
        </w:rPr>
      </w:pPr>
      <w:r>
        <w:rPr>
          <w:rFonts w:ascii="Arial" w:cs="Arial" w:eastAsia="Arial" w:hAnsi="Arial"/>
          <w:sz w:val="20"/>
          <w:szCs w:val="20"/>
          <w:b w:val="1"/>
          <w:bCs w:val="1"/>
          <w:i w:val="1"/>
          <w:iCs w:val="1"/>
          <w:color w:val="auto"/>
        </w:rPr>
        <w:t>Separation</w:t>
      </w:r>
      <w:r>
        <w:rPr>
          <w:rFonts w:ascii="Arial" w:cs="Arial" w:eastAsia="Arial" w:hAnsi="Arial"/>
          <w:sz w:val="20"/>
          <w:szCs w:val="20"/>
          <w:color w:val="auto"/>
        </w:rPr>
        <w:t>. The term “Separation” shall mean a “separation from service,” as defined in the regulations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409A of the Code.</w:t>
      </w:r>
    </w:p>
    <w:p>
      <w:pPr>
        <w:spacing w:after="0" w:line="175" w:lineRule="exact"/>
        <w:rPr>
          <w:rFonts w:ascii="Arial" w:cs="Arial" w:eastAsia="Arial" w:hAnsi="Arial"/>
          <w:sz w:val="20"/>
          <w:szCs w:val="20"/>
          <w:color w:val="010000"/>
        </w:rPr>
      </w:pPr>
    </w:p>
    <w:p>
      <w:pPr>
        <w:ind w:firstLine="1505"/>
        <w:spacing w:after="0" w:line="260" w:lineRule="auto"/>
        <w:tabs>
          <w:tab w:leader="none" w:pos="2037" w:val="left"/>
        </w:tabs>
        <w:numPr>
          <w:ilvl w:val="1"/>
          <w:numId w:val="65"/>
        </w:numPr>
        <w:rPr>
          <w:rFonts w:ascii="Arial" w:cs="Arial" w:eastAsia="Arial" w:hAnsi="Arial"/>
          <w:sz w:val="20"/>
          <w:szCs w:val="20"/>
          <w:color w:val="010000"/>
        </w:rPr>
      </w:pPr>
      <w:r>
        <w:rPr>
          <w:rFonts w:ascii="Arial" w:cs="Arial" w:eastAsia="Arial" w:hAnsi="Arial"/>
          <w:sz w:val="20"/>
          <w:szCs w:val="20"/>
          <w:b w:val="1"/>
          <w:bCs w:val="1"/>
          <w:i w:val="1"/>
          <w:iCs w:val="1"/>
          <w:color w:val="auto"/>
        </w:rPr>
        <w:t>Severance Benefits</w:t>
      </w:r>
      <w:r>
        <w:rPr>
          <w:rFonts w:ascii="Arial" w:cs="Arial" w:eastAsia="Arial" w:hAnsi="Arial"/>
          <w:sz w:val="20"/>
          <w:szCs w:val="20"/>
          <w:color w:val="auto"/>
        </w:rPr>
        <w:t>. The term “Severance Benefits” shall mean the applicable severance payments and the Equity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Benefits, if any, as set forth in the </w:t>
      </w:r>
      <w:r>
        <w:rPr>
          <w:rFonts w:ascii="Arial" w:cs="Arial" w:eastAsia="Arial" w:hAnsi="Arial"/>
          <w:sz w:val="20"/>
          <w:szCs w:val="20"/>
          <w:u w:val="single" w:color="auto"/>
          <w:color w:val="auto"/>
        </w:rPr>
        <w:t>Termination Benefits</w:t>
      </w:r>
      <w:r>
        <w:rPr>
          <w:rFonts w:ascii="Arial" w:cs="Arial" w:eastAsia="Arial" w:hAnsi="Arial"/>
          <w:sz w:val="20"/>
          <w:szCs w:val="20"/>
          <w:color w:val="auto"/>
        </w:rPr>
        <w:t xml:space="preserve"> section of this Agreement.</w:t>
      </w:r>
    </w:p>
    <w:p>
      <w:pPr>
        <w:spacing w:after="0" w:line="175" w:lineRule="exact"/>
        <w:rPr>
          <w:rFonts w:ascii="Arial" w:cs="Arial" w:eastAsia="Arial" w:hAnsi="Arial"/>
          <w:sz w:val="20"/>
          <w:szCs w:val="20"/>
          <w:color w:val="010000"/>
        </w:rPr>
      </w:pPr>
    </w:p>
    <w:p>
      <w:pPr>
        <w:ind w:firstLine="1505"/>
        <w:spacing w:after="0" w:line="260" w:lineRule="auto"/>
        <w:tabs>
          <w:tab w:leader="none" w:pos="2037" w:val="left"/>
        </w:tabs>
        <w:numPr>
          <w:ilvl w:val="1"/>
          <w:numId w:val="65"/>
        </w:numPr>
        <w:rPr>
          <w:rFonts w:ascii="Arial" w:cs="Arial" w:eastAsia="Arial" w:hAnsi="Arial"/>
          <w:sz w:val="20"/>
          <w:szCs w:val="20"/>
          <w:color w:val="010000"/>
        </w:rPr>
      </w:pPr>
      <w:r>
        <w:rPr>
          <w:rFonts w:ascii="Arial" w:cs="Arial" w:eastAsia="Arial" w:hAnsi="Arial"/>
          <w:sz w:val="20"/>
          <w:szCs w:val="20"/>
          <w:b w:val="1"/>
          <w:bCs w:val="1"/>
          <w:i w:val="1"/>
          <w:iCs w:val="1"/>
          <w:color w:val="auto"/>
        </w:rPr>
        <w:t>Termination Without Cause</w:t>
      </w:r>
      <w:r>
        <w:rPr>
          <w:rFonts w:ascii="Arial" w:cs="Arial" w:eastAsia="Arial" w:hAnsi="Arial"/>
          <w:sz w:val="20"/>
          <w:szCs w:val="20"/>
          <w:color w:val="auto"/>
        </w:rPr>
        <w:t>. The term “Termination Without Cause” means a Separation as a result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termination of the Employee’s employment by the Company without Cause and other than as a result of Disability.</w:t>
      </w:r>
    </w:p>
    <w:p>
      <w:pPr>
        <w:spacing w:after="0" w:line="175" w:lineRule="exact"/>
        <w:rPr>
          <w:rFonts w:ascii="Arial" w:cs="Arial" w:eastAsia="Arial" w:hAnsi="Arial"/>
          <w:sz w:val="20"/>
          <w:szCs w:val="20"/>
          <w:color w:val="010000"/>
        </w:rPr>
      </w:pPr>
    </w:p>
    <w:p>
      <w:pPr>
        <w:jc w:val="both"/>
        <w:ind w:firstLine="757"/>
        <w:spacing w:after="0" w:line="290" w:lineRule="auto"/>
        <w:tabs>
          <w:tab w:leader="none" w:pos="1018" w:val="left"/>
        </w:tabs>
        <w:numPr>
          <w:ilvl w:val="0"/>
          <w:numId w:val="66"/>
        </w:numPr>
        <w:rPr>
          <w:rFonts w:ascii="Arial" w:cs="Arial" w:eastAsia="Arial" w:hAnsi="Arial"/>
          <w:sz w:val="18"/>
          <w:szCs w:val="18"/>
          <w:color w:val="010000"/>
        </w:rPr>
      </w:pPr>
      <w:r>
        <w:rPr>
          <w:rFonts w:ascii="Arial" w:cs="Arial" w:eastAsia="Arial" w:hAnsi="Arial"/>
          <w:sz w:val="18"/>
          <w:szCs w:val="18"/>
          <w:u w:val="single" w:color="auto"/>
          <w:color w:val="auto"/>
        </w:rPr>
        <w:t>Headings; Sub-Headings</w:t>
      </w:r>
      <w:r>
        <w:rPr>
          <w:rFonts w:ascii="Arial" w:cs="Arial" w:eastAsia="Arial" w:hAnsi="Arial"/>
          <w:sz w:val="18"/>
          <w:szCs w:val="18"/>
          <w:color w:val="auto"/>
        </w:rPr>
        <w:t>: Headings and sub-headings of the paragraphs and sub-paragraphs of this Agreement and the Release are intended solely for convenience of reference and no provision of this Agreement or the Release is to be construed based upon the heading or sub-heading of any paragraph or sub-paragraph.</w:t>
      </w:r>
    </w:p>
    <w:p>
      <w:pPr>
        <w:spacing w:after="0" w:line="153" w:lineRule="exact"/>
        <w:rPr>
          <w:rFonts w:ascii="Arial" w:cs="Arial" w:eastAsia="Arial" w:hAnsi="Arial"/>
          <w:sz w:val="18"/>
          <w:szCs w:val="18"/>
          <w:color w:val="010000"/>
        </w:rPr>
      </w:pPr>
    </w:p>
    <w:p>
      <w:pPr>
        <w:ind w:firstLine="757"/>
        <w:spacing w:after="0" w:line="315" w:lineRule="auto"/>
        <w:tabs>
          <w:tab w:leader="none" w:pos="1018" w:val="left"/>
        </w:tabs>
        <w:numPr>
          <w:ilvl w:val="0"/>
          <w:numId w:val="66"/>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part of the Agreement is found to be invalid or unenforceable, the other parts shall remain valid and enforceable.</w:t>
      </w:r>
    </w:p>
    <w:p>
      <w:pPr>
        <w:spacing w:after="0" w:line="130" w:lineRule="exact"/>
        <w:rPr>
          <w:rFonts w:ascii="Arial" w:cs="Arial" w:eastAsia="Arial" w:hAnsi="Arial"/>
          <w:sz w:val="18"/>
          <w:szCs w:val="18"/>
          <w:color w:val="010000"/>
        </w:rPr>
      </w:pPr>
    </w:p>
    <w:p>
      <w:pPr>
        <w:jc w:val="both"/>
        <w:ind w:firstLine="757"/>
        <w:spacing w:after="0" w:line="274" w:lineRule="auto"/>
        <w:tabs>
          <w:tab w:leader="none" w:pos="1018" w:val="left"/>
        </w:tabs>
        <w:numPr>
          <w:ilvl w:val="0"/>
          <w:numId w:val="66"/>
        </w:numPr>
        <w:rPr>
          <w:rFonts w:ascii="Arial" w:cs="Arial" w:eastAsia="Arial" w:hAnsi="Arial"/>
          <w:sz w:val="18"/>
          <w:szCs w:val="18"/>
          <w:color w:val="010000"/>
        </w:rPr>
      </w:pPr>
      <w:r>
        <w:rPr>
          <w:rFonts w:ascii="Arial" w:cs="Arial" w:eastAsia="Arial" w:hAnsi="Arial"/>
          <w:sz w:val="18"/>
          <w:szCs w:val="18"/>
          <w:u w:val="single" w:color="auto"/>
          <w:color w:val="auto"/>
        </w:rPr>
        <w:t>Modification; Counterparts; Electronic/PDF Signatures</w:t>
      </w:r>
      <w:r>
        <w:rPr>
          <w:rFonts w:ascii="Arial" w:cs="Arial" w:eastAsia="Arial" w:hAnsi="Arial"/>
          <w:sz w:val="18"/>
          <w:szCs w:val="18"/>
          <w:color w:val="auto"/>
        </w:rPr>
        <w:t>: You agree this Agreement may not be altered, amended, modified, or otherwise changed except by another written agreement that specifically refers to this Agreement, executed an authorized representative of the Company (other than Employee) and an authorized representative of Employee. This Agreement may be executed in several counterparts, each of which shall constitute an original and all of which together shall constitute the same instrument. Counterparts may be delivered via facsimile, electronic mail, or other electronic transmission method, and may be executed using any electronic signature method complying with the United States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Any such counterpart so delivered shall be deemed to have been duly and validly delivered and be valid and effective for all purposes.</w:t>
      </w:r>
    </w:p>
    <w:p>
      <w:pPr>
        <w:spacing w:after="0" w:line="166" w:lineRule="exact"/>
        <w:rPr>
          <w:rFonts w:ascii="Arial" w:cs="Arial" w:eastAsia="Arial" w:hAnsi="Arial"/>
          <w:sz w:val="18"/>
          <w:szCs w:val="18"/>
          <w:color w:val="010000"/>
        </w:rPr>
      </w:pPr>
    </w:p>
    <w:p>
      <w:pPr>
        <w:jc w:val="both"/>
        <w:ind w:firstLine="757"/>
        <w:spacing w:after="0" w:line="290" w:lineRule="auto"/>
        <w:tabs>
          <w:tab w:leader="none" w:pos="1018" w:val="left"/>
        </w:tabs>
        <w:numPr>
          <w:ilvl w:val="0"/>
          <w:numId w:val="66"/>
        </w:numPr>
        <w:rPr>
          <w:rFonts w:ascii="Arial" w:cs="Arial" w:eastAsia="Arial" w:hAnsi="Arial"/>
          <w:sz w:val="18"/>
          <w:szCs w:val="18"/>
          <w:color w:val="010000"/>
        </w:rPr>
      </w:pPr>
      <w:r>
        <w:rPr>
          <w:rFonts w:ascii="Arial" w:cs="Arial" w:eastAsia="Arial" w:hAnsi="Arial"/>
          <w:sz w:val="18"/>
          <w:szCs w:val="18"/>
          <w:u w:val="single" w:color="auto"/>
          <w:color w:val="auto"/>
        </w:rPr>
        <w:t>Interpretation and Construction of Agreement</w:t>
      </w:r>
      <w:r>
        <w:rPr>
          <w:rFonts w:ascii="Arial" w:cs="Arial" w:eastAsia="Arial" w:hAnsi="Arial"/>
          <w:sz w:val="18"/>
          <w:szCs w:val="18"/>
          <w:color w:val="auto"/>
        </w:rPr>
        <w:t>: This Agreement shall be construed and interpreted under the laws of the state where you were last employed by the Company, Massachusetts, without regard to its conflict of law principles. Moreover, this Agreement shall not be construed against either party as the author or drafter of the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9" w:name="page110"/>
    <w:bookmarkEnd w:id="109"/>
    <w:p>
      <w:pPr>
        <w:jc w:val="both"/>
        <w:ind w:firstLine="757"/>
        <w:spacing w:after="0" w:line="270" w:lineRule="auto"/>
        <w:tabs>
          <w:tab w:leader="none" w:pos="1018"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Review of Transition Agreement; Expiration of Offer; Effective Date</w:t>
      </w:r>
      <w:r>
        <w:rPr>
          <w:rFonts w:ascii="Arial" w:cs="Arial" w:eastAsia="Arial" w:hAnsi="Arial"/>
          <w:sz w:val="18"/>
          <w:szCs w:val="18"/>
          <w:color w:val="auto"/>
        </w:rPr>
        <w:t>: You understand that you may take up to twenty-one (21) calendar days to consider this Agreement (the “</w:t>
      </w:r>
      <w:r>
        <w:rPr>
          <w:rFonts w:ascii="Arial" w:cs="Arial" w:eastAsia="Arial" w:hAnsi="Arial"/>
          <w:sz w:val="18"/>
          <w:szCs w:val="18"/>
          <w:b w:val="1"/>
          <w:bCs w:val="1"/>
          <w:i w:val="1"/>
          <w:iCs w:val="1"/>
          <w:color w:val="auto"/>
        </w:rPr>
        <w:t>Consideration Period</w:t>
      </w:r>
      <w:r>
        <w:rPr>
          <w:rFonts w:ascii="Arial" w:cs="Arial" w:eastAsia="Arial" w:hAnsi="Arial"/>
          <w:sz w:val="18"/>
          <w:szCs w:val="18"/>
          <w:color w:val="auto"/>
        </w:rPr>
        <w:t>”). You agree changes to this Agreement, whether material or immaterial, do not toll or restart the Consideration Period. If you choose to sign this Agreement before the Consideration Period ends, you represent: (i) you freely chose to do so after carefully considering its terms; (ii) you are knowingly and voluntarily waiving the remainder of the Consideration Period; and (iii) your decision to waive the remainder of the Consideration Period was not induced by the Company through fraud, misrepresentation, or a threat to withdraw or alter the offer prior to the expiration of the Consideration Period, or by providing different terms to you for signing this Agreement prior to the expiration of the Consideration Period. You affirm that you were advised to consult with an attorney before signing this Agreement. You also understand you may revoke this Agreement within seven (7) calendar days of signing (the “</w:t>
      </w:r>
      <w:r>
        <w:rPr>
          <w:rFonts w:ascii="Arial" w:cs="Arial" w:eastAsia="Arial" w:hAnsi="Arial"/>
          <w:sz w:val="18"/>
          <w:szCs w:val="18"/>
          <w:b w:val="1"/>
          <w:bCs w:val="1"/>
          <w:i w:val="1"/>
          <w:iCs w:val="1"/>
          <w:color w:val="auto"/>
        </w:rPr>
        <w:t>Revocation Period</w:t>
      </w:r>
      <w:r>
        <w:rPr>
          <w:rFonts w:ascii="Arial" w:cs="Arial" w:eastAsia="Arial" w:hAnsi="Arial"/>
          <w:sz w:val="18"/>
          <w:szCs w:val="18"/>
          <w:color w:val="auto"/>
        </w:rPr>
        <w:t>”) and that the Company will only provide you with the Severance Benefits after that Revocation Period has expired. Any revocation must be made in writing and delivered to Rob Orgel at rob.orgel@flywire.com. This Agreement is effective on the eighth (8th) calendar day after you sign it, provided, provided you have not revoked it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 Signatures Follow Below)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0" w:name="page111"/>
    <w:bookmarkEnd w:id="110"/>
    <w:p>
      <w:pPr>
        <w:ind w:left="760"/>
        <w:spacing w:after="0"/>
        <w:rPr>
          <w:sz w:val="20"/>
          <w:szCs w:val="20"/>
          <w:color w:val="auto"/>
        </w:rPr>
      </w:pPr>
      <w:r>
        <w:rPr>
          <w:rFonts w:ascii="Arial" w:cs="Arial" w:eastAsia="Arial" w:hAnsi="Arial"/>
          <w:sz w:val="18"/>
          <w:szCs w:val="18"/>
          <w:color w:val="auto"/>
        </w:rPr>
        <w:t>If you agree to the terms outlined in this Agreement, please sign below and return it to me within the timeframe noted above.</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Sincerely,</w:t>
      </w:r>
    </w:p>
    <w:p>
      <w:pPr>
        <w:spacing w:after="0" w:line="22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lywire</w:t>
      </w:r>
      <w:r>
        <w:rPr>
          <w:rFonts w:ascii="Arial" w:cs="Arial" w:eastAsia="Arial" w:hAnsi="Arial"/>
          <w:sz w:val="20"/>
          <w:szCs w:val="20"/>
          <w:color w:val="auto"/>
        </w:rPr>
        <w:t xml:space="preserve"> C</w:t>
      </w:r>
      <w:r>
        <w:rPr>
          <w:rFonts w:ascii="Arial" w:cs="Arial" w:eastAsia="Arial" w:hAnsi="Arial"/>
          <w:sz w:val="13"/>
          <w:szCs w:val="13"/>
          <w:color w:val="auto"/>
        </w:rPr>
        <w:t>orporation</w:t>
      </w:r>
    </w:p>
    <w:p>
      <w:pPr>
        <w:spacing w:after="0" w:line="22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Rob Orgel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-14605</wp:posOffset>
            </wp:positionV>
            <wp:extent cx="1575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Rob Orgel, President and Chief Operating Officer</w:t>
      </w: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Date: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-14605</wp:posOffset>
            </wp:positionV>
            <wp:extent cx="11709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READ, UNDERSTOOD AND AGREED</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62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Michael Ellis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17157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Attachments</w:t>
      </w:r>
    </w:p>
    <w:p>
      <w:pPr>
        <w:spacing w:after="0" w:line="2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Exhibit A</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Confidentiality Agreement</w:t>
      </w:r>
    </w:p>
    <w:p>
      <w:pPr>
        <w:spacing w:after="0"/>
        <w:tabs>
          <w:tab w:leader="none" w:pos="1180" w:val="left"/>
        </w:tabs>
        <w:rPr>
          <w:sz w:val="20"/>
          <w:szCs w:val="20"/>
          <w:color w:val="auto"/>
        </w:rPr>
      </w:pPr>
      <w:r>
        <w:rPr>
          <w:rFonts w:ascii="Arial" w:cs="Arial" w:eastAsia="Arial" w:hAnsi="Arial"/>
          <w:sz w:val="20"/>
          <w:szCs w:val="20"/>
          <w:b w:val="1"/>
          <w:bCs w:val="1"/>
          <w:color w:val="auto"/>
        </w:rPr>
        <w:t>Exhibit B</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Release</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38" w:right="939" w:bottom="1440" w:gutter="0" w:footer="0" w:header="0"/>
        </w:sectPr>
      </w:pPr>
    </w:p>
    <w:bookmarkStart w:id="111" w:name="page112"/>
    <w:bookmarkEnd w:id="111"/>
    <w:p>
      <w:pPr>
        <w:jc w:val="center"/>
        <w:ind w:right="-1080"/>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Confidentiality Agreement</w:t>
      </w:r>
    </w:p>
    <w:p>
      <w:pPr>
        <w:spacing w:after="0" w:line="22" w:lineRule="exact"/>
        <w:rPr>
          <w:sz w:val="20"/>
          <w:szCs w:val="20"/>
          <w:color w:val="auto"/>
        </w:rPr>
      </w:pPr>
    </w:p>
    <w:p>
      <w:pPr>
        <w:jc w:val="center"/>
        <w:ind w:right="-1080"/>
        <w:spacing w:after="0"/>
        <w:rPr>
          <w:sz w:val="20"/>
          <w:szCs w:val="20"/>
          <w:color w:val="auto"/>
        </w:rPr>
      </w:pPr>
      <w:r>
        <w:rPr>
          <w:rFonts w:ascii="Arial" w:cs="Arial" w:eastAsia="Arial" w:hAnsi="Arial"/>
          <w:sz w:val="20"/>
          <w:szCs w:val="20"/>
          <w:i w:val="1"/>
          <w:iCs w:val="1"/>
          <w:color w:val="auto"/>
        </w:rPr>
        <w:t>(begins on next page)</w:t>
      </w: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52070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33"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20"/>
          <w:szCs w:val="20"/>
          <w:b w:val="1"/>
          <w:bCs w:val="1"/>
          <w:color w:val="auto"/>
        </w:rPr>
        <w:t>EXHIBIT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Release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is Exhibit B to the Transition Agreement (the “</w:t>
      </w:r>
      <w:r>
        <w:rPr>
          <w:rFonts w:ascii="Arial" w:cs="Arial" w:eastAsia="Arial" w:hAnsi="Arial"/>
          <w:sz w:val="18"/>
          <w:szCs w:val="18"/>
          <w:b w:val="1"/>
          <w:bCs w:val="1"/>
          <w:i w:val="1"/>
          <w:iCs w:val="1"/>
          <w:color w:val="auto"/>
        </w:rPr>
        <w:t>Transition Agreement</w:t>
      </w:r>
      <w:r>
        <w:rPr>
          <w:rFonts w:ascii="Arial" w:cs="Arial" w:eastAsia="Arial" w:hAnsi="Arial"/>
          <w:sz w:val="18"/>
          <w:szCs w:val="18"/>
          <w:color w:val="auto"/>
        </w:rPr>
        <w:t>”) executed between Michael Ellis (“</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or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and Flywire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supplements the Transition Agreement. Company and Employee may be referred to herein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an individual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In consideration for the Severance Benefits (as defined in the Transition Agreement), if any, and the Release Benefit (as defined below), you agree to the following:</w:t>
      </w:r>
    </w:p>
    <w:p>
      <w:pPr>
        <w:spacing w:after="0" w:line="173" w:lineRule="exact"/>
        <w:rPr>
          <w:sz w:val="20"/>
          <w:szCs w:val="20"/>
          <w:color w:val="auto"/>
        </w:rPr>
      </w:pPr>
    </w:p>
    <w:p>
      <w:pPr>
        <w:ind w:left="1020" w:hanging="263"/>
        <w:spacing w:after="0"/>
        <w:tabs>
          <w:tab w:leader="none" w:pos="1020"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Separation from Employment</w:t>
      </w:r>
      <w:r>
        <w:rPr>
          <w:rFonts w:ascii="Arial" w:cs="Arial" w:eastAsia="Arial" w:hAnsi="Arial"/>
          <w:sz w:val="18"/>
          <w:szCs w:val="18"/>
          <w:color w:val="auto"/>
        </w:rPr>
        <w:t>:  Your last day of employment with the Company will be ________________ (the “</w:t>
      </w:r>
      <w:r>
        <w:rPr>
          <w:rFonts w:ascii="Arial" w:cs="Arial" w:eastAsia="Arial" w:hAnsi="Arial"/>
          <w:sz w:val="18"/>
          <w:szCs w:val="18"/>
          <w:b w:val="1"/>
          <w:bCs w:val="1"/>
          <w:i w:val="1"/>
          <w:iCs w:val="1"/>
          <w:color w:val="auto"/>
        </w:rPr>
        <w:t>Separation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Date</w:t>
      </w:r>
      <w:r>
        <w:rPr>
          <w:rFonts w:ascii="Arial" w:cs="Arial" w:eastAsia="Arial" w:hAnsi="Arial"/>
          <w:sz w:val="20"/>
          <w:szCs w:val="20"/>
          <w:color w:val="auto"/>
        </w:rPr>
        <w:t>”).</w:t>
      </w:r>
    </w:p>
    <w:p>
      <w:pPr>
        <w:spacing w:after="0" w:line="199" w:lineRule="exact"/>
        <w:rPr>
          <w:sz w:val="20"/>
          <w:szCs w:val="20"/>
          <w:color w:val="auto"/>
        </w:rPr>
      </w:pPr>
    </w:p>
    <w:p>
      <w:pPr>
        <w:ind w:firstLine="757"/>
        <w:spacing w:after="0" w:line="260" w:lineRule="auto"/>
        <w:tabs>
          <w:tab w:leader="none" w:pos="1018" w:val="left"/>
        </w:tabs>
        <w:numPr>
          <w:ilvl w:val="0"/>
          <w:numId w:val="69"/>
        </w:numPr>
        <w:rPr>
          <w:rFonts w:ascii="Arial" w:cs="Arial" w:eastAsia="Arial" w:hAnsi="Arial"/>
          <w:sz w:val="20"/>
          <w:szCs w:val="20"/>
          <w:color w:val="010000"/>
        </w:rPr>
      </w:pPr>
      <w:r>
        <w:rPr>
          <w:rFonts w:ascii="Arial" w:cs="Arial" w:eastAsia="Arial" w:hAnsi="Arial"/>
          <w:sz w:val="20"/>
          <w:szCs w:val="20"/>
          <w:color w:val="auto"/>
        </w:rPr>
        <w:t>Severance Benefits: The Company shall pay you the Severance Benefits, if any, in accordance with and subject to the terms and conditions of the Transition Agreement and the Release.</w:t>
      </w:r>
    </w:p>
    <w:p>
      <w:pPr>
        <w:spacing w:after="0" w:line="175" w:lineRule="exact"/>
        <w:rPr>
          <w:rFonts w:ascii="Arial" w:cs="Arial" w:eastAsia="Arial" w:hAnsi="Arial"/>
          <w:sz w:val="20"/>
          <w:szCs w:val="20"/>
          <w:color w:val="010000"/>
        </w:rPr>
      </w:pPr>
    </w:p>
    <w:p>
      <w:pPr>
        <w:jc w:val="both"/>
        <w:ind w:firstLine="757"/>
        <w:spacing w:after="0" w:line="244" w:lineRule="auto"/>
        <w:tabs>
          <w:tab w:leader="none" w:pos="1018" w:val="left"/>
        </w:tabs>
        <w:numPr>
          <w:ilvl w:val="0"/>
          <w:numId w:val="69"/>
        </w:numPr>
        <w:rPr>
          <w:rFonts w:ascii="Arial" w:cs="Arial" w:eastAsia="Arial" w:hAnsi="Arial"/>
          <w:sz w:val="20"/>
          <w:szCs w:val="20"/>
          <w:color w:val="010000"/>
        </w:rPr>
      </w:pPr>
      <w:r>
        <w:rPr>
          <w:rFonts w:ascii="Arial" w:cs="Arial" w:eastAsia="Arial" w:hAnsi="Arial"/>
          <w:sz w:val="20"/>
          <w:szCs w:val="20"/>
          <w:u w:val="single" w:color="auto"/>
          <w:color w:val="auto"/>
        </w:rPr>
        <w:t>Final Pay and Benefits</w:t>
      </w:r>
      <w:r>
        <w:rPr>
          <w:rFonts w:ascii="Arial" w:cs="Arial" w:eastAsia="Arial" w:hAnsi="Arial"/>
          <w:sz w:val="20"/>
          <w:szCs w:val="20"/>
          <w:color w:val="auto"/>
        </w:rPr>
        <w:t>: You acknowledge and agree that the Company has provided you with your final pay, less lawful deductions (the “</w:t>
      </w:r>
      <w:r>
        <w:rPr>
          <w:rFonts w:ascii="Arial" w:cs="Arial" w:eastAsia="Arial" w:hAnsi="Arial"/>
          <w:sz w:val="20"/>
          <w:szCs w:val="20"/>
          <w:b w:val="1"/>
          <w:bCs w:val="1"/>
          <w:i w:val="1"/>
          <w:iCs w:val="1"/>
          <w:color w:val="auto"/>
        </w:rPr>
        <w:t>Final Pay</w:t>
      </w:r>
      <w:r>
        <w:rPr>
          <w:rFonts w:ascii="Arial" w:cs="Arial" w:eastAsia="Arial" w:hAnsi="Arial"/>
          <w:sz w:val="20"/>
          <w:szCs w:val="20"/>
          <w:color w:val="auto"/>
        </w:rPr>
        <w:t>”) through the Separation Date, in a timely manner and in accordance with your state’s law. Whether or not you execute this Release, you will be entitled to, and are not releasing your rights to, any benefits required to be provided to you pursuant to any employee benefit plans in which you are a participant. You may also have rights to continue your group health coverage under the federal law commonly called “COBRA” or a state law equivalent.</w:t>
      </w:r>
    </w:p>
    <w:p>
      <w:pPr>
        <w:spacing w:after="0" w:line="192" w:lineRule="exact"/>
        <w:rPr>
          <w:rFonts w:ascii="Arial" w:cs="Arial" w:eastAsia="Arial" w:hAnsi="Arial"/>
          <w:sz w:val="20"/>
          <w:szCs w:val="20"/>
          <w:color w:val="010000"/>
        </w:rPr>
      </w:pPr>
    </w:p>
    <w:p>
      <w:pPr>
        <w:jc w:val="both"/>
        <w:ind w:firstLine="757"/>
        <w:spacing w:after="0" w:line="268" w:lineRule="auto"/>
        <w:tabs>
          <w:tab w:leader="none" w:pos="1018"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 In exchange for the Severance Benefits, if applicable, and the Release Benefits, the sufficiency of which is hereby acknowledged, to the fullest extent permitted by law, you on behalf of yourself, your heirs, family members, executors, estates, agents and assigns, or any controlled affiliate and any trust or other entity of which you or your heirs, estates or family directly or indirectly hold a majority beneficial interest, fully, finally, and forever release and discharge the Company and its owners, agents, officers, shareholders, employees, directors, attorneys, subscribers, subsidiaries, affiliates, successors, investors, and assigns (collectively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of and from all claims and potential claims that may legally be waived by private agreement, whether known or unknown, whether specifically enumerated or not in this Agreement, which you have asserted or could assert against the Company arising out of or relating in any way to acts, circumstances, facts, transactions, or omissions based on facts occurring up to and including the date you sign this Release (the “</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The Released Claims specifically include but are not limited to: claims under common law or equity; claims for additional compensation or benefits arising out of your employment or your separation from employment; wage and hour claims; unlawful discharge; breach of contract; breach of the covenant of good faith and fair dealing; fraud; violation of public policy; defamation; physical injury; emotional distress; negligence; claims under Title VII of the 1964 Civil Rights Act; the Age Discrimination in Employment Act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Older Workers Benefit Protection Act (“</w:t>
      </w:r>
      <w:r>
        <w:rPr>
          <w:rFonts w:ascii="Arial" w:cs="Arial" w:eastAsia="Arial" w:hAnsi="Arial"/>
          <w:sz w:val="18"/>
          <w:szCs w:val="18"/>
          <w:b w:val="1"/>
          <w:bCs w:val="1"/>
          <w:i w:val="1"/>
          <w:iCs w:val="1"/>
          <w:color w:val="auto"/>
        </w:rPr>
        <w:t>OWBPA</w:t>
      </w:r>
      <w:r>
        <w:rPr>
          <w:rFonts w:ascii="Arial" w:cs="Arial" w:eastAsia="Arial" w:hAnsi="Arial"/>
          <w:sz w:val="18"/>
          <w:szCs w:val="18"/>
          <w:color w:val="auto"/>
        </w:rPr>
        <w:t>”); the Employee Retirement Income Security Act of 1974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the Americans with Disabilities Act; the Workers Adjustment and Retraining Notification Act (“</w:t>
      </w:r>
      <w:r>
        <w:rPr>
          <w:rFonts w:ascii="Arial" w:cs="Arial" w:eastAsia="Arial" w:hAnsi="Arial"/>
          <w:sz w:val="18"/>
          <w:szCs w:val="18"/>
          <w:b w:val="1"/>
          <w:bCs w:val="1"/>
          <w:i w:val="1"/>
          <w:iCs w:val="1"/>
          <w:color w:val="auto"/>
        </w:rPr>
        <w:t>WARN</w:t>
      </w:r>
      <w:r>
        <w:rPr>
          <w:rFonts w:ascii="Arial" w:cs="Arial" w:eastAsia="Arial" w:hAnsi="Arial"/>
          <w:sz w:val="18"/>
          <w:szCs w:val="18"/>
          <w:color w:val="auto"/>
        </w:rPr>
        <w:t>”); the Equal Pay Act; the Family Medical Leave Act; the Civil Rights Act of 1866; the Pregnancy Discrimination Act; the Pregnant Workers Fairness Act; the Massachusetts Wage Act (M.G.L. c. 149, §§ 148 et seq.); the Massachusetts Minimum Fair Wage Law (M.G.L. c. 151) ; the Massachusetts Civil Rights Act; the Massachusetts Fair Employment Practices Act; the Massachusetts Equal Rights Law; the Massachusetts Equal Pay Act; the anti-discrimination provisions of the Massachusetts Paid Family and Medical Leave law; the Massachusetts COVID-19 Emergency Earned Sick Time law; the Massachusetts Privacy Act; the Florida Civil Rights Act (§§ 760.01 to 760.11, Fla. Stat.); the Florida Whistleblower Protection Act (§§ 448.101 to 448.105, Fla. Stat.); the Florida Workers' Compensation Retaliation provision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3" w:name="page114"/>
    <w:bookmarkEnd w:id="113"/>
    <w:p>
      <w:pPr>
        <w:spacing w:after="0" w:line="260" w:lineRule="auto"/>
        <w:rPr>
          <w:sz w:val="20"/>
          <w:szCs w:val="20"/>
          <w:color w:val="auto"/>
        </w:rPr>
      </w:pPr>
      <w:r>
        <w:rPr>
          <w:rFonts w:ascii="Arial" w:cs="Arial" w:eastAsia="Arial" w:hAnsi="Arial"/>
          <w:sz w:val="20"/>
          <w:szCs w:val="20"/>
          <w:color w:val="auto"/>
        </w:rPr>
        <w:t>(§ 440.205, Fla. Stat.); the Florida Minimum Wage Act (§ 448.110, Fla. Stat.);and any other federal, state, or local laws, constitution, rule, ordinance, order, and/or regulations, including their amendments and respective implementing regulations.</w:t>
      </w:r>
    </w:p>
    <w:p>
      <w:pPr>
        <w:spacing w:after="0" w:line="176" w:lineRule="exact"/>
        <w:rPr>
          <w:sz w:val="20"/>
          <w:szCs w:val="20"/>
          <w:color w:val="auto"/>
        </w:rPr>
      </w:pPr>
    </w:p>
    <w:p>
      <w:pPr>
        <w:ind w:left="1020" w:hanging="263"/>
        <w:spacing w:after="0"/>
        <w:tabs>
          <w:tab w:leader="none" w:pos="1020" w:val="left"/>
        </w:tabs>
        <w:numPr>
          <w:ilvl w:val="0"/>
          <w:numId w:val="70"/>
        </w:numPr>
        <w:rPr>
          <w:rFonts w:ascii="Arial" w:cs="Arial" w:eastAsia="Arial" w:hAnsi="Arial"/>
          <w:sz w:val="20"/>
          <w:szCs w:val="20"/>
          <w:color w:val="010000"/>
        </w:rPr>
      </w:pPr>
      <w:r>
        <w:rPr>
          <w:rFonts w:ascii="Arial" w:cs="Arial" w:eastAsia="Arial" w:hAnsi="Arial"/>
          <w:sz w:val="20"/>
          <w:szCs w:val="20"/>
          <w:u w:val="single" w:color="auto"/>
          <w:color w:val="auto"/>
        </w:rPr>
        <w:t>Protected Rights</w:t>
      </w:r>
      <w:r>
        <w:rPr>
          <w:rFonts w:ascii="Arial" w:cs="Arial" w:eastAsia="Arial" w:hAnsi="Arial"/>
          <w:sz w:val="20"/>
          <w:szCs w:val="20"/>
          <w:color w:val="auto"/>
        </w:rPr>
        <w:t>:</w:t>
      </w:r>
    </w:p>
    <w:p>
      <w:pPr>
        <w:spacing w:after="0" w:line="214" w:lineRule="exact"/>
        <w:rPr>
          <w:rFonts w:ascii="Arial" w:cs="Arial" w:eastAsia="Arial" w:hAnsi="Arial"/>
          <w:sz w:val="20"/>
          <w:szCs w:val="20"/>
          <w:color w:val="010000"/>
        </w:rPr>
      </w:pPr>
    </w:p>
    <w:p>
      <w:pPr>
        <w:jc w:val="both"/>
        <w:ind w:firstLine="1505"/>
        <w:spacing w:after="0" w:line="256" w:lineRule="auto"/>
        <w:tabs>
          <w:tab w:leader="none" w:pos="2037"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You understand that nothing in this Release limits your ability to file a charge or complaint with, to provide documents or information voluntarily or in response to a lawfully-served subpoena or other information request to, or to participate in an investigation or proceeding conducted by, the Equal Employment Opportunity Commission, the National Labor Relations Board, the Occupational Safety and Health Administration, the Securities and Exchange Commission, or any other federal, state, or local government agency or commission (each, a “</w:t>
      </w:r>
      <w:r>
        <w:rPr>
          <w:rFonts w:ascii="Arial" w:cs="Arial" w:eastAsia="Arial" w:hAnsi="Arial"/>
          <w:sz w:val="19"/>
          <w:szCs w:val="19"/>
          <w:b w:val="1"/>
          <w:bCs w:val="1"/>
          <w:i w:val="1"/>
          <w:iCs w:val="1"/>
          <w:color w:val="auto"/>
        </w:rPr>
        <w:t>Government Agenc</w:t>
      </w:r>
      <w:r>
        <w:rPr>
          <w:rFonts w:ascii="Arial" w:cs="Arial" w:eastAsia="Arial" w:hAnsi="Arial"/>
          <w:sz w:val="19"/>
          <w:szCs w:val="19"/>
          <w:b w:val="1"/>
          <w:bCs w:val="1"/>
          <w:color w:val="auto"/>
        </w:rPr>
        <w:t>y</w:t>
      </w:r>
      <w:r>
        <w:rPr>
          <w:rFonts w:ascii="Arial" w:cs="Arial" w:eastAsia="Arial" w:hAnsi="Arial"/>
          <w:sz w:val="19"/>
          <w:szCs w:val="19"/>
          <w:color w:val="auto"/>
        </w:rPr>
        <w:t>”). You further understand this Release does not limit your ability to communicate with any Government Agency or otherwise participate in any investigation or proceeding that may be conducted by any Government Agency, including providing documents or other information, without notice to the Company. This Release does not limit your right to receive an award for information provided to any Government Agency.</w:t>
      </w:r>
    </w:p>
    <w:p>
      <w:pPr>
        <w:spacing w:after="0" w:line="185" w:lineRule="exact"/>
        <w:rPr>
          <w:rFonts w:ascii="Arial" w:cs="Arial" w:eastAsia="Arial" w:hAnsi="Arial"/>
          <w:sz w:val="19"/>
          <w:szCs w:val="19"/>
          <w:color w:val="010000"/>
        </w:rPr>
      </w:pPr>
    </w:p>
    <w:p>
      <w:pPr>
        <w:jc w:val="both"/>
        <w:ind w:firstLine="1505"/>
        <w:spacing w:after="0" w:line="268" w:lineRule="auto"/>
        <w:tabs>
          <w:tab w:leader="none" w:pos="2037"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You understand that nothing in this Release: (i) applies to claims for unemployment or workers’ compensation benefits; (ii) applies to claims arising after the date you sign this Release; (iii) applies to claims for reimbursement of expenses under the Company’s expense reimbursement policies; (iv) applies to claims for any vested rights under the Company’s ERISA-covered employee benefit plans as applicable on the date you sign this Release; (v) applies to claims that controlling law clearly states may not be released by private agreement; (vi) limits or affects your right, if any, to challenge the validity of this Release under the ADEA or the OWBPA; (vii) applies to a non-disclosure or non-disparagement clause agreed to before a dispute arises involving a nonconsensual sexual act or sexual contact, including when the victim lacks capacity to consent, or relating to conduct that is alleged to constitute sexual harassment; (viii) shall be deemed to be a waiver or release by you of any rights of yours to indemnification, contribution or defense from or through the Company or its insurers, under the Company’s (or its affiliates’) charter or Bylaws, or under applicable law, with respect to prior actions or inactions relating in any way to Employee’s duties as a director, employee or officer of the Company (including pursuant to the Indemnification Agreement) or claims under any directors’ and officers’ liability insurance policy (or similar policy); (ix) shall be deemed a waiver or release by you of your right to enforce the terms of the Transition Agreement or the Release; or (x) precludes you from exercising your rights, if any, under Section 7 of the National Labor Relations Act (“</w:t>
      </w:r>
      <w:r>
        <w:rPr>
          <w:rFonts w:ascii="Arial" w:cs="Arial" w:eastAsia="Arial" w:hAnsi="Arial"/>
          <w:sz w:val="18"/>
          <w:szCs w:val="18"/>
          <w:b w:val="1"/>
          <w:bCs w:val="1"/>
          <w:i w:val="1"/>
          <w:iCs w:val="1"/>
          <w:color w:val="auto"/>
        </w:rPr>
        <w:t>NLRA</w:t>
      </w:r>
      <w:r>
        <w:rPr>
          <w:rFonts w:ascii="Arial" w:cs="Arial" w:eastAsia="Arial" w:hAnsi="Arial"/>
          <w:sz w:val="18"/>
          <w:szCs w:val="18"/>
          <w:color w:val="auto"/>
        </w:rPr>
        <w:t>”) or under similar state law to engage in protected, concerted activity with other employees, including discussing your compensation or terms and conditions of employment. However, by signing this Release, you are waiving your right to recover any individual relief, including any backpay, frontpay, reinstatement or other legal or equitable relief, in any charge, complaint, or lawsuit or other proceeding brought by you or on your behalf by any third party, except for any right you may have to receive a payment or award from a Government Agency (and not the Company) for information provided to said Government Agency and except as provided under applicable law.</w:t>
      </w:r>
    </w:p>
    <w:p>
      <w:pPr>
        <w:spacing w:after="0" w:line="181" w:lineRule="exact"/>
        <w:rPr>
          <w:rFonts w:ascii="Arial" w:cs="Arial" w:eastAsia="Arial" w:hAnsi="Arial"/>
          <w:sz w:val="18"/>
          <w:szCs w:val="18"/>
          <w:color w:val="010000"/>
        </w:rPr>
      </w:pPr>
    </w:p>
    <w:p>
      <w:pPr>
        <w:jc w:val="both"/>
        <w:ind w:firstLine="1505"/>
        <w:spacing w:after="0" w:line="278" w:lineRule="auto"/>
        <w:tabs>
          <w:tab w:leader="none" w:pos="2037"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Notwithstanding your confidentiality obligations to the Company under the Confidentiality Agreement, this Release, and otherwise, you understand that as provided by the Federal Defend Trade Secrets Act, you will not be held criminally or civilly liable under any federal or state trade secret law for the disclosure of a trade secret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63" w:lineRule="exact"/>
        <w:rPr>
          <w:rFonts w:ascii="Arial" w:cs="Arial" w:eastAsia="Arial" w:hAnsi="Arial"/>
          <w:sz w:val="18"/>
          <w:szCs w:val="18"/>
          <w:color w:val="010000"/>
        </w:rPr>
      </w:pPr>
    </w:p>
    <w:p>
      <w:pPr>
        <w:ind w:right="20" w:firstLine="1505"/>
        <w:spacing w:after="0" w:line="260" w:lineRule="auto"/>
        <w:tabs>
          <w:tab w:leader="none" w:pos="2037" w:val="left"/>
        </w:tabs>
        <w:numPr>
          <w:ilvl w:val="1"/>
          <w:numId w:val="70"/>
        </w:numPr>
        <w:rPr>
          <w:rFonts w:ascii="Arial" w:cs="Arial" w:eastAsia="Arial" w:hAnsi="Arial"/>
          <w:sz w:val="20"/>
          <w:szCs w:val="20"/>
          <w:color w:val="010000"/>
        </w:rPr>
      </w:pPr>
      <w:r>
        <w:rPr>
          <w:rFonts w:ascii="Arial" w:cs="Arial" w:eastAsia="Arial" w:hAnsi="Arial"/>
          <w:sz w:val="20"/>
          <w:szCs w:val="20"/>
          <w:color w:val="auto"/>
        </w:rPr>
        <w:t>Notwithstanding the above, you understand that upon the Release Effective Date (defined below), this Release will be final and binding. You promise not to pursue any claim released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4" w:name="page115"/>
    <w:bookmarkEnd w:id="114"/>
    <w:p>
      <w:pPr>
        <w:jc w:val="both"/>
        <w:spacing w:after="0" w:line="249" w:lineRule="auto"/>
        <w:rPr>
          <w:sz w:val="20"/>
          <w:szCs w:val="20"/>
          <w:color w:val="auto"/>
        </w:rPr>
      </w:pPr>
      <w:r>
        <w:rPr>
          <w:rFonts w:ascii="Arial" w:cs="Arial" w:eastAsia="Arial" w:hAnsi="Arial"/>
          <w:sz w:val="20"/>
          <w:szCs w:val="20"/>
          <w:color w:val="auto"/>
        </w:rPr>
        <w:t>this Release. Notwithstanding the foregoing, although you are releasing claims you may have under the ADEA and the OWBPA, you may challenge the knowing and voluntary nature of this release before a court, the Equal Employment Opportunity Commission or any other Government Agency charged with the enforcement of any employment laws.</w:t>
      </w:r>
    </w:p>
    <w:p>
      <w:pPr>
        <w:spacing w:after="0" w:line="188" w:lineRule="exact"/>
        <w:rPr>
          <w:sz w:val="20"/>
          <w:szCs w:val="20"/>
          <w:color w:val="auto"/>
        </w:rPr>
      </w:pPr>
    </w:p>
    <w:p>
      <w:pPr>
        <w:ind w:left="1020" w:hanging="263"/>
        <w:spacing w:after="0"/>
        <w:tabs>
          <w:tab w:leader="none" w:pos="1020"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Equity</w:t>
      </w:r>
      <w:r>
        <w:rPr>
          <w:rFonts w:ascii="Arial" w:cs="Arial" w:eastAsia="Arial" w:hAnsi="Arial"/>
          <w:sz w:val="20"/>
          <w:szCs w:val="20"/>
          <w:color w:val="auto"/>
        </w:rPr>
        <w:t>:</w:t>
      </w:r>
    </w:p>
    <w:p>
      <w:pPr>
        <w:spacing w:after="0" w:line="214" w:lineRule="exact"/>
        <w:rPr>
          <w:rFonts w:ascii="Arial" w:cs="Arial" w:eastAsia="Arial" w:hAnsi="Arial"/>
          <w:sz w:val="20"/>
          <w:szCs w:val="20"/>
          <w:color w:val="010000"/>
        </w:rPr>
      </w:pPr>
    </w:p>
    <w:p>
      <w:pPr>
        <w:jc w:val="both"/>
        <w:ind w:firstLine="1505"/>
        <w:spacing w:after="0" w:line="307" w:lineRule="auto"/>
        <w:tabs>
          <w:tab w:leader="none" w:pos="2037" w:val="left"/>
        </w:tabs>
        <w:numPr>
          <w:ilvl w:val="1"/>
          <w:numId w:val="71"/>
        </w:numPr>
        <w:rPr>
          <w:rFonts w:ascii="Arial" w:cs="Arial" w:eastAsia="Arial" w:hAnsi="Arial"/>
          <w:sz w:val="16"/>
          <w:szCs w:val="16"/>
          <w:color w:val="010000"/>
        </w:rPr>
      </w:pPr>
      <w:r>
        <w:rPr>
          <w:rFonts w:ascii="Arial" w:cs="Arial" w:eastAsia="Arial" w:hAnsi="Arial"/>
          <w:sz w:val="16"/>
          <w:szCs w:val="16"/>
          <w:i w:val="1"/>
          <w:iCs w:val="1"/>
          <w:color w:val="auto"/>
        </w:rPr>
        <w:t>Options</w:t>
      </w:r>
      <w:r>
        <w:rPr>
          <w:rFonts w:ascii="Arial" w:cs="Arial" w:eastAsia="Arial" w:hAnsi="Arial"/>
          <w:sz w:val="16"/>
          <w:szCs w:val="16"/>
          <w:color w:val="auto"/>
        </w:rPr>
        <w:t>. On April 26, 2015, you were granted a stock option (the “</w:t>
      </w:r>
      <w:r>
        <w:rPr>
          <w:rFonts w:ascii="Arial" w:cs="Arial" w:eastAsia="Arial" w:hAnsi="Arial"/>
          <w:sz w:val="16"/>
          <w:szCs w:val="16"/>
          <w:b w:val="1"/>
          <w:bCs w:val="1"/>
          <w:i w:val="1"/>
          <w:iCs w:val="1"/>
          <w:color w:val="auto"/>
        </w:rPr>
        <w:t>First Option</w:t>
      </w:r>
      <w:r>
        <w:rPr>
          <w:rFonts w:ascii="Arial" w:cs="Arial" w:eastAsia="Arial" w:hAnsi="Arial"/>
          <w:sz w:val="16"/>
          <w:szCs w:val="16"/>
          <w:color w:val="auto"/>
        </w:rPr>
        <w:t>”) to purchase 516,873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under the Company’s 2009 Equity Incentive Plan (the “</w:t>
      </w:r>
      <w:r>
        <w:rPr>
          <w:rFonts w:ascii="Arial" w:cs="Arial" w:eastAsia="Arial" w:hAnsi="Arial"/>
          <w:sz w:val="16"/>
          <w:szCs w:val="16"/>
          <w:b w:val="1"/>
          <w:bCs w:val="1"/>
          <w:i w:val="1"/>
          <w:iCs w:val="1"/>
          <w:color w:val="auto"/>
        </w:rPr>
        <w:t>2009 Plan</w:t>
      </w:r>
      <w:r>
        <w:rPr>
          <w:rFonts w:ascii="Arial" w:cs="Arial" w:eastAsia="Arial" w:hAnsi="Arial"/>
          <w:sz w:val="16"/>
          <w:szCs w:val="16"/>
          <w:color w:val="auto"/>
        </w:rPr>
        <w:t>”). On November 28, 2018, you were granted a stock option (the “</w:t>
      </w:r>
      <w:r>
        <w:rPr>
          <w:rFonts w:ascii="Arial" w:cs="Arial" w:eastAsia="Arial" w:hAnsi="Arial"/>
          <w:sz w:val="16"/>
          <w:szCs w:val="16"/>
          <w:b w:val="1"/>
          <w:bCs w:val="1"/>
          <w:i w:val="1"/>
          <w:iCs w:val="1"/>
          <w:color w:val="auto"/>
        </w:rPr>
        <w:t>Second Option</w:t>
      </w:r>
      <w:r>
        <w:rPr>
          <w:rFonts w:ascii="Arial" w:cs="Arial" w:eastAsia="Arial" w:hAnsi="Arial"/>
          <w:sz w:val="16"/>
          <w:szCs w:val="16"/>
          <w:color w:val="auto"/>
        </w:rPr>
        <w:t>”) to purchase 195,000 shares of Common Stock under the Company’s 2018 Equity Incentive Plan (the “</w:t>
      </w:r>
      <w:r>
        <w:rPr>
          <w:rFonts w:ascii="Arial" w:cs="Arial" w:eastAsia="Arial" w:hAnsi="Arial"/>
          <w:sz w:val="16"/>
          <w:szCs w:val="16"/>
          <w:b w:val="1"/>
          <w:bCs w:val="1"/>
          <w:i w:val="1"/>
          <w:iCs w:val="1"/>
          <w:color w:val="auto"/>
        </w:rPr>
        <w:t>2018 Plan</w:t>
      </w:r>
      <w:r>
        <w:rPr>
          <w:rFonts w:ascii="Arial" w:cs="Arial" w:eastAsia="Arial" w:hAnsi="Arial"/>
          <w:sz w:val="16"/>
          <w:szCs w:val="16"/>
          <w:color w:val="auto"/>
        </w:rPr>
        <w:t>”). On January 21, 2021, you were granted an additional stock option (the “</w:t>
      </w:r>
      <w:r>
        <w:rPr>
          <w:rFonts w:ascii="Arial" w:cs="Arial" w:eastAsia="Arial" w:hAnsi="Arial"/>
          <w:sz w:val="16"/>
          <w:szCs w:val="16"/>
          <w:b w:val="1"/>
          <w:bCs w:val="1"/>
          <w:i w:val="1"/>
          <w:iCs w:val="1"/>
          <w:color w:val="auto"/>
        </w:rPr>
        <w:t>Third Option</w:t>
      </w:r>
      <w:r>
        <w:rPr>
          <w:rFonts w:ascii="Arial" w:cs="Arial" w:eastAsia="Arial" w:hAnsi="Arial"/>
          <w:sz w:val="16"/>
          <w:szCs w:val="16"/>
          <w:color w:val="auto"/>
        </w:rPr>
        <w:t>” and collectively with the First Option and the Second Option,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xml:space="preserve">”) to purchase an additional 195,000 shares of Common Stock under the 2018 Plan. As of the Separation Date, assuming a Separation Date of June 30, 2024 (and in the case of your resignation that you have provided at least 30 days written notice to the Company) and that the Company’s Board of Directors or its Compensation Committee approved the Equity Benefits: (i) all of the shares subject to the First Option have vested, __________ of which remain exercisable, (ii) all of the shares subject to the Second Option have vested, __________ of which remain exercisable, and (iii) all of the shares subject to the Third Option have vested, of which </w:t>
      </w:r>
      <w:r>
        <w:rPr>
          <w:rFonts w:ascii="Arial" w:cs="Arial" w:eastAsia="Arial" w:hAnsi="Arial"/>
          <w:sz w:val="16"/>
          <w:szCs w:val="16"/>
          <w:u w:val="single" w:color="auto"/>
          <w:color w:val="auto"/>
        </w:rPr>
        <w:t>__________</w:t>
      </w:r>
      <w:r>
        <w:rPr>
          <w:rFonts w:ascii="Arial" w:cs="Arial" w:eastAsia="Arial" w:hAnsi="Arial"/>
          <w:sz w:val="16"/>
          <w:szCs w:val="16"/>
          <w:color w:val="auto"/>
        </w:rPr>
        <w:t xml:space="preserve"> and remain exercisable. You have exercised and subsequently sold certain of the shares subject to the Options. You acknowledge and agree that based on the Form 4 filed with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w:t>
      </w:r>
    </w:p>
    <w:p>
      <w:pPr>
        <w:spacing w:after="0" w:line="184" w:lineRule="exact"/>
        <w:rPr>
          <w:rFonts w:ascii="Arial" w:cs="Arial" w:eastAsia="Arial" w:hAnsi="Arial"/>
          <w:sz w:val="16"/>
          <w:szCs w:val="16"/>
          <w:color w:val="010000"/>
        </w:rPr>
      </w:pPr>
    </w:p>
    <w:p>
      <w:pPr>
        <w:jc w:val="both"/>
        <w:spacing w:after="0" w:line="239" w:lineRule="auto"/>
        <w:rPr>
          <w:rFonts w:ascii="Arial" w:cs="Arial" w:eastAsia="Arial" w:hAnsi="Arial"/>
          <w:sz w:val="16"/>
          <w:szCs w:val="16"/>
          <w:color w:val="010000"/>
        </w:rPr>
      </w:pPr>
      <w:r>
        <w:rPr>
          <w:rFonts w:ascii="Arial" w:cs="Arial" w:eastAsia="Arial" w:hAnsi="Arial"/>
          <w:sz w:val="20"/>
          <w:szCs w:val="20"/>
          <w:color w:val="auto"/>
        </w:rPr>
        <w:t>______________ you currently hold __________ of Common Stock (excluding any unvested RSUs (defined below)). Pursuant to the applicable notice of stock option grants and stock option agreements (each, collectively, a “</w:t>
      </w:r>
      <w:r>
        <w:rPr>
          <w:rFonts w:ascii="Arial" w:cs="Arial" w:eastAsia="Arial" w:hAnsi="Arial"/>
          <w:sz w:val="20"/>
          <w:szCs w:val="20"/>
          <w:b w:val="1"/>
          <w:bCs w:val="1"/>
          <w:i w:val="1"/>
          <w:iCs w:val="1"/>
          <w:color w:val="auto"/>
        </w:rPr>
        <w:t>Stock Option Agreement</w:t>
      </w:r>
      <w:r>
        <w:rPr>
          <w:rFonts w:ascii="Arial" w:cs="Arial" w:eastAsia="Arial" w:hAnsi="Arial"/>
          <w:sz w:val="20"/>
          <w:szCs w:val="20"/>
          <w:color w:val="auto"/>
        </w:rPr>
        <w:t>”) between you and the Company, any vested shares subject to your Options shall remain exercisable at any time until the date three months after the Separation Date (and such shares to the extent unexercised will expire on such date). Any unvested shares subject to your Options will expire on the Separation Date for no consideration. The Stock Option Agreements and, if applicable, any agreements or notices pursuant to which you acquired or acquire any shares subject to your Options will remain in full force and effect, and you agree to remain bound by those agreements.</w:t>
      </w:r>
    </w:p>
    <w:p>
      <w:pPr>
        <w:spacing w:after="0" w:line="201" w:lineRule="exact"/>
        <w:rPr>
          <w:rFonts w:ascii="Arial" w:cs="Arial" w:eastAsia="Arial" w:hAnsi="Arial"/>
          <w:sz w:val="16"/>
          <w:szCs w:val="16"/>
          <w:color w:val="010000"/>
        </w:rPr>
      </w:pPr>
    </w:p>
    <w:p>
      <w:pPr>
        <w:jc w:val="both"/>
        <w:ind w:firstLine="1505"/>
        <w:spacing w:after="0" w:line="305" w:lineRule="auto"/>
        <w:tabs>
          <w:tab w:leader="none" w:pos="2037" w:val="left"/>
        </w:tabs>
        <w:numPr>
          <w:ilvl w:val="1"/>
          <w:numId w:val="71"/>
        </w:numPr>
        <w:rPr>
          <w:rFonts w:ascii="Arial" w:cs="Arial" w:eastAsia="Arial" w:hAnsi="Arial"/>
          <w:sz w:val="16"/>
          <w:szCs w:val="16"/>
          <w:color w:val="010000"/>
        </w:rPr>
      </w:pPr>
      <w:r>
        <w:rPr>
          <w:rFonts w:ascii="Arial" w:cs="Arial" w:eastAsia="Arial" w:hAnsi="Arial"/>
          <w:sz w:val="16"/>
          <w:szCs w:val="16"/>
          <w:i w:val="1"/>
          <w:iCs w:val="1"/>
          <w:color w:val="auto"/>
        </w:rPr>
        <w:t>RSUs</w:t>
      </w:r>
      <w:r>
        <w:rPr>
          <w:rFonts w:ascii="Arial" w:cs="Arial" w:eastAsia="Arial" w:hAnsi="Arial"/>
          <w:sz w:val="16"/>
          <w:szCs w:val="16"/>
          <w:color w:val="auto"/>
        </w:rPr>
        <w:t>. On March 4, 2022, the Company granted you 90,014 restricted stock units (the “</w:t>
      </w:r>
      <w:r>
        <w:rPr>
          <w:rFonts w:ascii="Arial" w:cs="Arial" w:eastAsia="Arial" w:hAnsi="Arial"/>
          <w:sz w:val="16"/>
          <w:szCs w:val="16"/>
          <w:b w:val="1"/>
          <w:bCs w:val="1"/>
          <w:i w:val="1"/>
          <w:iCs w:val="1"/>
          <w:color w:val="auto"/>
        </w:rPr>
        <w:t>First RSUs</w:t>
      </w:r>
      <w:r>
        <w:rPr>
          <w:rFonts w:ascii="Arial" w:cs="Arial" w:eastAsia="Arial" w:hAnsi="Arial"/>
          <w:sz w:val="16"/>
          <w:szCs w:val="16"/>
          <w:color w:val="auto"/>
        </w:rPr>
        <w: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pursuant to a Restricted Stock Unit Award Agreement (the “</w:t>
      </w:r>
      <w:r>
        <w:rPr>
          <w:rFonts w:ascii="Arial" w:cs="Arial" w:eastAsia="Arial" w:hAnsi="Arial"/>
          <w:sz w:val="16"/>
          <w:szCs w:val="16"/>
          <w:b w:val="1"/>
          <w:bCs w:val="1"/>
          <w:i w:val="1"/>
          <w:iCs w:val="1"/>
          <w:color w:val="auto"/>
        </w:rPr>
        <w:t>First RSU Agreement</w:t>
      </w:r>
      <w:r>
        <w:rPr>
          <w:rFonts w:ascii="Arial" w:cs="Arial" w:eastAsia="Arial" w:hAnsi="Arial"/>
          <w:sz w:val="16"/>
          <w:szCs w:val="16"/>
          <w:color w:val="auto"/>
        </w:rPr>
        <w:t>”). As of the Separation Date, assuming a Separation Date of June 30, 2024 (and in the case of your resignation that you have provided at least 30 days written notice to the Company) and that the Company’s Board of Directors or its Compensation Committee approved the Equity Benefits, you will have satisfied the time-based vesting requirement with respect to 69,221 of the First RSUs (the “</w:t>
      </w:r>
      <w:r>
        <w:rPr>
          <w:rFonts w:ascii="Arial" w:cs="Arial" w:eastAsia="Arial" w:hAnsi="Arial"/>
          <w:sz w:val="16"/>
          <w:szCs w:val="16"/>
          <w:b w:val="1"/>
          <w:bCs w:val="1"/>
          <w:i w:val="1"/>
          <w:iCs w:val="1"/>
          <w:color w:val="auto"/>
        </w:rPr>
        <w:t>First Grant Vested RSUs</w:t>
      </w:r>
      <w:r>
        <w:rPr>
          <w:rFonts w:ascii="Arial" w:cs="Arial" w:eastAsia="Arial" w:hAnsi="Arial"/>
          <w:sz w:val="16"/>
          <w:szCs w:val="16"/>
          <w:color w:val="auto"/>
        </w:rPr>
        <w:t>”) and you will not have satisfied the time-based vesting requirement with respect to 20,793 of the First RSUs (the “</w:t>
      </w:r>
      <w:r>
        <w:rPr>
          <w:rFonts w:ascii="Arial" w:cs="Arial" w:eastAsia="Arial" w:hAnsi="Arial"/>
          <w:sz w:val="16"/>
          <w:szCs w:val="16"/>
          <w:b w:val="1"/>
          <w:bCs w:val="1"/>
          <w:i w:val="1"/>
          <w:iCs w:val="1"/>
          <w:color w:val="auto"/>
        </w:rPr>
        <w:t>First Grant Unvested RSUs</w:t>
      </w:r>
      <w:r>
        <w:rPr>
          <w:rFonts w:ascii="Arial" w:cs="Arial" w:eastAsia="Arial" w:hAnsi="Arial"/>
          <w:sz w:val="16"/>
          <w:szCs w:val="16"/>
          <w:color w:val="auto"/>
        </w:rPr>
        <w:t>”). On March 14, 2023, the Company granted you 101,023 restricted stock units (the “</w:t>
      </w:r>
      <w:r>
        <w:rPr>
          <w:rFonts w:ascii="Arial" w:cs="Arial" w:eastAsia="Arial" w:hAnsi="Arial"/>
          <w:sz w:val="16"/>
          <w:szCs w:val="16"/>
          <w:b w:val="1"/>
          <w:bCs w:val="1"/>
          <w:i w:val="1"/>
          <w:iCs w:val="1"/>
          <w:color w:val="auto"/>
        </w:rPr>
        <w:t>Second RSUs</w:t>
      </w:r>
      <w:r>
        <w:rPr>
          <w:rFonts w:ascii="Arial" w:cs="Arial" w:eastAsia="Arial" w:hAnsi="Arial"/>
          <w:sz w:val="16"/>
          <w:szCs w:val="16"/>
          <w:color w:val="auto"/>
        </w:rPr>
        <w:t>” and together with the First RSUs,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pursuant to a Restricted Stock Unit Award Agreement (the “</w:t>
      </w:r>
      <w:r>
        <w:rPr>
          <w:rFonts w:ascii="Arial" w:cs="Arial" w:eastAsia="Arial" w:hAnsi="Arial"/>
          <w:sz w:val="16"/>
          <w:szCs w:val="16"/>
          <w:b w:val="1"/>
          <w:bCs w:val="1"/>
          <w:i w:val="1"/>
          <w:iCs w:val="1"/>
          <w:color w:val="auto"/>
        </w:rPr>
        <w:t>Second RSU Agreement</w:t>
      </w:r>
      <w:r>
        <w:rPr>
          <w:rFonts w:ascii="Arial" w:cs="Arial" w:eastAsia="Arial" w:hAnsi="Arial"/>
          <w:sz w:val="16"/>
          <w:szCs w:val="16"/>
          <w:color w:val="auto"/>
        </w:rPr>
        <w:t>” and together with the First RSU Agreement, the “</w:t>
      </w:r>
      <w:r>
        <w:rPr>
          <w:rFonts w:ascii="Arial" w:cs="Arial" w:eastAsia="Arial" w:hAnsi="Arial"/>
          <w:sz w:val="16"/>
          <w:szCs w:val="16"/>
          <w:b w:val="1"/>
          <w:bCs w:val="1"/>
          <w:i w:val="1"/>
          <w:iCs w:val="1"/>
          <w:color w:val="auto"/>
        </w:rPr>
        <w:t>RSU Agreements</w:t>
      </w:r>
      <w:r>
        <w:rPr>
          <w:rFonts w:ascii="Arial" w:cs="Arial" w:eastAsia="Arial" w:hAnsi="Arial"/>
          <w:sz w:val="16"/>
          <w:szCs w:val="16"/>
          <w:color w:val="auto"/>
        </w:rPr>
        <w:t>”). As of the Separation Date, assuming a Separation Date of June 30, 2024 (and in the case of your resignation that you have provided at least 30 days written notice to the Company) and that the Company’s Board of Directors or its Compensation Committee approved the Equity Benefits, you will have satisfied the time-based vesting requirement with respect to 52,637 of the Second RSUs (the “</w:t>
      </w:r>
      <w:r>
        <w:rPr>
          <w:rFonts w:ascii="Arial" w:cs="Arial" w:eastAsia="Arial" w:hAnsi="Arial"/>
          <w:sz w:val="16"/>
          <w:szCs w:val="16"/>
          <w:b w:val="1"/>
          <w:bCs w:val="1"/>
          <w:i w:val="1"/>
          <w:iCs w:val="1"/>
          <w:color w:val="auto"/>
        </w:rPr>
        <w:t>Second Grant Vested RSUs</w:t>
      </w:r>
      <w:r>
        <w:rPr>
          <w:rFonts w:ascii="Arial" w:cs="Arial" w:eastAsia="Arial" w:hAnsi="Arial"/>
          <w:sz w:val="16"/>
          <w:szCs w:val="16"/>
          <w:color w:val="auto"/>
        </w:rPr>
        <w:t>” and together with the First Grant Vested RSUs, the “</w:t>
      </w:r>
      <w:r>
        <w:rPr>
          <w:rFonts w:ascii="Arial" w:cs="Arial" w:eastAsia="Arial" w:hAnsi="Arial"/>
          <w:sz w:val="16"/>
          <w:szCs w:val="16"/>
          <w:b w:val="1"/>
          <w:bCs w:val="1"/>
          <w:i w:val="1"/>
          <w:iCs w:val="1"/>
          <w:color w:val="auto"/>
        </w:rPr>
        <w:t>Vested RSUs</w:t>
      </w:r>
      <w:r>
        <w:rPr>
          <w:rFonts w:ascii="Arial" w:cs="Arial" w:eastAsia="Arial" w:hAnsi="Arial"/>
          <w:sz w:val="16"/>
          <w:szCs w:val="16"/>
          <w:color w:val="auto"/>
        </w:rPr>
        <w:t>”) and you will not have satisfied the time-based vesting requirement with respect to 48,386 of the Second RSUs (the “</w:t>
      </w:r>
      <w:r>
        <w:rPr>
          <w:rFonts w:ascii="Arial" w:cs="Arial" w:eastAsia="Arial" w:hAnsi="Arial"/>
          <w:sz w:val="16"/>
          <w:szCs w:val="16"/>
          <w:b w:val="1"/>
          <w:bCs w:val="1"/>
          <w:i w:val="1"/>
          <w:iCs w:val="1"/>
          <w:color w:val="auto"/>
        </w:rPr>
        <w:t>Second Grant Unvested RSUs</w:t>
      </w:r>
      <w:r>
        <w:rPr>
          <w:rFonts w:ascii="Arial" w:cs="Arial" w:eastAsia="Arial" w:hAnsi="Arial"/>
          <w:sz w:val="16"/>
          <w:szCs w:val="16"/>
          <w:color w:val="auto"/>
        </w:rPr>
        <w:t>” and together with the First Grant Unvested RSUs, the “</w:t>
      </w:r>
      <w:r>
        <w:rPr>
          <w:rFonts w:ascii="Arial" w:cs="Arial" w:eastAsia="Arial" w:hAnsi="Arial"/>
          <w:sz w:val="16"/>
          <w:szCs w:val="16"/>
          <w:b w:val="1"/>
          <w:bCs w:val="1"/>
          <w:i w:val="1"/>
          <w:iCs w:val="1"/>
          <w:color w:val="auto"/>
        </w:rPr>
        <w:t>Unvested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The Vested RSUs have settled or will settle pursuant to the terms of the RSU Agreements and the then-Unvested RSUs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 on the Separation Date. The RSU Agreements will remain in full force and effect and you agree to be bound by those Agreements.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5" w:name="page116"/>
    <w:bookmarkEnd w:id="115"/>
    <w:p>
      <w:pPr>
        <w:jc w:val="both"/>
        <w:ind w:firstLine="1505"/>
        <w:spacing w:after="0" w:line="246" w:lineRule="auto"/>
        <w:tabs>
          <w:tab w:leader="none" w:pos="2037" w:val="left"/>
        </w:tabs>
        <w:numPr>
          <w:ilvl w:val="1"/>
          <w:numId w:val="72"/>
        </w:numPr>
        <w:rPr>
          <w:rFonts w:ascii="Arial" w:cs="Arial" w:eastAsia="Arial" w:hAnsi="Arial"/>
          <w:sz w:val="20"/>
          <w:szCs w:val="20"/>
          <w:color w:val="010000"/>
        </w:rPr>
      </w:pPr>
      <w:r>
        <w:rPr>
          <w:rFonts w:ascii="Arial" w:cs="Arial" w:eastAsia="Arial" w:hAnsi="Arial"/>
          <w:sz w:val="20"/>
          <w:szCs w:val="20"/>
          <w:i w:val="1"/>
          <w:iCs w:val="1"/>
          <w:color w:val="auto"/>
        </w:rPr>
        <w:t>ESPP</w:t>
      </w:r>
      <w:r>
        <w:rPr>
          <w:rFonts w:ascii="Arial" w:cs="Arial" w:eastAsia="Arial" w:hAnsi="Arial"/>
          <w:sz w:val="20"/>
          <w:szCs w:val="20"/>
          <w:color w:val="auto"/>
        </w:rPr>
        <w:t>. You elected to participate in the Company’s Employee Stock Purchase Plan (the “</w:t>
      </w:r>
      <w:r>
        <w:rPr>
          <w:rFonts w:ascii="Arial" w:cs="Arial" w:eastAsia="Arial" w:hAnsi="Arial"/>
          <w:sz w:val="20"/>
          <w:szCs w:val="20"/>
          <w:b w:val="1"/>
          <w:bCs w:val="1"/>
          <w:i w:val="1"/>
          <w:iCs w:val="1"/>
          <w:color w:val="auto"/>
        </w:rPr>
        <w:t>ESPP</w:t>
      </w:r>
      <w:r>
        <w:rPr>
          <w:rFonts w:ascii="Arial" w:cs="Arial" w:eastAsia="Arial" w:hAnsi="Arial"/>
          <w:sz w:val="20"/>
          <w:szCs w:val="20"/>
          <w:color w:val="auto"/>
        </w:rPr>
        <w:t>”). As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Separation Date you will no longer be able to participate in the ESPP. Any contributions to the ESPP you made during the offering period in effect at the time of your termination will be used to purchase shares or returned to you, in accordance with the ESPP’s terms. Please refer to the Fidelity NetBenefits platform for the details regarding your equity holdings, if any.</w:t>
      </w:r>
    </w:p>
    <w:p>
      <w:pPr>
        <w:spacing w:after="0" w:line="189" w:lineRule="exact"/>
        <w:rPr>
          <w:rFonts w:ascii="Arial" w:cs="Arial" w:eastAsia="Arial" w:hAnsi="Arial"/>
          <w:sz w:val="20"/>
          <w:szCs w:val="20"/>
          <w:color w:val="010000"/>
        </w:rPr>
      </w:pPr>
    </w:p>
    <w:p>
      <w:pPr>
        <w:jc w:val="both"/>
        <w:ind w:firstLine="1505"/>
        <w:spacing w:after="0" w:line="269" w:lineRule="auto"/>
        <w:tabs>
          <w:tab w:leader="none" w:pos="2037" w:val="left"/>
        </w:tabs>
        <w:numPr>
          <w:ilvl w:val="1"/>
          <w:numId w:val="72"/>
        </w:numPr>
        <w:rPr>
          <w:rFonts w:ascii="Arial" w:cs="Arial" w:eastAsia="Arial" w:hAnsi="Arial"/>
          <w:sz w:val="19"/>
          <w:szCs w:val="19"/>
          <w:color w:val="010000"/>
        </w:rPr>
      </w:pPr>
      <w:r>
        <w:rPr>
          <w:rFonts w:ascii="Arial" w:cs="Arial" w:eastAsia="Arial" w:hAnsi="Arial"/>
          <w:sz w:val="19"/>
          <w:szCs w:val="19"/>
          <w:color w:val="auto"/>
        </w:rPr>
        <w:t xml:space="preserve">Except as set forth in this </w:t>
      </w:r>
      <w:r>
        <w:rPr>
          <w:rFonts w:ascii="Arial" w:cs="Arial" w:eastAsia="Arial" w:hAnsi="Arial"/>
          <w:sz w:val="19"/>
          <w:szCs w:val="19"/>
          <w:u w:val="single" w:color="auto"/>
          <w:color w:val="auto"/>
        </w:rPr>
        <w:t>Equity</w:t>
      </w:r>
      <w:r>
        <w:rPr>
          <w:rFonts w:ascii="Arial" w:cs="Arial" w:eastAsia="Arial" w:hAnsi="Arial"/>
          <w:sz w:val="19"/>
          <w:szCs w:val="19"/>
          <w:color w:val="auto"/>
        </w:rPr>
        <w:t xml:space="preserve"> section, you further acknowledge and agree that you do not have any other rights to receive, acquire, possess or vest into any additional shares of Common Stock or any other shares, warrants, securities, derivative securities or other class of capital stock of the Company or any of its parent, subsidiary or affiliated entities.</w:t>
      </w:r>
    </w:p>
    <w:p>
      <w:pPr>
        <w:spacing w:after="0" w:line="168" w:lineRule="exact"/>
        <w:rPr>
          <w:rFonts w:ascii="Arial" w:cs="Arial" w:eastAsia="Arial" w:hAnsi="Arial"/>
          <w:sz w:val="19"/>
          <w:szCs w:val="19"/>
          <w:color w:val="010000"/>
        </w:rPr>
      </w:pPr>
    </w:p>
    <w:p>
      <w:pPr>
        <w:jc w:val="both"/>
        <w:ind w:firstLine="757"/>
        <w:spacing w:after="0" w:line="249" w:lineRule="auto"/>
        <w:tabs>
          <w:tab w:leader="none" w:pos="1018"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Transition Agreement Remains Effective</w:t>
      </w:r>
      <w:r>
        <w:rPr>
          <w:rFonts w:ascii="Arial" w:cs="Arial" w:eastAsia="Arial" w:hAnsi="Arial"/>
          <w:sz w:val="20"/>
          <w:szCs w:val="20"/>
          <w:color w:val="auto"/>
        </w:rPr>
        <w:t>: You understand and agree that except as expressly provided herein, this Release does not otherwise modify or supersede the provisions of the Transition Agreement. Except as otherwise defined in this Release, all capitalized terms used in this Release shall have the same meaning as used in the Transition Agreement.</w:t>
      </w:r>
    </w:p>
    <w:p>
      <w:pPr>
        <w:spacing w:after="0" w:line="187" w:lineRule="exact"/>
        <w:rPr>
          <w:rFonts w:ascii="Arial" w:cs="Arial" w:eastAsia="Arial" w:hAnsi="Arial"/>
          <w:sz w:val="20"/>
          <w:szCs w:val="20"/>
          <w:color w:val="010000"/>
        </w:rPr>
      </w:pPr>
    </w:p>
    <w:p>
      <w:pPr>
        <w:jc w:val="both"/>
        <w:ind w:firstLine="757"/>
        <w:spacing w:after="0" w:line="272" w:lineRule="auto"/>
        <w:tabs>
          <w:tab w:leader="none" w:pos="1018" w:val="left"/>
        </w:tabs>
        <w:numPr>
          <w:ilvl w:val="0"/>
          <w:numId w:val="73"/>
        </w:numPr>
        <w:rPr>
          <w:rFonts w:ascii="Arial" w:cs="Arial" w:eastAsia="Arial" w:hAnsi="Arial"/>
          <w:sz w:val="18"/>
          <w:szCs w:val="18"/>
          <w:color w:val="010000"/>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You acknowledge and agree that as a condition precedent for the Severance Benefits and the Release Benefits, you must return to the Company all of its property and data of any type in your possession, custody, or control including, but not limited to keys, access codes or devices, physical or electronically stored documents or files, cell phone, and passwords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on the Separation Date. You further agree to return all the Company’s property and data in the same working condition 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were issued to you. Notwithstanding anything to the contrary in this Release, you are allowed to retain your laptop computer (the “</w:t>
      </w:r>
      <w:r>
        <w:rPr>
          <w:rFonts w:ascii="Arial" w:cs="Arial" w:eastAsia="Arial" w:hAnsi="Arial"/>
          <w:sz w:val="18"/>
          <w:szCs w:val="18"/>
          <w:b w:val="1"/>
          <w:bCs w:val="1"/>
          <w:i w:val="1"/>
          <w:iCs w:val="1"/>
          <w:color w:val="auto"/>
        </w:rPr>
        <w:t>Company Laptop</w:t>
      </w:r>
      <w:r>
        <w:rPr>
          <w:rFonts w:ascii="Arial" w:cs="Arial" w:eastAsia="Arial" w:hAnsi="Arial"/>
          <w:sz w:val="18"/>
          <w:szCs w:val="18"/>
          <w:color w:val="auto"/>
        </w:rPr>
        <w:t>”) and printer (the “</w:t>
      </w:r>
      <w:r>
        <w:rPr>
          <w:rFonts w:ascii="Arial" w:cs="Arial" w:eastAsia="Arial" w:hAnsi="Arial"/>
          <w:sz w:val="18"/>
          <w:szCs w:val="18"/>
          <w:b w:val="1"/>
          <w:bCs w:val="1"/>
          <w:i w:val="1"/>
          <w:iCs w:val="1"/>
          <w:color w:val="auto"/>
        </w:rPr>
        <w:t>Company Issued Computer and Printer Benefit</w:t>
      </w:r>
      <w:r>
        <w:rPr>
          <w:rFonts w:ascii="Arial" w:cs="Arial" w:eastAsia="Arial" w:hAnsi="Arial"/>
          <w:sz w:val="18"/>
          <w:szCs w:val="18"/>
          <w:color w:val="auto"/>
        </w:rPr>
        <w:t>”). The Company Issued Computer and Printer Benefit is also contingent upon you submitting the Company Laptop back to the Company for purposes of allowing the Company to wipe all Company information and programs from the Company Laptop on or before the Separation Date. Once wiped by the Company, subject to the conditions set forth herein, the Company Laptop will be provided to you in “as is” condition, without warranty or guarantee.</w:t>
      </w:r>
    </w:p>
    <w:p>
      <w:pPr>
        <w:spacing w:after="0" w:line="167" w:lineRule="exact"/>
        <w:rPr>
          <w:rFonts w:ascii="Arial" w:cs="Arial" w:eastAsia="Arial" w:hAnsi="Arial"/>
          <w:sz w:val="18"/>
          <w:szCs w:val="18"/>
          <w:color w:val="010000"/>
        </w:rPr>
      </w:pPr>
    </w:p>
    <w:p>
      <w:pPr>
        <w:jc w:val="both"/>
        <w:ind w:firstLine="757"/>
        <w:spacing w:after="0" w:line="249" w:lineRule="auto"/>
        <w:tabs>
          <w:tab w:leader="none" w:pos="1018"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Proprietary Information and Restrictive Covenants</w:t>
      </w:r>
      <w:r>
        <w:rPr>
          <w:rFonts w:ascii="Arial" w:cs="Arial" w:eastAsia="Arial" w:hAnsi="Arial"/>
          <w:sz w:val="20"/>
          <w:szCs w:val="20"/>
          <w:color w:val="auto"/>
        </w:rPr>
        <w:t>: You acknowledge that you are bound and continue to be bound by the Company’s Employee Invention Assignment and Confidentiality Agreement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xml:space="preserve">”), a copy of which is attached hereto as </w:t>
      </w:r>
      <w:r>
        <w:rPr>
          <w:rFonts w:ascii="Arial" w:cs="Arial" w:eastAsia="Arial" w:hAnsi="Arial"/>
          <w:sz w:val="20"/>
          <w:szCs w:val="20"/>
          <w:u w:val="single" w:color="auto"/>
          <w:color w:val="auto"/>
        </w:rPr>
        <w:t>Exhibit I</w:t>
      </w:r>
      <w:r>
        <w:rPr>
          <w:rFonts w:ascii="Arial" w:cs="Arial" w:eastAsia="Arial" w:hAnsi="Arial"/>
          <w:sz w:val="20"/>
          <w:szCs w:val="20"/>
          <w:color w:val="auto"/>
        </w:rPr>
        <w:t>.</w:t>
      </w:r>
    </w:p>
    <w:p>
      <w:pPr>
        <w:spacing w:after="0" w:line="187" w:lineRule="exact"/>
        <w:rPr>
          <w:rFonts w:ascii="Arial" w:cs="Arial" w:eastAsia="Arial" w:hAnsi="Arial"/>
          <w:sz w:val="20"/>
          <w:szCs w:val="20"/>
          <w:color w:val="010000"/>
        </w:rPr>
      </w:pPr>
    </w:p>
    <w:p>
      <w:pPr>
        <w:jc w:val="both"/>
        <w:ind w:firstLine="757"/>
        <w:spacing w:after="0" w:line="282" w:lineRule="auto"/>
        <w:tabs>
          <w:tab w:leader="none" w:pos="1018" w:val="left"/>
        </w:tabs>
        <w:numPr>
          <w:ilvl w:val="0"/>
          <w:numId w:val="73"/>
        </w:numPr>
        <w:rPr>
          <w:rFonts w:ascii="Arial" w:cs="Arial" w:eastAsia="Arial" w:hAnsi="Arial"/>
          <w:sz w:val="18"/>
          <w:szCs w:val="18"/>
          <w:color w:val="010000"/>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Except as required by law and subject to the </w:t>
      </w:r>
      <w:r>
        <w:rPr>
          <w:rFonts w:ascii="Arial" w:cs="Arial" w:eastAsia="Arial" w:hAnsi="Arial"/>
          <w:sz w:val="18"/>
          <w:szCs w:val="18"/>
          <w:u w:val="single" w:color="auto"/>
          <w:color w:val="auto"/>
        </w:rPr>
        <w:t>Protected Rights</w:t>
      </w:r>
      <w:r>
        <w:rPr>
          <w:rFonts w:ascii="Arial" w:cs="Arial" w:eastAsia="Arial" w:hAnsi="Arial"/>
          <w:sz w:val="18"/>
          <w:szCs w:val="18"/>
          <w:color w:val="auto"/>
        </w:rPr>
        <w:t xml:space="preserve"> paragraph above, you must keep the existence, contents, terms, and conditions of this Release confidential and may not disclose them except to your immediate family, accountant(s), attorneys, or under subpoena or court order. If asked for information about this Release, you will simply respond that you and the Company have separated on agreed terms. Any breach of this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paragraph shall be deemed a material breach of this Release.</w:t>
      </w:r>
    </w:p>
    <w:p>
      <w:pPr>
        <w:spacing w:after="0" w:line="159" w:lineRule="exact"/>
        <w:rPr>
          <w:rFonts w:ascii="Arial" w:cs="Arial" w:eastAsia="Arial" w:hAnsi="Arial"/>
          <w:sz w:val="18"/>
          <w:szCs w:val="18"/>
          <w:color w:val="010000"/>
        </w:rPr>
      </w:pPr>
    </w:p>
    <w:p>
      <w:pPr>
        <w:jc w:val="both"/>
        <w:ind w:firstLine="757"/>
        <w:spacing w:after="0" w:line="272" w:lineRule="auto"/>
        <w:tabs>
          <w:tab w:leader="none" w:pos="1018" w:val="left"/>
        </w:tabs>
        <w:numPr>
          <w:ilvl w:val="0"/>
          <w:numId w:val="73"/>
        </w:numPr>
        <w:rPr>
          <w:rFonts w:ascii="Arial" w:cs="Arial" w:eastAsia="Arial" w:hAnsi="Arial"/>
          <w:sz w:val="18"/>
          <w:szCs w:val="18"/>
          <w:color w:val="010000"/>
        </w:rPr>
      </w:pPr>
      <w:r>
        <w:rPr>
          <w:rFonts w:ascii="Arial" w:cs="Arial" w:eastAsia="Arial" w:hAnsi="Arial"/>
          <w:sz w:val="18"/>
          <w:szCs w:val="18"/>
          <w:u w:val="single" w:color="auto"/>
          <w:color w:val="auto"/>
        </w:rPr>
        <w:t>No Disparagement</w:t>
      </w:r>
      <w:r>
        <w:rPr>
          <w:rFonts w:ascii="Arial" w:cs="Arial" w:eastAsia="Arial" w:hAnsi="Arial"/>
          <w:sz w:val="18"/>
          <w:szCs w:val="18"/>
          <w:color w:val="auto"/>
        </w:rPr>
        <w:t xml:space="preserve">: Subject to the </w:t>
      </w:r>
      <w:r>
        <w:rPr>
          <w:rFonts w:ascii="Arial" w:cs="Arial" w:eastAsia="Arial" w:hAnsi="Arial"/>
          <w:sz w:val="18"/>
          <w:szCs w:val="18"/>
          <w:u w:val="single" w:color="auto"/>
          <w:color w:val="auto"/>
        </w:rPr>
        <w:t>Protected Rights</w:t>
      </w:r>
      <w:r>
        <w:rPr>
          <w:rFonts w:ascii="Arial" w:cs="Arial" w:eastAsia="Arial" w:hAnsi="Arial"/>
          <w:sz w:val="18"/>
          <w:szCs w:val="18"/>
          <w:color w:val="auto"/>
        </w:rPr>
        <w:t xml:space="preserve"> paragraph above, you agree that you will never intentionally make any disparaging, defamatory, or negative statements, publicly or privately, online or offline, orally or in writing about the Company or its stockholders, directors, officers, employees, products, services or business practices, your employment with the Company, or the termination of that employment. In exchange for your entering into this Release, the Company agrees that the Company shall direct its officers and directors not to make any disparaging, defamatory or negative statements, publicly or privately, online or offline, orally or in writing, about you, your employment with the Company or the termination of your employment or your relationship with the Company, except to the extent required by law (the “</w:t>
      </w:r>
      <w:r>
        <w:rPr>
          <w:rFonts w:ascii="Arial" w:cs="Arial" w:eastAsia="Arial" w:hAnsi="Arial"/>
          <w:sz w:val="18"/>
          <w:szCs w:val="18"/>
          <w:b w:val="1"/>
          <w:bCs w:val="1"/>
          <w:i w:val="1"/>
          <w:iCs w:val="1"/>
          <w:color w:val="auto"/>
        </w:rPr>
        <w:t>Release Benefit</w:t>
      </w:r>
      <w:r>
        <w:rPr>
          <w:rFonts w:ascii="Arial" w:cs="Arial" w:eastAsia="Arial" w:hAnsi="Arial"/>
          <w:sz w:val="18"/>
          <w:szCs w:val="18"/>
          <w:color w:val="auto"/>
        </w:rPr>
        <w:t>”). You acknowledge and agree that the Release Benefit is an additional benefit provided to you in exchange for your acceptance of the terms in this Release, and that you would not otherwise be entitled to the Release Benefit.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6" w:name="page117"/>
    <w:bookmarkEnd w:id="116"/>
    <w:p>
      <w:pPr>
        <w:jc w:val="both"/>
        <w:ind w:firstLine="757"/>
        <w:spacing w:after="0" w:line="275" w:lineRule="auto"/>
        <w:tabs>
          <w:tab w:leader="none" w:pos="1018" w:val="left"/>
        </w:tabs>
        <w:numPr>
          <w:ilvl w:val="0"/>
          <w:numId w:val="74"/>
        </w:numPr>
        <w:rPr>
          <w:rFonts w:ascii="Arial" w:cs="Arial" w:eastAsia="Arial" w:hAnsi="Arial"/>
          <w:sz w:val="18"/>
          <w:szCs w:val="18"/>
          <w:color w:val="010000"/>
        </w:rPr>
      </w:pPr>
      <w:r>
        <w:rPr>
          <w:rFonts w:ascii="Arial" w:cs="Arial" w:eastAsia="Arial" w:hAnsi="Arial"/>
          <w:sz w:val="18"/>
          <w:szCs w:val="18"/>
          <w:u w:val="single" w:color="auto"/>
          <w:color w:val="auto"/>
        </w:rPr>
        <w:t>Restricted Activities</w:t>
      </w:r>
      <w:r>
        <w:rPr>
          <w:rFonts w:ascii="Arial" w:cs="Arial" w:eastAsia="Arial" w:hAnsi="Arial"/>
          <w:sz w:val="18"/>
          <w:szCs w:val="18"/>
          <w:color w:val="auto"/>
        </w:rPr>
        <w:t>. For a period of nine (9) months following the Separation Date, you hereby agree that you will not directly or indirectly engage in any Competitive Activities (as defined in the Transition Agreement) (a) anywhere the Company offers its services or has customers during your employment with the Company or where your use or disclosure of the Company’s proprietary information could materially disadvantage the Company regardless of your physical location; or (b) anywhere within a fifty (50) mile radius of any physical location where you worked for the Company. The foregoing timeframes shall be increased by the period of time beginning from the commencement of any violation of the foregoing provisions until such time as you have cured such violation.</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Restricted Activities</w:t>
      </w:r>
      <w:r>
        <w:rPr>
          <w:rFonts w:ascii="Arial" w:cs="Arial" w:eastAsia="Arial" w:hAnsi="Arial"/>
          <w:sz w:val="20"/>
          <w:szCs w:val="20"/>
          <w:color w:val="auto"/>
        </w:rPr>
        <w:t xml:space="preserve"> section, “the Company” includes the Company and all other persons or entities that control, are controlled by or are under common control with the Company and for whom Employee performed responsibilities or about whom Employee has any of the Company’s proprietary information.</w:t>
      </w:r>
    </w:p>
    <w:p>
      <w:pPr>
        <w:spacing w:after="0" w:line="188" w:lineRule="exact"/>
        <w:rPr>
          <w:sz w:val="20"/>
          <w:szCs w:val="20"/>
          <w:color w:val="auto"/>
        </w:rPr>
      </w:pPr>
    </w:p>
    <w:p>
      <w:pPr>
        <w:jc w:val="both"/>
        <w:ind w:firstLine="757"/>
        <w:spacing w:after="0" w:line="274" w:lineRule="auto"/>
        <w:tabs>
          <w:tab w:leader="none" w:pos="1018" w:val="left"/>
        </w:tabs>
        <w:numPr>
          <w:ilvl w:val="0"/>
          <w:numId w:val="75"/>
        </w:numPr>
        <w:rPr>
          <w:rFonts w:ascii="Arial" w:cs="Arial" w:eastAsia="Arial" w:hAnsi="Arial"/>
          <w:sz w:val="18"/>
          <w:szCs w:val="18"/>
          <w:color w:val="010000"/>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You agree to cooperate with the Company relating to matters within your knowledge or responsibility. Without limiting this commitment, you agree (a) to meet with Company representatives, its counsel, or other designees at mutually convenient times and places with respect to any items within the scope of this provision; (b) to provide truthful testimony regarding same to any court, agency, or other adjudicatory body; (c) to execute such instruments and documents necessary to transition contracts, accounts and licenses to a Company designee following your termination of employment, subject to the Indemnification Agreement; and (d) to provide the Company with notice of contact by any non-governmental adverse party or such adverse party’s representative, except as may be required by law. The Company will reimburse you for reasonable expenses in connection with the cooperation described in this paragraph.</w:t>
      </w:r>
    </w:p>
    <w:p>
      <w:pPr>
        <w:spacing w:after="0" w:line="166" w:lineRule="exact"/>
        <w:rPr>
          <w:rFonts w:ascii="Arial" w:cs="Arial" w:eastAsia="Arial" w:hAnsi="Arial"/>
          <w:sz w:val="18"/>
          <w:szCs w:val="18"/>
          <w:color w:val="010000"/>
        </w:rPr>
      </w:pPr>
    </w:p>
    <w:p>
      <w:pPr>
        <w:ind w:left="1020" w:hanging="263"/>
        <w:spacing w:after="0"/>
        <w:tabs>
          <w:tab w:leader="none" w:pos="1020" w:val="left"/>
        </w:tabs>
        <w:numPr>
          <w:ilvl w:val="0"/>
          <w:numId w:val="75"/>
        </w:numPr>
        <w:rPr>
          <w:rFonts w:ascii="Arial" w:cs="Arial" w:eastAsia="Arial" w:hAnsi="Arial"/>
          <w:sz w:val="18"/>
          <w:szCs w:val="18"/>
          <w:color w:val="010000"/>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You represent and warrant the following:</w:t>
      </w:r>
    </w:p>
    <w:p>
      <w:pPr>
        <w:spacing w:after="0" w:line="237" w:lineRule="exact"/>
        <w:rPr>
          <w:rFonts w:ascii="Arial" w:cs="Arial" w:eastAsia="Arial" w:hAnsi="Arial"/>
          <w:sz w:val="18"/>
          <w:szCs w:val="18"/>
          <w:color w:val="010000"/>
        </w:rPr>
      </w:pPr>
    </w:p>
    <w:p>
      <w:pPr>
        <w:ind w:right="20" w:firstLine="1505"/>
        <w:spacing w:after="0" w:line="385" w:lineRule="auto"/>
        <w:tabs>
          <w:tab w:leader="none" w:pos="2037" w:val="left"/>
        </w:tabs>
        <w:numPr>
          <w:ilvl w:val="1"/>
          <w:numId w:val="75"/>
        </w:numPr>
        <w:rPr>
          <w:rFonts w:ascii="Arial" w:cs="Arial" w:eastAsia="Arial" w:hAnsi="Arial"/>
          <w:sz w:val="16"/>
          <w:szCs w:val="16"/>
          <w:color w:val="010000"/>
        </w:rPr>
      </w:pPr>
      <w:r>
        <w:rPr>
          <w:rFonts w:ascii="Arial" w:cs="Arial" w:eastAsia="Arial" w:hAnsi="Arial"/>
          <w:sz w:val="16"/>
          <w:szCs w:val="16"/>
          <w:color w:val="auto"/>
        </w:rPr>
        <w:t>You do not have a claim against the Company or the Releasees, or otherwise have not made internal, administrative, or judicial complaints, claims, or actions against or regarding the Company or the Releasees, for claims you are releasing in this Release;</w:t>
      </w:r>
    </w:p>
    <w:p>
      <w:pPr>
        <w:spacing w:after="0" w:line="83" w:lineRule="exact"/>
        <w:rPr>
          <w:rFonts w:ascii="Arial" w:cs="Arial" w:eastAsia="Arial" w:hAnsi="Arial"/>
          <w:sz w:val="16"/>
          <w:szCs w:val="16"/>
          <w:color w:val="010000"/>
        </w:rPr>
      </w:pPr>
    </w:p>
    <w:p>
      <w:pPr>
        <w:ind w:firstLine="1505"/>
        <w:spacing w:after="0" w:line="260" w:lineRule="auto"/>
        <w:tabs>
          <w:tab w:leader="none" w:pos="2037" w:val="left"/>
        </w:tabs>
        <w:numPr>
          <w:ilvl w:val="1"/>
          <w:numId w:val="75"/>
        </w:numPr>
        <w:rPr>
          <w:rFonts w:ascii="Arial" w:cs="Arial" w:eastAsia="Arial" w:hAnsi="Arial"/>
          <w:sz w:val="20"/>
          <w:szCs w:val="20"/>
          <w:color w:val="010000"/>
        </w:rPr>
      </w:pPr>
      <w:r>
        <w:rPr>
          <w:rFonts w:ascii="Arial" w:cs="Arial" w:eastAsia="Arial" w:hAnsi="Arial"/>
          <w:sz w:val="20"/>
          <w:szCs w:val="20"/>
          <w:color w:val="auto"/>
        </w:rPr>
        <w:t>You have reported to the Company any work-related injuries or occupational illnesses sustained by you during your employment with the Company;</w:t>
      </w:r>
    </w:p>
    <w:p>
      <w:pPr>
        <w:spacing w:after="0" w:line="175" w:lineRule="exact"/>
        <w:rPr>
          <w:rFonts w:ascii="Arial" w:cs="Arial" w:eastAsia="Arial" w:hAnsi="Arial"/>
          <w:sz w:val="20"/>
          <w:szCs w:val="20"/>
          <w:color w:val="010000"/>
        </w:rPr>
      </w:pPr>
    </w:p>
    <w:p>
      <w:pPr>
        <w:jc w:val="both"/>
        <w:ind w:firstLine="1505"/>
        <w:spacing w:after="0" w:line="249" w:lineRule="auto"/>
        <w:tabs>
          <w:tab w:leader="none" w:pos="2037" w:val="left"/>
        </w:tabs>
        <w:numPr>
          <w:ilvl w:val="1"/>
          <w:numId w:val="75"/>
        </w:numPr>
        <w:rPr>
          <w:rFonts w:ascii="Arial" w:cs="Arial" w:eastAsia="Arial" w:hAnsi="Arial"/>
          <w:sz w:val="20"/>
          <w:szCs w:val="20"/>
          <w:color w:val="010000"/>
        </w:rPr>
      </w:pPr>
      <w:r>
        <w:rPr>
          <w:rFonts w:ascii="Arial" w:cs="Arial" w:eastAsia="Arial" w:hAnsi="Arial"/>
          <w:sz w:val="20"/>
          <w:szCs w:val="20"/>
          <w:color w:val="auto"/>
        </w:rPr>
        <w:t>You have been properly provided any leaves of absence requested and available to you based on your or your family members’ health or medical condition or military service, and have not been subjected to any improper treatment, conduct, or actions due to a request for or taking such leave;</w:t>
      </w:r>
    </w:p>
    <w:p>
      <w:pPr>
        <w:spacing w:after="0" w:line="187" w:lineRule="exact"/>
        <w:rPr>
          <w:rFonts w:ascii="Arial" w:cs="Arial" w:eastAsia="Arial" w:hAnsi="Arial"/>
          <w:sz w:val="20"/>
          <w:szCs w:val="20"/>
          <w:color w:val="010000"/>
        </w:rPr>
      </w:pPr>
    </w:p>
    <w:p>
      <w:pPr>
        <w:ind w:left="2040" w:hanging="535"/>
        <w:spacing w:after="0"/>
        <w:tabs>
          <w:tab w:leader="none" w:pos="2040" w:val="left"/>
        </w:tabs>
        <w:numPr>
          <w:ilvl w:val="1"/>
          <w:numId w:val="75"/>
        </w:numPr>
        <w:rPr>
          <w:rFonts w:ascii="Arial" w:cs="Arial" w:eastAsia="Arial" w:hAnsi="Arial"/>
          <w:sz w:val="18"/>
          <w:szCs w:val="18"/>
          <w:color w:val="010000"/>
        </w:rPr>
      </w:pPr>
      <w:r>
        <w:rPr>
          <w:rFonts w:ascii="Arial" w:cs="Arial" w:eastAsia="Arial" w:hAnsi="Arial"/>
          <w:sz w:val="18"/>
          <w:szCs w:val="18"/>
          <w:color w:val="auto"/>
        </w:rPr>
        <w:t>With receipt of your Final Pay, you have received all compensation due because of services you performed for the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Company;</w:t>
      </w:r>
    </w:p>
    <w:p>
      <w:pPr>
        <w:spacing w:after="0" w:line="198" w:lineRule="exact"/>
        <w:rPr>
          <w:rFonts w:ascii="Arial" w:cs="Arial" w:eastAsia="Arial" w:hAnsi="Arial"/>
          <w:sz w:val="18"/>
          <w:szCs w:val="18"/>
          <w:color w:val="010000"/>
        </w:rPr>
      </w:pPr>
    </w:p>
    <w:p>
      <w:pPr>
        <w:ind w:firstLine="1505"/>
        <w:spacing w:after="0" w:line="315" w:lineRule="auto"/>
        <w:tabs>
          <w:tab w:leader="none" w:pos="2037" w:val="left"/>
        </w:tabs>
        <w:numPr>
          <w:ilvl w:val="1"/>
          <w:numId w:val="75"/>
        </w:numPr>
        <w:rPr>
          <w:rFonts w:ascii="Arial" w:cs="Arial" w:eastAsia="Arial" w:hAnsi="Arial"/>
          <w:sz w:val="18"/>
          <w:szCs w:val="18"/>
          <w:color w:val="010000"/>
        </w:rPr>
      </w:pPr>
      <w:r>
        <w:rPr>
          <w:rFonts w:ascii="Arial" w:cs="Arial" w:eastAsia="Arial" w:hAnsi="Arial"/>
          <w:sz w:val="18"/>
          <w:szCs w:val="18"/>
          <w:color w:val="auto"/>
        </w:rPr>
        <w:t>You have been properly provided paid time off and, consistent with the Company’s non-accrual vacation policy, you will not have any accrued but unused vacation time or paid time off as of the Separation Date for which you are entitled to payment; and</w:t>
      </w:r>
    </w:p>
    <w:p>
      <w:pPr>
        <w:spacing w:after="0" w:line="130" w:lineRule="exact"/>
        <w:rPr>
          <w:rFonts w:ascii="Arial" w:cs="Arial" w:eastAsia="Arial" w:hAnsi="Arial"/>
          <w:sz w:val="18"/>
          <w:szCs w:val="18"/>
          <w:color w:val="010000"/>
        </w:rPr>
      </w:pPr>
    </w:p>
    <w:p>
      <w:pPr>
        <w:jc w:val="both"/>
        <w:ind w:firstLine="1505"/>
        <w:spacing w:after="0" w:line="249" w:lineRule="auto"/>
        <w:tabs>
          <w:tab w:leader="none" w:pos="2037" w:val="left"/>
        </w:tabs>
        <w:numPr>
          <w:ilvl w:val="1"/>
          <w:numId w:val="75"/>
        </w:numPr>
        <w:rPr>
          <w:rFonts w:ascii="Arial" w:cs="Arial" w:eastAsia="Arial" w:hAnsi="Arial"/>
          <w:sz w:val="20"/>
          <w:szCs w:val="20"/>
          <w:color w:val="010000"/>
        </w:rPr>
      </w:pPr>
      <w:r>
        <w:rPr>
          <w:rFonts w:ascii="Arial" w:cs="Arial" w:eastAsia="Arial" w:hAnsi="Arial"/>
          <w:sz w:val="20"/>
          <w:szCs w:val="20"/>
          <w:color w:val="auto"/>
        </w:rPr>
        <w:t>You are not aware of any conduct by any person that violates Company policy or the Company’s legal, compliance, or regulatory obligations, or any other suspected ethical or compliance issues by the Company or the other Releasees that you have not brought to the attention of the Company.</w:t>
      </w:r>
    </w:p>
    <w:p>
      <w:pPr>
        <w:spacing w:after="0" w:line="187" w:lineRule="exact"/>
        <w:rPr>
          <w:rFonts w:ascii="Arial" w:cs="Arial" w:eastAsia="Arial" w:hAnsi="Arial"/>
          <w:sz w:val="20"/>
          <w:szCs w:val="20"/>
          <w:color w:val="010000"/>
        </w:rPr>
      </w:pPr>
    </w:p>
    <w:p>
      <w:pPr>
        <w:ind w:firstLine="757"/>
        <w:spacing w:after="0" w:line="315" w:lineRule="auto"/>
        <w:tabs>
          <w:tab w:leader="none" w:pos="1018" w:val="left"/>
        </w:tabs>
        <w:numPr>
          <w:ilvl w:val="0"/>
          <w:numId w:val="75"/>
        </w:numPr>
        <w:rPr>
          <w:rFonts w:ascii="Arial" w:cs="Arial" w:eastAsia="Arial" w:hAnsi="Arial"/>
          <w:sz w:val="18"/>
          <w:szCs w:val="18"/>
          <w:color w:val="010000"/>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Release shall not be construed or contended by you to be an admission or evidence of any wrongdoing, unlawful conduct, or liability by the Company or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7" w:name="page118"/>
    <w:bookmarkEnd w:id="117"/>
    <w:p>
      <w:pPr>
        <w:jc w:val="both"/>
        <w:spacing w:after="0" w:line="270" w:lineRule="auto"/>
        <w:rPr>
          <w:sz w:val="20"/>
          <w:szCs w:val="20"/>
          <w:color w:val="auto"/>
        </w:rPr>
      </w:pPr>
      <w:r>
        <w:rPr>
          <w:rFonts w:ascii="Arial" w:cs="Arial" w:eastAsia="Arial" w:hAnsi="Arial"/>
          <w:sz w:val="19"/>
          <w:szCs w:val="19"/>
          <w:color w:val="auto"/>
        </w:rPr>
        <w:t xml:space="preserve">Releasees. This Release shall be afforded the maximum protection allowable under Federal Rule of Evidence 408 and/or any other state or federal law of similar effect. However, </w:t>
      </w:r>
      <w:r>
        <w:rPr>
          <w:rFonts w:ascii="Arial" w:cs="Arial" w:eastAsia="Arial" w:hAnsi="Arial"/>
          <w:sz w:val="20"/>
          <w:szCs w:val="20"/>
          <w:color w:val="auto"/>
        </w:rPr>
        <w:t>the</w:t>
      </w:r>
      <w:r>
        <w:rPr>
          <w:rFonts w:ascii="Arial" w:cs="Arial" w:eastAsia="Arial" w:hAnsi="Arial"/>
          <w:sz w:val="19"/>
          <w:szCs w:val="19"/>
          <w:color w:val="auto"/>
        </w:rPr>
        <w:t xml:space="preserve"> Parties agree that this Release may be used as evidence in a subsequent proceeding in which any of the Parties allege a breach of this Release or as a complete defense to any lawsuit brought by any party.</w:t>
      </w:r>
    </w:p>
    <w:p>
      <w:pPr>
        <w:spacing w:after="0" w:line="167" w:lineRule="exact"/>
        <w:rPr>
          <w:sz w:val="20"/>
          <w:szCs w:val="20"/>
          <w:color w:val="auto"/>
        </w:rPr>
      </w:pPr>
    </w:p>
    <w:p>
      <w:pPr>
        <w:ind w:right="20" w:firstLine="757"/>
        <w:spacing w:after="0" w:line="315" w:lineRule="auto"/>
        <w:tabs>
          <w:tab w:leader="none" w:pos="1018" w:val="left"/>
        </w:tabs>
        <w:numPr>
          <w:ilvl w:val="0"/>
          <w:numId w:val="76"/>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Release are severable, and if any part of the Release is found to be invalid or unenforceable, the other parts shall remain valid and enforceable.</w:t>
      </w:r>
    </w:p>
    <w:p>
      <w:pPr>
        <w:spacing w:after="0" w:line="130" w:lineRule="exact"/>
        <w:rPr>
          <w:rFonts w:ascii="Arial" w:cs="Arial" w:eastAsia="Arial" w:hAnsi="Arial"/>
          <w:sz w:val="18"/>
          <w:szCs w:val="18"/>
          <w:color w:val="010000"/>
        </w:rPr>
      </w:pPr>
    </w:p>
    <w:p>
      <w:pPr>
        <w:jc w:val="both"/>
        <w:ind w:firstLine="757"/>
        <w:spacing w:after="0" w:line="274" w:lineRule="auto"/>
        <w:tabs>
          <w:tab w:leader="none" w:pos="1018" w:val="left"/>
        </w:tabs>
        <w:numPr>
          <w:ilvl w:val="0"/>
          <w:numId w:val="76"/>
        </w:numPr>
        <w:rPr>
          <w:rFonts w:ascii="Arial" w:cs="Arial" w:eastAsia="Arial" w:hAnsi="Arial"/>
          <w:sz w:val="18"/>
          <w:szCs w:val="18"/>
          <w:color w:val="010000"/>
        </w:rPr>
      </w:pPr>
      <w:r>
        <w:rPr>
          <w:rFonts w:ascii="Arial" w:cs="Arial" w:eastAsia="Arial" w:hAnsi="Arial"/>
          <w:sz w:val="18"/>
          <w:szCs w:val="18"/>
          <w:u w:val="single" w:color="auto"/>
          <w:color w:val="auto"/>
        </w:rPr>
        <w:t>Modification; Counterparts; Electronic/PDF Signatures</w:t>
      </w:r>
      <w:r>
        <w:rPr>
          <w:rFonts w:ascii="Arial" w:cs="Arial" w:eastAsia="Arial" w:hAnsi="Arial"/>
          <w:sz w:val="18"/>
          <w:szCs w:val="18"/>
          <w:color w:val="auto"/>
        </w:rPr>
        <w:t>: You agree this Release may not be altered, amended, modified, or otherwise changed except by another written agreement that specifically refers to this Release, executed by an authorized representative of the Company (other than Employee) and an authorized representative of Employee. This Release may be executed in several counterparts, each of which shall constitute an original and all of which together shall constitute the same instrument. Counterparts may be delivered via facsimile, electronic mail, or other electronic transmission method, and may be executed using any electronic signature method complying with the United States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Any such counterpart so delivered shall be deemed to have been duly and validly delivered and be valid and effective for all purposes.</w:t>
      </w:r>
    </w:p>
    <w:p>
      <w:pPr>
        <w:spacing w:after="0" w:line="166" w:lineRule="exact"/>
        <w:rPr>
          <w:rFonts w:ascii="Arial" w:cs="Arial" w:eastAsia="Arial" w:hAnsi="Arial"/>
          <w:sz w:val="18"/>
          <w:szCs w:val="18"/>
          <w:color w:val="010000"/>
        </w:rPr>
      </w:pPr>
    </w:p>
    <w:p>
      <w:pPr>
        <w:jc w:val="both"/>
        <w:ind w:firstLine="757"/>
        <w:spacing w:after="0" w:line="290" w:lineRule="auto"/>
        <w:tabs>
          <w:tab w:leader="none" w:pos="1018" w:val="left"/>
        </w:tabs>
        <w:numPr>
          <w:ilvl w:val="0"/>
          <w:numId w:val="76"/>
        </w:numPr>
        <w:rPr>
          <w:rFonts w:ascii="Arial" w:cs="Arial" w:eastAsia="Arial" w:hAnsi="Arial"/>
          <w:sz w:val="18"/>
          <w:szCs w:val="18"/>
          <w:color w:val="010000"/>
        </w:rPr>
      </w:pPr>
      <w:r>
        <w:rPr>
          <w:rFonts w:ascii="Arial" w:cs="Arial" w:eastAsia="Arial" w:hAnsi="Arial"/>
          <w:sz w:val="18"/>
          <w:szCs w:val="18"/>
          <w:u w:val="single" w:color="auto"/>
          <w:color w:val="auto"/>
        </w:rPr>
        <w:t>Interpretation and Construction of Release</w:t>
      </w:r>
      <w:r>
        <w:rPr>
          <w:rFonts w:ascii="Arial" w:cs="Arial" w:eastAsia="Arial" w:hAnsi="Arial"/>
          <w:sz w:val="18"/>
          <w:szCs w:val="18"/>
          <w:color w:val="auto"/>
        </w:rPr>
        <w:t>: This Release shall be construed and interpreted under the laws of the state where you were last employed by the Company, Massachusetts, without regard to its conflict of law principles. Moreover, this Release shall not be construed against either party as the author or drafter of the Release.</w:t>
      </w:r>
    </w:p>
    <w:p>
      <w:pPr>
        <w:spacing w:after="0" w:line="153" w:lineRule="exact"/>
        <w:rPr>
          <w:rFonts w:ascii="Arial" w:cs="Arial" w:eastAsia="Arial" w:hAnsi="Arial"/>
          <w:sz w:val="18"/>
          <w:szCs w:val="18"/>
          <w:color w:val="010000"/>
        </w:rPr>
      </w:pPr>
    </w:p>
    <w:p>
      <w:pPr>
        <w:jc w:val="both"/>
        <w:ind w:firstLine="757"/>
        <w:spacing w:after="0" w:line="270" w:lineRule="auto"/>
        <w:tabs>
          <w:tab w:leader="none" w:pos="1018" w:val="left"/>
        </w:tabs>
        <w:numPr>
          <w:ilvl w:val="0"/>
          <w:numId w:val="76"/>
        </w:numPr>
        <w:rPr>
          <w:rFonts w:ascii="Arial" w:cs="Arial" w:eastAsia="Arial" w:hAnsi="Arial"/>
          <w:sz w:val="18"/>
          <w:szCs w:val="18"/>
          <w:color w:val="010000"/>
        </w:rPr>
      </w:pPr>
      <w:r>
        <w:rPr>
          <w:rFonts w:ascii="Arial" w:cs="Arial" w:eastAsia="Arial" w:hAnsi="Arial"/>
          <w:sz w:val="18"/>
          <w:szCs w:val="18"/>
          <w:u w:val="single" w:color="auto"/>
          <w:color w:val="auto"/>
        </w:rPr>
        <w:t>Review of Release; Effective Date</w:t>
      </w:r>
      <w:r>
        <w:rPr>
          <w:rFonts w:ascii="Arial" w:cs="Arial" w:eastAsia="Arial" w:hAnsi="Arial"/>
          <w:sz w:val="18"/>
          <w:szCs w:val="18"/>
          <w:color w:val="auto"/>
        </w:rPr>
        <w:t>: You understand that you may take up to twenty-one (21) calendar days to consider this Release (the “</w:t>
      </w:r>
      <w:r>
        <w:rPr>
          <w:rFonts w:ascii="Arial" w:cs="Arial" w:eastAsia="Arial" w:hAnsi="Arial"/>
          <w:sz w:val="18"/>
          <w:szCs w:val="18"/>
          <w:b w:val="1"/>
          <w:bCs w:val="1"/>
          <w:i w:val="1"/>
          <w:iCs w:val="1"/>
          <w:color w:val="auto"/>
        </w:rPr>
        <w:t>Release Consideration Period</w:t>
      </w:r>
      <w:r>
        <w:rPr>
          <w:rFonts w:ascii="Arial" w:cs="Arial" w:eastAsia="Arial" w:hAnsi="Arial"/>
          <w:sz w:val="18"/>
          <w:szCs w:val="18"/>
          <w:color w:val="auto"/>
        </w:rPr>
        <w:t>”). You agree changes to this Release, whether material or immaterial, do not toll or restart the Release Consideration Period. If you choose to sign this Release before the Release Consideration Period ends, you represent: (i) you freely chose to do so after carefully considering its terms; (ii) you are knowingly and voluntarily waiving the remainder of the Release Consideration Period; and (iii) your decision to waive the remainder of the Release Consideration Period was not induced by the Company through fraud, misrepresentation, or a threat to withdraw or alter the offer prior to the expiration of the Release Consideration Period, or by providing different terms to you for signing this Release prior to the expiration of the Release Consideration Period. You affirm that you were advised to consult with an attorney before signing this Release. You also understand you may revoke this Release within seven (7) calendar days of signing (the “</w:t>
      </w:r>
      <w:r>
        <w:rPr>
          <w:rFonts w:ascii="Arial" w:cs="Arial" w:eastAsia="Arial" w:hAnsi="Arial"/>
          <w:sz w:val="18"/>
          <w:szCs w:val="18"/>
          <w:b w:val="1"/>
          <w:bCs w:val="1"/>
          <w:i w:val="1"/>
          <w:iCs w:val="1"/>
          <w:color w:val="auto"/>
        </w:rPr>
        <w:t>Release Revocation Period</w:t>
      </w:r>
      <w:r>
        <w:rPr>
          <w:rFonts w:ascii="Arial" w:cs="Arial" w:eastAsia="Arial" w:hAnsi="Arial"/>
          <w:sz w:val="18"/>
          <w:szCs w:val="18"/>
          <w:color w:val="auto"/>
        </w:rPr>
        <w:t>”) and that the Company will only provide you with the Severance Benefits and the Release Benefits after that Release Revocation Period has expired. Any revocation must be made in writing and delivered to Rob Orgel at rob.orgel@flywire.com. This Release is effective on the eighth (8th) calendar day after you sign it, provided you have not revoked it (the “</w:t>
      </w:r>
      <w:r>
        <w:rPr>
          <w:rFonts w:ascii="Arial" w:cs="Arial" w:eastAsia="Arial" w:hAnsi="Arial"/>
          <w:sz w:val="18"/>
          <w:szCs w:val="18"/>
          <w:b w:val="1"/>
          <w:bCs w:val="1"/>
          <w:i w:val="1"/>
          <w:iCs w:val="1"/>
          <w:color w:val="auto"/>
        </w:rPr>
        <w:t>Release Effective Date</w:t>
      </w:r>
      <w:r>
        <w:rPr>
          <w:rFonts w:ascii="Arial" w:cs="Arial" w:eastAsia="Arial" w:hAnsi="Arial"/>
          <w:sz w:val="18"/>
          <w:szCs w:val="18"/>
          <w:color w:val="auto"/>
        </w:rPr>
        <w:t>”).</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 AGREE THAT YOU HAVE CAREFULLY READ THIS RELEASE, THAT YOU HAVE BEEN GIVEN AMPLE OPPORTUNITY TO CONSULT WITH LEGAL COUNSEL, THAT YOU ARE RECEIVING SUBSTANTIAL BENEFITS AS A RESULT OF THIS RELEASE, AND THAT YOU ARE VOLUNTARILY SIGNING THIS RELEASE BY YOUR OWN FREE ACT. THIS RELEASE CONSTITUTES A VOLUNTARY AND KNOWING WAIVER OF RIGHTS UNDER THE LAWS AND STATUTES REFERENCED ABOVE.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YOU UNDERSTAND THAT YOU ARE NOT TO SIGN THIS RELEASE PRIOR TO THE SEPARATION DATE.</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SIGNING BELOW, THE PARTIES INDICATE THEIR ACCEPTANCE OF THE TERMS OF THIS RELEASE AS OF THE DATE INDICATED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8" w:name="page119"/>
    <w:bookmarkEnd w:id="118"/>
    <w:p>
      <w:pPr>
        <w:ind w:left="3180"/>
        <w:spacing w:after="0"/>
        <w:rPr>
          <w:sz w:val="20"/>
          <w:szCs w:val="20"/>
          <w:color w:val="auto"/>
        </w:rPr>
      </w:pPr>
      <w:r>
        <w:rPr>
          <w:rFonts w:ascii="Arial" w:cs="Arial" w:eastAsia="Arial" w:hAnsi="Arial"/>
          <w:sz w:val="20"/>
          <w:szCs w:val="20"/>
          <w:b w:val="1"/>
          <w:bCs w:val="1"/>
          <w:color w:val="auto"/>
        </w:rPr>
        <w:t>***DO NOT SIGN PRIOR TO SEPARATION DATE***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1679"/>
        <w:spacing w:after="0"/>
        <w:rPr>
          <w:sz w:val="20"/>
          <w:szCs w:val="20"/>
          <w:color w:val="auto"/>
        </w:rPr>
      </w:pPr>
      <w:r>
        <w:rPr>
          <w:rFonts w:ascii="Arial" w:cs="Arial" w:eastAsia="Arial" w:hAnsi="Arial"/>
          <w:sz w:val="20"/>
          <w:szCs w:val="20"/>
          <w:i w:val="1"/>
          <w:iCs w:val="1"/>
          <w:color w:val="auto"/>
        </w:rPr>
        <w:t>(Remainder of Page Intentionally Left Blank; Signatures Follow Below)</w:t>
      </w: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52070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777" w:right="1440" w:bottom="1440" w:gutter="0" w:footer="0" w:header="0"/>
        </w:sectPr>
      </w:pPr>
    </w:p>
    <w:bookmarkStart w:id="119" w:name="page120"/>
    <w:bookmarkEnd w:id="119"/>
    <w:p>
      <w:pPr>
        <w:ind w:left="760"/>
        <w:spacing w:after="0"/>
        <w:rPr>
          <w:sz w:val="20"/>
          <w:szCs w:val="20"/>
          <w:color w:val="auto"/>
        </w:rPr>
      </w:pPr>
      <w:r>
        <w:rPr>
          <w:rFonts w:ascii="Arial" w:cs="Arial" w:eastAsia="Arial" w:hAnsi="Arial"/>
          <w:sz w:val="16"/>
          <w:szCs w:val="16"/>
          <w:color w:val="auto"/>
        </w:rPr>
        <w:t>If you agree to the terms outlined in this Release, please sign below and return it to me within the timeframe noted above.</w:t>
      </w:r>
    </w:p>
    <w:p>
      <w:pPr>
        <w:spacing w:after="0" w:line="26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Sincerely,</w:t>
      </w:r>
    </w:p>
    <w:p>
      <w:pPr>
        <w:spacing w:after="0" w:line="22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lywire</w:t>
      </w:r>
      <w:r>
        <w:rPr>
          <w:rFonts w:ascii="Arial" w:cs="Arial" w:eastAsia="Arial" w:hAnsi="Arial"/>
          <w:sz w:val="20"/>
          <w:szCs w:val="20"/>
          <w:color w:val="auto"/>
        </w:rPr>
        <w:t xml:space="preserve"> C</w:t>
      </w:r>
      <w:r>
        <w:rPr>
          <w:rFonts w:ascii="Arial" w:cs="Arial" w:eastAsia="Arial" w:hAnsi="Arial"/>
          <w:sz w:val="13"/>
          <w:szCs w:val="13"/>
          <w:color w:val="auto"/>
        </w:rPr>
        <w:t>orporation</w:t>
      </w:r>
    </w:p>
    <w:p>
      <w:pPr>
        <w:spacing w:after="0" w:line="22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Rob Orgel, President and Chief Operating Officer</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Date: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READ, UNDERSTOOD AND AGREED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Michael Ellis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Attachments</w:t>
      </w:r>
    </w:p>
    <w:p>
      <w:pPr>
        <w:spacing w:after="0" w:line="2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Exhibit I</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Confidentiality Agreement</w:t>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ind w:left="40"/>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338" w:right="1199" w:bottom="1440" w:gutter="0" w:footer="0" w:header="0"/>
        </w:sectPr>
      </w:pPr>
    </w:p>
    <w:bookmarkStart w:id="120" w:name="page121"/>
    <w:bookmarkEnd w:id="120"/>
    <w:p>
      <w:pPr>
        <w:jc w:val="center"/>
        <w:ind w:right="-1080"/>
        <w:spacing w:after="0"/>
        <w:rPr>
          <w:sz w:val="20"/>
          <w:szCs w:val="20"/>
          <w:color w:val="auto"/>
        </w:rPr>
      </w:pPr>
      <w:r>
        <w:rPr>
          <w:rFonts w:ascii="Arial" w:cs="Arial" w:eastAsia="Arial" w:hAnsi="Arial"/>
          <w:sz w:val="20"/>
          <w:szCs w:val="20"/>
          <w:b w:val="1"/>
          <w:bCs w:val="1"/>
          <w:color w:val="auto"/>
        </w:rPr>
        <w:t>EXHIBIT I</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Confidentiality Agreement</w:t>
      </w:r>
    </w:p>
    <w:p>
      <w:pPr>
        <w:spacing w:after="0" w:line="22" w:lineRule="exact"/>
        <w:rPr>
          <w:sz w:val="20"/>
          <w:szCs w:val="20"/>
          <w:color w:val="auto"/>
        </w:rPr>
      </w:pPr>
    </w:p>
    <w:p>
      <w:pPr>
        <w:jc w:val="center"/>
        <w:ind w:right="-1080"/>
        <w:spacing w:after="0"/>
        <w:rPr>
          <w:sz w:val="20"/>
          <w:szCs w:val="20"/>
          <w:color w:val="auto"/>
        </w:rPr>
      </w:pPr>
      <w:r>
        <w:rPr>
          <w:rFonts w:ascii="Arial" w:cs="Arial" w:eastAsia="Arial" w:hAnsi="Arial"/>
          <w:sz w:val="20"/>
          <w:szCs w:val="20"/>
          <w:i w:val="1"/>
          <w:iCs w:val="1"/>
          <w:color w:val="auto"/>
        </w:rPr>
        <w:t>(begins on next page)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DOCPROPERTY"SWDocID" GDSVF&amp;H\9163401.12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32"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9"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3"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Flywire Corporation;</w:t>
      </w:r>
    </w:p>
    <w:p>
      <w:pPr>
        <w:spacing w:after="0" w:line="103" w:lineRule="exact"/>
        <w:rPr>
          <w:rFonts w:ascii="Arial" w:cs="Arial" w:eastAsia="Arial" w:hAnsi="Arial"/>
          <w:sz w:val="18"/>
          <w:szCs w:val="18"/>
          <w:color w:val="auto"/>
        </w:rPr>
      </w:pPr>
    </w:p>
    <w:p>
      <w:pPr>
        <w:ind w:left="520" w:hanging="512"/>
        <w:spacing w:after="0" w:line="247"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80" w:hanging="512"/>
        <w:spacing w:after="0" w:line="247"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520" w:right="180" w:hanging="512"/>
        <w:spacing w:after="0" w:line="247"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660" w:right="280" w:hanging="507"/>
        <w:spacing w:after="0" w:line="242" w:lineRule="auto"/>
        <w:tabs>
          <w:tab w:leader="none" w:pos="15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1660" w:right="180" w:hanging="507"/>
        <w:spacing w:after="0" w:line="268" w:lineRule="auto"/>
        <w:tabs>
          <w:tab w:leader="none" w:pos="155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660" w:right="280" w:hanging="507"/>
        <w:spacing w:after="0" w:line="247" w:lineRule="auto"/>
        <w:tabs>
          <w:tab w:leader="none" w:pos="15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60" w:right="20" w:hanging="507"/>
        <w:spacing w:after="0" w:line="268" w:lineRule="auto"/>
        <w:tabs>
          <w:tab w:leader="none" w:pos="155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520" w:right="400" w:hanging="512"/>
        <w:spacing w:after="0" w:line="247"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60" w:right="140" w:hanging="507"/>
        <w:spacing w:after="0" w:line="247" w:lineRule="auto"/>
        <w:tabs>
          <w:tab w:leader="none" w:pos="15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60" w:right="540" w:hanging="507"/>
        <w:spacing w:after="0" w:line="259" w:lineRule="auto"/>
        <w:tabs>
          <w:tab w:leader="none" w:pos="15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6820" w:right="1280" w:hanging="6792"/>
        <w:spacing w:after="0" w:line="273" w:lineRule="auto"/>
        <w:tabs>
          <w:tab w:leader="none" w:pos="680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-3810</wp:posOffset>
            </wp:positionV>
            <wp:extent cx="25260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220"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Michael Massaro</w:t>
      </w:r>
    </w:p>
    <w:p>
      <w:pPr>
        <w:spacing w:after="0" w:line="44"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9"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03"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Flywire Corporation;</w:t>
      </w:r>
    </w:p>
    <w:p>
      <w:pPr>
        <w:spacing w:after="0" w:line="103" w:lineRule="exact"/>
        <w:rPr>
          <w:rFonts w:ascii="Arial" w:cs="Arial" w:eastAsia="Arial" w:hAnsi="Arial"/>
          <w:sz w:val="18"/>
          <w:szCs w:val="18"/>
          <w:color w:val="auto"/>
        </w:rPr>
      </w:pPr>
    </w:p>
    <w:p>
      <w:pPr>
        <w:ind w:left="520" w:hanging="512"/>
        <w:spacing w:after="0" w:line="247"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80" w:hanging="512"/>
        <w:spacing w:after="0" w:line="247"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520" w:right="180" w:hanging="512"/>
        <w:spacing w:after="0" w:line="247"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660" w:right="280" w:hanging="507"/>
        <w:spacing w:after="0" w:line="242" w:lineRule="auto"/>
        <w:tabs>
          <w:tab w:leader="none" w:pos="15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1660" w:right="180" w:hanging="507"/>
        <w:spacing w:after="0" w:line="268" w:lineRule="auto"/>
        <w:tabs>
          <w:tab w:leader="none" w:pos="155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660" w:right="280" w:hanging="507"/>
        <w:spacing w:after="0" w:line="247" w:lineRule="auto"/>
        <w:tabs>
          <w:tab w:leader="none" w:pos="15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60" w:right="20" w:hanging="507"/>
        <w:spacing w:after="0" w:line="268" w:lineRule="auto"/>
        <w:tabs>
          <w:tab w:leader="none" w:pos="155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520" w:right="400" w:hanging="512"/>
        <w:spacing w:after="0" w:line="247"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60" w:right="140" w:hanging="507"/>
        <w:spacing w:after="0" w:line="247" w:lineRule="auto"/>
        <w:tabs>
          <w:tab w:leader="none" w:pos="15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60" w:right="540" w:hanging="507"/>
        <w:spacing w:after="0" w:line="259" w:lineRule="auto"/>
        <w:tabs>
          <w:tab w:leader="none" w:pos="15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6480" w:right="1620" w:hanging="6454"/>
        <w:spacing w:after="0" w:line="273" w:lineRule="auto"/>
        <w:tabs>
          <w:tab w:leader="none" w:pos="64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-3810</wp:posOffset>
            </wp:positionV>
            <wp:extent cx="27400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220"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Michael Ellis</w:t>
      </w:r>
    </w:p>
    <w:p>
      <w:pPr>
        <w:spacing w:after="0" w:line="44"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1106805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1"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560" w:hanging="407"/>
        <w:spacing w:after="0"/>
        <w:tabs>
          <w:tab w:leader="none" w:pos="1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59" w:lineRule="auto"/>
        <w:tabs>
          <w:tab w:leader="none" w:pos="15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4" w:lineRule="exact"/>
        <w:rPr>
          <w:sz w:val="20"/>
          <w:szCs w:val="20"/>
          <w:color w:val="auto"/>
        </w:rPr>
      </w:pPr>
    </w:p>
    <w:p>
      <w:pPr>
        <w:ind w:left="6360" w:right="1460" w:hanging="6347"/>
        <w:spacing w:after="0" w:line="273" w:lineRule="auto"/>
        <w:tabs>
          <w:tab w:leader="none" w:pos="634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-3810</wp:posOffset>
            </wp:positionV>
            <wp:extent cx="28086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220"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Michael Massaro</w:t>
      </w:r>
    </w:p>
    <w:p>
      <w:pPr>
        <w:spacing w:after="0" w:line="44"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1"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560" w:hanging="407"/>
        <w:spacing w:after="0"/>
        <w:tabs>
          <w:tab w:leader="none" w:pos="1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59" w:lineRule="auto"/>
        <w:tabs>
          <w:tab w:leader="none" w:pos="15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4" w:lineRule="exact"/>
        <w:rPr>
          <w:sz w:val="20"/>
          <w:szCs w:val="20"/>
          <w:color w:val="auto"/>
        </w:rPr>
      </w:pPr>
    </w:p>
    <w:p>
      <w:pPr>
        <w:ind w:left="6360" w:right="1640" w:hanging="6347"/>
        <w:spacing w:after="0" w:line="273" w:lineRule="auto"/>
        <w:tabs>
          <w:tab w:leader="none" w:pos="634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-3810</wp:posOffset>
            </wp:positionV>
            <wp:extent cx="28086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220"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Ellis</w:t>
      </w:r>
    </w:p>
    <w:p>
      <w:pPr>
        <w:spacing w:after="0" w:line="44"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lowerRoman"/>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lowerRoman"/>
      <w:start w:val="2"/>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1"/>
      <w:numFmt w:val="upperLetter"/>
      <w:start w:val="35"/>
    </w:lvl>
  </w:abstractNum>
  <w:abstractNum w:abstractNumId="37">
    <w:nsid w:val="354FE9F9"/>
    <w:multiLevelType w:val="hybridMultilevel"/>
    <w:lvl w:ilvl="0">
      <w:lvlJc w:val="left"/>
      <w:lvlText w:val="%1."/>
      <w:numFmt w:val="decimal"/>
      <w:start w:val="404"/>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lvl w:ilvl="1">
      <w:lvlJc w:val="left"/>
      <w:lvlText w:val="(%2)"/>
      <w:numFmt w:val="decimal"/>
      <w:start w:val="12"/>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2"/>
    </w:lvl>
  </w:abstractNum>
  <w:abstractNum w:abstractNumId="45">
    <w:nsid w:val="77AE35EB"/>
    <w:multiLevelType w:val="hybridMultilevel"/>
    <w:lvl w:ilvl="0">
      <w:lvlJc w:val="left"/>
      <w:lvlText w:val="%1."/>
      <w:numFmt w:val="decimal"/>
      <w:start w:val="4"/>
    </w:lvl>
    <w:lvl w:ilvl="1">
      <w:lvlJc w:val="left"/>
      <w:lvlText w:val="%2."/>
      <w:numFmt w:val="lowerLetter"/>
      <w:start w:val="1"/>
    </w:lvl>
  </w:abstractNum>
  <w:abstractNum w:abstractNumId="46">
    <w:nsid w:val="579BE4F1"/>
    <w:multiLevelType w:val="hybridMultilevel"/>
    <w:lvl w:ilvl="0">
      <w:lvlJc w:val="left"/>
      <w:lvlText w:val="%1"/>
      <w:numFmt w:val="lowerRoman"/>
      <w:start w:val="1"/>
    </w:lvl>
    <w:lvl w:ilvl="1">
      <w:lvlJc w:val="left"/>
      <w:lvlText w:val="%2."/>
      <w:numFmt w:val="lowerLetter"/>
      <w:start w:val="4"/>
    </w:lvl>
  </w:abstractNum>
  <w:abstractNum w:abstractNumId="47">
    <w:nsid w:val="310C50B3"/>
    <w:multiLevelType w:val="hybridMultilevel"/>
    <w:lvl w:ilvl="0">
      <w:lvlJc w:val="left"/>
      <w:lvlText w:val="(%1)"/>
      <w:numFmt w:val="lowerRoman"/>
      <w:start w:val="1"/>
    </w:lvl>
    <w:lvl w:ilvl="1">
      <w:lvlJc w:val="left"/>
      <w:lvlText w:val="%2."/>
      <w:numFmt w:val="lowerLetter"/>
      <w:start w:val="6"/>
    </w:lvl>
  </w:abstractNum>
  <w:abstractNum w:abstractNumId="48">
    <w:nsid w:val="5FF87E0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8"/>
    </w:lvl>
  </w:abstractNum>
  <w:abstractNum w:abstractNumId="49">
    <w:nsid w:val="2F305DEF"/>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50">
    <w:nsid w:val="25A70BF7"/>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2"/>
    </w:lvl>
  </w:abstractNum>
  <w:abstractNum w:abstractNumId="51">
    <w:nsid w:val="1DBABF00"/>
    <w:multiLevelType w:val="hybridMultilevel"/>
    <w:lvl w:ilvl="0">
      <w:lvlJc w:val="left"/>
      <w:lvlText w:val="%1"/>
      <w:numFmt w:val="decimal"/>
      <w:start w:val="1"/>
    </w:lvl>
    <w:lvl w:ilvl="1">
      <w:lvlJc w:val="left"/>
      <w:lvlText w:val="%2."/>
      <w:numFmt w:val="lowerLetter"/>
      <w:start w:val="3"/>
    </w:lvl>
  </w:abstractNum>
  <w:abstractNum w:abstractNumId="52">
    <w:nsid w:val="4AD084E9"/>
    <w:multiLevelType w:val="hybridMultilevel"/>
    <w:lvl w:ilvl="0">
      <w:lvlJc w:val="left"/>
      <w:lvlText w:val="%1."/>
      <w:numFmt w:val="decimal"/>
      <w:start w:val="7"/>
    </w:lvl>
    <w:lvl w:ilvl="1">
      <w:lvlJc w:val="left"/>
      <w:lvlText w:val="%2."/>
      <w:numFmt w:val="lowerLetter"/>
      <w:start w:val="1"/>
    </w:lvl>
  </w:abstractNum>
  <w:abstractNum w:abstractNumId="53">
    <w:nsid w:val="1F48EAA1"/>
    <w:multiLevelType w:val="hybridMultilevel"/>
    <w:lvl w:ilvl="0">
      <w:lvlJc w:val="left"/>
      <w:lvlText w:val="%1."/>
      <w:numFmt w:val="decimal"/>
      <w:start w:val="9"/>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lowerRoman"/>
      <w:start w:val="1"/>
    </w:lvl>
    <w:lvl w:ilvl="1">
      <w:lvlJc w:val="left"/>
      <w:lvlText w:val="%2."/>
      <w:numFmt w:val="lowerLetter"/>
      <w:start w:val="2"/>
    </w:lvl>
  </w:abstractNum>
  <w:abstractNum w:abstractNumId="56">
    <w:nsid w:val="100F8FCA"/>
    <w:multiLevelType w:val="hybridMultilevel"/>
    <w:lvl w:ilvl="0">
      <w:lvlJc w:val="left"/>
      <w:lvlText w:val="(%1)"/>
      <w:numFmt w:val="lowerRoman"/>
      <w:start w:val="7"/>
    </w:lvl>
    <w:lvl w:ilvl="1">
      <w:lvlJc w:val="left"/>
      <w:lvlText w:val="%2."/>
      <w:numFmt w:val="lowerLetter"/>
      <w:start w:val="3"/>
    </w:lvl>
  </w:abstractNum>
  <w:abstractNum w:abstractNumId="57">
    <w:nsid w:val="6590700B"/>
    <w:multiLevelType w:val="hybridMultilevel"/>
    <w:lvl w:ilvl="0">
      <w:lvlJc w:val="left"/>
      <w:lvlText w:val="%1"/>
      <w:numFmt w:val="decimal"/>
      <w:start w:val="1"/>
    </w:lvl>
    <w:lvl w:ilvl="1">
      <w:lvlJc w:val="left"/>
      <w:lvlText w:val="%2."/>
      <w:numFmt w:val="lowerLetter"/>
      <w:start w:val="5"/>
    </w:lvl>
  </w:abstractNum>
  <w:abstractNum w:abstractNumId="58">
    <w:nsid w:val="15014ACB"/>
    <w:multiLevelType w:val="hybridMultilevel"/>
    <w:lvl w:ilvl="0">
      <w:lvlJc w:val="left"/>
      <w:lvlText w:val="%1."/>
      <w:numFmt w:val="decimal"/>
      <w:start w:val="13"/>
    </w:lvl>
    <w:lvl w:ilvl="1">
      <w:lvlJc w:val="left"/>
      <w:lvlText w:val="%2"/>
      <w:numFmt w:val="lowerLetter"/>
      <w:start w:val="1"/>
    </w:lvl>
  </w:abstractNum>
  <w:abstractNum w:abstractNumId="59">
    <w:nsid w:val="5F5E7FD0"/>
    <w:multiLevelType w:val="hybridMultilevel"/>
    <w:lvl w:ilvl="0">
      <w:lvlJc w:val="left"/>
      <w:lvlText w:val="%1."/>
      <w:numFmt w:val="decimal"/>
      <w:start w:val="16"/>
    </w:lvl>
  </w:abstractNum>
  <w:abstractNum w:abstractNumId="60">
    <w:nsid w:val="98A3148"/>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61">
    <w:nsid w:val="799D0247"/>
    <w:multiLevelType w:val="hybridMultilevel"/>
    <w:lvl w:ilvl="0">
      <w:lvlJc w:val="left"/>
      <w:lvlText w:val="%1."/>
      <w:numFmt w:val="lowerRoman"/>
      <w:start w:val="2"/>
    </w:lvl>
  </w:abstractNum>
  <w:abstractNum w:abstractNumId="62">
    <w:nsid w:val="6B94764"/>
    <w:multiLevelType w:val="hybridMultilevel"/>
    <w:lvl w:ilvl="0">
      <w:lvlJc w:val="left"/>
      <w:lvlText w:val="%1."/>
      <w:numFmt w:val="lowerLetter"/>
      <w:start w:val="3"/>
    </w:lvl>
  </w:abstractNum>
  <w:abstractNum w:abstractNumId="63">
    <w:nsid w:val="42C296BD"/>
    <w:multiLevelType w:val="hybridMultilevel"/>
    <w:lvl w:ilvl="0">
      <w:lvlJc w:val="left"/>
      <w:lvlText w:val="%1."/>
      <w:numFmt w:val="lowerRoman"/>
      <w:start w:val="1"/>
    </w:lvl>
  </w:abstractNum>
  <w:abstractNum w:abstractNumId="64">
    <w:nsid w:val="168E121F"/>
    <w:multiLevelType w:val="hybridMultilevel"/>
    <w:lvl w:ilvl="0">
      <w:lvlJc w:val="left"/>
      <w:lvlText w:val="%1"/>
      <w:numFmt w:val="decimal"/>
      <w:start w:val="1"/>
    </w:lvl>
    <w:lvl w:ilvl="1">
      <w:lvlJc w:val="left"/>
      <w:lvlText w:val="%2."/>
      <w:numFmt w:val="lowerLetter"/>
      <w:start w:val="8"/>
    </w:lvl>
  </w:abstractNum>
  <w:abstractNum w:abstractNumId="65">
    <w:nsid w:val="1EBA5D23"/>
    <w:multiLevelType w:val="hybridMultilevel"/>
    <w:lvl w:ilvl="0">
      <w:lvlJc w:val="left"/>
      <w:lvlText w:val="%1."/>
      <w:numFmt w:val="decimal"/>
      <w:start w:val="20"/>
    </w:lvl>
    <w:lvl w:ilvl="1">
      <w:lvlJc w:val="left"/>
      <w:lvlText w:val="%2"/>
      <w:numFmt w:val="lowerLetter"/>
      <w:start w:val="1"/>
    </w:lvl>
  </w:abstractNum>
  <w:abstractNum w:abstractNumId="66">
    <w:nsid w:val="661E3F1E"/>
    <w:multiLevelType w:val="hybridMultilevel"/>
    <w:lvl w:ilvl="0">
      <w:lvlJc w:val="left"/>
      <w:lvlText w:val="%1."/>
      <w:numFmt w:val="decimal"/>
      <w:start w:val="24"/>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2"/>
    </w:lvl>
  </w:abstractNum>
  <w:abstractNum w:abstractNumId="69">
    <w:nsid w:val="7BD3EE7B"/>
    <w:multiLevelType w:val="hybridMultilevel"/>
    <w:lvl w:ilvl="0">
      <w:lvlJc w:val="left"/>
      <w:lvlText w:val="%1."/>
      <w:numFmt w:val="decimal"/>
      <w:start w:val="5"/>
    </w:lvl>
    <w:lvl w:ilvl="1">
      <w:lvlJc w:val="left"/>
      <w:lvlText w:val="%2."/>
      <w:numFmt w:val="lowerLetter"/>
      <w:start w:val="1"/>
    </w:lvl>
  </w:abstractNum>
  <w:abstractNum w:abstractNumId="70">
    <w:nsid w:val="51D9C564"/>
    <w:multiLevelType w:val="hybridMultilevel"/>
    <w:lvl w:ilvl="0">
      <w:lvlJc w:val="left"/>
      <w:lvlText w:val="%1."/>
      <w:numFmt w:val="decimal"/>
      <w:start w:val="6"/>
    </w:lvl>
    <w:lvl w:ilvl="1">
      <w:lvlJc w:val="left"/>
      <w:lvlText w:val="%2."/>
      <w:numFmt w:val="lowerLetter"/>
      <w:start w:val="1"/>
    </w:lvl>
  </w:abstractNum>
  <w:abstractNum w:abstractNumId="71">
    <w:nsid w:val="613EFDC5"/>
    <w:multiLevelType w:val="hybridMultilevel"/>
    <w:lvl w:ilvl="0">
      <w:lvlJc w:val="left"/>
      <w:lvlText w:val="%1"/>
      <w:numFmt w:val="decimal"/>
      <w:start w:val="1"/>
    </w:lvl>
    <w:lvl w:ilvl="1">
      <w:lvlJc w:val="left"/>
      <w:lvlText w:val="%2."/>
      <w:numFmt w:val="lowerLetter"/>
      <w:start w:val="3"/>
    </w:lvl>
  </w:abstractNum>
  <w:abstractNum w:abstractNumId="72">
    <w:nsid w:val="BF72B14"/>
    <w:multiLevelType w:val="hybridMultilevel"/>
    <w:lvl w:ilvl="0">
      <w:lvlJc w:val="left"/>
      <w:lvlText w:val="%1."/>
      <w:numFmt w:val="decimal"/>
      <w:start w:val="7"/>
    </w:lvl>
    <w:lvl w:ilvl="1">
      <w:lvlJc w:val="left"/>
      <w:lvlText w:val="%2"/>
      <w:numFmt w:val="lowerLetter"/>
      <w:start w:val="1"/>
    </w:lvl>
  </w:abstractNum>
  <w:abstractNum w:abstractNumId="73">
    <w:nsid w:val="11447B73"/>
    <w:multiLevelType w:val="hybridMultilevel"/>
    <w:lvl w:ilvl="0">
      <w:lvlJc w:val="left"/>
      <w:lvlText w:val="%1."/>
      <w:numFmt w:val="decimal"/>
      <w:start w:val="12"/>
    </w:lvl>
  </w:abstractNum>
  <w:abstractNum w:abstractNumId="74">
    <w:nsid w:val="42963E5A"/>
    <w:multiLevelType w:val="hybridMultilevel"/>
    <w:lvl w:ilvl="0">
      <w:lvlJc w:val="left"/>
      <w:lvlText w:val="%1."/>
      <w:numFmt w:val="decimal"/>
      <w:start w:val="13"/>
    </w:lvl>
    <w:lvl w:ilvl="1">
      <w:lvlJc w:val="left"/>
      <w:lvlText w:val="%2."/>
      <w:numFmt w:val="lowerLetter"/>
      <w:start w:val="1"/>
    </w:lvl>
  </w:abstractNum>
  <w:abstractNum w:abstractNumId="75">
    <w:nsid w:val="A0382C5"/>
    <w:multiLevelType w:val="hybridMultilevel"/>
    <w:lvl w:ilvl="0">
      <w:lvlJc w:val="left"/>
      <w:lvlText w:val="%1."/>
      <w:numFmt w:val="decimal"/>
      <w:start w:val="16"/>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39" Type="http://schemas.openxmlformats.org/officeDocument/2006/relationships/hyperlink" Target="https://www.sec.gov/Archives/edgar/data/1580560/000119312521178711/d109060dex31.htm" TargetMode="External"/><Relationship Id="rId440" Type="http://schemas.openxmlformats.org/officeDocument/2006/relationships/hyperlink" Target="https://www.sec.gov/Archives/edgar/data/1580560/000119312521178711/d10906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2023-11-07T16:24:48Z</dcterms:created>
  <dcterms:modified xsi:type="dcterms:W3CDTF">2023-11-07T16:24:48Z</dcterms:modified>
</cp:coreProperties>
</file>