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295889d8k.htm"/>
      <w:bookmarkStart w:id="1" w:name="ksd29588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November 7,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141 Tremont St #10</w:t>
            </w:r>
          </w:p>
        </w:tc>
      </w:tr>
      <w:tr>
        <w:trPr/>
        <w:tc>
          <w:tcPr>
            <w:tcW w:w="5285" w:type="dxa"/>
            <w:tcBorders/>
            <w:vAlign w:val="center"/>
          </w:tcPr>
          <w:p>
            <w:pPr>
              <w:pStyle w:val="TableContents"/>
              <w:bidi w:val="0"/>
              <w:spacing w:before="0" w:after="283"/>
              <w:jc w:val="center"/>
              <w:rPr>
                <w:b/>
              </w:rPr>
            </w:pPr>
            <w:r>
              <w:rPr>
                <w:b/>
              </w:rPr>
              <w:t>Boston, MA 02111</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4985"/>
        <w:gridCol w:w="60"/>
        <w:gridCol w:w="740"/>
        <w:gridCol w:w="60"/>
        <w:gridCol w:w="255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65" w:type="dxa"/>
        <w:jc w:val="left"/>
        <w:tblInd w:w="0" w:type="dxa"/>
        <w:tblLayout w:type="fixed"/>
        <w:tblCellMar>
          <w:top w:w="0" w:type="dxa"/>
          <w:left w:w="0" w:type="dxa"/>
          <w:bottom w:w="0" w:type="dxa"/>
          <w:right w:w="0" w:type="dxa"/>
        </w:tblCellMar>
      </w:tblPr>
      <w:tblGrid>
        <w:gridCol w:w="1040"/>
        <w:gridCol w:w="4025"/>
      </w:tblGrid>
      <w:tr>
        <w:trPr/>
        <w:tc>
          <w:tcPr>
            <w:tcW w:w="104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7, 2023, Flywire Corporation (“Flywire” or the “Company”) issued a press release (the “Press Release”) and is holding a conference call regarding its preliminary and unaudited financial results for the quarter ended September 30, 2023.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and Quarterly Report on Form 10-Q for the quarter ended June 30, 2023, which are on file with the Securities and Exchange Commission (SEC) and available on the SEC’s website at https://www.sec.gov/. Additional factors may be described in those sections of Flywire’s Quarterly Report on Form 10-Q for the quarter ended September 30, 2023, expected to be filed with the SEC in the fourth quarter of 2023.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 </w:t>
      </w:r>
      <w:r>
        <w:br w:type="page"/>
      </w:r>
    </w:p>
    <w:p>
      <w:pPr>
        <w:pStyle w:val="HorizontalLine"/>
        <w:bidi w:val="0"/>
        <w:jc w:val="left"/>
        <w:rPr/>
      </w:pPr>
      <w:r>
        <w:rPr/>
      </w:r>
    </w:p>
    <w:tbl>
      <w:tblPr>
        <w:tblW w:w="3325" w:type="dxa"/>
        <w:jc w:val="left"/>
        <w:tblInd w:w="0" w:type="dxa"/>
        <w:tblLayout w:type="fixed"/>
        <w:tblCellMar>
          <w:top w:w="0" w:type="dxa"/>
          <w:left w:w="0" w:type="dxa"/>
          <w:bottom w:w="0" w:type="dxa"/>
          <w:right w:w="0" w:type="dxa"/>
        </w:tblCellMar>
      </w:tblPr>
      <w:tblGrid>
        <w:gridCol w:w="1040"/>
        <w:gridCol w:w="2285"/>
      </w:tblGrid>
      <w:tr>
        <w:trPr/>
        <w:tc>
          <w:tcPr>
            <w:tcW w:w="104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7, 2023,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95889dex991.htm">
              <w:r>
                <w:rPr>
                  <w:rStyle w:val="InternetLink"/>
                </w:rPr>
                <w:t xml:space="preserve">Flywire Corporation Press Release dated November 7, 2023.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295889dex992.htm">
              <w:r>
                <w:rPr>
                  <w:rStyle w:val="InternetLink"/>
                </w:rPr>
                <w:t xml:space="preserve">Flywire Corporation Investor Presentation dated November 7, 2023.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Ellis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Michael Ellis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November 7, 2023 </w:t>
      </w:r>
    </w:p>
    <w:p>
      <w:pPr>
        <w:pStyle w:val="TextBody"/>
        <w:bidi w:val="0"/>
        <w:spacing w:before="0" w:after="0"/>
        <w:jc w:val="right"/>
        <w:rPr>
          <w:rFonts w:ascii="Times New Roman" w:hAnsi="Times New Roman"/>
          <w:b/>
          <w:sz w:val="20"/>
        </w:rPr>
      </w:pPr>
      <w:bookmarkStart w:id="2" w:name="d295889dex991.htm"/>
      <w:bookmarkStart w:id="3" w:name="ksd29588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Flywire Reports Third Quarter 2023 Financial Results </w:t>
      </w:r>
    </w:p>
    <w:p>
      <w:pPr>
        <w:pStyle w:val="TextBody"/>
        <w:bidi w:val="0"/>
        <w:spacing w:before="120" w:after="0"/>
        <w:jc w:val="center"/>
        <w:rPr>
          <w:rFonts w:ascii="Times New Roman" w:hAnsi="Times New Roman"/>
          <w:i/>
          <w:sz w:val="20"/>
        </w:rPr>
      </w:pPr>
      <w:r>
        <w:rPr>
          <w:rFonts w:ascii="Times New Roman" w:hAnsi="Times New Roman"/>
          <w:i/>
          <w:sz w:val="20"/>
        </w:rPr>
        <w:t xml:space="preserve">Third Quarter Revenue Increased 29.5% Year-over-Year </w:t>
      </w:r>
    </w:p>
    <w:p>
      <w:pPr>
        <w:pStyle w:val="TextBody"/>
        <w:bidi w:val="0"/>
        <w:spacing w:before="120" w:after="0"/>
        <w:jc w:val="center"/>
        <w:rPr>
          <w:rFonts w:ascii="Times New Roman" w:hAnsi="Times New Roman"/>
          <w:i/>
          <w:sz w:val="20"/>
        </w:rPr>
      </w:pPr>
      <w:r>
        <w:rPr>
          <w:rFonts w:ascii="Times New Roman" w:hAnsi="Times New Roman"/>
          <w:i/>
          <w:sz w:val="20"/>
        </w:rPr>
        <w:t xml:space="preserve">Third Quarter Revenue Less Ancillary Services Increased 31.4% Year-over-Year </w:t>
      </w:r>
    </w:p>
    <w:p>
      <w:pPr>
        <w:pStyle w:val="TextBody"/>
        <w:bidi w:val="0"/>
        <w:spacing w:before="120" w:after="0"/>
        <w:jc w:val="center"/>
        <w:rPr>
          <w:rFonts w:ascii="Times New Roman" w:hAnsi="Times New Roman"/>
          <w:i/>
          <w:sz w:val="20"/>
        </w:rPr>
      </w:pPr>
      <w:r>
        <w:rPr>
          <w:rFonts w:ascii="Times New Roman" w:hAnsi="Times New Roman"/>
          <w:i/>
          <w:sz w:val="20"/>
        </w:rPr>
        <w:t xml:space="preserve">Company Raises Full Year Outlook Before FX Impacts </w:t>
      </w:r>
    </w:p>
    <w:p>
      <w:pPr>
        <w:pStyle w:val="TextBody"/>
        <w:bidi w:val="0"/>
        <w:spacing w:before="240" w:after="0"/>
        <w:jc w:val="left"/>
        <w:rPr>
          <w:rFonts w:ascii="Times New Roman" w:hAnsi="Times New Roman"/>
          <w:sz w:val="20"/>
        </w:rPr>
      </w:pPr>
      <w:r>
        <w:rPr>
          <w:rFonts w:ascii="Times New Roman" w:hAnsi="Times New Roman"/>
          <w:b/>
          <w:sz w:val="20"/>
        </w:rPr>
        <w:t>Boston, MA  November</w:t>
      </w:r>
      <w:r>
        <w:rPr>
          <w:rFonts w:ascii="Times New Roman" w:hAnsi="Times New Roman"/>
          <w:sz w:val="20"/>
        </w:rPr>
        <w:t> </w:t>
      </w:r>
      <w:r>
        <w:rPr>
          <w:rFonts w:ascii="Times New Roman" w:hAnsi="Times New Roman"/>
          <w:b/>
          <w:sz w:val="20"/>
        </w:rPr>
        <w:t>7, 2023:</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third quarter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with our third quarter results, where we generated our highest quarter of revenue and adjusted EBITDA, ever, said Mike Massaro, CEO of Flywire. Our third quarter results were driven in part due to the ongoing optimization of our go-to-market strategy globally, where our sales and marketing teams continued to deliver new client wins and client expansions across all verticals. Our results were within our prior guidance range despite significant foreign exchange headwinds relative to when we previously provided our outlook.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2023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29.5% to $123.3 million in the third quarter of 2023, compared to $95.2 million in the third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$78.4 million, resulting in Gross Margin of 63.6%, for the third quarter of 2023, compared to Gross Profit of $61.3 million and Gross Margin of 64.4% in the third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income was $10.6 million in the third quarter of 2023, compared to net (loss) of $(4.3) million in the third quarter of 2022.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26% to $8.9 billion in the third quarter of 2023, compared to $7.0 billion in the third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31.4% to $116.8 million in the third quarter of 2023, compared to $88.9 million in the third quarter of 2022. Revenue Less Ancillary Services in the third quarter of 2023 was estimated to be unfavorably impacted by changes in foreign exchange rates between June 30, 2023 and September 30, 2023 by approximately $1.4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$80.1 million, resulting in Adjusted Gross Margin of 68.6% in the third quarter of 2023, compared to Adjusted Gross Profit of $62.6 million and Adjusted Gross Margin of 70.4% in the third quarter of 2022. Third quarter 2022 Adjusted Gross Profit and Adjusted Gross Margin have been recast to align with the updated methodology as described in the Key Operating Metrics and Non-GAAP Financial Measures section below.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increased to $27.5 million in the third quarter of 2023, compared to $18.2 million in the third quarter of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StudyLink to accelerate expansion in the Australian higher education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more than 185 new clients in the third quarter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the highest number of net new clients in the travel vertical in the third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quarter 2023 was the highest quarter of revenue and adjusted gross profit ever for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Completed a follow-on offering of 8,500,000 shares of voting common stock. The Company raised $260.1 million after underwriter discounts and commissions and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Gretchen Howard, a former Fidelity, Google and Robinhood executive who brings deep operating experience, to its Board of Directors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Fourth Quarter and Fiscal-Year 2023 Outlook: </w:t>
      </w:r>
    </w:p>
    <w:p>
      <w:pPr>
        <w:pStyle w:val="TextBody"/>
        <w:bidi w:val="0"/>
        <w:spacing w:before="120" w:after="0"/>
        <w:jc w:val="left"/>
        <w:rPr>
          <w:rFonts w:ascii="Times New Roman" w:hAnsi="Times New Roman"/>
          <w:sz w:val="20"/>
        </w:rPr>
      </w:pPr>
      <w:r>
        <w:rPr>
          <w:rFonts w:ascii="Times New Roman" w:hAnsi="Times New Roman"/>
          <w:sz w:val="20"/>
        </w:rPr>
        <w:t xml:space="preserve">We were very pleased with how we performed during the third quarter and believe that the 43% year-to-date growth rate in revenue less ancillary services reflects the strength of our business. As a result of this success, we are raising our Fiscal-Year outlook before FX impacts, said Mike Ellis, CFO of Flywire. Specifically, our updated outlook reflects the addition of $1.0 million attributable to the StudyLink acquisition and an additional $1.6 million in the fourth quarter related to underlying organic strength in our business. These factors are offset by an estimated $3.8 million in foreign exchange headwinds based on September 30, 2023 exchange compared to our prior guidance, of which $2.5 million was attributable to the fourth quarter of 2023.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available as of November 7, 2023, Flywire anticipates the following for the fourth quarter and fiscal-year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82"/>
        <w:gridCol w:w="220"/>
        <w:gridCol w:w="2137"/>
      </w:tblGrid>
      <w:tr>
        <w:trPr/>
        <w:tc>
          <w:tcPr>
            <w:tcW w:w="4582"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2137" w:type="dxa"/>
            <w:tcBorders>
              <w:bottom w:val="single" w:sz="8" w:space="0" w:color="000000"/>
            </w:tcBorders>
            <w:tcMar>
              <w:bottom w:w="28" w:type="dxa"/>
            </w:tcMar>
            <w:vAlign w:val="bottom"/>
          </w:tcPr>
          <w:p>
            <w:pPr>
              <w:pStyle w:val="TableContents"/>
              <w:bidi w:val="0"/>
              <w:spacing w:before="0" w:after="283"/>
              <w:jc w:val="center"/>
              <w:rPr>
                <w:b/>
              </w:rPr>
            </w:pPr>
            <w:r>
              <w:rPr>
                <w:b/>
              </w:rPr>
              <w:t>Fourth Quarter 2023*</w:t>
            </w:r>
          </w:p>
        </w:tc>
      </w:tr>
      <w:tr>
        <w:trPr/>
        <w:tc>
          <w:tcPr>
            <w:tcW w:w="45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0" w:type="dxa"/>
            <w:tcBorders/>
            <w:shd w:fill="CCEEFF" w:val="clear"/>
            <w:vAlign w:val="bottom"/>
          </w:tcPr>
          <w:p>
            <w:pPr>
              <w:pStyle w:val="TableContents"/>
              <w:bidi w:val="0"/>
              <w:spacing w:before="0" w:after="283"/>
              <w:jc w:val="left"/>
              <w:rPr/>
            </w:pPr>
            <w:r>
              <w:rPr/>
              <w:t>  </w:t>
            </w:r>
          </w:p>
        </w:tc>
        <w:tc>
          <w:tcPr>
            <w:tcW w:w="2137" w:type="dxa"/>
            <w:tcBorders/>
            <w:shd w:fill="CCEEFF" w:val="clear"/>
            <w:vAlign w:val="bottom"/>
          </w:tcPr>
          <w:p>
            <w:pPr>
              <w:pStyle w:val="TableContents"/>
              <w:bidi w:val="0"/>
              <w:spacing w:before="0" w:after="283"/>
              <w:jc w:val="center"/>
              <w:rPr/>
            </w:pPr>
            <w:r>
              <w:rPr/>
              <w:t>$91.5 to $96.5 million</w:t>
            </w:r>
          </w:p>
        </w:tc>
      </w:tr>
      <w:tr>
        <w:trPr/>
        <w:tc>
          <w:tcPr>
            <w:tcW w:w="45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20" w:type="dxa"/>
            <w:tcBorders/>
            <w:vAlign w:val="bottom"/>
          </w:tcPr>
          <w:p>
            <w:pPr>
              <w:pStyle w:val="TableContents"/>
              <w:bidi w:val="0"/>
              <w:spacing w:before="0" w:after="283"/>
              <w:jc w:val="left"/>
              <w:rPr/>
            </w:pPr>
            <w:r>
              <w:rPr/>
              <w:t>  </w:t>
            </w:r>
          </w:p>
        </w:tc>
        <w:tc>
          <w:tcPr>
            <w:tcW w:w="2137" w:type="dxa"/>
            <w:tcBorders/>
            <w:vAlign w:val="bottom"/>
          </w:tcPr>
          <w:p>
            <w:pPr>
              <w:pStyle w:val="TableContents"/>
              <w:bidi w:val="0"/>
              <w:spacing w:before="0" w:after="283"/>
              <w:jc w:val="center"/>
              <w:rPr/>
            </w:pPr>
            <w:r>
              <w:rPr/>
              <w:t>$86.5 to $90.5 million</w:t>
            </w:r>
          </w:p>
        </w:tc>
      </w:tr>
      <w:tr>
        <w:trPr/>
        <w:tc>
          <w:tcPr>
            <w:tcW w:w="45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20" w:type="dxa"/>
            <w:tcBorders/>
            <w:shd w:fill="CCEEFF" w:val="clear"/>
            <w:vAlign w:val="bottom"/>
          </w:tcPr>
          <w:p>
            <w:pPr>
              <w:pStyle w:val="TableContents"/>
              <w:bidi w:val="0"/>
              <w:spacing w:before="0" w:after="283"/>
              <w:jc w:val="left"/>
              <w:rPr/>
            </w:pPr>
            <w:r>
              <w:rPr/>
              <w:t>  </w:t>
            </w:r>
          </w:p>
        </w:tc>
        <w:tc>
          <w:tcPr>
            <w:tcW w:w="2137" w:type="dxa"/>
            <w:tcBorders/>
            <w:shd w:fill="CCEEFF" w:val="clear"/>
            <w:vAlign w:val="bottom"/>
          </w:tcPr>
          <w:p>
            <w:pPr>
              <w:pStyle w:val="TableContents"/>
              <w:bidi w:val="0"/>
              <w:spacing w:before="0" w:after="283"/>
              <w:jc w:val="center"/>
              <w:rPr/>
            </w:pPr>
            <w:r>
              <w:rPr/>
              <w:t>$1.0 to $4.0 million</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4297"/>
        <w:gridCol w:w="272"/>
        <w:gridCol w:w="2370"/>
      </w:tblGrid>
      <w:tr>
        <w:trPr/>
        <w:tc>
          <w:tcPr>
            <w:tcW w:w="4297"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4297"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2370" w:type="dxa"/>
            <w:tcBorders>
              <w:bottom w:val="single" w:sz="8" w:space="0" w:color="000000"/>
            </w:tcBorders>
            <w:tcMar>
              <w:bottom w:w="28" w:type="dxa"/>
            </w:tcMar>
            <w:vAlign w:val="bottom"/>
          </w:tcPr>
          <w:p>
            <w:pPr>
              <w:pStyle w:val="TableContents"/>
              <w:bidi w:val="0"/>
              <w:spacing w:before="0" w:after="283"/>
              <w:jc w:val="center"/>
              <w:rPr>
                <w:b/>
              </w:rPr>
            </w:pPr>
            <w:r>
              <w:rPr>
                <w:b/>
              </w:rPr>
              <w:t>Fiscal-Year 2023*</w:t>
            </w:r>
          </w:p>
        </w:tc>
      </w:tr>
      <w:tr>
        <w:trPr/>
        <w:tc>
          <w:tcPr>
            <w:tcW w:w="42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72" w:type="dxa"/>
            <w:tcBorders/>
            <w:shd w:fill="CCEEFF" w:val="clear"/>
            <w:vAlign w:val="bottom"/>
          </w:tcPr>
          <w:p>
            <w:pPr>
              <w:pStyle w:val="TableContents"/>
              <w:bidi w:val="0"/>
              <w:spacing w:before="0" w:after="283"/>
              <w:jc w:val="left"/>
              <w:rPr/>
            </w:pPr>
            <w:r>
              <w:rPr/>
              <w:t>  </w:t>
            </w:r>
          </w:p>
        </w:tc>
        <w:tc>
          <w:tcPr>
            <w:tcW w:w="2370" w:type="dxa"/>
            <w:tcBorders/>
            <w:shd w:fill="CCEEFF" w:val="clear"/>
            <w:vAlign w:val="bottom"/>
          </w:tcPr>
          <w:p>
            <w:pPr>
              <w:pStyle w:val="TableContents"/>
              <w:bidi w:val="0"/>
              <w:spacing w:before="0" w:after="283"/>
              <w:jc w:val="center"/>
              <w:rPr/>
            </w:pPr>
            <w:r>
              <w:rPr/>
              <w:t>$394.1 to $399.3 million</w:t>
            </w:r>
          </w:p>
        </w:tc>
      </w:tr>
      <w:tr>
        <w:trPr/>
        <w:tc>
          <w:tcPr>
            <w:tcW w:w="4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72"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center"/>
              <w:rPr/>
            </w:pPr>
            <w:r>
              <w:rPr/>
              <w:t>$372.0 to $376.0 million</w:t>
            </w:r>
          </w:p>
        </w:tc>
      </w:tr>
      <w:tr>
        <w:trPr/>
        <w:tc>
          <w:tcPr>
            <w:tcW w:w="42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72" w:type="dxa"/>
            <w:tcBorders/>
            <w:shd w:fill="CCEEFF" w:val="clear"/>
            <w:vAlign w:val="bottom"/>
          </w:tcPr>
          <w:p>
            <w:pPr>
              <w:pStyle w:val="TableContents"/>
              <w:bidi w:val="0"/>
              <w:spacing w:before="0" w:after="283"/>
              <w:jc w:val="left"/>
              <w:rPr/>
            </w:pPr>
            <w:r>
              <w:rPr/>
              <w:t>  </w:t>
            </w:r>
          </w:p>
        </w:tc>
        <w:tc>
          <w:tcPr>
            <w:tcW w:w="2370" w:type="dxa"/>
            <w:tcBorders/>
            <w:shd w:fill="CCEEFF" w:val="clear"/>
            <w:vAlign w:val="bottom"/>
          </w:tcPr>
          <w:p>
            <w:pPr>
              <w:pStyle w:val="TableContents"/>
              <w:bidi w:val="0"/>
              <w:spacing w:before="0" w:after="283"/>
              <w:jc w:val="center"/>
              <w:rPr/>
            </w:pPr>
            <w:r>
              <w:rPr/>
              <w:t>$35.0 to $39.0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assumed foreign exchange rates prevailing as of September 30, 2023. For supplemental information regarding the estimated effects of changes in foreign exchange rates between June 30, 2023 and September 30, 2023 on the Companys updated outlook compared to prior outlook, see the section below entitled Supplemental Outlook Details.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Flywires actual results to differ materially from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third quarter 2023 financial results today at 5:00 pm ET. Hosting the call will be Mike Massaro, CEO, Rob Orgel, President and COO, and Mike Ellis,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Key Operating Metrics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this presentation supplements the GAAP presentation of Gross Margin with a useful measure of the gross margin of the Companys payment-related services, which are the primary services it provides to its clients. Beginning with the quarter ended December 31, 2022, Flywire has excluded depreciation and amortization from the calculation of its adjusted Gross Profit, which it believes enhances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understanding of the Companys operating performance and enables more meaningful period to period comparisons. The Companys previously reported Adjusted Gross Profit and Adjusted Gross Margin for the three months ended September 30, 2022 were recast to conform to the updated methodology and are reflected herein for comparison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acquisitions,(iii) interest income, (iv) gain (loss) from the remeasurement of foreign currency, (v) indirect taxes related to intercompany activity, (vi) acquisition related transaction costs, if applicable, and (vii) employee retention costs, such as incentive compensation, associated with acquisition activities. Management believes that the exclusion of these amounts to calculate Adjusted EBITDA provides useful measures for period-to-period comparisons of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the Companys revenue, gross profit, gross margin or net income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Flywire combines its proprietary global payments network, next-gen payments platform and vertical-specific software to deliver the most important and complex payments for its clients and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 </w:t>
      </w:r>
    </w:p>
    <w:p>
      <w:pPr>
        <w:pStyle w:val="TextBody"/>
        <w:bidi w:val="0"/>
        <w:spacing w:before="240" w:after="0"/>
        <w:jc w:val="left"/>
        <w:rPr>
          <w:rFonts w:ascii="Times New Roman" w:hAnsi="Times New Roman"/>
          <w:sz w:val="20"/>
        </w:rPr>
      </w:pPr>
      <w:r>
        <w:rPr>
          <w:rFonts w:ascii="Times New Roman" w:hAnsi="Times New Roman"/>
          <w:sz w:val="20"/>
        </w:rPr>
        <w:t xml:space="preserve">Flywire supports more than 3,700 clients with diverse payment methods in more than 140 currencies across 240 countries and territories around the world. Flywire is headquartered in Boston, MA, USA with additional offices around the globe. For more information, visit </w:t>
      </w:r>
      <w:r>
        <w:rPr>
          <w:rFonts w:ascii="Times New Roman" w:hAnsi="Times New Roman"/>
          <w:b/>
          <w:sz w:val="20"/>
          <w:u w:val="single"/>
        </w:rPr>
        <w:t>www.flywire.com</w:t>
      </w:r>
      <w:r>
        <w:rPr>
          <w:rFonts w:ascii="Times New Roman" w:hAnsi="Times New Roman"/>
          <w:sz w:val="20"/>
        </w:rPr>
        <w:t xml:space="preserve">. Follow Flywire on </w:t>
      </w:r>
      <w:r>
        <w:rPr>
          <w:rFonts w:ascii="Times New Roman" w:hAnsi="Times New Roman"/>
          <w:b/>
          <w:sz w:val="20"/>
          <w:u w:val="single"/>
        </w:rPr>
        <w:t>Twitter</w:t>
      </w:r>
      <w:r>
        <w:rPr>
          <w:rFonts w:ascii="Times New Roman" w:hAnsi="Times New Roman"/>
          <w:sz w:val="20"/>
        </w:rPr>
        <w:t xml:space="preserve">, </w:t>
      </w:r>
      <w:r>
        <w:rPr>
          <w:rFonts w:ascii="Times New Roman" w:hAnsi="Times New Roman"/>
          <w:b/>
          <w:sz w:val="20"/>
          <w:u w:val="single"/>
        </w:rPr>
        <w:t>LinkedIn</w:t>
      </w:r>
      <w:r>
        <w:rPr>
          <w:rFonts w:ascii="Times New Roman" w:hAnsi="Times New Roman"/>
          <w:sz w:val="20"/>
        </w:rPr>
        <w:t xml:space="preserve"> and</w:t>
      </w:r>
      <w:r>
        <w:rPr>
          <w:rFonts w:ascii="Times New Roman" w:hAnsi="Times New Roman"/>
          <w:sz w:val="20"/>
          <w:u w:val="single"/>
        </w:rPr>
        <w:t xml:space="preserve"> </w:t>
      </w:r>
      <w:r>
        <w:rPr>
          <w:rFonts w:ascii="Times New Roman" w:hAnsi="Times New Roman"/>
          <w:b/>
          <w:sz w:val="20"/>
          <w:u w:val="single"/>
        </w:rPr>
        <w:t>Facebook</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and foreign exchange rates. Risks that may cause actual results to differ materially from these forward looking statements include, but are not limited to: Flywires ability to execute its business plan and effectively manage its growth;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and Quarterly Report on Form 10-Q for the quarter ended June 30, 2023, which are on file with the Securities and Exchange Commission (SEC) and available on the SECs website at </w:t>
      </w:r>
      <w:r>
        <w:rPr>
          <w:rFonts w:ascii="Times New Roman" w:hAnsi="Times New Roman"/>
          <w:sz w:val="20"/>
          <w:u w:val="single"/>
        </w:rPr>
        <w:t>https://www.sec.gov/</w:t>
      </w:r>
      <w:r>
        <w:rPr>
          <w:rFonts w:ascii="Times New Roman" w:hAnsi="Times New Roman"/>
          <w:sz w:val="20"/>
        </w:rPr>
        <w:t xml:space="preserve">. Additional factors may be described in those sections of Flywires Quarterly Report on Form 10-Q for the quarter ended September 30, 2023, expected to be filed with the SEC in the fourth quarter of 2023. The information in this release is provided only as of the date of this release, and Flywire undertakes no obligation to update any forward-looking statements contained in this release on account of new information, future events, or otherwise, except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Akil Hollis </w:t>
      </w:r>
    </w:p>
    <w:p>
      <w:pPr>
        <w:pStyle w:val="TextBody"/>
        <w:bidi w:val="0"/>
        <w:spacing w:before="0" w:after="0"/>
        <w:jc w:val="left"/>
        <w:rPr>
          <w:rFonts w:ascii="Times New Roman" w:hAnsi="Times New Roman"/>
          <w:b/>
          <w:sz w:val="20"/>
        </w:rPr>
      </w:pPr>
      <w:r>
        <w:rPr>
          <w:rFonts w:ascii="Times New Roman" w:hAnsi="Times New Roman"/>
          <w:b/>
          <w:sz w:val="20"/>
        </w:rPr>
        <w:t xml:space="preserve">ir@Flywire.com </w:t>
      </w:r>
    </w:p>
    <w:p>
      <w:pPr>
        <w:pStyle w:val="TextBody"/>
        <w:bidi w:val="0"/>
        <w:spacing w:before="36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rPr>
      </w:pPr>
      <w:r>
        <w:rPr>
          <w:rFonts w:ascii="Times New Roman" w:hAnsi="Times New Roman"/>
          <w:b/>
          <w:sz w:val="20"/>
        </w:rPr>
        <w:t xml:space="preserve">Sarah.King@Flywire.com </w:t>
      </w:r>
    </w:p>
    <w:p>
      <w:pPr>
        <w:pStyle w:val="TextBody"/>
        <w:bidi w:val="0"/>
        <w:spacing w:before="240" w:after="0"/>
        <w:jc w:val="left"/>
        <w:rPr>
          <w:rFonts w:ascii="Times New Roman" w:hAnsi="Times New Roman"/>
          <w:sz w:val="20"/>
        </w:rPr>
      </w:pPr>
      <w:r>
        <w:rPr>
          <w:rFonts w:ascii="Times New Roman" w:hAnsi="Times New Roman"/>
          <w:sz w:val="20"/>
        </w:rPr>
        <w:t xml:space="preserve">Prosek Partners </w:t>
      </w:r>
    </w:p>
    <w:p>
      <w:pPr>
        <w:pStyle w:val="TextBody"/>
        <w:bidi w:val="0"/>
        <w:spacing w:before="0" w:after="0"/>
        <w:jc w:val="left"/>
        <w:rPr>
          <w:rFonts w:ascii="Times New Roman" w:hAnsi="Times New Roman"/>
          <w:b/>
          <w:sz w:val="20"/>
        </w:rPr>
      </w:pPr>
      <w:r>
        <w:rPr>
          <w:rFonts w:ascii="Times New Roman" w:hAnsi="Times New Roman"/>
          <w:b/>
          <w:sz w:val="20"/>
        </w:rPr>
        <w:t xml:space="preserve">pro-flywire@prosek.com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7"/>
        <w:gridCol w:w="235"/>
        <w:gridCol w:w="174"/>
        <w:gridCol w:w="1527"/>
        <w:gridCol w:w="193"/>
        <w:gridCol w:w="192"/>
        <w:gridCol w:w="174"/>
        <w:gridCol w:w="1531"/>
        <w:gridCol w:w="155"/>
        <w:gridCol w:w="178"/>
        <w:gridCol w:w="140"/>
        <w:gridCol w:w="1243"/>
        <w:gridCol w:w="155"/>
        <w:gridCol w:w="178"/>
        <w:gridCol w:w="140"/>
        <w:gridCol w:w="1243"/>
        <w:gridCol w:w="160"/>
      </w:tblGrid>
      <w:tr>
        <w:trPr/>
        <w:tc>
          <w:tcPr>
            <w:tcW w:w="2587"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8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7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30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27" w:type="dxa"/>
            <w:tcBorders/>
            <w:shd w:fill="CCEEFF" w:val="clear"/>
            <w:vAlign w:val="bottom"/>
          </w:tcPr>
          <w:p>
            <w:pPr>
              <w:pStyle w:val="TableContents"/>
              <w:bidi w:val="0"/>
              <w:spacing w:before="0" w:after="283"/>
              <w:jc w:val="right"/>
              <w:rPr/>
            </w:pPr>
            <w:r>
              <w:rPr/>
              <w:t>123,323</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95,232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302,549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216,322</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52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5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42,900</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32,275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110,559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78,348</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14,591</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13,385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45,130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37,565</w:t>
            </w:r>
          </w:p>
        </w:tc>
        <w:tc>
          <w:tcPr>
            <w:tcW w:w="160" w:type="dxa"/>
            <w:tcBorders/>
            <w:vAlign w:val="bottom"/>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27,084</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21,674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78,791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58,169</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26,862</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24,246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79,559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63,089</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111,437</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91,580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314,039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237,171</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operations</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27" w:type="dxa"/>
            <w:tcBorders/>
            <w:vAlign w:val="bottom"/>
          </w:tcPr>
          <w:p>
            <w:pPr>
              <w:pStyle w:val="TableContents"/>
              <w:bidi w:val="0"/>
              <w:spacing w:before="0" w:after="283"/>
              <w:jc w:val="right"/>
              <w:rPr/>
            </w:pPr>
            <w:r>
              <w:rPr/>
              <w:t>11,886</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3,652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(11,490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(20,849</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527"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53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(99</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(400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(280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(884</w:t>
            </w:r>
          </w:p>
        </w:tc>
        <w:tc>
          <w:tcPr>
            <w:tcW w:w="160" w:type="dxa"/>
            <w:tcBorders/>
            <w:vAlign w:val="bottom"/>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3,841</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1,273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7,711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1,457</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Loss from remeasurement of foreign currency</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(4,233</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(7,520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(3,518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(15,087</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(491</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(6,647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3,913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(14,514</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11,395</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(2,995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(7,577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(35,363</w:t>
            </w:r>
          </w:p>
        </w:tc>
        <w:tc>
          <w:tcPr>
            <w:tcW w:w="160" w:type="dxa"/>
            <w:tcBorders/>
            <w:vAlign w:val="bottom"/>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752</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1,277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2,276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2,855</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27" w:type="dxa"/>
            <w:tcBorders/>
            <w:vAlign w:val="bottom"/>
          </w:tcPr>
          <w:p>
            <w:pPr>
              <w:pStyle w:val="TableContents"/>
              <w:bidi w:val="0"/>
              <w:spacing w:before="0" w:after="283"/>
              <w:jc w:val="right"/>
              <w:rPr/>
            </w:pPr>
            <w:r>
              <w:rPr/>
              <w:t>10,643</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(4,272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(9,853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(38,218</w:t>
            </w:r>
          </w:p>
        </w:tc>
        <w:tc>
          <w:tcPr>
            <w:tcW w:w="160" w:type="dxa"/>
            <w:tcBorders/>
            <w:vAlign w:val="bottom"/>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(2,581</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(273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(499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(408</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27" w:type="dxa"/>
            <w:tcBorders/>
            <w:vAlign w:val="bottom"/>
          </w:tcPr>
          <w:p>
            <w:pPr>
              <w:pStyle w:val="TableContents"/>
              <w:pBdr>
                <w:top w:val="single" w:sz="2"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15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27" w:type="dxa"/>
            <w:tcBorders/>
            <w:vAlign w:val="bottom"/>
          </w:tcPr>
          <w:p>
            <w:pPr>
              <w:pStyle w:val="TableContents"/>
              <w:bidi w:val="0"/>
              <w:spacing w:before="0" w:after="283"/>
              <w:jc w:val="right"/>
              <w:rPr/>
            </w:pPr>
            <w:r>
              <w:rPr/>
              <w:t>8,062</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(4,545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(10,352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(38,626</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common stockholders - basic and diluted</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27" w:type="dxa"/>
            <w:tcBorders/>
            <w:shd w:fill="CCEEFF" w:val="clear"/>
            <w:vAlign w:val="bottom"/>
          </w:tcPr>
          <w:p>
            <w:pPr>
              <w:pStyle w:val="TableContents"/>
              <w:bidi w:val="0"/>
              <w:spacing w:before="0" w:after="283"/>
              <w:jc w:val="right"/>
              <w:rPr/>
            </w:pPr>
            <w:r>
              <w:rPr/>
              <w:t>10,643</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(4,272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(9,853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(38,218</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 basic</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27" w:type="dxa"/>
            <w:tcBorders/>
            <w:vAlign w:val="bottom"/>
          </w:tcPr>
          <w:p>
            <w:pPr>
              <w:pStyle w:val="TableContents"/>
              <w:bidi w:val="0"/>
              <w:spacing w:before="0" w:after="283"/>
              <w:jc w:val="right"/>
              <w:rPr/>
            </w:pPr>
            <w:r>
              <w:rPr/>
              <w:t>0.09</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531" w:type="dxa"/>
            <w:tcBorders/>
            <w:vAlign w:val="bottom"/>
          </w:tcPr>
          <w:p>
            <w:pPr>
              <w:pStyle w:val="TableContents"/>
              <w:bidi w:val="0"/>
              <w:spacing w:before="0" w:after="283"/>
              <w:jc w:val="right"/>
              <w:rPr/>
            </w:pPr>
            <w:r>
              <w:rPr/>
              <w:t>(0.04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(0.09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(0.36</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attributable to common stockholders - diluted</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27" w:type="dxa"/>
            <w:tcBorders/>
            <w:shd w:fill="CCEEFF" w:val="clear"/>
            <w:vAlign w:val="bottom"/>
          </w:tcPr>
          <w:p>
            <w:pPr>
              <w:pStyle w:val="TableContents"/>
              <w:bidi w:val="0"/>
              <w:spacing w:before="0" w:after="283"/>
              <w:jc w:val="right"/>
              <w:rPr/>
            </w:pPr>
            <w:r>
              <w:rPr/>
              <w:t>0.08</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531" w:type="dxa"/>
            <w:tcBorders/>
            <w:shd w:fill="CCEEFF" w:val="clear"/>
            <w:vAlign w:val="bottom"/>
          </w:tcPr>
          <w:p>
            <w:pPr>
              <w:pStyle w:val="TableContents"/>
              <w:bidi w:val="0"/>
              <w:spacing w:before="0" w:after="283"/>
              <w:jc w:val="right"/>
              <w:rPr/>
            </w:pPr>
            <w:r>
              <w:rPr/>
              <w:t>(0.04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(0.09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(0.36</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27" w:type="dxa"/>
            <w:tcBorders/>
            <w:vAlign w:val="bottom"/>
          </w:tcPr>
          <w:p>
            <w:pPr>
              <w:pStyle w:val="TableContents"/>
              <w:bidi w:val="0"/>
              <w:spacing w:before="0" w:after="283"/>
              <w:jc w:val="right"/>
              <w:rPr/>
            </w:pPr>
            <w:r>
              <w:rPr/>
              <w:t>116,492,191</w:t>
            </w:r>
          </w:p>
        </w:tc>
        <w:tc>
          <w:tcPr>
            <w:tcW w:w="19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right"/>
              <w:rPr/>
            </w:pPr>
            <w:r>
              <w:rPr/>
              <w:t>107,925,637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112,495,539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107,562,799</w:t>
            </w:r>
          </w:p>
        </w:tc>
        <w:tc>
          <w:tcPr>
            <w:tcW w:w="160" w:type="dxa"/>
            <w:tcBorders/>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diluted</w:t>
            </w:r>
          </w:p>
        </w:tc>
        <w:tc>
          <w:tcPr>
            <w:tcW w:w="23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27" w:type="dxa"/>
            <w:tcBorders/>
            <w:shd w:fill="CCEEFF" w:val="clear"/>
            <w:vAlign w:val="bottom"/>
          </w:tcPr>
          <w:p>
            <w:pPr>
              <w:pStyle w:val="TableContents"/>
              <w:bidi w:val="0"/>
              <w:spacing w:before="0" w:after="283"/>
              <w:jc w:val="right"/>
              <w:rPr/>
            </w:pPr>
            <w:r>
              <w:rPr/>
              <w:t>125,480,393</w:t>
            </w:r>
          </w:p>
        </w:tc>
        <w:tc>
          <w:tcPr>
            <w:tcW w:w="19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bidi w:val="0"/>
              <w:spacing w:before="0" w:after="283"/>
              <w:jc w:val="right"/>
              <w:rPr/>
            </w:pPr>
            <w:r>
              <w:rPr/>
              <w:t>107,925,637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112,495,539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107,562,799</w:t>
            </w:r>
          </w:p>
        </w:tc>
        <w:tc>
          <w:tcPr>
            <w:tcW w:w="160" w:type="dxa"/>
            <w:tcBorders/>
            <w:shd w:fill="CCEEFF" w:val="clear"/>
            <w:vAlign w:val="bottom"/>
          </w:tcPr>
          <w:p>
            <w:pPr>
              <w:pStyle w:val="TableContents"/>
              <w:bidi w:val="0"/>
              <w:spacing w:before="0" w:after="283"/>
              <w:jc w:val="left"/>
              <w:rPr/>
            </w:pPr>
            <w:r>
              <w:rPr/>
              <w:t> </w:t>
            </w:r>
          </w:p>
        </w:tc>
      </w:tr>
      <w:tr>
        <w:trPr/>
        <w:tc>
          <w:tcPr>
            <w:tcW w:w="2587"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27" w:type="dxa"/>
            <w:tcBorders/>
            <w:vAlign w:val="bottom"/>
          </w:tcPr>
          <w:p>
            <w:pPr>
              <w:pStyle w:val="TableContents"/>
              <w:pBdr>
                <w:top w:val="double" w:sz="6" w:space="1" w:color="000000"/>
              </w:pBdr>
              <w:bidi w:val="0"/>
              <w:spacing w:before="0" w:after="0"/>
              <w:jc w:val="left"/>
              <w:rPr/>
            </w:pPr>
            <w:r>
              <w:rPr/>
              <w:t> </w:t>
            </w:r>
          </w:p>
        </w:tc>
        <w:tc>
          <w:tcPr>
            <w:tcW w:w="193"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15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0"/>
        <w:gridCol w:w="227"/>
        <w:gridCol w:w="195"/>
        <w:gridCol w:w="1229"/>
        <w:gridCol w:w="155"/>
        <w:gridCol w:w="184"/>
        <w:gridCol w:w="186"/>
        <w:gridCol w:w="1192"/>
        <w:gridCol w:w="157"/>
      </w:tblGrid>
      <w:tr>
        <w:trPr/>
        <w:tc>
          <w:tcPr>
            <w:tcW w:w="668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8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7"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638,205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349,177</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2,000</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18,151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13,697</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6,779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5,268</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80,499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62,970</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18,793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17,531</w:t>
            </w:r>
          </w:p>
        </w:tc>
        <w:tc>
          <w:tcPr>
            <w:tcW w:w="157"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762,427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450,643</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15,241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13,317</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88,287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97,616</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97,173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97,766</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19,288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14,945</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982,416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674,287</w:t>
            </w:r>
          </w:p>
        </w:tc>
        <w:tc>
          <w:tcPr>
            <w:tcW w:w="157"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17,574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13,325</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132,467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124,305</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38,255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34,423</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3,812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5,223</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192,108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177,276</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11,271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12,149</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3,719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2,959</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207,098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192,384</w:t>
            </w:r>
          </w:p>
        </w:tc>
        <w:tc>
          <w:tcPr>
            <w:tcW w:w="157"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September 30, 2023 and December 31, 2022; and no shares issued and outstanding as of June 30, 2023 and December 31, 2022</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September 30, 2023 and December 31, 2022; 121,700,424 shares issued and 119,382,702 shares outstanding as of September 30, 2023; 109,790,702 shares issued and 107,472,980 shares outstanding as of December 31, 2022</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10</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September 30, 2023 and December 31, 2022; 1,873,320 shares issued and outstanding as of September 30, 2023 and December 31, 2022</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Treasury voting common stock, 2,317,722 shares as of September 30, 2023 and December 31, 2022, held at cost</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(748</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953,522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649,756</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(2,411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(1,912</w:t>
            </w:r>
          </w:p>
        </w:tc>
        <w:tc>
          <w:tcPr>
            <w:tcW w:w="157" w:type="dxa"/>
            <w:tcBorders/>
            <w:vAlign w:val="bottom"/>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(175,057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(165,204</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775,318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481,903</w:t>
            </w:r>
          </w:p>
        </w:tc>
        <w:tc>
          <w:tcPr>
            <w:tcW w:w="157" w:type="dxa"/>
            <w:tcBorders/>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6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2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982,416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674,287</w:t>
            </w:r>
          </w:p>
        </w:tc>
        <w:tc>
          <w:tcPr>
            <w:tcW w:w="157" w:type="dxa"/>
            <w:tcBorders/>
            <w:shd w:fill="CCEEFF" w:val="clear"/>
            <w:vAlign w:val="bottom"/>
          </w:tcPr>
          <w:p>
            <w:pPr>
              <w:pStyle w:val="TableContents"/>
              <w:bidi w:val="0"/>
              <w:spacing w:before="0" w:after="283"/>
              <w:jc w:val="left"/>
              <w:rPr/>
            </w:pPr>
            <w:r>
              <w:rPr/>
              <w:t> </w:t>
            </w:r>
          </w:p>
        </w:tc>
      </w:tr>
      <w:tr>
        <w:trPr/>
        <w:tc>
          <w:tcPr>
            <w:tcW w:w="668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3"/>
        <w:gridCol w:w="222"/>
        <w:gridCol w:w="235"/>
        <w:gridCol w:w="1360"/>
        <w:gridCol w:w="261"/>
        <w:gridCol w:w="206"/>
        <w:gridCol w:w="235"/>
        <w:gridCol w:w="1364"/>
        <w:gridCol w:w="159"/>
      </w:tblGrid>
      <w:tr>
        <w:trPr/>
        <w:tc>
          <w:tcPr>
            <w:tcW w:w="6163"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36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(9,853</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64" w:type="dxa"/>
            <w:tcBorders/>
            <w:vAlign w:val="bottom"/>
          </w:tcPr>
          <w:p>
            <w:pPr>
              <w:pStyle w:val="TableContents"/>
              <w:bidi w:val="0"/>
              <w:spacing w:before="0" w:after="283"/>
              <w:jc w:val="right"/>
              <w:rPr/>
            </w:pPr>
            <w:r>
              <w:rPr/>
              <w:t>(38,218</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11,774</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9,186</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31,299</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22,461</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367</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243</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380</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297</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(896</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(527</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uncollectible accounts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525</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242</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268</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sz w:val="4"/>
                <w:szCs w:val="4"/>
              </w:rPr>
            </w:pPr>
            <w:r>
              <w:rPr>
                <w:sz w:val="4"/>
                <w:szCs w:val="4"/>
              </w:rPr>
            </w:r>
          </w:p>
        </w:tc>
        <w:tc>
          <w:tcPr>
            <w:tcW w:w="13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(4,979</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(4,316</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(1,511</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(2,305</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(17,529</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(2,090</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(4,536</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(7,674</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8,163</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(3,798</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10,148</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4,359</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(467</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(4,524</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(882</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(446</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(1,368</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(730</w:t>
            </w:r>
          </w:p>
        </w:tc>
        <w:tc>
          <w:tcPr>
            <w:tcW w:w="15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20,877</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(27,728</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(4,148</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(4,129</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(943</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(1,059</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Business acquisition, net of cash acquired</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(16,923</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(453</w:t>
            </w:r>
          </w:p>
        </w:tc>
        <w:tc>
          <w:tcPr>
            <w:tcW w:w="15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(5,091</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(22,564</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issuance of common stock under public offering, net of underwriter discounts and commissions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261,119</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costs related to public offering</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(447</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(1,207</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(3,320</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tax withholdings for net settled option exercises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(2,564</w:t>
            </w:r>
          </w:p>
        </w:tc>
        <w:tc>
          <w:tcPr>
            <w:tcW w:w="159" w:type="dxa"/>
            <w:tcBorders/>
            <w:vAlign w:val="bottom"/>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 Purchase Plan</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2,691</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1,271</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8,519</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5,222</w:t>
            </w:r>
          </w:p>
        </w:tc>
        <w:tc>
          <w:tcPr>
            <w:tcW w:w="15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270,675</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609</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567</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11,553</w:t>
            </w:r>
          </w:p>
        </w:tc>
        <w:tc>
          <w:tcPr>
            <w:tcW w:w="15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 cash</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287,028</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(38,130</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beginning of year</w:t>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60" w:type="dxa"/>
            <w:tcBorders/>
            <w:vAlign w:val="bottom"/>
          </w:tcPr>
          <w:p>
            <w:pPr>
              <w:pStyle w:val="TableContents"/>
              <w:bidi w:val="0"/>
              <w:spacing w:before="0" w:after="283"/>
              <w:jc w:val="right"/>
              <w:rPr/>
            </w:pPr>
            <w:r>
              <w:rPr/>
              <w:t>351,177</w:t>
            </w:r>
          </w:p>
        </w:tc>
        <w:tc>
          <w:tcPr>
            <w:tcW w:w="26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1364" w:type="dxa"/>
            <w:tcBorders/>
            <w:vAlign w:val="bottom"/>
          </w:tcPr>
          <w:p>
            <w:pPr>
              <w:pStyle w:val="TableContents"/>
              <w:bidi w:val="0"/>
              <w:spacing w:before="0" w:after="283"/>
              <w:jc w:val="right"/>
              <w:rPr/>
            </w:pPr>
            <w:r>
              <w:rPr/>
              <w:t>389,360</w:t>
            </w:r>
          </w:p>
        </w:tc>
        <w:tc>
          <w:tcPr>
            <w:tcW w:w="159" w:type="dxa"/>
            <w:tcBorders/>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0"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6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year</w:t>
            </w:r>
          </w:p>
        </w:tc>
        <w:tc>
          <w:tcPr>
            <w:tcW w:w="222"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60" w:type="dxa"/>
            <w:tcBorders/>
            <w:shd w:fill="CCEEFF" w:val="clear"/>
            <w:vAlign w:val="bottom"/>
          </w:tcPr>
          <w:p>
            <w:pPr>
              <w:pStyle w:val="TableContents"/>
              <w:bidi w:val="0"/>
              <w:spacing w:before="0" w:after="283"/>
              <w:jc w:val="right"/>
              <w:rPr/>
            </w:pPr>
            <w:r>
              <w:rPr/>
              <w:t>638,205</w:t>
            </w:r>
          </w:p>
        </w:tc>
        <w:tc>
          <w:tcPr>
            <w:tcW w:w="26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351,230</w:t>
            </w:r>
          </w:p>
        </w:tc>
        <w:tc>
          <w:tcPr>
            <w:tcW w:w="159" w:type="dxa"/>
            <w:tcBorders/>
            <w:shd w:fill="CCEEFF" w:val="clear"/>
            <w:vAlign w:val="bottom"/>
          </w:tcPr>
          <w:p>
            <w:pPr>
              <w:pStyle w:val="TableContents"/>
              <w:bidi w:val="0"/>
              <w:spacing w:before="0" w:after="283"/>
              <w:jc w:val="left"/>
              <w:rPr/>
            </w:pPr>
            <w:r>
              <w:rPr/>
              <w:t> </w:t>
            </w:r>
          </w:p>
        </w:tc>
      </w:tr>
      <w:tr>
        <w:trPr/>
        <w:tc>
          <w:tcPr>
            <w:tcW w:w="6163"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60" w:type="dxa"/>
            <w:tcBorders/>
            <w:vAlign w:val="bottom"/>
          </w:tcPr>
          <w:p>
            <w:pPr>
              <w:pStyle w:val="TableContents"/>
              <w:pBdr>
                <w:top w:val="double" w:sz="6"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120" w:after="0"/>
        <w:jc w:val="center"/>
        <w:rPr>
          <w:rFonts w:ascii="Times New Roman" w:hAnsi="Times New Roman"/>
          <w:b/>
          <w:sz w:val="20"/>
        </w:rPr>
      </w:pPr>
      <w:r>
        <w:rPr>
          <w:rFonts w:ascii="Times New Roman" w:hAnsi="Times New Roman"/>
          <w:b/>
          <w:sz w:val="20"/>
        </w:rPr>
        <w:t xml:space="preserve">(Amounts in millions, except percentages) </w:t>
      </w:r>
    </w:p>
    <w:p>
      <w:pPr>
        <w:pStyle w:val="TextBody"/>
        <w:bidi w:val="0"/>
        <w:spacing w:before="120" w:after="0"/>
        <w:jc w:val="left"/>
        <w:rPr>
          <w:rFonts w:ascii="Times New Roman" w:hAnsi="Times New Roman"/>
          <w:b/>
          <w:sz w:val="20"/>
        </w:rPr>
      </w:pPr>
      <w:r>
        <w:rPr>
          <w:rFonts w:ascii="Times New Roman" w:hAnsi="Times New Roman"/>
          <w:b/>
          <w:sz w:val="20"/>
        </w:rPr>
        <w:t xml:space="preserve">Modified Methodology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3"/>
        <w:gridCol w:w="200"/>
        <w:gridCol w:w="191"/>
        <w:gridCol w:w="801"/>
        <w:gridCol w:w="394"/>
        <w:gridCol w:w="165"/>
        <w:gridCol w:w="191"/>
        <w:gridCol w:w="606"/>
        <w:gridCol w:w="275"/>
        <w:gridCol w:w="144"/>
        <w:gridCol w:w="167"/>
        <w:gridCol w:w="711"/>
        <w:gridCol w:w="349"/>
        <w:gridCol w:w="154"/>
        <w:gridCol w:w="167"/>
        <w:gridCol w:w="715"/>
        <w:gridCol w:w="282"/>
      </w:tblGrid>
      <w:tr>
        <w:trPr/>
        <w:tc>
          <w:tcPr>
            <w:tcW w:w="4693"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69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123.3</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95.2</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302.5</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216.3</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(5.2</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(15.4</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(15.1</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(1.8</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(1.5</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116.8</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88.9</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285.3</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199.7</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42.9</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32.3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110.6</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78.3</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 expenses</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2.0</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6.5</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4.6</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44.9</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33.9</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117.1</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82.9</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(5.2</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(15.4</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(15.1</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(1.8</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(1.5</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(5.0</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(3.7</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36.7</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26.3</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94.9</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62.6</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78.4</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61.3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185.4</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133.4</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63.6</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64.4</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61.3</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61.7</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80.1</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62.6</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190.4</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137.1</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68.6</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70.4</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66.7</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68.7</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rHeight w:val="240" w:hRule="atLeast"/>
        </w:trPr>
        <w:tc>
          <w:tcPr>
            <w:tcW w:w="4693" w:type="dxa"/>
            <w:tcBorders/>
            <w:vAlign w:val="center"/>
          </w:tcPr>
          <w:p>
            <w:pPr>
              <w:pStyle w:val="TableContents"/>
              <w:bidi w:val="0"/>
              <w:spacing w:before="0" w:after="283"/>
              <w:jc w:val="left"/>
              <w:rPr>
                <w:sz w:val="4"/>
                <w:szCs w:val="4"/>
              </w:rPr>
            </w:pPr>
            <w:r>
              <w:rPr>
                <w:sz w:val="4"/>
                <w:szCs w:val="4"/>
              </w:rPr>
            </w:r>
          </w:p>
        </w:tc>
        <w:tc>
          <w:tcPr>
            <w:tcW w:w="1586" w:type="dxa"/>
            <w:gridSpan w:val="4"/>
            <w:tcBorders/>
            <w:vAlign w:val="center"/>
          </w:tcPr>
          <w:p>
            <w:pPr>
              <w:pStyle w:val="TableContents"/>
              <w:bidi w:val="0"/>
              <w:spacing w:before="0" w:after="283"/>
              <w:jc w:val="left"/>
              <w:rPr>
                <w:sz w:val="4"/>
                <w:szCs w:val="4"/>
              </w:rPr>
            </w:pPr>
            <w:r>
              <w:rPr>
                <w:sz w:val="4"/>
                <w:szCs w:val="4"/>
              </w:rPr>
            </w:r>
          </w:p>
        </w:tc>
        <w:tc>
          <w:tcPr>
            <w:tcW w:w="1237" w:type="dxa"/>
            <w:gridSpan w:val="4"/>
            <w:tcBorders/>
            <w:vAlign w:val="center"/>
          </w:tcPr>
          <w:p>
            <w:pPr>
              <w:pStyle w:val="TableContents"/>
              <w:bidi w:val="0"/>
              <w:spacing w:before="0" w:after="283"/>
              <w:jc w:val="left"/>
              <w:rPr>
                <w:sz w:val="4"/>
                <w:szCs w:val="4"/>
              </w:rPr>
            </w:pPr>
            <w:r>
              <w:rPr>
                <w:sz w:val="4"/>
                <w:szCs w:val="4"/>
              </w:rPr>
            </w:r>
          </w:p>
        </w:tc>
        <w:tc>
          <w:tcPr>
            <w:tcW w:w="1371" w:type="dxa"/>
            <w:gridSpan w:val="4"/>
            <w:tcBorders/>
            <w:vAlign w:val="center"/>
          </w:tcPr>
          <w:p>
            <w:pPr>
              <w:pStyle w:val="TableContents"/>
              <w:bidi w:val="0"/>
              <w:spacing w:before="0" w:after="283"/>
              <w:jc w:val="left"/>
              <w:rPr>
                <w:sz w:val="4"/>
                <w:szCs w:val="4"/>
              </w:rPr>
            </w:pPr>
            <w:r>
              <w:rPr>
                <w:sz w:val="4"/>
                <w:szCs w:val="4"/>
              </w:rPr>
            </w:r>
          </w:p>
        </w:tc>
        <w:tc>
          <w:tcPr>
            <w:tcW w:w="1318" w:type="dxa"/>
            <w:gridSpan w:val="4"/>
            <w:tcBorders/>
            <w:vAlign w:val="center"/>
          </w:tcPr>
          <w:p>
            <w:pPr>
              <w:pStyle w:val="TableContents"/>
              <w:bidi w:val="0"/>
              <w:spacing w:before="0" w:after="283"/>
              <w:jc w:val="left"/>
              <w:rPr>
                <w:sz w:val="4"/>
                <w:szCs w:val="4"/>
              </w:rPr>
            </w:pPr>
            <w:r>
              <w:rPr>
                <w:sz w:val="4"/>
                <w:szCs w:val="4"/>
              </w:rPr>
            </w:r>
          </w:p>
        </w:tc>
      </w:tr>
      <w:tr>
        <w:trPr/>
        <w:tc>
          <w:tcPr>
            <w:tcW w:w="4693" w:type="dxa"/>
            <w:tcBorders/>
            <w:vAlign w:val="bottom"/>
          </w:tcPr>
          <w:p>
            <w:pPr>
              <w:pStyle w:val="TableContents"/>
              <w:bidi w:val="0"/>
              <w:spacing w:before="0" w:after="283"/>
              <w:jc w:val="left"/>
              <w:rPr>
                <w:b/>
              </w:rPr>
            </w:pPr>
            <w:r>
              <w:rPr>
                <w:b/>
              </w:rPr>
              <w:t>Previous Methodology</w:t>
            </w:r>
          </w:p>
        </w:tc>
        <w:tc>
          <w:tcPr>
            <w:tcW w:w="200"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97"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2"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3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123.3</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95.2</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302.5</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216.3</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(5.2</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(15.4</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(15.1</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(1.8</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(1.5</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116.8</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88.9</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285.3</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199.7</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42.9</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32.3</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110.6</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78.3</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 expenses</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2.0</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6.5</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4.6</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44.9</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33.9</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117.1</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82.9</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(5.2</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(15.4</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(15.1</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(1.8</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(1.5</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1" w:type="dxa"/>
            <w:tcBorders/>
            <w:vAlign w:val="bottom"/>
          </w:tcPr>
          <w:p>
            <w:pPr>
              <w:pStyle w:val="TableContents"/>
              <w:pBdr>
                <w:top w:val="single" w:sz="2"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38.4</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27.6</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1" w:type="dxa"/>
            <w:tcBorders/>
            <w:vAlign w:val="bottom"/>
          </w:tcPr>
          <w:p>
            <w:pPr>
              <w:pStyle w:val="TableContents"/>
              <w:bidi w:val="0"/>
              <w:spacing w:before="0" w:after="283"/>
              <w:jc w:val="right"/>
              <w:rPr/>
            </w:pPr>
            <w:r>
              <w:rPr/>
              <w:t>99.9</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66.3</w:t>
            </w:r>
          </w:p>
        </w:tc>
        <w:tc>
          <w:tcPr>
            <w:tcW w:w="282" w:type="dxa"/>
            <w:tcBorders/>
            <w:vAlign w:val="bottom"/>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78.4</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61.3</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185.4</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133.4</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63.6</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64.4</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61.3</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61.7</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0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78.4</w:t>
            </w:r>
          </w:p>
        </w:tc>
        <w:tc>
          <w:tcPr>
            <w:tcW w:w="39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61.3</w:t>
            </w:r>
          </w:p>
        </w:tc>
        <w:tc>
          <w:tcPr>
            <w:tcW w:w="27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1" w:type="dxa"/>
            <w:tcBorders/>
            <w:shd w:fill="CCEEFF" w:val="clear"/>
            <w:vAlign w:val="bottom"/>
          </w:tcPr>
          <w:p>
            <w:pPr>
              <w:pStyle w:val="TableContents"/>
              <w:bidi w:val="0"/>
              <w:spacing w:before="0" w:after="283"/>
              <w:jc w:val="right"/>
              <w:rPr/>
            </w:pPr>
            <w:r>
              <w:rPr/>
              <w:t>185.4</w:t>
            </w:r>
          </w:p>
        </w:tc>
        <w:tc>
          <w:tcPr>
            <w:tcW w:w="34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133.4</w:t>
            </w:r>
          </w:p>
        </w:tc>
        <w:tc>
          <w:tcPr>
            <w:tcW w:w="282" w:type="dxa"/>
            <w:tcBorders/>
            <w:shd w:fill="CCEEFF" w:val="clear"/>
            <w:vAlign w:val="bottom"/>
          </w:tcPr>
          <w:p>
            <w:pPr>
              <w:pStyle w:val="TableContents"/>
              <w:bidi w:val="0"/>
              <w:spacing w:before="0" w:after="283"/>
              <w:jc w:val="left"/>
              <w:rPr/>
            </w:pPr>
            <w:r>
              <w:rPr/>
              <w:t> </w:t>
            </w:r>
          </w:p>
        </w:tc>
      </w:tr>
      <w:tr>
        <w:trPr/>
        <w:tc>
          <w:tcPr>
            <w:tcW w:w="4693"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67.1</w:t>
            </w:r>
          </w:p>
        </w:tc>
        <w:tc>
          <w:tcPr>
            <w:tcW w:w="39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69.0</w:t>
            </w:r>
          </w:p>
        </w:tc>
        <w:tc>
          <w:tcPr>
            <w:tcW w:w="27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65.0</w:t>
            </w:r>
          </w:p>
        </w:tc>
        <w:tc>
          <w:tcPr>
            <w:tcW w:w="34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66.8</w:t>
            </w:r>
          </w:p>
        </w:tc>
        <w:tc>
          <w:tcPr>
            <w:tcW w:w="282" w:type="dxa"/>
            <w:tcBorders/>
            <w:vAlign w:val="bottom"/>
          </w:tcPr>
          <w:p>
            <w:pPr>
              <w:pStyle w:val="TableContents"/>
              <w:bidi w:val="0"/>
              <w:spacing w:before="0" w:after="283"/>
              <w:jc w:val="left"/>
              <w:rPr/>
            </w:pPr>
            <w:r>
              <w:rPr/>
              <w:t>% </w:t>
            </w:r>
          </w:p>
        </w:tc>
      </w:tr>
      <w:tr>
        <w:trPr/>
        <w:tc>
          <w:tcPr>
            <w:tcW w:w="469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394" w:type="dxa"/>
            <w:tcBorders/>
            <w:vAlign w:val="center"/>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1" w:type="dxa"/>
            <w:tcBorders/>
            <w:vAlign w:val="bottom"/>
          </w:tcPr>
          <w:p>
            <w:pPr>
              <w:pStyle w:val="TableContents"/>
              <w:pBdr>
                <w:top w:val="double" w:sz="6" w:space="1" w:color="000000"/>
              </w:pBdr>
              <w:bidi w:val="0"/>
              <w:spacing w:before="0" w:after="0"/>
              <w:jc w:val="left"/>
              <w:rPr/>
            </w:pPr>
            <w:r>
              <w:rPr/>
              <w:t> </w:t>
            </w:r>
          </w:p>
        </w:tc>
        <w:tc>
          <w:tcPr>
            <w:tcW w:w="349"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EBITDA and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0"/>
        <w:gridCol w:w="155"/>
        <w:gridCol w:w="225"/>
        <w:gridCol w:w="713"/>
        <w:gridCol w:w="249"/>
        <w:gridCol w:w="134"/>
        <w:gridCol w:w="225"/>
        <w:gridCol w:w="713"/>
        <w:gridCol w:w="155"/>
        <w:gridCol w:w="103"/>
        <w:gridCol w:w="199"/>
        <w:gridCol w:w="645"/>
        <w:gridCol w:w="221"/>
        <w:gridCol w:w="125"/>
        <w:gridCol w:w="200"/>
        <w:gridCol w:w="741"/>
        <w:gridCol w:w="162"/>
      </w:tblGrid>
      <w:tr>
        <w:trPr/>
        <w:tc>
          <w:tcPr>
            <w:tcW w:w="524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4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2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1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2" w:type="dxa"/>
            <w:tcBorders/>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10.6</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(9.9</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(38.2</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0.1</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0.3</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0.9</w:t>
            </w:r>
          </w:p>
        </w:tc>
        <w:tc>
          <w:tcPr>
            <w:tcW w:w="162"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0.8</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2.3</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2.9</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4.0</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12.1</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9.2</w:t>
            </w:r>
          </w:p>
        </w:tc>
        <w:tc>
          <w:tcPr>
            <w:tcW w:w="162" w:type="dxa"/>
            <w:tcBorders/>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15.5</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4.8</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(25.2</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11.6</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9.3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32.3</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23.3</w:t>
            </w:r>
          </w:p>
        </w:tc>
        <w:tc>
          <w:tcPr>
            <w:tcW w:w="162"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0.0</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0.4</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0.3</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(3.8</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(7.7</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(1.5</w:t>
            </w:r>
          </w:p>
        </w:tc>
        <w:tc>
          <w:tcPr>
            <w:tcW w:w="162"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4.2</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3.5</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15.1</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0.1</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0.2</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0.3</w:t>
            </w:r>
          </w:p>
        </w:tc>
        <w:tc>
          <w:tcPr>
            <w:tcW w:w="162" w:type="dxa"/>
            <w:tcBorders/>
            <w:vAlign w:val="bottom"/>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transaction costs</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0.0</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0.0</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0.4</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(0.1</w:t>
            </w:r>
          </w:p>
        </w:tc>
        <w:tc>
          <w:tcPr>
            <w:tcW w:w="249"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0.8</w:t>
            </w:r>
          </w:p>
        </w:tc>
        <w:tc>
          <w:tcPr>
            <w:tcW w:w="22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1.2</w:t>
            </w:r>
          </w:p>
        </w:tc>
        <w:tc>
          <w:tcPr>
            <w:tcW w:w="162" w:type="dxa"/>
            <w:tcBorders/>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5"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27.5</w:t>
            </w:r>
          </w:p>
        </w:tc>
        <w:tc>
          <w:tcPr>
            <w:tcW w:w="249"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45" w:type="dxa"/>
            <w:tcBorders/>
            <w:shd w:fill="CCEEFF" w:val="clear"/>
            <w:vAlign w:val="bottom"/>
          </w:tcPr>
          <w:p>
            <w:pPr>
              <w:pStyle w:val="TableContents"/>
              <w:bidi w:val="0"/>
              <w:spacing w:before="0" w:after="283"/>
              <w:jc w:val="right"/>
              <w:rPr/>
            </w:pPr>
            <w:r>
              <w:rPr/>
              <w:t>34.3</w:t>
            </w:r>
          </w:p>
        </w:tc>
        <w:tc>
          <w:tcPr>
            <w:tcW w:w="22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13.9</w:t>
            </w:r>
          </w:p>
        </w:tc>
        <w:tc>
          <w:tcPr>
            <w:tcW w:w="162" w:type="dxa"/>
            <w:tcBorders/>
            <w:shd w:fill="CCEEFF" w:val="clear"/>
            <w:vAlign w:val="bottom"/>
          </w:tcPr>
          <w:p>
            <w:pPr>
              <w:pStyle w:val="TableContents"/>
              <w:bidi w:val="0"/>
              <w:spacing w:before="0" w:after="283"/>
              <w:jc w:val="left"/>
              <w:rPr/>
            </w:pPr>
            <w:r>
              <w:rPr/>
              <w:t> </w:t>
            </w:r>
          </w:p>
        </w:tc>
      </w:tr>
      <w:tr>
        <w:trPr/>
        <w:tc>
          <w:tcPr>
            <w:tcW w:w="52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45" w:type="dxa"/>
            <w:tcBorders/>
            <w:vAlign w:val="bottom"/>
          </w:tcPr>
          <w:p>
            <w:pPr>
              <w:pStyle w:val="TableContents"/>
              <w:pBdr>
                <w:top w:val="double" w:sz="6" w:space="1" w:color="000000"/>
              </w:pBdr>
              <w:bidi w:val="0"/>
              <w:spacing w:before="0" w:after="0"/>
              <w:jc w:val="left"/>
              <w:rPr/>
            </w:pPr>
            <w:r>
              <w:rPr/>
              <w:t> </w:t>
            </w:r>
          </w:p>
        </w:tc>
        <w:tc>
          <w:tcPr>
            <w:tcW w:w="22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0"/>
        <w:gridCol w:w="120"/>
        <w:gridCol w:w="250"/>
        <w:gridCol w:w="1000"/>
        <w:gridCol w:w="275"/>
        <w:gridCol w:w="60"/>
        <w:gridCol w:w="330"/>
        <w:gridCol w:w="1040"/>
        <w:gridCol w:w="275"/>
        <w:gridCol w:w="60"/>
        <w:gridCol w:w="181"/>
        <w:gridCol w:w="724"/>
        <w:gridCol w:w="275"/>
        <w:gridCol w:w="60"/>
        <w:gridCol w:w="250"/>
        <w:gridCol w:w="1000"/>
        <w:gridCol w:w="275"/>
        <w:gridCol w:w="60"/>
        <w:gridCol w:w="291"/>
        <w:gridCol w:w="1078"/>
        <w:gridCol w:w="275"/>
        <w:gridCol w:w="60"/>
        <w:gridCol w:w="181"/>
        <w:gridCol w:w="724"/>
        <w:gridCol w:w="281"/>
      </w:tblGrid>
      <w:tr>
        <w:trPr/>
        <w:tc>
          <w:tcPr>
            <w:tcW w:w="10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0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br/>
              <w:t>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br/>
              <w:t>2023</w:t>
            </w:r>
          </w:p>
        </w:tc>
        <w:tc>
          <w:tcPr>
            <w:tcW w:w="281" w:type="dxa"/>
            <w:tcBorders/>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81" w:type="dxa"/>
            <w:tcBorders/>
            <w:vAlign w:val="bottom"/>
          </w:tcPr>
          <w:p>
            <w:pPr>
              <w:pStyle w:val="TableContents"/>
              <w:bidi w:val="0"/>
              <w:spacing w:before="0" w:after="283"/>
              <w:jc w:val="left"/>
              <w:rPr/>
            </w:pPr>
            <w:r>
              <w:rPr/>
              <w:t> </w:t>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104.6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123.3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247.7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54.8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302.5</w:t>
            </w:r>
          </w:p>
        </w:tc>
        <w:tc>
          <w:tcPr>
            <w:tcW w:w="281" w:type="dxa"/>
            <w:tcBorders/>
            <w:shd w:fill="CCEEFF" w:val="clear"/>
            <w:vAlign w:val="bottom"/>
          </w:tcPr>
          <w:p>
            <w:pPr>
              <w:pStyle w:val="TableContents"/>
              <w:bidi w:val="0"/>
              <w:spacing w:before="0" w:after="283"/>
              <w:jc w:val="left"/>
              <w:rPr/>
            </w:pPr>
            <w:r>
              <w:rPr/>
              <w:t> </w:t>
            </w:r>
          </w:p>
        </w:tc>
      </w:tr>
      <w:tr>
        <w:trPr/>
        <w:tc>
          <w:tcPr>
            <w:tcW w:w="108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(15.4</w:t>
            </w:r>
          </w:p>
        </w:tc>
        <w:tc>
          <w:tcPr>
            <w:tcW w:w="281" w:type="dxa"/>
            <w:tcBorders/>
            <w:shd w:fill="CCEEFF" w:val="clear"/>
            <w:vAlign w:val="bottom"/>
          </w:tcPr>
          <w:p>
            <w:pPr>
              <w:pStyle w:val="TableContents"/>
              <w:bidi w:val="0"/>
              <w:spacing w:before="0" w:after="283"/>
              <w:jc w:val="left"/>
              <w:rPr/>
            </w:pPr>
            <w:r>
              <w:rPr/>
              <w:t>) </w:t>
            </w:r>
          </w:p>
        </w:tc>
      </w:tr>
      <w:tr>
        <w:trPr/>
        <w:tc>
          <w:tcPr>
            <w:tcW w:w="108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(1.8</w:t>
            </w:r>
          </w:p>
        </w:tc>
        <w:tc>
          <w:tcPr>
            <w:tcW w:w="281" w:type="dxa"/>
            <w:tcBorders/>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103.3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116.8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245.9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39.4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285.3</w:t>
            </w:r>
          </w:p>
        </w:tc>
        <w:tc>
          <w:tcPr>
            <w:tcW w:w="281" w:type="dxa"/>
            <w:tcBorders/>
            <w:shd w:fill="CCEEFF" w:val="clear"/>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08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18.1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81" w:type="dxa"/>
            <w:tcBorders/>
            <w:vAlign w:val="bottom"/>
          </w:tcPr>
          <w:p>
            <w:pPr>
              <w:pStyle w:val="TableContents"/>
              <w:bidi w:val="0"/>
              <w:spacing w:before="0" w:after="283"/>
              <w:jc w:val="left"/>
              <w:rPr/>
            </w:pPr>
            <w:r>
              <w:rPr/>
              <w:t>% </w:t>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86.2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13.8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r>
        <w:trPr>
          <w:trHeight w:val="240" w:hRule="atLeast"/>
        </w:trPr>
        <w:tc>
          <w:tcPr>
            <w:tcW w:w="1080" w:type="dxa"/>
            <w:tcBorders/>
            <w:vAlign w:val="center"/>
          </w:tcPr>
          <w:p>
            <w:pPr>
              <w:pStyle w:val="TableContents"/>
              <w:bidi w:val="0"/>
              <w:spacing w:before="0" w:after="283"/>
              <w:jc w:val="left"/>
              <w:rPr>
                <w:sz w:val="4"/>
                <w:szCs w:val="4"/>
              </w:rPr>
            </w:pPr>
            <w:r>
              <w:rPr>
                <w:sz w:val="4"/>
                <w:szCs w:val="4"/>
              </w:rPr>
            </w:r>
          </w:p>
        </w:tc>
        <w:tc>
          <w:tcPr>
            <w:tcW w:w="4590" w:type="dxa"/>
            <w:gridSpan w:val="12"/>
            <w:tcBorders/>
            <w:vAlign w:val="center"/>
          </w:tcPr>
          <w:p>
            <w:pPr>
              <w:pStyle w:val="TableContents"/>
              <w:bidi w:val="0"/>
              <w:spacing w:before="0" w:after="283"/>
              <w:jc w:val="left"/>
              <w:rPr>
                <w:sz w:val="4"/>
                <w:szCs w:val="4"/>
              </w:rPr>
            </w:pPr>
            <w:r>
              <w:rPr>
                <w:sz w:val="4"/>
                <w:szCs w:val="4"/>
              </w:rPr>
            </w:r>
          </w:p>
        </w:tc>
        <w:tc>
          <w:tcPr>
            <w:tcW w:w="4535" w:type="dxa"/>
            <w:gridSpan w:val="12"/>
            <w:tcBorders/>
            <w:vAlign w:val="center"/>
          </w:tcPr>
          <w:p>
            <w:pPr>
              <w:pStyle w:val="TableContents"/>
              <w:bidi w:val="0"/>
              <w:spacing w:before="0" w:after="283"/>
              <w:jc w:val="left"/>
              <w:rPr>
                <w:sz w:val="4"/>
                <w:szCs w:val="4"/>
              </w:rPr>
            </w:pPr>
            <w:r>
              <w:rPr>
                <w:sz w:val="4"/>
                <w:szCs w:val="4"/>
              </w:rPr>
            </w:r>
          </w:p>
        </w:tc>
      </w:tr>
      <w:tr>
        <w:trPr/>
        <w:tc>
          <w:tcPr>
            <w:tcW w:w="10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1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br/>
              <w:t>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br/>
              <w:t>2022</w:t>
            </w:r>
          </w:p>
        </w:tc>
        <w:tc>
          <w:tcPr>
            <w:tcW w:w="281" w:type="dxa"/>
            <w:tcBorders/>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w:t>
              <w:br/>
              <w:t>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81" w:type="dxa"/>
            <w:tcBorders/>
            <w:vAlign w:val="bottom"/>
          </w:tcPr>
          <w:p>
            <w:pPr>
              <w:pStyle w:val="TableContents"/>
              <w:bidi w:val="0"/>
              <w:spacing w:before="0" w:after="283"/>
              <w:jc w:val="left"/>
              <w:rPr/>
            </w:pPr>
            <w:r>
              <w:rPr/>
              <w:t> </w:t>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77.1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95.2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167.5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48.8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216.3</w:t>
            </w:r>
          </w:p>
        </w:tc>
        <w:tc>
          <w:tcPr>
            <w:tcW w:w="281" w:type="dxa"/>
            <w:tcBorders/>
            <w:shd w:fill="CCEEFF" w:val="clear"/>
            <w:vAlign w:val="bottom"/>
          </w:tcPr>
          <w:p>
            <w:pPr>
              <w:pStyle w:val="TableContents"/>
              <w:bidi w:val="0"/>
              <w:spacing w:before="0" w:after="283"/>
              <w:jc w:val="left"/>
              <w:rPr/>
            </w:pPr>
            <w:r>
              <w:rPr/>
              <w:t> </w:t>
            </w:r>
          </w:p>
        </w:tc>
      </w:tr>
      <w:tr>
        <w:trPr/>
        <w:tc>
          <w:tcPr>
            <w:tcW w:w="108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sz w:val="4"/>
                <w:szCs w:val="4"/>
              </w:rPr>
            </w:pPr>
            <w:r>
              <w:rPr>
                <w:sz w:val="4"/>
                <w:szCs w:val="4"/>
              </w:rPr>
            </w:r>
          </w:p>
        </w:tc>
        <w:tc>
          <w:tcPr>
            <w:tcW w:w="104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07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(15.1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(15.1</w:t>
            </w:r>
          </w:p>
        </w:tc>
        <w:tc>
          <w:tcPr>
            <w:tcW w:w="281" w:type="dxa"/>
            <w:tcBorders/>
            <w:shd w:fill="CCEEFF" w:val="clear"/>
            <w:vAlign w:val="bottom"/>
          </w:tcPr>
          <w:p>
            <w:pPr>
              <w:pStyle w:val="TableContents"/>
              <w:bidi w:val="0"/>
              <w:spacing w:before="0" w:after="283"/>
              <w:jc w:val="left"/>
              <w:rPr/>
            </w:pPr>
            <w:r>
              <w:rPr/>
              <w:t>) </w:t>
            </w:r>
          </w:p>
        </w:tc>
      </w:tr>
      <w:tr>
        <w:trPr/>
        <w:tc>
          <w:tcPr>
            <w:tcW w:w="108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(1.5</w:t>
            </w:r>
          </w:p>
        </w:tc>
        <w:tc>
          <w:tcPr>
            <w:tcW w:w="281" w:type="dxa"/>
            <w:tcBorders/>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single" w:sz="2" w:space="1" w:color="000000"/>
              </w:pBdr>
              <w:bidi w:val="0"/>
              <w:spacing w:before="0" w:after="0"/>
              <w:jc w:val="left"/>
              <w:rPr/>
            </w:pPr>
            <w:r>
              <w:rPr/>
              <w:t> </w:t>
            </w:r>
          </w:p>
        </w:tc>
        <w:tc>
          <w:tcPr>
            <w:tcW w:w="104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76.2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88.9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166.0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33.7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199.7</w:t>
            </w:r>
          </w:p>
        </w:tc>
        <w:tc>
          <w:tcPr>
            <w:tcW w:w="281" w:type="dxa"/>
            <w:tcBorders/>
            <w:shd w:fill="CCEEFF" w:val="clear"/>
            <w:vAlign w:val="bottom"/>
          </w:tcPr>
          <w:p>
            <w:pPr>
              <w:pStyle w:val="TableContents"/>
              <w:bidi w:val="0"/>
              <w:spacing w:before="0" w:after="283"/>
              <w:jc w:val="left"/>
              <w:rPr/>
            </w:pPr>
            <w:r>
              <w:rPr/>
              <w:t> </w:t>
            </w:r>
          </w:p>
        </w:tc>
      </w:tr>
      <w:tr>
        <w:trPr/>
        <w:tc>
          <w:tcPr>
            <w:tcW w:w="108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pBdr>
                <w:top w:val="double" w:sz="6" w:space="1" w:color="000000"/>
              </w:pBdr>
              <w:bidi w:val="0"/>
              <w:spacing w:before="0" w:after="0"/>
              <w:jc w:val="left"/>
              <w:rPr/>
            </w:pPr>
            <w:r>
              <w:rPr/>
              <w:t> </w:t>
            </w:r>
          </w:p>
        </w:tc>
        <w:tc>
          <w:tcPr>
            <w:tcW w:w="104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08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81.0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19.0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81" w:type="dxa"/>
            <w:tcBorders/>
            <w:vAlign w:val="bottom"/>
          </w:tcPr>
          <w:p>
            <w:pPr>
              <w:pStyle w:val="TableContents"/>
              <w:bidi w:val="0"/>
              <w:spacing w:before="0" w:after="283"/>
              <w:jc w:val="left"/>
              <w:rPr/>
            </w:pPr>
            <w:r>
              <w:rPr/>
              <w:t>% </w:t>
            </w:r>
          </w:p>
        </w:tc>
      </w:tr>
      <w:tr>
        <w:trPr/>
        <w:tc>
          <w:tcPr>
            <w:tcW w:w="1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85.7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Revenue Less Ancillary Services at Constant Currency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9"/>
        <w:gridCol w:w="169"/>
        <w:gridCol w:w="206"/>
        <w:gridCol w:w="828"/>
        <w:gridCol w:w="229"/>
        <w:gridCol w:w="140"/>
        <w:gridCol w:w="206"/>
        <w:gridCol w:w="667"/>
        <w:gridCol w:w="60"/>
        <w:gridCol w:w="169"/>
        <w:gridCol w:w="97"/>
        <w:gridCol w:w="726"/>
        <w:gridCol w:w="275"/>
        <w:gridCol w:w="114"/>
        <w:gridCol w:w="183"/>
        <w:gridCol w:w="742"/>
        <w:gridCol w:w="77"/>
        <w:gridCol w:w="204"/>
        <w:gridCol w:w="183"/>
        <w:gridCol w:w="746"/>
        <w:gridCol w:w="60"/>
        <w:gridCol w:w="169"/>
        <w:gridCol w:w="97"/>
        <w:gridCol w:w="726"/>
        <w:gridCol w:w="283"/>
      </w:tblGrid>
      <w:tr>
        <w:trPr/>
        <w:tc>
          <w:tcPr>
            <w:tcW w:w="284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22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169" w:type="dxa"/>
            <w:vMerge w:val="restart"/>
            <w:tcBorders/>
            <w:vAlign w:val="bottom"/>
          </w:tcPr>
          <w:p>
            <w:pPr>
              <w:pStyle w:val="TableContents"/>
              <w:bidi w:val="0"/>
              <w:spacing w:before="0" w:after="283"/>
              <w:jc w:val="left"/>
              <w:rPr/>
            </w:pPr>
            <w:r>
              <w:rPr/>
              <w:t>  </w:t>
            </w:r>
          </w:p>
        </w:tc>
        <w:tc>
          <w:tcPr>
            <w:tcW w:w="82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Growth</w:t>
              <w:br/>
              <w:t>Rates</w:t>
            </w:r>
          </w:p>
        </w:tc>
        <w:tc>
          <w:tcPr>
            <w:tcW w:w="275" w:type="dxa"/>
            <w:vMerge w:val="restart"/>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21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169" w:type="dxa"/>
            <w:vMerge w:val="restart"/>
            <w:tcBorders/>
            <w:vAlign w:val="bottom"/>
          </w:tcPr>
          <w:p>
            <w:pPr>
              <w:pStyle w:val="TableContents"/>
              <w:bidi w:val="0"/>
              <w:spacing w:before="0" w:after="283"/>
              <w:jc w:val="left"/>
              <w:rPr/>
            </w:pPr>
            <w:r>
              <w:rPr/>
              <w:t>  </w:t>
            </w:r>
          </w:p>
        </w:tc>
        <w:tc>
          <w:tcPr>
            <w:tcW w:w="82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Growth</w:t>
              <w:br/>
              <w:t>Rates</w:t>
            </w:r>
          </w:p>
        </w:tc>
        <w:tc>
          <w:tcPr>
            <w:tcW w:w="283" w:type="dxa"/>
            <w:vMerge w:val="restart"/>
            <w:tcBorders/>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0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69" w:type="dxa"/>
            <w:vMerge w:val="continue"/>
            <w:tcBorders/>
            <w:vAlign w:val="bottom"/>
          </w:tcPr>
          <w:p>
            <w:pPr>
              <w:pStyle w:val="Normal"/>
              <w:bidi w:val="0"/>
              <w:jc w:val="left"/>
              <w:rPr/>
            </w:pPr>
            <w:r>
              <w:rPr/>
            </w:r>
          </w:p>
        </w:tc>
        <w:tc>
          <w:tcPr>
            <w:tcW w:w="823"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14"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9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69" w:type="dxa"/>
            <w:vMerge w:val="continue"/>
            <w:tcBorders/>
            <w:vAlign w:val="bottom"/>
          </w:tcPr>
          <w:p>
            <w:pPr>
              <w:pStyle w:val="Normal"/>
              <w:bidi w:val="0"/>
              <w:jc w:val="left"/>
              <w:rPr/>
            </w:pPr>
            <w:r>
              <w:rPr/>
            </w:r>
          </w:p>
        </w:tc>
        <w:tc>
          <w:tcPr>
            <w:tcW w:w="823" w:type="dxa"/>
            <w:gridSpan w:val="2"/>
            <w:vMerge w:val="continue"/>
            <w:tcBorders>
              <w:bottom w:val="single" w:sz="8" w:space="0" w:color="000000"/>
            </w:tcBorders>
            <w:tcMar>
              <w:bottom w:w="28" w:type="dxa"/>
            </w:tcMar>
            <w:vAlign w:val="bottom"/>
          </w:tcPr>
          <w:p>
            <w:pPr>
              <w:pStyle w:val="Normal"/>
              <w:bidi w:val="0"/>
              <w:jc w:val="left"/>
              <w:rPr/>
            </w:pPr>
            <w:r>
              <w:rPr/>
            </w:r>
          </w:p>
        </w:tc>
        <w:tc>
          <w:tcPr>
            <w:tcW w:w="283" w:type="dxa"/>
            <w:vMerge w:val="continue"/>
            <w:tcBorders/>
            <w:vAlign w:val="bottom"/>
          </w:tcPr>
          <w:p>
            <w:pPr>
              <w:pStyle w:val="Normal"/>
              <w:bidi w:val="0"/>
              <w:jc w:val="left"/>
              <w:rPr/>
            </w:pPr>
            <w:r>
              <w:rPr/>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revenue</w:t>
            </w:r>
          </w:p>
        </w:tc>
        <w:tc>
          <w:tcPr>
            <w:tcW w:w="16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123.3</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95.2</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29.5</w:t>
            </w:r>
          </w:p>
        </w:tc>
        <w:tc>
          <w:tcPr>
            <w:tcW w:w="27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302.5</w:t>
            </w:r>
          </w:p>
        </w:tc>
        <w:tc>
          <w:tcPr>
            <w:tcW w:w="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216.3</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39.9</w:t>
            </w:r>
          </w:p>
        </w:tc>
        <w:tc>
          <w:tcPr>
            <w:tcW w:w="283" w:type="dxa"/>
            <w:tcBorders/>
            <w:shd w:fill="CCEEFF" w:val="clear"/>
            <w:vAlign w:val="bottom"/>
          </w:tcPr>
          <w:p>
            <w:pPr>
              <w:pStyle w:val="TableContents"/>
              <w:bidi w:val="0"/>
              <w:spacing w:before="0" w:after="283"/>
              <w:jc w:val="left"/>
              <w:rPr/>
            </w:pPr>
            <w:r>
              <w:rPr/>
              <w:t>% </w:t>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6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6.5</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667"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17.2</w:t>
            </w:r>
          </w:p>
        </w:tc>
        <w:tc>
          <w:tcPr>
            <w:tcW w:w="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46" w:type="dxa"/>
            <w:tcBorders/>
            <w:vAlign w:val="bottom"/>
          </w:tcPr>
          <w:p>
            <w:pPr>
              <w:pStyle w:val="TableContents"/>
              <w:bidi w:val="0"/>
              <w:spacing w:before="0" w:after="283"/>
              <w:jc w:val="right"/>
              <w:rPr/>
            </w:pPr>
            <w:r>
              <w:rPr/>
              <w:t>16.6</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6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116.8</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88.9</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31.4</w:t>
            </w:r>
          </w:p>
        </w:tc>
        <w:tc>
          <w:tcPr>
            <w:tcW w:w="27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285.3</w:t>
            </w:r>
          </w:p>
        </w:tc>
        <w:tc>
          <w:tcPr>
            <w:tcW w:w="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199.7</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42.9</w:t>
            </w:r>
          </w:p>
        </w:tc>
        <w:tc>
          <w:tcPr>
            <w:tcW w:w="283" w:type="dxa"/>
            <w:tcBorders/>
            <w:shd w:fill="CCEEFF" w:val="clear"/>
            <w:vAlign w:val="bottom"/>
          </w:tcPr>
          <w:p>
            <w:pPr>
              <w:pStyle w:val="TableContents"/>
              <w:bidi w:val="0"/>
              <w:spacing w:before="0" w:after="283"/>
              <w:jc w:val="left"/>
              <w:rPr/>
            </w:pPr>
            <w:r>
              <w:rPr/>
              <w:t>% </w:t>
            </w:r>
          </w:p>
        </w:tc>
      </w:tr>
      <w:tr>
        <w:trPr/>
        <w:tc>
          <w:tcPr>
            <w:tcW w:w="2849"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6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(2.30</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2.80</w:t>
            </w:r>
          </w:p>
        </w:tc>
        <w:tc>
          <w:tcPr>
            <w:tcW w:w="7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7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284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2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at constant currency</w:t>
            </w:r>
          </w:p>
        </w:tc>
        <w:tc>
          <w:tcPr>
            <w:tcW w:w="16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114.5</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88.9</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28.8</w:t>
            </w:r>
          </w:p>
        </w:tc>
        <w:tc>
          <w:tcPr>
            <w:tcW w:w="275"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288.1</w:t>
            </w:r>
          </w:p>
        </w:tc>
        <w:tc>
          <w:tcPr>
            <w:tcW w:w="7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46" w:type="dxa"/>
            <w:tcBorders/>
            <w:shd w:fill="CCEEFF" w:val="clear"/>
            <w:vAlign w:val="bottom"/>
          </w:tcPr>
          <w:p>
            <w:pPr>
              <w:pStyle w:val="TableContents"/>
              <w:bidi w:val="0"/>
              <w:spacing w:before="0" w:after="283"/>
              <w:jc w:val="right"/>
              <w:rPr/>
            </w:pPr>
            <w:r>
              <w:rPr/>
              <w:t>199.7</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283"/>
              <w:jc w:val="right"/>
              <w:rPr/>
            </w:pPr>
            <w:r>
              <w:rPr/>
              <w:t>44.3</w:t>
            </w:r>
          </w:p>
        </w:tc>
        <w:tc>
          <w:tcPr>
            <w:tcW w:w="283" w:type="dxa"/>
            <w:tcBorders/>
            <w:shd w:fill="CCEEFF" w:val="clear"/>
            <w:vAlign w:val="bottom"/>
          </w:tcPr>
          <w:p>
            <w:pPr>
              <w:pStyle w:val="TableContents"/>
              <w:bidi w:val="0"/>
              <w:spacing w:before="0" w:after="283"/>
              <w:jc w:val="left"/>
              <w:rPr/>
            </w:pPr>
            <w:r>
              <w:rPr/>
              <w:t>% </w:t>
            </w:r>
          </w:p>
        </w:tc>
      </w:tr>
      <w:tr>
        <w:trPr/>
        <w:tc>
          <w:tcPr>
            <w:tcW w:w="284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2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Supplemental Outlook Details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reconciliation of Fiscal Year 2023 outlook to the prior outlook provided in August: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0"/>
        <w:gridCol w:w="285"/>
        <w:gridCol w:w="328"/>
        <w:gridCol w:w="892"/>
        <w:gridCol w:w="60"/>
        <w:gridCol w:w="285"/>
        <w:gridCol w:w="266"/>
        <w:gridCol w:w="616"/>
        <w:gridCol w:w="60"/>
        <w:gridCol w:w="285"/>
        <w:gridCol w:w="616"/>
        <w:gridCol w:w="1724"/>
        <w:gridCol w:w="155"/>
        <w:gridCol w:w="227"/>
        <w:gridCol w:w="472"/>
        <w:gridCol w:w="1907"/>
        <w:gridCol w:w="67"/>
      </w:tblGrid>
      <w:tr>
        <w:trPr/>
        <w:tc>
          <w:tcPr>
            <w:tcW w:w="19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9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7893" w:type="dxa"/>
            <w:gridSpan w:val="14"/>
            <w:tcBorders>
              <w:bottom w:val="single" w:sz="8" w:space="0" w:color="000000"/>
            </w:tcBorders>
            <w:tcMar>
              <w:bottom w:w="28" w:type="dxa"/>
            </w:tcMar>
            <w:vAlign w:val="bottom"/>
          </w:tcPr>
          <w:p>
            <w:pPr>
              <w:pStyle w:val="TableContents"/>
              <w:bidi w:val="0"/>
              <w:spacing w:before="0" w:after="283"/>
              <w:jc w:val="center"/>
              <w:rPr/>
            </w:pPr>
            <w:r>
              <w:rPr/>
              <w:t>(Unaudited)</w:t>
            </w:r>
          </w:p>
        </w:tc>
        <w:tc>
          <w:tcPr>
            <w:tcW w:w="67" w:type="dxa"/>
            <w:tcBorders/>
            <w:vAlign w:val="bottom"/>
          </w:tcPr>
          <w:p>
            <w:pPr>
              <w:pStyle w:val="TableContents"/>
              <w:bidi w:val="0"/>
              <w:spacing w:before="0" w:after="283"/>
              <w:jc w:val="left"/>
              <w:rPr/>
            </w:pPr>
            <w:r>
              <w:rPr/>
              <w:t> </w:t>
            </w:r>
          </w:p>
        </w:tc>
      </w:tr>
      <w:tr>
        <w:trPr/>
        <w:tc>
          <w:tcPr>
            <w:tcW w:w="19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789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Fiscal Year 2023</w:t>
            </w:r>
          </w:p>
        </w:tc>
        <w:tc>
          <w:tcPr>
            <w:tcW w:w="67" w:type="dxa"/>
            <w:tcBorders/>
            <w:vAlign w:val="bottom"/>
          </w:tcPr>
          <w:p>
            <w:pPr>
              <w:pStyle w:val="TableContents"/>
              <w:bidi w:val="0"/>
              <w:spacing w:before="0" w:after="283"/>
              <w:jc w:val="left"/>
              <w:rPr/>
            </w:pPr>
            <w:r>
              <w:rPr/>
              <w:t> </w:t>
            </w:r>
          </w:p>
        </w:tc>
      </w:tr>
      <w:tr>
        <w:trPr/>
        <w:tc>
          <w:tcPr>
            <w:tcW w:w="1960" w:type="dxa"/>
            <w:tcBorders/>
            <w:vAlign w:val="bottom"/>
          </w:tcPr>
          <w:p>
            <w:pPr>
              <w:pStyle w:val="TableContents"/>
              <w:bidi w:val="0"/>
              <w:spacing w:before="0" w:after="283"/>
              <w:jc w:val="left"/>
              <w:rPr>
                <w:b/>
              </w:rPr>
            </w:pPr>
            <w:r>
              <w:rPr>
                <w:b/>
              </w:rPr>
              <w:t>(in millions)</w:t>
            </w:r>
          </w:p>
        </w:tc>
        <w:tc>
          <w:tcPr>
            <w:tcW w:w="28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 of</w:t>
              <w:br/>
              <w:t>Outlook in</w:t>
              <w:br/>
              <w:t>August</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Increase</w:t>
              <w:br/>
              <w:t>(1)</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 Fluctuations</w:t>
              <w:br/>
              <w:t>from Prior Outlook (2)</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 of Outlook in</w:t>
              <w:br/>
              <w:t>November</w:t>
            </w:r>
          </w:p>
        </w:tc>
        <w:tc>
          <w:tcPr>
            <w:tcW w:w="67" w:type="dxa"/>
            <w:tcBorders/>
            <w:vAlign w:val="bottom"/>
          </w:tcPr>
          <w:p>
            <w:pPr>
              <w:pStyle w:val="TableContents"/>
              <w:bidi w:val="0"/>
              <w:spacing w:before="0" w:after="283"/>
              <w:jc w:val="left"/>
              <w:rPr/>
            </w:pPr>
            <w:r>
              <w:rPr/>
              <w:t> </w:t>
            </w:r>
          </w:p>
        </w:tc>
      </w:tr>
      <w:tr>
        <w:trPr/>
        <w:tc>
          <w:tcPr>
            <w:tcW w:w="19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8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400</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616"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left"/>
              <w:rPr/>
            </w:pPr>
            <w:r>
              <w:rPr/>
              <w:t>$</w:t>
            </w:r>
          </w:p>
        </w:tc>
        <w:tc>
          <w:tcPr>
            <w:tcW w:w="1724"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w:t>
            </w:r>
          </w:p>
        </w:tc>
        <w:tc>
          <w:tcPr>
            <w:tcW w:w="1907" w:type="dxa"/>
            <w:tcBorders/>
            <w:shd w:fill="CCEEFF" w:val="clear"/>
            <w:vAlign w:val="bottom"/>
          </w:tcPr>
          <w:p>
            <w:pPr>
              <w:pStyle w:val="TableContents"/>
              <w:bidi w:val="0"/>
              <w:spacing w:before="0" w:after="283"/>
              <w:jc w:val="right"/>
              <w:rPr/>
            </w:pPr>
            <w:r>
              <w:rPr/>
              <w:t>396.7</w:t>
            </w:r>
          </w:p>
        </w:tc>
        <w:tc>
          <w:tcPr>
            <w:tcW w:w="67" w:type="dxa"/>
            <w:tcBorders/>
            <w:shd w:fill="CCEEFF" w:val="clear"/>
            <w:vAlign w:val="bottom"/>
          </w:tcPr>
          <w:p>
            <w:pPr>
              <w:pStyle w:val="TableContents"/>
              <w:bidi w:val="0"/>
              <w:spacing w:before="0" w:after="283"/>
              <w:jc w:val="left"/>
              <w:rPr/>
            </w:pPr>
            <w:r>
              <w:rPr/>
              <w:t> </w:t>
            </w:r>
          </w:p>
        </w:tc>
      </w:tr>
      <w:tr>
        <w:trPr/>
        <w:tc>
          <w:tcPr>
            <w:tcW w:w="1960"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8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376</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616"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w:t>
            </w:r>
          </w:p>
        </w:tc>
        <w:tc>
          <w:tcPr>
            <w:tcW w:w="1724"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w:t>
            </w:r>
          </w:p>
        </w:tc>
        <w:tc>
          <w:tcPr>
            <w:tcW w:w="1907" w:type="dxa"/>
            <w:tcBorders/>
            <w:vAlign w:val="bottom"/>
          </w:tcPr>
          <w:p>
            <w:pPr>
              <w:pStyle w:val="TableContents"/>
              <w:bidi w:val="0"/>
              <w:spacing w:before="0" w:after="283"/>
              <w:jc w:val="right"/>
              <w:rPr/>
            </w:pPr>
            <w:r>
              <w:rPr/>
              <w:t>374.0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0"/>
        <w:gridCol w:w="292"/>
        <w:gridCol w:w="294"/>
        <w:gridCol w:w="928"/>
        <w:gridCol w:w="60"/>
        <w:gridCol w:w="292"/>
        <w:gridCol w:w="266"/>
        <w:gridCol w:w="609"/>
        <w:gridCol w:w="60"/>
        <w:gridCol w:w="292"/>
        <w:gridCol w:w="590"/>
        <w:gridCol w:w="1673"/>
        <w:gridCol w:w="155"/>
        <w:gridCol w:w="233"/>
        <w:gridCol w:w="569"/>
        <w:gridCol w:w="1795"/>
        <w:gridCol w:w="67"/>
      </w:tblGrid>
      <w:tr>
        <w:trPr/>
        <w:tc>
          <w:tcPr>
            <w:tcW w:w="203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781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Fourth Quarter 2023</w:t>
            </w:r>
          </w:p>
        </w:tc>
        <w:tc>
          <w:tcPr>
            <w:tcW w:w="67" w:type="dxa"/>
            <w:tcBorders/>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283"/>
              <w:jc w:val="left"/>
              <w:rPr>
                <w:b/>
              </w:rPr>
            </w:pPr>
            <w:r>
              <w:rPr>
                <w:b/>
              </w:rPr>
              <w:t>(in millions)</w:t>
            </w:r>
          </w:p>
        </w:tc>
        <w:tc>
          <w:tcPr>
            <w:tcW w:w="292" w:type="dxa"/>
            <w:tcBorders/>
            <w:vAlign w:val="bottom"/>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 of</w:t>
              <w:br/>
              <w:t>Outlook in</w:t>
              <w:br/>
              <w:t>August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Increase</w:t>
              <w:br/>
              <w:t>(1)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Currency Fluctuations</w:t>
              <w:br/>
              <w:t>from Prior Outlook (2)</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 of Outlook in</w:t>
              <w:br/>
              <w:t>November</w:t>
            </w:r>
          </w:p>
        </w:tc>
        <w:tc>
          <w:tcPr>
            <w:tcW w:w="67" w:type="dxa"/>
            <w:tcBorders/>
            <w:vAlign w:val="bottom"/>
          </w:tcPr>
          <w:p>
            <w:pPr>
              <w:pStyle w:val="TableContents"/>
              <w:bidi w:val="0"/>
              <w:spacing w:before="0" w:after="283"/>
              <w:jc w:val="left"/>
              <w:rPr/>
            </w:pPr>
            <w:r>
              <w:rPr/>
              <w:t> </w:t>
            </w:r>
          </w:p>
        </w:tc>
      </w:tr>
      <w:tr>
        <w:trPr/>
        <w:tc>
          <w:tcPr>
            <w:tcW w:w="2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92"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96.2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609" w:type="dxa"/>
            <w:tcBorders/>
            <w:shd w:fill="CCEEFF" w:val="clear"/>
            <w:vAlign w:val="bottom"/>
          </w:tcPr>
          <w:p>
            <w:pPr>
              <w:pStyle w:val="TableContents"/>
              <w:bidi w:val="0"/>
              <w:spacing w:before="0" w:after="283"/>
              <w:jc w:val="right"/>
              <w:rPr/>
            </w:pPr>
            <w:r>
              <w:rPr/>
              <w:t>0.3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w:t>
            </w:r>
          </w:p>
        </w:tc>
        <w:tc>
          <w:tcPr>
            <w:tcW w:w="1673"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left"/>
              <w:rPr/>
            </w:pPr>
            <w:r>
              <w:rPr/>
              <w:t>$</w:t>
            </w:r>
          </w:p>
        </w:tc>
        <w:tc>
          <w:tcPr>
            <w:tcW w:w="1795" w:type="dxa"/>
            <w:tcBorders/>
            <w:shd w:fill="CCEEFF" w:val="clear"/>
            <w:vAlign w:val="bottom"/>
          </w:tcPr>
          <w:p>
            <w:pPr>
              <w:pStyle w:val="TableContents"/>
              <w:bidi w:val="0"/>
              <w:spacing w:before="0" w:after="283"/>
              <w:jc w:val="right"/>
              <w:rPr/>
            </w:pPr>
            <w:r>
              <w:rPr/>
              <w:t>94.0</w:t>
            </w:r>
          </w:p>
        </w:tc>
        <w:tc>
          <w:tcPr>
            <w:tcW w:w="67" w:type="dxa"/>
            <w:tcBorders/>
            <w:shd w:fill="CCEEFF" w:val="clear"/>
            <w:vAlign w:val="bottom"/>
          </w:tcPr>
          <w:p>
            <w:pPr>
              <w:pStyle w:val="TableContents"/>
              <w:bidi w:val="0"/>
              <w:spacing w:before="0" w:after="283"/>
              <w:jc w:val="left"/>
              <w:rPr/>
            </w:pPr>
            <w:r>
              <w:rPr/>
              <w:t> </w:t>
            </w:r>
          </w:p>
        </w:tc>
      </w:tr>
      <w:tr>
        <w:trPr/>
        <w:tc>
          <w:tcPr>
            <w:tcW w:w="2030" w:type="dxa"/>
            <w:tcBorders/>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92"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88.4</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609"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w:t>
            </w:r>
          </w:p>
        </w:tc>
        <w:tc>
          <w:tcPr>
            <w:tcW w:w="1673"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w:t>
            </w:r>
          </w:p>
        </w:tc>
        <w:tc>
          <w:tcPr>
            <w:tcW w:w="1795" w:type="dxa"/>
            <w:tcBorders/>
            <w:vAlign w:val="bottom"/>
          </w:tcPr>
          <w:p>
            <w:pPr>
              <w:pStyle w:val="TableContents"/>
              <w:bidi w:val="0"/>
              <w:spacing w:before="0" w:after="283"/>
              <w:jc w:val="right"/>
              <w:rPr/>
            </w:pPr>
            <w:r>
              <w:rPr/>
              <w:t>88.5</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assumed impact of the StudyLink acquisition and underlying organic strength in our business.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Flywires updated outlook reflects foreign exchange rates prevailing as of September 30, 2023 and its prior outlook, which reflected exchange rates prevailing as of June 30, 2023. The impacts to fiscal year of 2023 are considered forward-looking outlook.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Guidance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8"/>
        <w:gridCol w:w="200"/>
        <w:gridCol w:w="432"/>
        <w:gridCol w:w="1356"/>
        <w:gridCol w:w="477"/>
        <w:gridCol w:w="261"/>
        <w:gridCol w:w="432"/>
        <w:gridCol w:w="1358"/>
        <w:gridCol w:w="155"/>
        <w:gridCol w:w="142"/>
        <w:gridCol w:w="282"/>
        <w:gridCol w:w="1131"/>
        <w:gridCol w:w="312"/>
        <w:gridCol w:w="200"/>
        <w:gridCol w:w="282"/>
        <w:gridCol w:w="1134"/>
        <w:gridCol w:w="163"/>
      </w:tblGrid>
      <w:tr>
        <w:trPr/>
        <w:tc>
          <w:tcPr>
            <w:tcW w:w="1888"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43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December 31, 2023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3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63" w:type="dxa"/>
            <w:tcBorders/>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7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477"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31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63" w:type="dxa"/>
            <w:tcBorders/>
            <w:vAlign w:val="bottom"/>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91.5</w:t>
            </w:r>
          </w:p>
        </w:tc>
        <w:tc>
          <w:tcPr>
            <w:tcW w:w="477"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96.5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394.1</w:t>
            </w:r>
          </w:p>
        </w:tc>
        <w:tc>
          <w:tcPr>
            <w:tcW w:w="31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399.3</w:t>
            </w:r>
          </w:p>
        </w:tc>
        <w:tc>
          <w:tcPr>
            <w:tcW w:w="163" w:type="dxa"/>
            <w:tcBorders/>
            <w:shd w:fill="CCEEFF" w:val="clear"/>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0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13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 through cost for printing and mailing</w:t>
            </w:r>
          </w:p>
        </w:tc>
        <w:tc>
          <w:tcPr>
            <w:tcW w:w="20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(4.9</w:t>
            </w:r>
          </w:p>
        </w:tc>
        <w:tc>
          <w:tcPr>
            <w:tcW w:w="477"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(20.3</w:t>
            </w:r>
          </w:p>
        </w:tc>
        <w:tc>
          <w:tcPr>
            <w:tcW w:w="31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34" w:type="dxa"/>
            <w:tcBorders/>
            <w:shd w:fill="CCEEFF" w:val="clear"/>
            <w:vAlign w:val="bottom"/>
          </w:tcPr>
          <w:p>
            <w:pPr>
              <w:pStyle w:val="TableContents"/>
              <w:bidi w:val="0"/>
              <w:spacing w:before="0" w:after="283"/>
              <w:jc w:val="right"/>
              <w:rPr/>
            </w:pPr>
            <w:r>
              <w:rPr/>
              <w:t>(21.1</w:t>
            </w:r>
          </w:p>
        </w:tc>
        <w:tc>
          <w:tcPr>
            <w:tcW w:w="163" w:type="dxa"/>
            <w:tcBorders/>
            <w:shd w:fill="CCEEFF" w:val="clear"/>
            <w:vAlign w:val="bottom"/>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0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(0.1</w:t>
            </w:r>
          </w:p>
        </w:tc>
        <w:tc>
          <w:tcPr>
            <w:tcW w:w="477"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(1.8</w:t>
            </w:r>
          </w:p>
        </w:tc>
        <w:tc>
          <w:tcPr>
            <w:tcW w:w="31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34" w:type="dxa"/>
            <w:tcBorders/>
            <w:vAlign w:val="bottom"/>
          </w:tcPr>
          <w:p>
            <w:pPr>
              <w:pStyle w:val="TableContents"/>
              <w:bidi w:val="0"/>
              <w:spacing w:before="0" w:after="283"/>
              <w:jc w:val="right"/>
              <w:rPr/>
            </w:pPr>
            <w:r>
              <w:rPr/>
              <w:t>(2.2</w:t>
            </w:r>
          </w:p>
        </w:tc>
        <w:tc>
          <w:tcPr>
            <w:tcW w:w="163" w:type="dxa"/>
            <w:tcBorders/>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477"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131" w:type="dxa"/>
            <w:tcBorders/>
            <w:vAlign w:val="bottom"/>
          </w:tcPr>
          <w:p>
            <w:pPr>
              <w:pStyle w:val="TableContents"/>
              <w:pBdr>
                <w:top w:val="single" w:sz="2"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13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0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86.5</w:t>
            </w:r>
          </w:p>
        </w:tc>
        <w:tc>
          <w:tcPr>
            <w:tcW w:w="477"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90.5</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31" w:type="dxa"/>
            <w:tcBorders/>
            <w:shd w:fill="CCEEFF" w:val="clear"/>
            <w:vAlign w:val="bottom"/>
          </w:tcPr>
          <w:p>
            <w:pPr>
              <w:pStyle w:val="TableContents"/>
              <w:bidi w:val="0"/>
              <w:spacing w:before="0" w:after="283"/>
              <w:jc w:val="right"/>
              <w:rPr/>
            </w:pPr>
            <w:r>
              <w:rPr/>
              <w:t>372.0</w:t>
            </w:r>
          </w:p>
        </w:tc>
        <w:tc>
          <w:tcPr>
            <w:tcW w:w="312"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34" w:type="dxa"/>
            <w:tcBorders/>
            <w:shd w:fill="CCEEFF" w:val="clear"/>
            <w:vAlign w:val="bottom"/>
          </w:tcPr>
          <w:p>
            <w:pPr>
              <w:pStyle w:val="TableContents"/>
              <w:bidi w:val="0"/>
              <w:spacing w:before="0" w:after="283"/>
              <w:jc w:val="right"/>
              <w:rPr/>
            </w:pPr>
            <w:r>
              <w:rPr/>
              <w:t>376.0</w:t>
            </w:r>
          </w:p>
        </w:tc>
        <w:tc>
          <w:tcPr>
            <w:tcW w:w="163" w:type="dxa"/>
            <w:tcBorders/>
            <w:shd w:fill="CCEEFF" w:val="clear"/>
            <w:vAlign w:val="bottom"/>
          </w:tcPr>
          <w:p>
            <w:pPr>
              <w:pStyle w:val="TableContents"/>
              <w:bidi w:val="0"/>
              <w:spacing w:before="0" w:after="283"/>
              <w:jc w:val="left"/>
              <w:rPr/>
            </w:pPr>
            <w:r>
              <w:rPr/>
              <w:t> </w:t>
            </w:r>
          </w:p>
        </w:tc>
      </w:tr>
      <w:tr>
        <w:trPr/>
        <w:tc>
          <w:tcPr>
            <w:tcW w:w="1888"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double" w:sz="6" w:space="1" w:color="000000"/>
              </w:pBdr>
              <w:bidi w:val="0"/>
              <w:spacing w:before="0" w:after="0"/>
              <w:jc w:val="left"/>
              <w:rPr/>
            </w:pPr>
            <w:r>
              <w:rPr/>
              <w:t> </w:t>
            </w:r>
          </w:p>
        </w:tc>
        <w:tc>
          <w:tcPr>
            <w:tcW w:w="1356" w:type="dxa"/>
            <w:tcBorders/>
            <w:vAlign w:val="bottom"/>
          </w:tcPr>
          <w:p>
            <w:pPr>
              <w:pStyle w:val="TableContents"/>
              <w:pBdr>
                <w:top w:val="double" w:sz="6" w:space="1" w:color="000000"/>
              </w:pBdr>
              <w:bidi w:val="0"/>
              <w:spacing w:before="0" w:after="0"/>
              <w:jc w:val="left"/>
              <w:rPr/>
            </w:pPr>
            <w:r>
              <w:rPr/>
              <w:t> </w:t>
            </w:r>
          </w:p>
        </w:tc>
        <w:tc>
          <w:tcPr>
            <w:tcW w:w="477"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131" w:type="dxa"/>
            <w:tcBorders/>
            <w:vAlign w:val="bottom"/>
          </w:tcPr>
          <w:p>
            <w:pPr>
              <w:pStyle w:val="TableContents"/>
              <w:pBdr>
                <w:top w:val="double" w:sz="6"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13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888"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0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1.0</w:t>
            </w:r>
          </w:p>
        </w:tc>
        <w:tc>
          <w:tcPr>
            <w:tcW w:w="477"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131" w:type="dxa"/>
            <w:tcBorders/>
            <w:vAlign w:val="bottom"/>
          </w:tcPr>
          <w:p>
            <w:pPr>
              <w:pStyle w:val="TableContents"/>
              <w:bidi w:val="0"/>
              <w:spacing w:before="0" w:after="283"/>
              <w:jc w:val="right"/>
              <w:rPr/>
            </w:pPr>
            <w:r>
              <w:rPr/>
              <w:t>35.0</w:t>
            </w:r>
          </w:p>
        </w:tc>
        <w:tc>
          <w:tcPr>
            <w:tcW w:w="312"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134" w:type="dxa"/>
            <w:tcBorders/>
            <w:vAlign w:val="bottom"/>
          </w:tcPr>
          <w:p>
            <w:pPr>
              <w:pStyle w:val="TableContents"/>
              <w:bidi w:val="0"/>
              <w:spacing w:before="0" w:after="283"/>
              <w:jc w:val="right"/>
              <w:rPr/>
            </w:pPr>
            <w:r>
              <w:rPr/>
              <w:t>39.0</w:t>
            </w:r>
          </w:p>
        </w:tc>
        <w:tc>
          <w:tcPr>
            <w:tcW w:w="163" w:type="dxa"/>
            <w:tcBorders/>
            <w:vAlign w:val="bottom"/>
          </w:tcPr>
          <w:p>
            <w:pPr>
              <w:pStyle w:val="TableContents"/>
              <w:bidi w:val="0"/>
              <w:spacing w:before="0" w:after="283"/>
              <w:jc w:val="left"/>
              <w:rPr/>
            </w:pPr>
            <w:r>
              <w:rPr/>
              <w:t> </w:t>
            </w:r>
          </w:p>
        </w:tc>
      </w:tr>
    </w:tbl>
    <w:p>
      <w:pPr>
        <w:pStyle w:val="TextBody"/>
        <w:bidi w:val="0"/>
        <w:jc w:val="center"/>
        <w:rPr/>
      </w:pPr>
      <w:bookmarkStart w:id="4" w:name="d295889dex992.htm"/>
      <w:bookmarkStart w:id="5" w:name="ksd295889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Q3 2023 Earnings Supplement November 7,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Flywire’s ability to successfully implement Flywire’s business plan, future results of operations and financial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2022 and Quarterly Report on Form 10-Q for the quarter ended June 30, 2023, which are on file with the Securities and Exchange Commission (SEC) and available on the SEC's website at www.sec.gov. Additional factors may be described in those sections of Flywire’s Quarterly Report on Form 10-Q for the quarter ended September 30, 2023, expected to be filed with the SEC in the fourth quarter of 2023.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 Certain information contained in this presentation relates to or is based on studies, publications, surveys and other data obtained from third-party sources and Flywire’s own internal estimates and research. While Flywire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Flywire believes its own internal research is reliable, such research has not been verified by any independent source. The information in this presentation is provided only as of November 7, 2023,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not provided a quantitative reconciliation from forecasted adjusted EBITDA to forecasted GAAP net income (loss) or to forecasted GAAP income (loss) before income taxes, because it is unable without making unreasonable efforts, to calculate certain reconciling items with confidence. These items include but are not limited to income taxes which are directly impacted by unpredictable fluctuations in the market price of the company's stock.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Fulfillment Our mission is to deliver the most important and complex payments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2023 Performance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Financial Highlights Q3 2023 $123.3 M 63.6% $10.6M Revenue Gross Margin Net Income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Q3 2023 $116.8M $80.1M $27.5M $8.9B 1 1 1 1 +26% +31.4% + 28.0% + 51.0% Total Revenue Less Adjusted Gross Adjusted 2 Payment Ancillary Profit EBITDA Volume Services 1. Represents Y-o-Y Growth as compared to Q3 2022. 2. Prior year Adjusted Gross Profit has been recast to align with the updated methodology as described in the Appendix. See Appendix for reconciliation to GAAP amounts.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Growth Strategies Grow with Grow with Expand our Expand to Pursue strategic &amp; existing clients new clients ecosystem through new industries, value-enhancing channel geographies &amp; acquisitions partnerships products 124% 185+ 2022 average annual New clients in Q3 2023 dollar-based net retention rate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Pursue Strategic &amp; Value-Enhancing Acquisitions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track record with M&amp;A StudyLink is the next smart deal for Flywire December 2021 July 2022 ~$50M purchase price ~$30M purchase price Deal Thesis Deal Thesis ● Accelerate growth in core geographic region of UK ● Leverage Flywire network and client footprint to ● Leverage Flywire’s global payment network for accelerate standalone growth expansion ● Accelerate organic growth with EDU agents, a key ● Significantly grow revenue over 3-4 year time period growth vector with client upsells ● Add additional payer services capabilities Key Results Key Results ● 55+ clients upsold ● Significant growth in Agent and payer service business ● Revenue synergy ahead of plan with best-of-breed capabilities ● Revenue synergy ahead of plan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StudyLink’s role in Australia higher education StudyLink’s software plays a key part of the international student journey by facilitating applications and approval workflows between students, their agents, and the universities in Australia Deposits represent 20 - 30%+ of total cross- opportunity border flows to Australian universities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Flywire’s ecosystem today with agents, With StudyLink, Flywire is more deeply embedded &amp; clients, &amp; payers able to capture the top of the funnel with agents &amp; payers in AUS Agents. Agents. Students. Students. Clients. Clients.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Capture more AUS/NZ Market Top-four core International Education market with substantial revenue potential 1 - ~620K international students studying in AUS - $11BN of total tertiary education TAM Key benefits Expand in target markets of StudyLink Accelerate expansion of StudyLink’s success in 2 education and agent ecosystem beyond acquisition Australia through Flywire’s international clients, partners &amp; team Agent acquisition &amp; utilization Acquisition supports Flywire’s high growth 3 investment in agents; drives utilization and is an agent acquisition channel - ~75% of international students studying in Australia went through agents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Travel spotlight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TRAVEL Mission Be the single integrated payments solution that solves the most complex travel payments across tour operators, accommodations providers and destination management companies (DMCs). Opportunity $530BN &lt;1% &lt;1% Penetration of Adoption from 1.4 BN (1) 2.5M travel TAM international operators globally (3) (2) Tourists Adoption &amp; coverage is as of May, 2022 (1) Based on global travel industry revenue in 2020 according to IBISWorld and management’s estimates that approximately 41% of the non-business and professional travel payment volume is addressable by our solutions (2) IBIS Global Tourism Report, June 2020 ©Flywire Corporation 2022 (3) Statista Report on Number of International Tourist Arrivals Worldwide from 1950 to 2021 (using 2019 to adjust for Covid)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Continued growth in large, fragmented segments Investments needed in GTM to match our ambition and maintain growth DMCs, Luxury Travel Travel Operators Accommodations Networks $440B+ $45B+ $70B+ ● Experiential travel companies ● One stop shops for high-end, bespoke ● Boutique hotels, luxury villas, student ● Strong product market fit itineraries for specific destinations and professional accommodations ● Heavy digital acquisition strategy ● Antiquated legacy systems ● Require simplicity and competitive ● &lt;1% revenue penetration ● Multiple flow opportunities pricing ● &lt;1% revenue penetration ● &lt;1% revenue penetration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Travel overview What we solve Why We Win Up to 50% time Complexity Fragmented saved on processing in payments marketplace guest payments ● High costs ● Legacy homegrown provider ● No visibility or tracking ● Multiple systems not connected What we ● Manual workflows ● Operational inefficiencies solve for Up to $100K monthly savings per client ● Powering a connected ecosystem of businesses, travelers, agents &amp; 100s of clients with more strong &amp; growing ● Modern software that integrates into existing workflows referral network ● Enhanced payment experience for international travelers How ● Around the clock, multi-lingual support we do it Industry expertise ● Strategic payables for agents and suppliers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CASE CASE STUSTU DY DY Client Challenge ● Needed to automate currency conversion to provide customers choice and pay suppliers ● Security provisions impeded user experience ● Lacked support for customers and staff Why they chose Flywire South Africa us solution ● Ability to receive funds in the ● Reduced processing costs local desired currency (USD and ● Increased support for ZAR) customers and staff ● Preferred payment and currency ● High levels of security without options for customers unnecessary friction ● Dedicated support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Software drives value in Travel payments Healthy travel spreads as volume grows 100%+ volume growth over Q3 2022 Strong Adjusted Gross Profit contribution. Travel growth impacts gross margins given pass through of interchange as cost of sales. However, net gross profit spreads in the travel vertical are consistent with those of Flywire average across other verticals and have been improving while the business grows. Travel Monetization Rate Travel Cost of Sales Travel Volume Summer Peak Winter Peak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Outlook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2023 Outlook* $86.5 – $90.5M $1.0 - $4.0M 1 Revenue Less Ancillary Adjusted EBITDA Services 1. Flywire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*Assumes foreign exchange rates prevailing as of September 30, 2023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2023 Outlook* $372.0 - 376.0M $35.0 - 39.0M 1 Revenue Less Ancillary Adjusted EBITDA Services 1. Flywire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21 *Assumes foreign exchange rates prevailing as of September 30,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at Constant Currency*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24 $USD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25 $USD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Income (Loss) to Adjusted EBITDA Reconciliation $USD in Millions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Revenue to Revenue Less Ancillary Services Guidance $USD in Millions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Supplemental Outlook Details The following table provides a reconciliation of Fiscal Year 2023 outlook to the prior outlook provided in August (Unaudited) Fiscal Year 2023 Guidance (1) (in millions) Midpoint of Outlook Increase Currency Fluctuations Midpoint of Outlook (2) in August from Prior Outlook in November Q423 Revenue $96.2 $0.3 ($2.5) $94.0 Q423 Revenue Less Ancillary Services $88.4 $2.6 ($2.5) $88.5 FY23 Revenue $400.0 $0.5 ($3.8) $396.7 FY23 Revenue Less Ancillary Services $376.0 $1.8 ($3.8) $374.0 (1) Reflects the assumed impact of the StudyLink acquisition and underlying organic strength in business. (2) Flywire’s updated outlook reflects foreign exchange rates prevailing as of September 30, 2023 and its prior outlook, which reflected exchange rates prevailing as of June 30, 2023. The impacts to fiscal year of 2023 are considered forward-looking outlook. 28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Glossary of Terms: Financial NRR - Net Revenue Retention Rate We calculate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 MR - Monetization Rate Monetization rate is the quotient of Revenue Less Ancillary Services divided by Total Payment Volume. TPV - Total Payment Volume We define total payment volume or “TPV” as the total amount paid to our clients on our payments platform in a given period. 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Platform and Usage-Based Fee Revenue We earn revenue from many of our clients based on the amount of accounts receivable they collect through our platform. For these services, we are paid a platform and usage- 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114. ©Flywire Corporation 2022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8485</Words>
  <Characters>46639</Characters>
  <CharactersWithSpaces>56592</CharactersWithSpaces>
  <Paragraphs>3688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