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60" w:type="dxa"/>
            <w:vAlign w:val="bottom"/>
          </w:tcPr>
          <w:p>
            <w:pPr>
              <w:jc w:val="right"/>
              <w:ind w:right="84"/>
              <w:spacing w:after="0"/>
              <w:rPr>
                <w:sz w:val="20"/>
                <w:szCs w:val="20"/>
                <w:color w:val="auto"/>
              </w:rPr>
            </w:pPr>
            <w:r>
              <w:rPr>
                <w:rFonts w:ascii="Arial" w:cs="Arial" w:eastAsia="Arial" w:hAnsi="Arial"/>
                <w:sz w:val="7"/>
                <w:szCs w:val="7"/>
                <w:color w:val="auto"/>
                <w:w w:val="71"/>
              </w:rPr>
              <w:t>*</w:t>
            </w:r>
          </w:p>
        </w:tc>
        <w:tc>
          <w:tcPr>
            <w:tcW w:w="1640" w:type="dxa"/>
            <w:vAlign w:val="bottom"/>
          </w:tcPr>
          <w:p>
            <w:pPr>
              <w:ind w:left="28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vMerge w:val="restart"/>
          </w:tcPr>
          <w:p>
            <w:pPr>
              <w:ind w:left="28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940" w:type="dxa"/>
            <w:vAlign w:val="bottom"/>
            <w:gridSpan w:val="3"/>
            <w:vMerge w:val="restart"/>
          </w:tcPr>
          <w:p>
            <w:pPr>
              <w:spacing w:after="0" w:line="256" w:lineRule="exact"/>
              <w:rPr>
                <w:rFonts w:ascii="Arial" w:cs="Arial" w:eastAsia="Arial" w:hAnsi="Arial"/>
                <w:sz w:val="24"/>
                <w:szCs w:val="24"/>
                <w:color w:val="0000EE"/>
                <w:w w:val="95"/>
              </w:rPr>
            </w:pPr>
            <w:hyperlink r:id="rId10">
              <w:r>
                <w:rPr>
                  <w:rFonts w:ascii="Arial" w:cs="Arial" w:eastAsia="Arial" w:hAnsi="Arial"/>
                  <w:sz w:val="24"/>
                  <w:szCs w:val="24"/>
                  <w:color w:val="0000EE"/>
                  <w:w w:val="95"/>
                </w:rPr>
                <w:t>GOLDMAN SACHS GROUP</w:t>
              </w:r>
            </w:hyperlink>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940" w:type="dxa"/>
            <w:vAlign w:val="bottom"/>
            <w:tcBorders>
              <w:bottom w:val="single" w:sz="8" w:color="0000EE"/>
            </w:tcBorders>
            <w:gridSpan w:val="3"/>
            <w:vMerge w:val="continue"/>
          </w:tcPr>
          <w:p>
            <w:pPr>
              <w:spacing w:after="0"/>
              <w:rPr>
                <w:sz w:val="13"/>
                <w:szCs w:val="13"/>
                <w:color w:val="auto"/>
              </w:rPr>
            </w:pPr>
          </w:p>
        </w:tc>
        <w:tc>
          <w:tcPr>
            <w:tcW w:w="1640" w:type="dxa"/>
            <w:vAlign w:val="bottom"/>
          </w:tcPr>
          <w:p>
            <w:pPr>
              <w:ind w:left="28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INC</w:t>
              </w:r>
            </w:hyperlink>
          </w:p>
        </w:tc>
        <w:tc>
          <w:tcPr>
            <w:tcW w:w="160" w:type="dxa"/>
            <w:vAlign w:val="bottom"/>
          </w:tcPr>
          <w:p>
            <w:pPr>
              <w:spacing w:after="0"/>
              <w:rPr>
                <w:sz w:val="21"/>
                <w:szCs w:val="21"/>
                <w:color w:val="auto"/>
              </w:rPr>
            </w:pPr>
          </w:p>
        </w:tc>
        <w:tc>
          <w:tcPr>
            <w:tcW w:w="1640" w:type="dxa"/>
            <w:vAlign w:val="bottom"/>
          </w:tcPr>
          <w:p>
            <w:pPr>
              <w:ind w:left="280"/>
              <w:spacing w:after="0"/>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4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200 WEST STREET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06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220" w:type="dxa"/>
            <w:vAlign w:val="bottom"/>
            <w:vMerge w:val="restart"/>
          </w:tcPr>
          <w:p>
            <w:pPr>
              <w:ind w:left="220"/>
              <w:spacing w:after="0"/>
              <w:rPr>
                <w:sz w:val="20"/>
                <w:szCs w:val="20"/>
                <w:color w:val="auto"/>
              </w:rPr>
            </w:pPr>
            <w:r>
              <w:rPr>
                <w:rFonts w:ascii="Arial" w:cs="Arial" w:eastAsia="Arial" w:hAnsi="Arial"/>
                <w:sz w:val="20"/>
                <w:szCs w:val="20"/>
                <w:color w:val="0000FF"/>
              </w:rPr>
              <w:t>10282</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0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6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60" w:type="dxa"/>
            <w:vAlign w:val="bottom"/>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40" w:type="dxa"/>
            <w:vAlign w:val="bottom"/>
            <w:vMerge w:val="restart"/>
          </w:tcPr>
          <w:p>
            <w:pPr>
              <w:ind w:left="5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40" w:type="dxa"/>
            <w:vAlign w:val="bottom"/>
          </w:tcPr>
          <w:p>
            <w:pPr>
              <w:ind w:left="5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40" w:type="dxa"/>
            <w:vAlign w:val="bottom"/>
          </w:tcPr>
          <w:p>
            <w:pPr>
              <w:ind w:left="5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252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E-1 Preferred Stock</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008000"/>
              </w:rPr>
              <w:t>(1)</w:t>
            </w:r>
          </w:p>
        </w:tc>
        <w:tc>
          <w:tcPr>
            <w:tcW w:w="112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008000"/>
              </w:rPr>
              <w:t>(1)</w:t>
            </w:r>
          </w:p>
        </w:tc>
        <w:tc>
          <w:tcPr>
            <w:tcW w:w="1800" w:type="dxa"/>
            <w:vAlign w:val="bottom"/>
          </w:tcPr>
          <w:p>
            <w:pPr>
              <w:jc w:val="center"/>
              <w:ind w:left="42"/>
              <w:spacing w:after="0"/>
              <w:rPr>
                <w:sz w:val="20"/>
                <w:szCs w:val="20"/>
                <w:color w:val="auto"/>
              </w:rPr>
            </w:pPr>
            <w:r>
              <w:rPr>
                <w:rFonts w:ascii="Arial" w:cs="Arial" w:eastAsia="Arial" w:hAnsi="Arial"/>
                <w:sz w:val="20"/>
                <w:szCs w:val="20"/>
                <w:color w:val="0000FF"/>
                <w:w w:val="88"/>
              </w:rPr>
              <w:t>Class A Common</w:t>
            </w:r>
          </w:p>
        </w:tc>
        <w:tc>
          <w:tcPr>
            <w:tcW w:w="1160" w:type="dxa"/>
            <w:vAlign w:val="bottom"/>
            <w:vMerge w:val="restart"/>
          </w:tcPr>
          <w:p>
            <w:pPr>
              <w:jc w:val="center"/>
              <w:ind w:right="42"/>
              <w:spacing w:after="0"/>
              <w:rPr>
                <w:sz w:val="20"/>
                <w:szCs w:val="20"/>
                <w:color w:val="auto"/>
              </w:rPr>
            </w:pPr>
            <w:r>
              <w:rPr>
                <w:rFonts w:ascii="Arial" w:cs="Arial" w:eastAsia="Arial" w:hAnsi="Arial"/>
                <w:sz w:val="20"/>
                <w:szCs w:val="20"/>
                <w:color w:val="0000FF"/>
                <w:w w:val="87"/>
              </w:rPr>
              <w:t>2,909,892</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60" w:type="dxa"/>
            <w:vAlign w:val="bottom"/>
            <w:gridSpan w:val="2"/>
          </w:tcPr>
          <w:p>
            <w:pPr>
              <w:ind w:left="26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(3)(4)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20" w:type="dxa"/>
            <w:vAlign w:val="bottom"/>
            <w:gridSpan w:val="4"/>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800" w:type="dxa"/>
            <w:vAlign w:val="bottom"/>
            <w:vMerge w:val="restart"/>
          </w:tcPr>
          <w:p>
            <w:pPr>
              <w:jc w:val="center"/>
              <w:ind w:left="42"/>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(2)</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vMerge w:val="continue"/>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74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2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E-2 Preferred Stock</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008000"/>
              </w:rPr>
              <w:t>(7)</w:t>
            </w:r>
          </w:p>
        </w:tc>
        <w:tc>
          <w:tcPr>
            <w:tcW w:w="112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008000"/>
              </w:rPr>
              <w:t>(7)</w:t>
            </w:r>
          </w:p>
        </w:tc>
        <w:tc>
          <w:tcPr>
            <w:tcW w:w="1800" w:type="dxa"/>
            <w:vAlign w:val="bottom"/>
          </w:tcPr>
          <w:p>
            <w:pPr>
              <w:jc w:val="center"/>
              <w:ind w:left="42"/>
              <w:spacing w:after="0"/>
              <w:rPr>
                <w:sz w:val="20"/>
                <w:szCs w:val="20"/>
                <w:color w:val="auto"/>
              </w:rPr>
            </w:pPr>
            <w:r>
              <w:rPr>
                <w:rFonts w:ascii="Arial" w:cs="Arial" w:eastAsia="Arial" w:hAnsi="Arial"/>
                <w:sz w:val="20"/>
                <w:szCs w:val="20"/>
                <w:color w:val="0000FF"/>
                <w:w w:val="88"/>
              </w:rPr>
              <w:t>Class B Common</w:t>
            </w:r>
          </w:p>
        </w:tc>
        <w:tc>
          <w:tcPr>
            <w:tcW w:w="1160" w:type="dxa"/>
            <w:vAlign w:val="bottom"/>
            <w:vMerge w:val="restart"/>
          </w:tcPr>
          <w:p>
            <w:pPr>
              <w:jc w:val="center"/>
              <w:ind w:right="22"/>
              <w:spacing w:after="0"/>
              <w:rPr>
                <w:sz w:val="20"/>
                <w:szCs w:val="20"/>
                <w:color w:val="auto"/>
              </w:rPr>
            </w:pPr>
            <w:r>
              <w:rPr>
                <w:rFonts w:ascii="Arial" w:cs="Arial" w:eastAsia="Arial" w:hAnsi="Arial"/>
                <w:sz w:val="20"/>
                <w:szCs w:val="20"/>
                <w:color w:val="0000FF"/>
                <w:w w:val="85"/>
              </w:rPr>
              <w:t>4,115,058</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(7)</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60" w:type="dxa"/>
            <w:vAlign w:val="bottom"/>
            <w:gridSpan w:val="2"/>
          </w:tcPr>
          <w:p>
            <w:pPr>
              <w:ind w:left="26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(3)(4)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20" w:type="dxa"/>
            <w:vAlign w:val="bottom"/>
            <w:gridSpan w:val="4"/>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800" w:type="dxa"/>
            <w:vAlign w:val="bottom"/>
            <w:vMerge w:val="restart"/>
          </w:tcPr>
          <w:p>
            <w:pPr>
              <w:jc w:val="center"/>
              <w:ind w:left="42"/>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(2)</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vMerge w:val="continue"/>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74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2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F-1 Preferred Stock</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008000"/>
              </w:rPr>
              <w:t>(1)</w:t>
            </w:r>
          </w:p>
        </w:tc>
        <w:tc>
          <w:tcPr>
            <w:tcW w:w="112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008000"/>
              </w:rPr>
              <w:t>(1)</w:t>
            </w:r>
          </w:p>
        </w:tc>
        <w:tc>
          <w:tcPr>
            <w:tcW w:w="1800" w:type="dxa"/>
            <w:vAlign w:val="bottom"/>
          </w:tcPr>
          <w:p>
            <w:pPr>
              <w:jc w:val="center"/>
              <w:ind w:left="42"/>
              <w:spacing w:after="0"/>
              <w:rPr>
                <w:sz w:val="20"/>
                <w:szCs w:val="20"/>
                <w:color w:val="auto"/>
              </w:rPr>
            </w:pPr>
            <w:r>
              <w:rPr>
                <w:rFonts w:ascii="Arial" w:cs="Arial" w:eastAsia="Arial" w:hAnsi="Arial"/>
                <w:sz w:val="20"/>
                <w:szCs w:val="20"/>
                <w:color w:val="0000FF"/>
                <w:w w:val="88"/>
              </w:rPr>
              <w:t>Class A Common</w:t>
            </w:r>
          </w:p>
        </w:tc>
        <w:tc>
          <w:tcPr>
            <w:tcW w:w="1160" w:type="dxa"/>
            <w:vAlign w:val="bottom"/>
            <w:vMerge w:val="restart"/>
          </w:tcPr>
          <w:p>
            <w:pPr>
              <w:jc w:val="center"/>
              <w:ind w:right="22"/>
              <w:spacing w:after="0"/>
              <w:rPr>
                <w:sz w:val="20"/>
                <w:szCs w:val="20"/>
                <w:color w:val="auto"/>
              </w:rPr>
            </w:pPr>
            <w:r>
              <w:rPr>
                <w:rFonts w:ascii="Arial" w:cs="Arial" w:eastAsia="Arial" w:hAnsi="Arial"/>
                <w:sz w:val="20"/>
                <w:szCs w:val="20"/>
                <w:color w:val="0000FF"/>
                <w:w w:val="88"/>
              </w:rPr>
              <w:t>172,125</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760" w:type="dxa"/>
            <w:vAlign w:val="bottom"/>
            <w:gridSpan w:val="2"/>
          </w:tcPr>
          <w:p>
            <w:pPr>
              <w:ind w:left="26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(3)(4)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20" w:type="dxa"/>
            <w:vAlign w:val="bottom"/>
            <w:gridSpan w:val="4"/>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800" w:type="dxa"/>
            <w:vAlign w:val="bottom"/>
            <w:vMerge w:val="restart"/>
          </w:tcPr>
          <w:p>
            <w:pPr>
              <w:jc w:val="center"/>
              <w:ind w:left="42"/>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(2)</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40" w:type="dxa"/>
            <w:vAlign w:val="bottom"/>
            <w:vMerge w:val="restart"/>
          </w:tcPr>
          <w:p>
            <w:pPr>
              <w:ind w:left="260"/>
              <w:spacing w:after="0"/>
              <w:rPr>
                <w:sz w:val="20"/>
                <w:szCs w:val="20"/>
                <w:color w:val="auto"/>
              </w:rPr>
            </w:pPr>
            <w:r>
              <w:rPr>
                <w:rFonts w:ascii="Arial" w:cs="Arial" w:eastAsia="Arial" w:hAnsi="Arial"/>
                <w:sz w:val="13"/>
                <w:szCs w:val="13"/>
                <w:color w:val="008000"/>
              </w:rPr>
              <w:t>(5)(6)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200" w:type="dxa"/>
            <w:vAlign w:val="bottom"/>
            <w:tcBorders>
              <w:bottom w:val="single" w:sz="8" w:color="2C2C2C"/>
            </w:tcBorders>
          </w:tcPr>
          <w:p>
            <w:pPr>
              <w:spacing w:after="0"/>
              <w:rPr>
                <w:sz w:val="20"/>
                <w:szCs w:val="20"/>
                <w:color w:val="auto"/>
              </w:rPr>
            </w:pPr>
          </w:p>
        </w:tc>
        <w:tc>
          <w:tcPr>
            <w:tcW w:w="12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1800" w:type="dxa"/>
            <w:vAlign w:val="bottom"/>
            <w:tcBorders>
              <w:bottom w:val="single" w:sz="8" w:color="2C2C2C"/>
            </w:tcBorders>
            <w:vMerge w:val="continue"/>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1740" w:type="dxa"/>
            <w:vAlign w:val="bottom"/>
            <w:tcBorders>
              <w:bottom w:val="single" w:sz="8" w:color="2C2C2C"/>
            </w:tcBorders>
            <w:vMerge w:val="continue"/>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520" w:type="dxa"/>
            <w:vAlign w:val="bottom"/>
            <w:tcBorders>
              <w:top w:val="single" w:sz="8" w:color="2C2C2C"/>
            </w:tcBorders>
            <w:gridSpan w:val="6"/>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7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tcBorders>
              <w:bottom w:val="single" w:sz="8" w:color="0000EE"/>
            </w:tcBorders>
            <w:gridSpan w:val="4"/>
          </w:tcPr>
          <w:p>
            <w:pPr>
              <w:spacing w:after="0" w:line="249" w:lineRule="exact"/>
              <w:rPr>
                <w:rFonts w:ascii="Arial" w:cs="Arial" w:eastAsia="Arial" w:hAnsi="Arial"/>
                <w:sz w:val="24"/>
                <w:szCs w:val="24"/>
                <w:color w:val="0000EE"/>
                <w:w w:val="95"/>
              </w:rPr>
            </w:pPr>
            <w:hyperlink r:id="rId10">
              <w:r>
                <w:rPr>
                  <w:rFonts w:ascii="Arial" w:cs="Arial" w:eastAsia="Arial" w:hAnsi="Arial"/>
                  <w:sz w:val="24"/>
                  <w:szCs w:val="24"/>
                  <w:color w:val="0000EE"/>
                  <w:w w:val="95"/>
                </w:rPr>
                <w:t>GOLDMAN SACHS GROUP INC</w:t>
              </w:r>
            </w:hyperlink>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tcPr>
          <w:p>
            <w:pPr>
              <w:ind w:left="180"/>
              <w:spacing w:after="0"/>
              <w:rPr>
                <w:sz w:val="20"/>
                <w:szCs w:val="20"/>
                <w:color w:val="auto"/>
              </w:rPr>
            </w:pPr>
            <w:r>
              <w:rPr>
                <w:rFonts w:ascii="Arial" w:cs="Arial" w:eastAsia="Arial" w:hAnsi="Arial"/>
                <w:sz w:val="15"/>
                <w:szCs w:val="15"/>
                <w:color w:val="auto"/>
              </w:rPr>
              <w:t>(First)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(Middle)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20"/>
                <w:szCs w:val="20"/>
                <w:color w:val="0000FF"/>
              </w:rPr>
              <w:t>200 WEST STREET</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200" w:type="dxa"/>
            <w:vAlign w:val="bottom"/>
          </w:tcPr>
          <w:p>
            <w:pPr>
              <w:ind w:left="180"/>
              <w:spacing w:after="0"/>
              <w:rPr>
                <w:sz w:val="20"/>
                <w:szCs w:val="20"/>
                <w:color w:val="auto"/>
              </w:rPr>
            </w:pPr>
            <w:r>
              <w:rPr>
                <w:rFonts w:ascii="Arial" w:cs="Arial" w:eastAsia="Arial" w:hAnsi="Arial"/>
                <w:sz w:val="20"/>
                <w:szCs w:val="20"/>
                <w:color w:val="0000FF"/>
              </w:rPr>
              <w:t>NY</w:t>
            </w:r>
          </w:p>
        </w:tc>
        <w:tc>
          <w:tcPr>
            <w:tcW w:w="880" w:type="dxa"/>
            <w:vAlign w:val="bottom"/>
          </w:tcPr>
          <w:p>
            <w:pPr>
              <w:ind w:left="360"/>
              <w:spacing w:after="0"/>
              <w:rPr>
                <w:sz w:val="20"/>
                <w:szCs w:val="20"/>
                <w:color w:val="auto"/>
              </w:rPr>
            </w:pPr>
            <w:r>
              <w:rPr>
                <w:rFonts w:ascii="Arial" w:cs="Arial" w:eastAsia="Arial" w:hAnsi="Arial"/>
                <w:sz w:val="20"/>
                <w:szCs w:val="20"/>
                <w:color w:val="0000FF"/>
                <w:w w:val="89"/>
              </w:rPr>
              <w:t>10282</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200" w:type="dxa"/>
            <w:vAlign w:val="bottom"/>
          </w:tcPr>
          <w:p>
            <w:pPr>
              <w:ind w:left="180"/>
              <w:spacing w:after="0"/>
              <w:rPr>
                <w:sz w:val="20"/>
                <w:szCs w:val="20"/>
                <w:color w:val="auto"/>
              </w:rPr>
            </w:pPr>
            <w:r>
              <w:rPr>
                <w:rFonts w:ascii="Arial" w:cs="Arial" w:eastAsia="Arial" w:hAnsi="Arial"/>
                <w:sz w:val="15"/>
                <w:szCs w:val="15"/>
                <w:color w:val="auto"/>
              </w:rPr>
              <w:t>(State)</w:t>
            </w:r>
          </w:p>
        </w:tc>
        <w:tc>
          <w:tcPr>
            <w:tcW w:w="1000" w:type="dxa"/>
            <w:vAlign w:val="bottom"/>
            <w:gridSpan w:val="2"/>
          </w:tcPr>
          <w:p>
            <w:pPr>
              <w:ind w:left="360"/>
              <w:spacing w:after="0"/>
              <w:rPr>
                <w:sz w:val="20"/>
                <w:szCs w:val="20"/>
                <w:color w:val="auto"/>
              </w:rPr>
            </w:pPr>
            <w:r>
              <w:rPr>
                <w:rFonts w:ascii="Arial" w:cs="Arial" w:eastAsia="Arial" w:hAnsi="Arial"/>
                <w:sz w:val="15"/>
                <w:szCs w:val="15"/>
                <w:color w:val="auto"/>
              </w:rPr>
              <w:t>(Zip)</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20" w:type="dxa"/>
            <w:vAlign w:val="bottom"/>
            <w:gridSpan w:val="6"/>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4"/>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GOLDMAN SACHS &amp; CO. LLC</w:t>
              </w:r>
            </w:hyperlink>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tcPr>
          <w:p>
            <w:pPr>
              <w:ind w:left="180"/>
              <w:spacing w:after="0"/>
              <w:rPr>
                <w:sz w:val="20"/>
                <w:szCs w:val="20"/>
                <w:color w:val="auto"/>
              </w:rPr>
            </w:pPr>
            <w:r>
              <w:rPr>
                <w:rFonts w:ascii="Arial" w:cs="Arial" w:eastAsia="Arial" w:hAnsi="Arial"/>
                <w:sz w:val="15"/>
                <w:szCs w:val="15"/>
                <w:color w:val="auto"/>
              </w:rPr>
              <w:t>(First)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(Middle)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200 WEST STREET</w:t>
      </w:r>
    </w:p>
    <w:p>
      <w:pPr>
        <w:spacing w:after="0" w:line="39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NEW YORK</w:t>
      </w:r>
      <w:r>
        <w:rPr>
          <w:sz w:val="20"/>
          <w:szCs w:val="20"/>
          <w:color w:val="auto"/>
        </w:rPr>
        <w:tab/>
      </w:r>
      <w:r>
        <w:rPr>
          <w:rFonts w:ascii="Arial" w:cs="Arial" w:eastAsia="Arial" w:hAnsi="Arial"/>
          <w:sz w:val="20"/>
          <w:szCs w:val="20"/>
          <w:color w:val="0000FF"/>
        </w:rPr>
        <w:t>NY</w:t>
      </w:r>
      <w:r>
        <w:rPr>
          <w:sz w:val="20"/>
          <w:szCs w:val="20"/>
          <w:color w:val="auto"/>
        </w:rPr>
        <w:tab/>
      </w:r>
      <w:r>
        <w:rPr>
          <w:rFonts w:ascii="Arial" w:cs="Arial" w:eastAsia="Arial" w:hAnsi="Arial"/>
          <w:sz w:val="17"/>
          <w:szCs w:val="17"/>
          <w:color w:val="0000FF"/>
        </w:rPr>
        <w:t>10282</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8179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8179435"/>
                    </a:xfrm>
                    <a:prstGeom prst="rect">
                      <a:avLst/>
                    </a:prstGeom>
                    <a:noFill/>
                  </pic:spPr>
                </pic:pic>
              </a:graphicData>
            </a:graphic>
          </wp:anchor>
        </w:drawing>
      </w: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Goldman Sachs PSI Global Holdings,</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LLC</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200 WEST STREET</w:t>
            </w:r>
          </w:p>
        </w:tc>
        <w:tc>
          <w:tcPr>
            <w:tcW w:w="18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10282</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Stonebridge 2020 Offshore Holdings II,</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200 WEST STREET</w:t>
            </w:r>
          </w:p>
        </w:tc>
        <w:tc>
          <w:tcPr>
            <w:tcW w:w="18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10282</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Bridge Street Opportunity Advisors,</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L.L.C.</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tcPr>
          <w:p>
            <w:pPr>
              <w:ind w:left="180"/>
              <w:spacing w:after="0"/>
              <w:rPr>
                <w:sz w:val="20"/>
                <w:szCs w:val="20"/>
                <w:color w:val="auto"/>
              </w:rPr>
            </w:pPr>
            <w:r>
              <w:rPr>
                <w:rFonts w:ascii="Arial" w:cs="Arial" w:eastAsia="Arial" w:hAnsi="Arial"/>
                <w:sz w:val="15"/>
                <w:szCs w:val="15"/>
                <w:color w:val="auto"/>
              </w:rPr>
              <w:t>(First)</w:t>
            </w:r>
          </w:p>
        </w:tc>
        <w:tc>
          <w:tcPr>
            <w:tcW w:w="2000" w:type="dxa"/>
            <w:vAlign w:val="bottom"/>
            <w:gridSpan w:val="2"/>
          </w:tcPr>
          <w:p>
            <w:pPr>
              <w:ind w:left="54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20"/>
                <w:szCs w:val="20"/>
                <w:color w:val="0000FF"/>
              </w:rPr>
              <w:t>200 WEST STREET</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8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020" w:type="dxa"/>
            <w:vAlign w:val="bottom"/>
          </w:tcPr>
          <w:p>
            <w:pPr>
              <w:ind w:left="180"/>
              <w:spacing w:after="0"/>
              <w:rPr>
                <w:sz w:val="20"/>
                <w:szCs w:val="20"/>
                <w:color w:val="auto"/>
              </w:rPr>
            </w:pPr>
            <w:r>
              <w:rPr>
                <w:rFonts w:ascii="Arial" w:cs="Arial" w:eastAsia="Arial" w:hAnsi="Arial"/>
                <w:sz w:val="20"/>
                <w:szCs w:val="20"/>
                <w:color w:val="0000FF"/>
              </w:rPr>
              <w:t>NY</w:t>
            </w:r>
          </w:p>
        </w:tc>
        <w:tc>
          <w:tcPr>
            <w:tcW w:w="1880" w:type="dxa"/>
            <w:vAlign w:val="bottom"/>
          </w:tcPr>
          <w:p>
            <w:pPr>
              <w:ind w:left="540"/>
              <w:spacing w:after="0"/>
              <w:rPr>
                <w:sz w:val="20"/>
                <w:szCs w:val="20"/>
                <w:color w:val="auto"/>
              </w:rPr>
            </w:pPr>
            <w:r>
              <w:rPr>
                <w:rFonts w:ascii="Arial" w:cs="Arial" w:eastAsia="Arial" w:hAnsi="Arial"/>
                <w:sz w:val="20"/>
                <w:szCs w:val="20"/>
                <w:color w:val="0000FF"/>
              </w:rPr>
              <w:t>10282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020" w:type="dxa"/>
            <w:vAlign w:val="bottom"/>
          </w:tcPr>
          <w:p>
            <w:pPr>
              <w:ind w:left="180"/>
              <w:spacing w:after="0"/>
              <w:rPr>
                <w:sz w:val="20"/>
                <w:szCs w:val="20"/>
                <w:color w:val="auto"/>
              </w:rPr>
            </w:pPr>
            <w:r>
              <w:rPr>
                <w:rFonts w:ascii="Arial" w:cs="Arial" w:eastAsia="Arial" w:hAnsi="Arial"/>
                <w:sz w:val="15"/>
                <w:szCs w:val="15"/>
                <w:color w:val="auto"/>
              </w:rPr>
              <w:t>(State)</w:t>
            </w:r>
          </w:p>
        </w:tc>
        <w:tc>
          <w:tcPr>
            <w:tcW w:w="2000" w:type="dxa"/>
            <w:vAlign w:val="bottom"/>
            <w:gridSpan w:val="2"/>
          </w:tcPr>
          <w:p>
            <w:pPr>
              <w:ind w:left="54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6"/>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Borders>
              <w:bottom w:val="single" w:sz="8" w:color="0000EE"/>
            </w:tcBorders>
            <w:gridSpan w:val="2"/>
          </w:tcPr>
          <w:p>
            <w:pPr>
              <w:spacing w:after="0" w:line="249" w:lineRule="exact"/>
              <w:rPr>
                <w:rFonts w:ascii="Arial" w:cs="Arial" w:eastAsia="Arial" w:hAnsi="Arial"/>
                <w:sz w:val="24"/>
                <w:szCs w:val="24"/>
                <w:color w:val="0000EE"/>
                <w:w w:val="88"/>
              </w:rPr>
            </w:pPr>
            <w:hyperlink r:id="rId17">
              <w:r>
                <w:rPr>
                  <w:rFonts w:ascii="Arial" w:cs="Arial" w:eastAsia="Arial" w:hAnsi="Arial"/>
                  <w:sz w:val="24"/>
                  <w:szCs w:val="24"/>
                  <w:color w:val="0000EE"/>
                  <w:w w:val="88"/>
                </w:rPr>
                <w:t>StoneBridge 2020, L.P.</w:t>
              </w:r>
            </w:hyperlink>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tcPr>
          <w:p>
            <w:pPr>
              <w:ind w:left="180"/>
              <w:spacing w:after="0"/>
              <w:rPr>
                <w:sz w:val="20"/>
                <w:szCs w:val="20"/>
                <w:color w:val="auto"/>
              </w:rPr>
            </w:pPr>
            <w:r>
              <w:rPr>
                <w:rFonts w:ascii="Arial" w:cs="Arial" w:eastAsia="Arial" w:hAnsi="Arial"/>
                <w:sz w:val="15"/>
                <w:szCs w:val="15"/>
                <w:color w:val="auto"/>
              </w:rPr>
              <w:t>(First)</w:t>
            </w:r>
          </w:p>
        </w:tc>
        <w:tc>
          <w:tcPr>
            <w:tcW w:w="2000" w:type="dxa"/>
            <w:vAlign w:val="bottom"/>
            <w:gridSpan w:val="2"/>
          </w:tcPr>
          <w:p>
            <w:pPr>
              <w:ind w:left="54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20"/>
                <w:szCs w:val="20"/>
                <w:color w:val="0000FF"/>
              </w:rPr>
              <w:t>200 WEST STREET</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8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020" w:type="dxa"/>
            <w:vAlign w:val="bottom"/>
          </w:tcPr>
          <w:p>
            <w:pPr>
              <w:ind w:left="180"/>
              <w:spacing w:after="0"/>
              <w:rPr>
                <w:sz w:val="20"/>
                <w:szCs w:val="20"/>
                <w:color w:val="auto"/>
              </w:rPr>
            </w:pPr>
            <w:r>
              <w:rPr>
                <w:rFonts w:ascii="Arial" w:cs="Arial" w:eastAsia="Arial" w:hAnsi="Arial"/>
                <w:sz w:val="20"/>
                <w:szCs w:val="20"/>
                <w:color w:val="0000FF"/>
              </w:rPr>
              <w:t>NY</w:t>
            </w:r>
          </w:p>
        </w:tc>
        <w:tc>
          <w:tcPr>
            <w:tcW w:w="1880" w:type="dxa"/>
            <w:vAlign w:val="bottom"/>
          </w:tcPr>
          <w:p>
            <w:pPr>
              <w:ind w:left="540"/>
              <w:spacing w:after="0"/>
              <w:rPr>
                <w:sz w:val="20"/>
                <w:szCs w:val="20"/>
                <w:color w:val="auto"/>
              </w:rPr>
            </w:pPr>
            <w:r>
              <w:rPr>
                <w:rFonts w:ascii="Arial" w:cs="Arial" w:eastAsia="Arial" w:hAnsi="Arial"/>
                <w:sz w:val="20"/>
                <w:szCs w:val="20"/>
                <w:color w:val="0000FF"/>
              </w:rPr>
              <w:t>10282-2198</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020" w:type="dxa"/>
            <w:vAlign w:val="bottom"/>
          </w:tcPr>
          <w:p>
            <w:pPr>
              <w:ind w:left="180"/>
              <w:spacing w:after="0"/>
              <w:rPr>
                <w:sz w:val="20"/>
                <w:szCs w:val="20"/>
                <w:color w:val="auto"/>
              </w:rPr>
            </w:pPr>
            <w:r>
              <w:rPr>
                <w:rFonts w:ascii="Arial" w:cs="Arial" w:eastAsia="Arial" w:hAnsi="Arial"/>
                <w:sz w:val="15"/>
                <w:szCs w:val="15"/>
                <w:color w:val="auto"/>
              </w:rPr>
              <w:t>(State)</w:t>
            </w:r>
          </w:p>
        </w:tc>
        <w:tc>
          <w:tcPr>
            <w:tcW w:w="2000" w:type="dxa"/>
            <w:vAlign w:val="bottom"/>
            <w:gridSpan w:val="2"/>
          </w:tcPr>
          <w:p>
            <w:pPr>
              <w:ind w:left="5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8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Flywire Corporation's (the "Issuer") Series E-1 Preferred Stock and Series F-1 Preferred Stock is convertible into Class A Common Stock on a 1 for 1 basis at the holder's election and will automatically convert immediately prior to the Reclassification (as defined herein). The shares have no expiration date.</w:t>
      </w:r>
    </w:p>
    <w:p>
      <w:pPr>
        <w:spacing w:after="0" w:line="26" w:lineRule="exact"/>
        <w:rPr>
          <w:rFonts w:ascii="Arial" w:cs="Arial" w:eastAsia="Arial" w:hAnsi="Arial"/>
          <w:sz w:val="15"/>
          <w:szCs w:val="15"/>
          <w:color w:val="008000"/>
        </w:rPr>
      </w:pPr>
    </w:p>
    <w:p>
      <w:pPr>
        <w:ind w:left="20" w:right="180" w:firstLine="5"/>
        <w:spacing w:after="0" w:line="288"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Immediately prior to the closing of the initial public offering of the Issuer's Voting Common Stock, each share of Class A Common Stock will be reclassified into one share of Voting Common Stock, and each share of Class B Common Stock will be reclassified into one share of Non-Voting Common Stock (the "Reclassification").</w:t>
      </w:r>
    </w:p>
    <w:p>
      <w:pPr>
        <w:spacing w:after="0" w:line="3" w:lineRule="exact"/>
        <w:rPr>
          <w:rFonts w:ascii="Arial" w:cs="Arial" w:eastAsia="Arial" w:hAnsi="Arial"/>
          <w:sz w:val="14"/>
          <w:szCs w:val="14"/>
          <w:color w:val="008000"/>
        </w:rPr>
      </w:pPr>
    </w:p>
    <w:p>
      <w:pPr>
        <w:ind w:left="20" w:firstLine="5"/>
        <w:spacing w:after="0" w:line="281"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4 below)</w:t>
      </w:r>
    </w:p>
    <w:p>
      <w:pPr>
        <w:spacing w:after="0" w:line="10" w:lineRule="exact"/>
        <w:rPr>
          <w:rFonts w:ascii="Arial" w:cs="Arial" w:eastAsia="Arial" w:hAnsi="Arial"/>
          <w:sz w:val="13"/>
          <w:szCs w:val="13"/>
          <w:color w:val="008000"/>
        </w:rPr>
      </w:pPr>
    </w:p>
    <w:p>
      <w:pPr>
        <w:ind w:left="20" w:right="3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(Continued from Footnote 3 above). This report shall not be deemed an admission that any of the Reporting Persons are a member of a group or the beneficial owner of any securities not directly owned by the Reporting Person.</w:t>
      </w:r>
    </w:p>
    <w:p>
      <w:pPr>
        <w:spacing w:after="0" w:line="26" w:lineRule="exact"/>
        <w:rPr>
          <w:rFonts w:ascii="Arial" w:cs="Arial" w:eastAsia="Arial" w:hAnsi="Arial"/>
          <w:sz w:val="15"/>
          <w:szCs w:val="15"/>
          <w:color w:val="008000"/>
        </w:rPr>
      </w:pPr>
    </w:p>
    <w:p>
      <w:pPr>
        <w:ind w:left="20" w:right="38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6" w:lineRule="exact"/>
        <w:rPr>
          <w:rFonts w:ascii="Arial" w:cs="Arial" w:eastAsia="Arial" w:hAnsi="Arial"/>
          <w:sz w:val="15"/>
          <w:szCs w:val="15"/>
          <w:color w:val="008000"/>
        </w:rPr>
      </w:pPr>
    </w:p>
    <w:p>
      <w:pPr>
        <w:ind w:left="20" w:firstLine="5"/>
        <w:spacing w:after="0" w:line="254"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GSPSI holds 2,855,574 shares of Series E-1 Preferred Stock, 4,038,246 shares of Series E-2 Preferred Stock and 168,915 shares of Series F-1 Preferred Stock. SB Fund holds 35,547 shares of Series E-1 Preferred Stock, 50,268 shares of Series E-2 Preferred Stock and 2,103 shares of Series F-1 Preferred Stock. SB Fund Offshore holds 18,771 shares of Series E-1 Preferred Stock, 26,544 shares of Series E-2 Preferred Stock and 1,107 shares of Series F-1 Preferred Stock. Because of the relationships among GS Group, Goldman Sachs, Bridge Street, the SB Funds and GSPSI, each of GS Group and Goldman Sachs may be deemed a beneficial owner of Series E-1 Preferred Stock, Series E-2 Preferred Stock and Series F-1 Preferred Stock held by GSPSI and the SB Funds, and Bridge Street may be deemed a beneficial owner of the shares of Series E-1 Preferred Stock, Series E-2 Preferred Stock and Series F-1 Preferred Stock held by the SB Funds.</w:t>
      </w:r>
    </w:p>
    <w:p>
      <w:pPr>
        <w:sectPr>
          <w:pgSz w:w="11900" w:h="16929" w:orient="portrait"/>
          <w:cols w:equalWidth="0" w:num="1">
            <w:col w:w="10820"/>
          </w:cols>
          <w:pgMar w:left="500" w:top="184" w:right="579" w:bottom="0" w:gutter="0" w:footer="0" w:header="0"/>
        </w:sectPr>
      </w:pPr>
    </w:p>
    <w:bookmarkStart w:id="2" w:name="page3"/>
    <w:bookmarkEnd w:id="2"/>
    <w:p>
      <w:pPr>
        <w:ind w:right="60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Each share of the Issuer's Series E-2 Preferred Stock is convertible into Class B Common Stock on a 1 for 1 basis at the holder's election and will automatically convert immediately prior to the Reclassification. The shares have no expiration date.</w:t>
      </w:r>
    </w:p>
    <w:p>
      <w:pPr>
        <w:sectPr>
          <w:pgSz w:w="11900" w:h="16838" w:orient="portrait"/>
          <w:cols w:equalWidth="0" w:num="1">
            <w:col w:w="10820"/>
          </w:cols>
          <w:pgMar w:left="520" w:top="189" w:right="55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Jamison Yardley,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99441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45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80454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Jamison Yardley,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99441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45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80454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Jamison Yardley,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99441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454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80454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Jamison Yardley,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99441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45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80454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Jamison Yardley,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99441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454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80454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Jamison Yardley,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99441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454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80454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100" w:space="620"/>
            <w:col w:w="2100"/>
          </w:cols>
          <w:pgMar w:left="520" w:top="189"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89" w:right="559"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117"/>
        <w:spacing w:after="0" w:line="266" w:lineRule="auto"/>
        <w:rPr>
          <w:sz w:val="20"/>
          <w:szCs w:val="20"/>
          <w:color w:val="auto"/>
        </w:rPr>
      </w:pPr>
      <w:r>
        <w:rPr>
          <w:rFonts w:ascii="Courier New" w:cs="Courier New" w:eastAsia="Courier New" w:hAnsi="Courier New"/>
          <w:sz w:val="18"/>
          <w:szCs w:val="18"/>
          <w:color w:val="auto"/>
        </w:rPr>
        <w:t>KNOW ALL PERSONS BY THESE PRESENTS that GOLDMAN SACHS PSI GLOBAL HOLDINGS, LLC (the "Company") does hereby make, constitute and appoint each of Jamison Yardley and Crystal Orgill,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14" w:lineRule="exact"/>
        <w:rPr>
          <w:sz w:val="20"/>
          <w:szCs w:val="20"/>
          <w:color w:val="auto"/>
        </w:rPr>
      </w:pPr>
    </w:p>
    <w:p>
      <w:pPr>
        <w:ind w:right="619" w:firstLine="117"/>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earlier of (i) May 25, 2024 and (ii) such time that it is revoked in writing by the undersigned; provided that in the event the attorney-in-fact ceases to be an employee of the Company or its affiliates or ceases to perform the function in connection with which he/she was appointed attorney-in-fact prior to such time, this Power of Attorney shall cease to have effect in relation to such attorney-in-fact upon such cessation but shall continue in full force and effect in relation to any remaining attorneys-in-fact. The Company has the unrestricted right unilaterally to revoke this Power of Attorney.</w:t>
      </w:r>
    </w:p>
    <w:p>
      <w:pPr>
        <w:spacing w:after="0" w:line="237" w:lineRule="exact"/>
        <w:rPr>
          <w:sz w:val="20"/>
          <w:szCs w:val="20"/>
          <w:color w:val="auto"/>
        </w:rPr>
      </w:pPr>
    </w:p>
    <w:p>
      <w:pPr>
        <w:ind w:right="739"/>
        <w:spacing w:after="0" w:line="284" w:lineRule="auto"/>
        <w:rPr>
          <w:sz w:val="20"/>
          <w:szCs w:val="20"/>
          <w:color w:val="auto"/>
        </w:rPr>
      </w:pPr>
      <w:r>
        <w:rPr>
          <w:rFonts w:ascii="Courier New" w:cs="Courier New" w:eastAsia="Courier New" w:hAnsi="Courier New"/>
          <w:sz w:val="18"/>
          <w:szCs w:val="18"/>
          <w:color w:val="auto"/>
        </w:rPr>
        <w:t>This Power of Attorney shall be governed by, and construed in accordance with, the laws of the State of New York, without regard to rules of conflicts of law.</w:t>
      </w:r>
    </w:p>
    <w:p>
      <w:pPr>
        <w:spacing w:after="0" w:line="193"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IN WITNESS WHEREOF, the undersigned has duly subscribed these presents as of May 25,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GOLDMAN SACHS PSI GLOBAL HOLDINGS, LLC</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Ashwin Gupta</w:t>
      </w:r>
    </w:p>
    <w:p>
      <w:pPr>
        <w:spacing w:after="0" w:line="238" w:lineRule="auto"/>
        <w:rPr>
          <w:sz w:val="20"/>
          <w:szCs w:val="20"/>
          <w:color w:val="auto"/>
        </w:rPr>
      </w:pPr>
      <w:r>
        <w:rPr>
          <w:rFonts w:ascii="Courier New" w:cs="Courier New" w:eastAsia="Courier New" w:hAnsi="Courier New"/>
          <w:sz w:val="20"/>
          <w:szCs w:val="20"/>
          <w:color w:val="auto"/>
        </w:rPr>
        <w:t>Name: Ashwin Gupta</w:t>
      </w:r>
    </w:p>
    <w:p>
      <w:pPr>
        <w:spacing w:after="0" w:line="238" w:lineRule="auto"/>
        <w:rPr>
          <w:sz w:val="20"/>
          <w:szCs w:val="20"/>
          <w:color w:val="auto"/>
        </w:rPr>
      </w:pPr>
      <w:r>
        <w:rPr>
          <w:rFonts w:ascii="Courier New" w:cs="Courier New" w:eastAsia="Courier New" w:hAnsi="Courier New"/>
          <w:sz w:val="20"/>
          <w:szCs w:val="20"/>
          <w:color w:val="auto"/>
        </w:rPr>
        <w:t>Title: Managing Director of Goldman Sachs &amp; Co. LLC</w:t>
      </w:r>
    </w:p>
    <w:p>
      <w:pPr>
        <w:sectPr>
          <w:pgSz w:w="11900" w:h="16838" w:orient="portrait"/>
          <w:cols w:equalWidth="0" w:num="1">
            <w:col w:w="9979"/>
          </w:cols>
          <w:pgMar w:left="480" w:top="13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117"/>
        <w:spacing w:after="0" w:line="266" w:lineRule="auto"/>
        <w:rPr>
          <w:sz w:val="20"/>
          <w:szCs w:val="20"/>
          <w:color w:val="auto"/>
        </w:rPr>
      </w:pPr>
      <w:r>
        <w:rPr>
          <w:rFonts w:ascii="Courier New" w:cs="Courier New" w:eastAsia="Courier New" w:hAnsi="Courier New"/>
          <w:sz w:val="18"/>
          <w:szCs w:val="18"/>
          <w:color w:val="auto"/>
        </w:rPr>
        <w:t>KNOW ALL PERSONS BY THESE PRESENTS that STONEBRIDGE 2020 OFFSHORE HOLDINGS II, L.P. (the "Company") does hereby make, constitute and appoint each of Jamison Yardley and Crystal Orgill,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14" w:lineRule="exact"/>
        <w:rPr>
          <w:sz w:val="20"/>
          <w:szCs w:val="20"/>
          <w:color w:val="auto"/>
        </w:rPr>
      </w:pPr>
    </w:p>
    <w:p>
      <w:pPr>
        <w:ind w:right="619" w:firstLine="117"/>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earlier of (i) May 25, 2024 and (ii) such time that it is revoked in writing by the undersigned; provided that in the event the attorney-in-fact ceases to be an employee of the Company or its affiliates or ceases to perform the function in connection with which he/she was appointed attorney-in-fact prior to such time, this Power of Attorney shall cease to have effect in relation to such attorney-in-fact upon such cessation but shall continue in full force and effect in relation to any remaining attorneys-in-fact. The Company has the unrestricted right unilaterally to revoke this Power of Attorney.</w:t>
      </w:r>
    </w:p>
    <w:p>
      <w:pPr>
        <w:spacing w:after="0" w:line="237" w:lineRule="exact"/>
        <w:rPr>
          <w:sz w:val="20"/>
          <w:szCs w:val="20"/>
          <w:color w:val="auto"/>
        </w:rPr>
      </w:pPr>
    </w:p>
    <w:p>
      <w:pPr>
        <w:ind w:right="739"/>
        <w:spacing w:after="0" w:line="284" w:lineRule="auto"/>
        <w:rPr>
          <w:sz w:val="20"/>
          <w:szCs w:val="20"/>
          <w:color w:val="auto"/>
        </w:rPr>
      </w:pPr>
      <w:r>
        <w:rPr>
          <w:rFonts w:ascii="Courier New" w:cs="Courier New" w:eastAsia="Courier New" w:hAnsi="Courier New"/>
          <w:sz w:val="18"/>
          <w:szCs w:val="18"/>
          <w:color w:val="auto"/>
        </w:rPr>
        <w:t>This Power of Attorney shall be governed by, and construed in accordance with, the laws of the State of New York, without regard to rules of conflicts of law.</w:t>
      </w:r>
    </w:p>
    <w:p>
      <w:pPr>
        <w:spacing w:after="0" w:line="193"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IN WITNESS WHEREOF, the undersigned has duly subscribed these presents as of May 25,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Stonebridge 2020 Offshore Holdings II, L.P.</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Bridge Street Opportunity Advisors, L.L.C., its General Partner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Ashwin Gupta</w:t>
      </w:r>
    </w:p>
    <w:p>
      <w:pPr>
        <w:spacing w:after="0" w:line="238" w:lineRule="auto"/>
        <w:rPr>
          <w:sz w:val="20"/>
          <w:szCs w:val="20"/>
          <w:color w:val="auto"/>
        </w:rPr>
      </w:pPr>
      <w:r>
        <w:rPr>
          <w:rFonts w:ascii="Courier New" w:cs="Courier New" w:eastAsia="Courier New" w:hAnsi="Courier New"/>
          <w:sz w:val="20"/>
          <w:szCs w:val="20"/>
          <w:color w:val="auto"/>
        </w:rPr>
        <w:t>Name: Ashwin Gupta</w:t>
      </w:r>
    </w:p>
    <w:p>
      <w:pPr>
        <w:spacing w:after="0" w:line="238" w:lineRule="auto"/>
        <w:rPr>
          <w:sz w:val="20"/>
          <w:szCs w:val="20"/>
          <w:color w:val="auto"/>
        </w:rPr>
      </w:pPr>
      <w:r>
        <w:rPr>
          <w:rFonts w:ascii="Courier New" w:cs="Courier New" w:eastAsia="Courier New" w:hAnsi="Courier New"/>
          <w:sz w:val="20"/>
          <w:szCs w:val="20"/>
          <w:color w:val="auto"/>
        </w:rPr>
        <w:t>Title: Vice President</w:t>
      </w:r>
    </w:p>
    <w:p>
      <w:pPr>
        <w:sectPr>
          <w:pgSz w:w="11900" w:h="16838" w:orient="portrait"/>
          <w:cols w:equalWidth="0" w:num="1">
            <w:col w:w="9979"/>
          </w:cols>
          <w:pgMar w:left="480" w:top="13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KNOW ALL PERSONS BY THESE PRESENTS that STONEBRIDGE 2020, L.P. (the "Company") does hereby make, constitute and appoint each of Jamison Yardley and Crystal Orgill,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0" w:lineRule="exact"/>
        <w:rPr>
          <w:sz w:val="20"/>
          <w:szCs w:val="20"/>
          <w:color w:val="auto"/>
        </w:rPr>
      </w:pPr>
    </w:p>
    <w:p>
      <w:pPr>
        <w:spacing w:after="0" w:line="24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earlier of (i) May 25, 2024 and (ii) such time that it is revoked in writing by the undersigned; provided that in the event the attorney-in-fact ceases to be an employee of the Company or its affiliates or ceases to perform the function in connection with which he/she was appointed attorney-in-fact prior to such time, this Power of Attorney shall cease to have effect in relation to such attorney-in-fact upon such cessation but shall continue in full force and effect in relation to any remaining attorneys-in-fact. The Company has the unrestricted right unilaterally to revoke this Power of Attorney.</w:t>
      </w:r>
    </w:p>
    <w:p>
      <w:pPr>
        <w:spacing w:after="0" w:line="237" w:lineRule="exact"/>
        <w:rPr>
          <w:sz w:val="20"/>
          <w:szCs w:val="20"/>
          <w:color w:val="auto"/>
        </w:rPr>
      </w:pPr>
    </w:p>
    <w:p>
      <w:pPr>
        <w:ind w:right="739"/>
        <w:spacing w:after="0" w:line="284" w:lineRule="auto"/>
        <w:rPr>
          <w:sz w:val="20"/>
          <w:szCs w:val="20"/>
          <w:color w:val="auto"/>
        </w:rPr>
      </w:pPr>
      <w:r>
        <w:rPr>
          <w:rFonts w:ascii="Courier New" w:cs="Courier New" w:eastAsia="Courier New" w:hAnsi="Courier New"/>
          <w:sz w:val="18"/>
          <w:szCs w:val="18"/>
          <w:color w:val="auto"/>
        </w:rPr>
        <w:t>This Power of Attorney shall be governed by, and construed in accordance with, the laws of the State of New York, without regard to rules of conflicts of law.</w:t>
      </w:r>
    </w:p>
    <w:p>
      <w:pPr>
        <w:spacing w:after="0" w:line="193"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IN WITNESS WHEREOF, the undersigned has duly subscribed these presents as of May 25,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Stonebridge 2020, L.P.</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Bridge Street Opportunity Advisors, L.L.C., its General Partner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Ashwin Gupta</w:t>
      </w:r>
    </w:p>
    <w:p>
      <w:pPr>
        <w:spacing w:after="0" w:line="238" w:lineRule="auto"/>
        <w:rPr>
          <w:sz w:val="20"/>
          <w:szCs w:val="20"/>
          <w:color w:val="auto"/>
        </w:rPr>
      </w:pPr>
      <w:r>
        <w:rPr>
          <w:rFonts w:ascii="Courier New" w:cs="Courier New" w:eastAsia="Courier New" w:hAnsi="Courier New"/>
          <w:sz w:val="20"/>
          <w:szCs w:val="20"/>
          <w:color w:val="auto"/>
        </w:rPr>
        <w:t>Name: Ashwin Gupta</w:t>
      </w:r>
    </w:p>
    <w:p>
      <w:pPr>
        <w:spacing w:after="0" w:line="238" w:lineRule="auto"/>
        <w:rPr>
          <w:sz w:val="20"/>
          <w:szCs w:val="20"/>
          <w:color w:val="auto"/>
        </w:rPr>
      </w:pPr>
      <w:r>
        <w:rPr>
          <w:rFonts w:ascii="Courier New" w:cs="Courier New" w:eastAsia="Courier New" w:hAnsi="Courier New"/>
          <w:sz w:val="20"/>
          <w:szCs w:val="20"/>
          <w:color w:val="auto"/>
        </w:rPr>
        <w:t>Title: Vice President</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7"/>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10" Type="http://schemas.openxmlformats.org/officeDocument/2006/relationships/hyperlink" Target="http://www.sec.gov/cgi-bin/browse-edgar?action=getcompany&amp;CIK=0000886982" TargetMode="External"/><Relationship Id="rId11" Type="http://schemas.openxmlformats.org/officeDocument/2006/relationships/hyperlink" Target="http://www.sec.gov/cgi-bin/browse-edgar?action=getcompany&amp;CIK=0001580560" TargetMode="External"/><Relationship Id="rId12" Type="http://schemas.openxmlformats.org/officeDocument/2006/relationships/hyperlink" Target="http://www.sec.gov/cgi-bin/browse-edgar?action=getcompany&amp;CIK=0000769993" TargetMode="External"/><Relationship Id="rId14" Type="http://schemas.openxmlformats.org/officeDocument/2006/relationships/hyperlink" Target="http://www.sec.gov/cgi-bin/browse-edgar?action=getcompany&amp;CIK=0001865223" TargetMode="External"/><Relationship Id="rId15" Type="http://schemas.openxmlformats.org/officeDocument/2006/relationships/hyperlink" Target="http://www.sec.gov/cgi-bin/browse-edgar?action=getcompany&amp;CIK=0001864626" TargetMode="External"/><Relationship Id="rId16" Type="http://schemas.openxmlformats.org/officeDocument/2006/relationships/hyperlink" Target="http://www.sec.gov/cgi-bin/browse-edgar?action=getcompany&amp;CIK=0001615636" TargetMode="External"/><Relationship Id="rId17" Type="http://schemas.openxmlformats.org/officeDocument/2006/relationships/hyperlink" Target="http://www.sec.gov/cgi-bin/browse-edgar?action=getcompany&amp;CIK=0001802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2021-06-02T16:23:10Z</dcterms:created>
  <dcterms:modified xsi:type="dcterms:W3CDTF">2021-06-02T16:23:10Z</dcterms:modified>
</cp:coreProperties>
</file>