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Offereins Diane 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5,587</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19,763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restricted stock unit award that vests on the earlier of (a) June 4, 2024,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bl>
      <w:tblPr>
        <w:tblLayout w:type="fixed"/>
        <w:tblInd w:w="6580" w:type="dxa"/>
        <w:tblCellMar>
          <w:top w:w="0" w:type="dxa"/>
          <w:left w:w="0" w:type="dxa"/>
          <w:bottom w:w="0" w:type="dxa"/>
          <w:right w:w="0" w:type="dxa"/>
        </w:tblCellMar>
      </w:tblPr>
      <w:tr>
        <w:trPr>
          <w:trHeight w:val="199"/>
        </w:trPr>
        <w:tc>
          <w:tcPr>
            <w:tcW w:w="13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8"/>
              </w:rPr>
              <w:t>/s/Diane Offereins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13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2023-06-06T15:45:16Z</dcterms:created>
  <dcterms:modified xsi:type="dcterms:W3CDTF">2023-06-06T15:45:16Z</dcterms:modified>
</cp:coreProperties>
</file>