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2.jpeg" ContentType="image/jpeg"/>
  <Override PartName="/word/media/image12.jpeg" ContentType="image/jpeg"/>
  <Override PartName="/word/media/image10.jpeg" ContentType="image/jpeg"/>
  <Override PartName="/word/media/image29.jpeg" ContentType="image/jpeg"/>
  <Override PartName="/word/media/image1.jpeg" ContentType="image/jpeg"/>
  <Override PartName="/word/media/image35.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7.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8.jpeg" ContentType="image/jpeg"/>
  <Override PartName="/word/media/image39.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28.jpeg" ContentType="image/jpeg"/>
  <Override PartName="/word/media/image7.jpeg" ContentType="image/jpeg"/>
  <Override PartName="/word/media/image38.jpeg" ContentType="image/jpeg"/>
  <Override PartName="/word/media/image36.jpeg" ContentType="image/jpeg"/>
  <Override PartName="/word/media/image2.jpeg" ContentType="image/jpeg"/>
  <Override PartName="/word/media/image2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63245d8k.htm"/>
      <w:bookmarkStart w:id="1" w:name="ksd63245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November 4, 2025</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 xml:space="preserve">FLYWIRE CORPORATION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001-40430</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27-0690799</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No.)</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85" w:type="dxa"/>
        <w:jc w:val="left"/>
        <w:tblInd w:w="0" w:type="dxa"/>
        <w:tblLayout w:type="fixed"/>
        <w:tblCellMar>
          <w:top w:w="0" w:type="dxa"/>
          <w:left w:w="0" w:type="dxa"/>
          <w:bottom w:w="0" w:type="dxa"/>
          <w:right w:w="0" w:type="dxa"/>
        </w:tblCellMar>
      </w:tblPr>
      <w:tblGrid>
        <w:gridCol w:w="5285"/>
      </w:tblGrid>
      <w:tr>
        <w:trPr/>
        <w:tc>
          <w:tcPr>
            <w:tcW w:w="5285" w:type="dxa"/>
            <w:tcBorders/>
            <w:vAlign w:val="center"/>
          </w:tcPr>
          <w:p>
            <w:pPr>
              <w:pStyle w:val="TableContents"/>
              <w:bidi w:val="0"/>
              <w:spacing w:before="0" w:after="283"/>
              <w:jc w:val="left"/>
              <w:rPr>
                <w:sz w:val="4"/>
                <w:szCs w:val="4"/>
              </w:rPr>
            </w:pPr>
            <w:r>
              <w:rPr>
                <w:sz w:val="4"/>
                <w:szCs w:val="4"/>
              </w:rPr>
            </w:r>
          </w:p>
        </w:tc>
      </w:tr>
      <w:tr>
        <w:trPr/>
        <w:tc>
          <w:tcPr>
            <w:tcW w:w="5285" w:type="dxa"/>
            <w:tcBorders/>
            <w:vAlign w:val="center"/>
          </w:tcPr>
          <w:p>
            <w:pPr>
              <w:pStyle w:val="TableContents"/>
              <w:bidi w:val="0"/>
              <w:spacing w:before="0" w:after="283"/>
              <w:jc w:val="center"/>
              <w:rPr>
                <w:b/>
              </w:rPr>
            </w:pPr>
            <w:r>
              <w:rPr>
                <w:b/>
              </w:rPr>
              <w:t>141 Tremont St #10</w:t>
            </w:r>
          </w:p>
        </w:tc>
      </w:tr>
      <w:tr>
        <w:trPr/>
        <w:tc>
          <w:tcPr>
            <w:tcW w:w="5285" w:type="dxa"/>
            <w:tcBorders/>
            <w:vAlign w:val="center"/>
          </w:tcPr>
          <w:p>
            <w:pPr>
              <w:pStyle w:val="TableContents"/>
              <w:bidi w:val="0"/>
              <w:spacing w:before="0" w:after="283"/>
              <w:jc w:val="center"/>
              <w:rPr>
                <w:b/>
              </w:rPr>
            </w:pPr>
            <w:r>
              <w:rPr>
                <w:b/>
              </w:rPr>
              <w:t>Boston, MA 02111</w:t>
            </w:r>
          </w:p>
        </w:tc>
      </w:tr>
      <w:tr>
        <w:trPr/>
        <w:tc>
          <w:tcPr>
            <w:tcW w:w="5285" w:type="dxa"/>
            <w:tcBorders/>
            <w:vAlign w:val="center"/>
          </w:tcPr>
          <w:p>
            <w:pPr>
              <w:pStyle w:val="TableContents"/>
              <w:bidi w:val="0"/>
              <w:spacing w:before="0" w:after="283"/>
              <w:jc w:val="center"/>
              <w:rPr>
                <w:b/>
              </w:rPr>
            </w:pPr>
            <w:r>
              <w:rPr>
                <w:b/>
              </w:rPr>
              <w:t>(Address of principal executive offices and zip code)</w:t>
            </w:r>
          </w:p>
        </w:tc>
      </w:tr>
    </w:tbl>
    <w:p>
      <w:pPr>
        <w:pStyle w:val="TextBody"/>
        <w:bidi w:val="0"/>
        <w:spacing w:before="160" w:after="0"/>
        <w:jc w:val="center"/>
        <w:rPr>
          <w:rFonts w:ascii="Times New Roman" w:hAnsi="Times New Roman"/>
          <w:b/>
          <w:sz w:val="20"/>
        </w:rPr>
      </w:pPr>
      <w:r>
        <w:rPr>
          <w:rFonts w:ascii="Times New Roman" w:hAnsi="Times New Roman"/>
          <w:b/>
          <w:sz w:val="20"/>
        </w:rPr>
        <w:t>Registrant’s telephone number, including area code: (617) 329-4524</w:t>
      </w:r>
    </w:p>
    <w:p>
      <w:pPr>
        <w:pStyle w:val="TextBody"/>
        <w:bidi w:val="0"/>
        <w:spacing w:before="16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400" w:type="dxa"/>
        <w:jc w:val="left"/>
        <w:tblInd w:w="0" w:type="dxa"/>
        <w:tblLayout w:type="fixed"/>
        <w:tblCellMar>
          <w:top w:w="0" w:type="dxa"/>
          <w:left w:w="0" w:type="dxa"/>
          <w:bottom w:w="0" w:type="dxa"/>
          <w:right w:w="0" w:type="dxa"/>
        </w:tblCellMar>
      </w:tblPr>
      <w:tblGrid>
        <w:gridCol w:w="4985"/>
        <w:gridCol w:w="60"/>
        <w:gridCol w:w="740"/>
        <w:gridCol w:w="60"/>
        <w:gridCol w:w="2555"/>
      </w:tblGrid>
      <w:tr>
        <w:trPr/>
        <w:tc>
          <w:tcPr>
            <w:tcW w:w="4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55" w:type="dxa"/>
            <w:tcBorders/>
            <w:vAlign w:val="center"/>
          </w:tcPr>
          <w:p>
            <w:pPr>
              <w:pStyle w:val="TableContents"/>
              <w:bidi w:val="0"/>
              <w:spacing w:before="0" w:after="283"/>
              <w:jc w:val="left"/>
              <w:rPr>
                <w:sz w:val="4"/>
                <w:szCs w:val="4"/>
              </w:rPr>
            </w:pPr>
            <w:r>
              <w:rPr>
                <w:sz w:val="4"/>
                <w:szCs w:val="4"/>
              </w:rPr>
            </w:r>
          </w:p>
        </w:tc>
      </w:tr>
      <w:tr>
        <w:trPr/>
        <w:tc>
          <w:tcPr>
            <w:tcW w:w="498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55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985" w:type="dxa"/>
            <w:tcBorders/>
            <w:vAlign w:val="center"/>
          </w:tcPr>
          <w:p>
            <w:pPr>
              <w:pStyle w:val="TableContents"/>
              <w:bidi w:val="0"/>
              <w:spacing w:before="0" w:after="283"/>
              <w:jc w:val="center"/>
              <w:rPr/>
            </w:pPr>
            <w:r>
              <w:rPr/>
              <w:t>Voting Common Stock, $0.0001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FLYW</w:t>
            </w:r>
          </w:p>
        </w:tc>
        <w:tc>
          <w:tcPr>
            <w:tcW w:w="60"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The Nasdaq Stock Market LLC</w:t>
            </w:r>
          </w:p>
          <w:p>
            <w:pPr>
              <w:pStyle w:val="TableContents"/>
              <w:bidi w:val="0"/>
              <w:spacing w:before="0" w:after="20"/>
              <w:jc w:val="center"/>
              <w:rPr>
                <w:rFonts w:ascii="Times New Roman" w:hAnsi="Times New Roman"/>
                <w:sz w:val="20"/>
              </w:rPr>
            </w:pPr>
            <w:r>
              <w:rPr>
                <w:rFonts w:ascii="Times New Roman" w:hAnsi="Times New Roman"/>
                <w:sz w:val="20"/>
              </w:rPr>
              <w:t>(Nasdaq Global Select Market)</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5050" w:type="dxa"/>
        <w:jc w:val="left"/>
        <w:tblInd w:w="0" w:type="dxa"/>
        <w:tblLayout w:type="fixed"/>
        <w:tblCellMar>
          <w:top w:w="0" w:type="dxa"/>
          <w:left w:w="0" w:type="dxa"/>
          <w:bottom w:w="0" w:type="dxa"/>
          <w:right w:w="0" w:type="dxa"/>
        </w:tblCellMar>
      </w:tblPr>
      <w:tblGrid>
        <w:gridCol w:w="1025"/>
        <w:gridCol w:w="4025"/>
      </w:tblGrid>
      <w:tr>
        <w:trPr/>
        <w:tc>
          <w:tcPr>
            <w:tcW w:w="1025" w:type="dxa"/>
            <w:tcBorders/>
            <w:vAlign w:val="center"/>
          </w:tcPr>
          <w:p>
            <w:pPr>
              <w:pStyle w:val="TableContents"/>
              <w:bidi w:val="0"/>
              <w:spacing w:before="0" w:after="283"/>
              <w:jc w:val="left"/>
              <w:rPr>
                <w:b/>
              </w:rPr>
            </w:pPr>
            <w:r>
              <w:rPr>
                <w:b/>
              </w:rPr>
              <w:t>Item 2.02.</w:t>
            </w:r>
          </w:p>
        </w:tc>
        <w:tc>
          <w:tcPr>
            <w:tcW w:w="40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Results of Operations and Financial Condition.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November 4, 2025, Flywire Corporation (“Flywire” or the “Company”) issued a press release (the “Press Release”) and is holding a conference call regarding its preliminary and unaudited financial results for the quarter ended September 30, 2025. The Press Release is furnished as Exhibit 99.1 to this Current Report on Form 8-K and is incorporated by reference herein. </w:t>
      </w:r>
    </w:p>
    <w:p>
      <w:pPr>
        <w:pStyle w:val="TextBody"/>
        <w:bidi w:val="0"/>
        <w:spacing w:before="240" w:after="0"/>
        <w:jc w:val="left"/>
        <w:rPr>
          <w:rFonts w:ascii="Times New Roman" w:hAnsi="Times New Roman"/>
          <w:sz w:val="20"/>
        </w:rPr>
      </w:pPr>
      <w:r>
        <w:rPr>
          <w:rFonts w:ascii="Times New Roman" w:hAnsi="Times New Roman"/>
          <w:sz w:val="20"/>
        </w:rPr>
        <w:t xml:space="preserve">Various statements to be made during the conference call are “forward-looking statements” within the meaning of the Private Securities Litigation Reform Act of 1995, including, but not limited to, statements regarding Flywire’s future operating results and financial position, Flywire’s business strategy and plans, market growth, and Flywire’s objectives for future operations. Flywire intends such forward-looking statements to be covered by the safe harbor provisions for forward-looking statements contained in Section 21E of the Securities Exchange Act of 1934 and the Private Securities Litigation Reform Act of 1995. In some cases, you can identify forward-looking statements by terms such as, but not limited to, “believe,” “may,” “will,” “potentially,” “estimate,” “continue,” “anticipate,” “intend,” “could,” “would,” “project,” “target,” “plan,” “expect,” or the negative of these terms, and similar expressions intended to identify forward-looking statements. Such forward-looking statements are based upon current expectations that involve risks, changes in circumstances, assumptions, and uncertainties. Important factors that could cause actual results to differ materially from those reflected in Flywire’s forward-looking statements include, among others, Flywire’s future financial performance, including its expectations regarding FX Neutral Revenue Less Ancillary Services growth, and Adjusted EBITDA margin growth and foreign exchange rates. Risks that may cause actual results to differ materially from these forward looking statements include, but are not limited to: Flywire’s ability to execute its business plan and effectively manage its growth; Flywire’s cross-border expansion plans and ability to expand internationally; anticipated trends, growth rates, and challenges in Flywire’s business and in the markets in which Flywire operates; the sufficiency of Flywire’s cash and cash equivalents to meet its liquidity needs; political, economic, foreign currency exchange rate, inflation, legal, social and health risks, that may affect Flywire’s business or the global economy; Flywire’s beliefs and objectives for future operations; Flywire’s ability to develop and protect its brand; Flywire’s ability to maintain and grow the payment volume that it processes; Flywire’s ability to further attract, retain, and expand its client base; Flywire’s ability to develop new solutions and services and bring them to market in a timely manner; Flywire’s expectations concerning relationships with third parties, including financial institutions and strategic partners; the effects of increased competition in Flywire’s markets and its ability to compete effectively; recent and future acquisitions or investments in complementary companies, products, services, or technologies; Flywire’s ability to enter new client verticals, including its relatively new business-to-business sector; Flywire’s expectations regarding anticipated technology needs and developments and its ability to address those needs and developments with its solutions; Flywire’s expectations regarding its ability to meet existing performance obligations and maintain the operability of its solutions; Flywire’s expectations regarding the effects of existing and developing laws and regulations, including with respect to payments and financial services, taxation, privacy and data protection; Flywire’s ability to adapt its business to changes in government policy regarding tariffs and immigration; economic and industry trends, including the risk of a global recession, projected growth, or trend analysis; the effects of global events and geopolitical conflicts, including without limitation the recent hostilities in Ukraine and involving Israel, Hamas and Iran; Flywire’s ability to adapt to recommended or implemented U.S. policy changes, in particular those that impact higher education, the desire for foreign students to study in the U.S., immigration and visa policy, and changes to regulatory agencies and depth of enforcement of regulations; Flywire’s ability to adapt to changes in U.S. federal income or other tax laws or the interpretation of tax laws, including the Inflation Reduction Act of 2022; and The One Big Beautiful Bill Act of 2025; Flywire’s ability to attract and retain qualified employees; Flywire’s ability to maintain, protect, and enhance its intellectual property; Flywire’s ability to maintain the security and availability of its solutions; the increased expenses associated with being a public company; the future market price of Flywire’s common stock; and other factors that are described in the “Risk Factors” and “Management’s Discussion and Analysis of Financial Condition and Results of Operations” sections of Flywire’s Annual Report on Form 10-K for the year ended December 31, 2024 and Quarterly Report on Form 10-Q for the quarter ended June 30, 2025 which are on file with the Securities and Exchange Commission (SEC) and available on the SEC’s website at https://www.sec.gov/. Additional factors may be described in those sections of Flywire’s Quarterly Report on Form 10-Q for the quarter ended September 30, 2025, expected to be filed in the fourth quarter of 2025. The information conveyed on the conference call is provided only as of the date of the conference call, and Flywire undertakes no obligation to update any forward-looking statements presented during the conference call on account of new information, future events, or otherwise, except as required by law. </w:t>
      </w:r>
      <w:r>
        <w:br w:type="page"/>
      </w:r>
    </w:p>
    <w:p>
      <w:pPr>
        <w:pStyle w:val="HorizontalLine"/>
        <w:bidi w:val="0"/>
        <w:jc w:val="left"/>
        <w:rPr/>
      </w:pPr>
      <w:r>
        <w:rPr/>
      </w:r>
    </w:p>
    <w:tbl>
      <w:tblPr>
        <w:tblW w:w="3310" w:type="dxa"/>
        <w:jc w:val="left"/>
        <w:tblInd w:w="0" w:type="dxa"/>
        <w:tblLayout w:type="fixed"/>
        <w:tblCellMar>
          <w:top w:w="0" w:type="dxa"/>
          <w:left w:w="0" w:type="dxa"/>
          <w:bottom w:w="0" w:type="dxa"/>
          <w:right w:w="0" w:type="dxa"/>
        </w:tblCellMar>
      </w:tblPr>
      <w:tblGrid>
        <w:gridCol w:w="1025"/>
        <w:gridCol w:w="2285"/>
      </w:tblGrid>
      <w:tr>
        <w:trPr/>
        <w:tc>
          <w:tcPr>
            <w:tcW w:w="102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November 4, 2025, the Company provided an investor presentation that will be made available on the investor relations section of the Company’s website at https://ir.flywire.com/. The investor presentation is furnished as Exhibit 99.2 to this Current Report on Form 8-K and is incorporated by reference herein. </w:t>
      </w:r>
    </w:p>
    <w:p>
      <w:pPr>
        <w:pStyle w:val="TextBody"/>
        <w:bidi w:val="0"/>
        <w:spacing w:before="240" w:after="0"/>
        <w:jc w:val="left"/>
        <w:rPr>
          <w:rFonts w:ascii="Times New Roman" w:hAnsi="Times New Roman"/>
          <w:sz w:val="20"/>
        </w:rPr>
      </w:pPr>
      <w:r>
        <w:rPr>
          <w:rFonts w:ascii="Times New Roman" w:hAnsi="Times New Roman"/>
          <w:sz w:val="20"/>
        </w:rPr>
        <w:t xml:space="preserve">This information in this Item 7.01 of this Current Report on Form 8-K shall not be deemed “filed” for purposes of Section 18 of the Securities Exchange Act of 1934, as amended (the “Exchange Act”), or otherwise subject to the liabilities of that Section, or incorporated by reference in any filing under the Securities Act of 1933, as amended, or the Exchange Act, except as shall be expressly set forth by specific reference in any such filing.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8530" w:type="dxa"/>
        <w:jc w:val="left"/>
        <w:tblInd w:w="0" w:type="dxa"/>
        <w:tblLayout w:type="fixed"/>
        <w:tblCellMar>
          <w:top w:w="0" w:type="dxa"/>
          <w:left w:w="0" w:type="dxa"/>
          <w:bottom w:w="0" w:type="dxa"/>
          <w:right w:w="0" w:type="dxa"/>
        </w:tblCellMar>
      </w:tblPr>
      <w:tblGrid>
        <w:gridCol w:w="785"/>
        <w:gridCol w:w="120"/>
        <w:gridCol w:w="7625"/>
      </w:tblGrid>
      <w:tr>
        <w:trPr/>
        <w:tc>
          <w:tcPr>
            <w:tcW w:w="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25" w:type="dxa"/>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center"/>
              <w:rPr>
                <w:b/>
              </w:rPr>
            </w:pPr>
            <w:r>
              <w:rPr>
                <w:b/>
              </w:rPr>
              <w:t>Exhibit</w:t>
              <w:br/>
              <w:t>No.</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b/>
              </w:rPr>
            </w:pPr>
            <w:r>
              <w:rPr>
                <w:b/>
              </w:rPr>
              <w:t>Description</w:t>
            </w:r>
          </w:p>
        </w:tc>
      </w:tr>
      <w:tr>
        <w:trPr/>
        <w:tc>
          <w:tcPr>
            <w:tcW w:w="78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63245dex991.htm">
              <w:r>
                <w:rPr>
                  <w:rStyle w:val="InternetLink"/>
                </w:rPr>
                <w:t>Flywire Corporation Press Release dated November 4, 2025.</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99.2</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63245dex992.htm">
              <w:r>
                <w:rPr>
                  <w:rStyle w:val="InternetLink"/>
                </w:rPr>
                <w:t>Flywire Corporation Investor Presentation dated November 4, 2025.</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2950" w:type="dxa"/>
        <w:jc w:val="left"/>
        <w:tblInd w:w="0" w:type="dxa"/>
        <w:tblLayout w:type="fixed"/>
        <w:tblCellMar>
          <w:top w:w="0" w:type="dxa"/>
          <w:left w:w="0" w:type="dxa"/>
          <w:bottom w:w="0" w:type="dxa"/>
          <w:right w:w="0" w:type="dxa"/>
        </w:tblCellMar>
      </w:tblPr>
      <w:tblGrid>
        <w:gridCol w:w="665"/>
        <w:gridCol w:w="60"/>
        <w:gridCol w:w="2225"/>
      </w:tblGrid>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r>
      <w:tr>
        <w:trPr/>
        <w:tc>
          <w:tcPr>
            <w:tcW w:w="2950" w:type="dxa"/>
            <w:gridSpan w:val="3"/>
            <w:tcBorders/>
            <w:vAlign w:val="center"/>
          </w:tcPr>
          <w:p>
            <w:pPr>
              <w:pStyle w:val="TableContents"/>
              <w:bidi w:val="0"/>
              <w:spacing w:before="0" w:after="283"/>
              <w:jc w:val="left"/>
              <w:rPr/>
            </w:pPr>
            <w:r>
              <w:rPr/>
              <w:t>FLYWIRE CORPORATION</w:t>
            </w:r>
          </w:p>
        </w:tc>
      </w:tr>
      <w:tr>
        <w:trPr/>
        <w:tc>
          <w:tcPr>
            <w:tcW w:w="665" w:type="dxa"/>
            <w:tcBorders/>
            <w:vAlign w:val="center"/>
          </w:tcPr>
          <w:p>
            <w:pPr>
              <w:pStyle w:val="TableContents"/>
              <w:bidi w:val="0"/>
              <w:spacing w:before="0" w:after="283"/>
              <w:jc w:val="left"/>
              <w:rPr>
                <w:sz w:val="4"/>
                <w:szCs w:val="4"/>
              </w:rPr>
            </w:pPr>
            <w:r>
              <w:rPr>
                <w:sz w:val="4"/>
                <w:szCs w:val="4"/>
              </w:rPr>
            </w:r>
          </w:p>
        </w:tc>
        <w:tc>
          <w:tcPr>
            <w:tcW w:w="2285"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Cosmin Pitigoi</w:t>
            </w:r>
          </w:p>
        </w:tc>
      </w:tr>
      <w:tr>
        <w:trPr/>
        <w:tc>
          <w:tcPr>
            <w:tcW w:w="665"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Cosmin Pitigoi</w:t>
            </w:r>
          </w:p>
        </w:tc>
      </w:tr>
      <w:tr>
        <w:trPr/>
        <w:tc>
          <w:tcPr>
            <w:tcW w:w="665"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Dated November 4, 2025 </w:t>
      </w:r>
    </w:p>
    <w:p>
      <w:pPr>
        <w:pStyle w:val="TextBody"/>
        <w:bidi w:val="0"/>
        <w:spacing w:before="0" w:after="0"/>
        <w:jc w:val="right"/>
        <w:rPr>
          <w:rFonts w:ascii="Times New Roman" w:hAnsi="Times New Roman"/>
          <w:b/>
          <w:sz w:val="20"/>
        </w:rPr>
      </w:pPr>
      <w:bookmarkStart w:id="2" w:name="d63245dex991.htm"/>
      <w:bookmarkStart w:id="3" w:name="ksd63245dex991"/>
      <w:bookmarkEnd w:id="2"/>
      <w:bookmarkEnd w:id="3"/>
      <w:r>
        <w:rPr>
          <w:rFonts w:ascii="Times New Roman" w:hAnsi="Times New Roman"/>
          <w:b/>
          <w:sz w:val="20"/>
        </w:rPr>
        <w:t xml:space="preserve">Exhibit 99.1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Flywire Reports Third Quarter 2025 Financial Results </w:t>
      </w:r>
    </w:p>
    <w:p>
      <w:pPr>
        <w:pStyle w:val="TextBody"/>
        <w:bidi w:val="0"/>
        <w:spacing w:before="240" w:after="0"/>
        <w:jc w:val="center"/>
        <w:rPr>
          <w:rFonts w:ascii="Times New Roman" w:hAnsi="Times New Roman"/>
          <w:i/>
          <w:sz w:val="20"/>
        </w:rPr>
      </w:pPr>
      <w:r>
        <w:rPr>
          <w:rFonts w:ascii="Times New Roman" w:hAnsi="Times New Roman"/>
          <w:i/>
          <w:sz w:val="20"/>
        </w:rPr>
        <w:t xml:space="preserve">Third Quarter Revenue Increased 27.6% Year-over-Year </w:t>
      </w:r>
    </w:p>
    <w:p>
      <w:pPr>
        <w:pStyle w:val="TextBody"/>
        <w:bidi w:val="0"/>
        <w:spacing w:before="240" w:after="0"/>
        <w:jc w:val="center"/>
        <w:rPr>
          <w:rFonts w:ascii="Times New Roman" w:hAnsi="Times New Roman"/>
          <w:i/>
          <w:sz w:val="20"/>
        </w:rPr>
      </w:pPr>
      <w:r>
        <w:rPr>
          <w:rFonts w:ascii="Times New Roman" w:hAnsi="Times New Roman"/>
          <w:i/>
          <w:sz w:val="20"/>
        </w:rPr>
        <w:t xml:space="preserve">Third Quarter Revenue Less Ancillary Services Increased 28.2% Year-over-Year </w:t>
      </w:r>
    </w:p>
    <w:p>
      <w:pPr>
        <w:pStyle w:val="TextBody"/>
        <w:bidi w:val="0"/>
        <w:spacing w:before="240" w:after="0"/>
        <w:jc w:val="center"/>
        <w:rPr>
          <w:rFonts w:ascii="Times New Roman" w:hAnsi="Times New Roman"/>
          <w:i/>
          <w:sz w:val="20"/>
        </w:rPr>
      </w:pPr>
      <w:r>
        <w:rPr>
          <w:rFonts w:ascii="Times New Roman" w:hAnsi="Times New Roman"/>
          <w:i/>
          <w:sz w:val="20"/>
        </w:rPr>
        <w:t xml:space="preserve">Previous Fiscal Year 2025 revenue guidance raised by 400 bps at midpoint, aEBITDA margin guidance raised by 75 bps at midpoint </w:t>
      </w:r>
    </w:p>
    <w:p>
      <w:pPr>
        <w:pStyle w:val="TextBody"/>
        <w:bidi w:val="0"/>
        <w:spacing w:before="240" w:after="0"/>
        <w:jc w:val="left"/>
        <w:rPr>
          <w:rFonts w:ascii="Times New Roman" w:hAnsi="Times New Roman"/>
          <w:sz w:val="20"/>
        </w:rPr>
      </w:pPr>
      <w:r>
        <w:rPr>
          <w:rFonts w:ascii="Times New Roman" w:hAnsi="Times New Roman"/>
          <w:b/>
          <w:sz w:val="20"/>
        </w:rPr>
        <w:t>Boston, MA – November</w:t>
      </w:r>
      <w:r>
        <w:rPr>
          <w:rFonts w:ascii="Times New Roman" w:hAnsi="Times New Roman"/>
          <w:sz w:val="20"/>
        </w:rPr>
        <w:t> </w:t>
      </w:r>
      <w:r>
        <w:rPr>
          <w:rFonts w:ascii="Times New Roman" w:hAnsi="Times New Roman"/>
          <w:b/>
          <w:sz w:val="20"/>
        </w:rPr>
        <w:t>4, 2025:</w:t>
      </w:r>
      <w:r>
        <w:rPr>
          <w:rFonts w:ascii="Times New Roman" w:hAnsi="Times New Roman"/>
          <w:sz w:val="20"/>
        </w:rPr>
        <w:t xml:space="preserve"> </w:t>
      </w:r>
      <w:r>
        <w:rPr>
          <w:rFonts w:ascii="Times New Roman" w:hAnsi="Times New Roman"/>
          <w:sz w:val="20"/>
          <w:u w:val="single"/>
        </w:rPr>
        <w:t>Flywire Corporation</w:t>
      </w:r>
      <w:r>
        <w:rPr>
          <w:rFonts w:ascii="Times New Roman" w:hAnsi="Times New Roman"/>
          <w:sz w:val="20"/>
        </w:rPr>
        <w:t xml:space="preserve"> (Nasdaq: FLYW) (“Flywire” or the “Company”), a global payments enablement and software company, today reported financial results for its third quarter ended September 30, 2025. </w:t>
      </w:r>
    </w:p>
    <w:p>
      <w:pPr>
        <w:pStyle w:val="TextBody"/>
        <w:bidi w:val="0"/>
        <w:spacing w:before="240" w:after="0"/>
        <w:jc w:val="left"/>
        <w:rPr/>
      </w:pPr>
      <w:r>
        <w:rPr/>
        <w:t>“</w:t>
      </w:r>
      <w:r>
        <w:rPr>
          <w:rFonts w:ascii="Times New Roman" w:hAnsi="Times New Roman"/>
          <w:i/>
          <w:sz w:val="20"/>
        </w:rPr>
        <w:t xml:space="preserve">Flywire’s third-quarter results demonstrate the strength of our solutions and sustained momentum across all four verticals,” said Mike Massaro, Flywire’s CEO. “We continued to grow market share, adding more than 200 new clients, deepening existing relationships, and expanding deal size — all while maintaining strong profitability. Supported by a better than expected macro backdrop, these results highlight the growing demand for Flywire solutions as the increasing number of clients turn to us to modernize complex payment processes and drive efficiency at scale.” </w:t>
      </w:r>
    </w:p>
    <w:p>
      <w:pPr>
        <w:pStyle w:val="TextBody"/>
        <w:bidi w:val="0"/>
        <w:spacing w:before="360" w:after="0"/>
        <w:jc w:val="left"/>
        <w:rPr>
          <w:rFonts w:ascii="Times New Roman" w:hAnsi="Times New Roman"/>
          <w:b/>
          <w:sz w:val="20"/>
        </w:rPr>
      </w:pPr>
      <w:r>
        <w:rPr>
          <w:rFonts w:ascii="Times New Roman" w:hAnsi="Times New Roman"/>
          <w:b/>
          <w:sz w:val="20"/>
        </w:rPr>
        <w:t xml:space="preserve">Third Quarter 2025 Financial Highlights: </w:t>
      </w:r>
    </w:p>
    <w:p>
      <w:pPr>
        <w:pStyle w:val="TextBody"/>
        <w:bidi w:val="0"/>
        <w:spacing w:before="120" w:after="0"/>
        <w:jc w:val="left"/>
        <w:rPr>
          <w:rFonts w:ascii="Times New Roman" w:hAnsi="Times New Roman"/>
          <w:sz w:val="20"/>
        </w:rPr>
      </w:pPr>
      <w:r>
        <w:rPr>
          <w:rFonts w:ascii="Times New Roman" w:hAnsi="Times New Roman"/>
          <w:sz w:val="20"/>
        </w:rPr>
        <w:t xml:space="preserve">GAAP Results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increased 27.6% to $200.1 million in the Third quarter of 2025, compared to $156.8 million in the Third quarter of 2024. Sertifi positively impacted revenue by $12.9 million in the Third quarter of 2025, adding 8 points of revenue growth year over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Gross Profit increased to $124.7 million, resulting in Gross Margin of 62.3%, for the Third quarter of 2025, compared to Gross Profit of $100.3 million and Gross Margin of 64.0% in the Third quarter of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Net income was $29.6 million in the Third quarter of 2025, compared to net income of $38.9 million in the Third quarter of 2024. </w:t>
            </w:r>
          </w:p>
        </w:tc>
      </w:tr>
    </w:tbl>
    <w:p>
      <w:pPr>
        <w:pStyle w:val="TextBody"/>
        <w:bidi w:val="0"/>
        <w:spacing w:before="360" w:after="0"/>
        <w:jc w:val="left"/>
        <w:rPr>
          <w:rFonts w:ascii="Times New Roman" w:hAnsi="Times New Roman"/>
          <w:sz w:val="20"/>
        </w:rPr>
      </w:pPr>
      <w:r>
        <w:rPr>
          <w:rFonts w:ascii="Times New Roman" w:hAnsi="Times New Roman"/>
          <w:sz w:val="20"/>
        </w:rPr>
        <w:t xml:space="preserve">Key Operating Metrics and Non-GAAP Results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Total Payment Volume increased 26.4% to $13.9 billion in the Third quarter of 2025, compared to $11 billion in the Third quarter of 2024. Excluding Sertifi, Total Payment Volume increased 24.0% to $13.7 billion in the Third quarter of 2025, compared to $11 billion in the Third quarter of 2024.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Less Ancillary Services increased 28.2% to $194.1 million in the Third quarter of 2025, compared to $151.4 million in the Third quarter of 2024. On an FX-neutral basis, Revenue Less Ancillary Services increased 26.3% year-over-year. Excluding Sertifi, Revenue Less Ancillary Services increased 19.7% year over year to $181.2 million or 17.8% year over year on an FX-Neutral basis in the Third quarter of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Gross Profit increased to $127.5 million, up 25% compared to $102.0 million in the Third quarter of 2024. Adjusted Gross Margin was 65.7% in the Third quarter of 2025 compared to 67.3% in the Third quarter of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increased to $57.1 million in the Third quarter of 2025, compared to $42.2 million in the Third quarter of 2024. Our Adjusted EBITDA margin increased by155 bps year-over-year to 29.4% in the Third quarter of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Repurchased approximately 0.8 million shares of our common stock for approximately $10 million (including commissions), with approximately $192 million remaining in the share repurchase program as of the end of the Third quarter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Paid down $45 million of debt borrowed to fund Sertifi-acquisition, with $15 million of debt remaining as of the end of the Third quarter.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Key Business Performance highlights: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Signed over 200 new clients across all verticals, excluding the added Sertifi properties and Invoiced software accounts signed.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Deepened partnership with Workday to integrate into the Workday Student Information System and become a verified Workday Certified provider.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Bolstered product suite for U.K. higher education with integrations into ERPs Banner Ethos and Unit (Agresso), enhancements to Student Financial Software (SFS), and enhancements to U.S. loan disbursement solution.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Hosted Flywire’s second-annual client conference for U.S. institutions, Flywire Fusion, and unveiled how SFS Collection Management has collected more than $360 million in past-due tuition, delivered $72 million in pre-collection savings, and preserved over 177,000 student enrollments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Enhanced the payer experience for international students and seamlessly supported the nearly 2x Total Payment Volume spike in its Q3 peak education quarter compared to the average Total Payment Volume processed during the first two quarters of the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UK’s leading education ERP provider, Tribal, announced plans to integrate Flywire’s StudyLink solution with its new module, which is expected to drive more student applications through StudyLink and create additional revenue opportunities.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Appointed Nicole James, former Credit Karma and Square executive, as Flywire’s new Chief People Officer to scale Flywire’s people functions and support its high performance teams.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Guidance </w:t>
      </w:r>
    </w:p>
    <w:p>
      <w:pPr>
        <w:pStyle w:val="TextBody"/>
        <w:bidi w:val="0"/>
        <w:spacing w:before="120" w:after="0"/>
        <w:jc w:val="left"/>
        <w:rPr/>
      </w:pPr>
      <w:r>
        <w:rPr/>
        <w:t>”</w:t>
      </w:r>
      <w:r>
        <w:rPr>
          <w:rFonts w:ascii="Times New Roman" w:hAnsi="Times New Roman"/>
          <w:i/>
          <w:sz w:val="20"/>
        </w:rPr>
        <w:t>Focused execution and operational excellence powered a strong peak quarter. We outperformed the top end of our revenue and adjusted EBITDA guidance. Our results underscore the resilience of our diversified business model and our ability to deliver cost efficiency and margin expansion, remaining focused on what we can control in the dynamic environment.”</w:t>
      </w:r>
      <w:r>
        <w:rPr>
          <w:rFonts w:ascii="Times New Roman" w:hAnsi="Times New Roman"/>
          <w:sz w:val="20"/>
        </w:rPr>
        <w:t xml:space="preserve"> said Flywire’s CFO, Cosmin Pitigoi. “</w:t>
      </w:r>
      <w:r>
        <w:rPr>
          <w:rFonts w:ascii="Times New Roman" w:hAnsi="Times New Roman"/>
          <w:i/>
          <w:sz w:val="20"/>
        </w:rPr>
        <w:t>We are raising FY 2025 revenue and EBITDA guidance to reflect operationally better trends achieved year to date, whilst maintaining a data-dependent and prudent approach to guidance, given the ongoing macro pressure.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Based on information available as of November 4, 2025, Flywire anticipates the following results for the fourth quarter and fiscal year 2025*.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824"/>
        <w:gridCol w:w="218"/>
        <w:gridCol w:w="1897"/>
      </w:tblGrid>
      <w:tr>
        <w:trPr/>
        <w:tc>
          <w:tcPr>
            <w:tcW w:w="4824" w:type="dxa"/>
            <w:tcBorders/>
            <w:vAlign w:val="center"/>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r>
      <w:tr>
        <w:trPr/>
        <w:tc>
          <w:tcPr>
            <w:tcW w:w="482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897" w:type="dxa"/>
            <w:tcBorders>
              <w:bottom w:val="single" w:sz="8" w:space="0" w:color="000000"/>
            </w:tcBorders>
            <w:tcMar>
              <w:bottom w:w="28" w:type="dxa"/>
            </w:tcMar>
            <w:vAlign w:val="bottom"/>
          </w:tcPr>
          <w:p>
            <w:pPr>
              <w:pStyle w:val="TableContents"/>
              <w:bidi w:val="0"/>
              <w:spacing w:before="0" w:after="283"/>
              <w:jc w:val="center"/>
              <w:rPr>
                <w:b/>
              </w:rPr>
            </w:pPr>
            <w:r>
              <w:rPr>
                <w:b/>
              </w:rPr>
              <w:t>Fiscal Year 2025</w:t>
            </w:r>
          </w:p>
        </w:tc>
      </w:tr>
      <w:tr>
        <w:trPr/>
        <w:tc>
          <w:tcPr>
            <w:tcW w:w="48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FX-Neutral Revenue Less Ancillary Services Growth</w:t>
            </w:r>
          </w:p>
        </w:tc>
        <w:tc>
          <w:tcPr>
            <w:tcW w:w="218" w:type="dxa"/>
            <w:tcBorders/>
            <w:shd w:fill="CCEEFF" w:val="clear"/>
            <w:vAlign w:val="bottom"/>
          </w:tcPr>
          <w:p>
            <w:pPr>
              <w:pStyle w:val="TableContents"/>
              <w:bidi w:val="0"/>
              <w:spacing w:before="0" w:after="283"/>
              <w:jc w:val="left"/>
              <w:rPr/>
            </w:pPr>
            <w:r>
              <w:rPr/>
              <w:t>  </w:t>
            </w:r>
          </w:p>
        </w:tc>
        <w:tc>
          <w:tcPr>
            <w:tcW w:w="1897" w:type="dxa"/>
            <w:tcBorders/>
            <w:shd w:fill="CCEEFF" w:val="clear"/>
            <w:vAlign w:val="bottom"/>
          </w:tcPr>
          <w:p>
            <w:pPr>
              <w:pStyle w:val="TableContents"/>
              <w:bidi w:val="0"/>
              <w:spacing w:before="0" w:after="283"/>
              <w:jc w:val="center"/>
              <w:rPr/>
            </w:pPr>
            <w:r>
              <w:rPr/>
              <w:t>23-25% YoY</w:t>
            </w:r>
          </w:p>
        </w:tc>
      </w:tr>
      <w:tr>
        <w:trPr/>
        <w:tc>
          <w:tcPr>
            <w:tcW w:w="4824" w:type="dxa"/>
            <w:tcBorders/>
          </w:tcPr>
          <w:p>
            <w:pPr>
              <w:pStyle w:val="TableContents"/>
              <w:bidi w:val="0"/>
              <w:spacing w:before="0" w:after="0"/>
              <w:jc w:val="left"/>
              <w:rPr>
                <w:rFonts w:ascii="Times New Roman" w:hAnsi="Times New Roman"/>
                <w:sz w:val="20"/>
              </w:rPr>
            </w:pPr>
            <w:r>
              <w:rPr>
                <w:rFonts w:ascii="Times New Roman" w:hAnsi="Times New Roman"/>
                <w:sz w:val="20"/>
              </w:rPr>
              <w:t>FX-Neutral Revenue Less Ancillary Services Growth (excluding Sertifi)</w:t>
            </w:r>
          </w:p>
        </w:tc>
        <w:tc>
          <w:tcPr>
            <w:tcW w:w="218" w:type="dxa"/>
            <w:tcBorders/>
            <w:vAlign w:val="bottom"/>
          </w:tcPr>
          <w:p>
            <w:pPr>
              <w:pStyle w:val="TableContents"/>
              <w:bidi w:val="0"/>
              <w:spacing w:before="0" w:after="283"/>
              <w:jc w:val="left"/>
              <w:rPr/>
            </w:pPr>
            <w:r>
              <w:rPr/>
              <w:t>  </w:t>
            </w:r>
          </w:p>
        </w:tc>
        <w:tc>
          <w:tcPr>
            <w:tcW w:w="1897" w:type="dxa"/>
            <w:tcBorders/>
            <w:vAlign w:val="bottom"/>
          </w:tcPr>
          <w:p>
            <w:pPr>
              <w:pStyle w:val="TableContents"/>
              <w:bidi w:val="0"/>
              <w:spacing w:before="0" w:after="283"/>
              <w:jc w:val="center"/>
              <w:rPr/>
            </w:pPr>
            <w:r>
              <w:rPr/>
              <w:t>14-16% YoY</w:t>
            </w:r>
          </w:p>
        </w:tc>
      </w:tr>
      <w:tr>
        <w:trPr/>
        <w:tc>
          <w:tcPr>
            <w:tcW w:w="48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Sertifi Revenue contribution1</w:t>
            </w:r>
          </w:p>
        </w:tc>
        <w:tc>
          <w:tcPr>
            <w:tcW w:w="218" w:type="dxa"/>
            <w:tcBorders/>
            <w:shd w:fill="CCEEFF" w:val="clear"/>
            <w:vAlign w:val="bottom"/>
          </w:tcPr>
          <w:p>
            <w:pPr>
              <w:pStyle w:val="TableContents"/>
              <w:bidi w:val="0"/>
              <w:spacing w:before="0" w:after="283"/>
              <w:jc w:val="left"/>
              <w:rPr/>
            </w:pPr>
            <w:r>
              <w:rPr/>
              <w:t>  </w:t>
            </w:r>
          </w:p>
        </w:tc>
        <w:tc>
          <w:tcPr>
            <w:tcW w:w="1897" w:type="dxa"/>
            <w:tcBorders/>
            <w:shd w:fill="CCEEFF" w:val="clear"/>
            <w:vAlign w:val="bottom"/>
          </w:tcPr>
          <w:p>
            <w:pPr>
              <w:pStyle w:val="TableContents"/>
              <w:bidi w:val="0"/>
              <w:spacing w:before="0" w:after="283"/>
              <w:jc w:val="center"/>
              <w:rPr/>
            </w:pPr>
            <w:r>
              <w:rPr/>
              <w:t>$42-44M</w:t>
            </w:r>
          </w:p>
        </w:tc>
      </w:tr>
      <w:tr>
        <w:trPr/>
        <w:tc>
          <w:tcPr>
            <w:tcW w:w="4824"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 Margin Growth</w:t>
            </w:r>
          </w:p>
        </w:tc>
        <w:tc>
          <w:tcPr>
            <w:tcW w:w="218" w:type="dxa"/>
            <w:tcBorders/>
            <w:vAlign w:val="bottom"/>
          </w:tcPr>
          <w:p>
            <w:pPr>
              <w:pStyle w:val="TableContents"/>
              <w:bidi w:val="0"/>
              <w:spacing w:before="0" w:after="283"/>
              <w:jc w:val="left"/>
              <w:rPr/>
            </w:pPr>
            <w:r>
              <w:rPr/>
              <w:t>  </w:t>
            </w:r>
          </w:p>
        </w:tc>
        <w:tc>
          <w:tcPr>
            <w:tcW w:w="1897" w:type="dxa"/>
            <w:tcBorders/>
            <w:vAlign w:val="bottom"/>
          </w:tcPr>
          <w:p>
            <w:pPr>
              <w:pStyle w:val="TableContents"/>
              <w:bidi w:val="0"/>
              <w:spacing w:before="0" w:after="283"/>
              <w:jc w:val="center"/>
              <w:rPr/>
            </w:pPr>
            <w:r>
              <w:rPr/>
              <w:t>+330-370 bps YoY</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Since the acquisition closed on 02/24/2025. </w:t>
            </w:r>
          </w:p>
        </w:tc>
      </w:tr>
    </w:tbl>
    <w:p>
      <w:pPr>
        <w:pStyle w:val="HorizontalLine"/>
        <w:pBdr>
          <w:bottom w:val="double" w:sz="6" w:space="0" w:color="808080"/>
        </w:pBdr>
        <w:bidi w:val="0"/>
        <w:jc w:val="left"/>
        <w:rPr/>
      </w:pPr>
      <w:r>
        <w:br w:type="page"/>
      </w:r>
      <w:r>
        <w:rPr/>
      </w:r>
    </w:p>
    <w:tbl>
      <w:tblPr>
        <w:tblW w:w="3400" w:type="pct"/>
        <w:jc w:val="center"/>
        <w:tblInd w:w="0" w:type="dxa"/>
        <w:tblLayout w:type="fixed"/>
        <w:tblCellMar>
          <w:top w:w="0" w:type="dxa"/>
          <w:left w:w="0" w:type="dxa"/>
          <w:bottom w:w="0" w:type="dxa"/>
          <w:right w:w="0" w:type="dxa"/>
        </w:tblCellMar>
      </w:tblPr>
      <w:tblGrid>
        <w:gridCol w:w="4939"/>
        <w:gridCol w:w="220"/>
        <w:gridCol w:w="1780"/>
      </w:tblGrid>
      <w:tr>
        <w:trPr/>
        <w:tc>
          <w:tcPr>
            <w:tcW w:w="4939"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r>
      <w:tr>
        <w:trPr/>
        <w:tc>
          <w:tcPr>
            <w:tcW w:w="4939"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780" w:type="dxa"/>
            <w:tcBorders>
              <w:bottom w:val="single" w:sz="8" w:space="0" w:color="000000"/>
            </w:tcBorders>
            <w:tcMar>
              <w:bottom w:w="28" w:type="dxa"/>
            </w:tcMar>
            <w:vAlign w:val="bottom"/>
          </w:tcPr>
          <w:p>
            <w:pPr>
              <w:pStyle w:val="TableContents"/>
              <w:bidi w:val="0"/>
              <w:spacing w:before="0" w:after="283"/>
              <w:jc w:val="center"/>
              <w:rPr>
                <w:b/>
              </w:rPr>
            </w:pPr>
            <w:r>
              <w:rPr>
                <w:b/>
              </w:rPr>
              <w:t>Fourth Quarter 2025</w:t>
            </w:r>
          </w:p>
        </w:tc>
      </w:tr>
      <w:tr>
        <w:trPr/>
        <w:tc>
          <w:tcPr>
            <w:tcW w:w="49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FX-Neutral Revenue Less Ancillary Services Growth</w:t>
            </w:r>
          </w:p>
        </w:tc>
        <w:tc>
          <w:tcPr>
            <w:tcW w:w="220" w:type="dxa"/>
            <w:tcBorders/>
            <w:shd w:fill="CCEEFF" w:val="clear"/>
            <w:vAlign w:val="bottom"/>
          </w:tcPr>
          <w:p>
            <w:pPr>
              <w:pStyle w:val="TableContents"/>
              <w:bidi w:val="0"/>
              <w:spacing w:before="0" w:after="283"/>
              <w:jc w:val="left"/>
              <w:rPr/>
            </w:pPr>
            <w:r>
              <w:rPr/>
              <w:t>  </w:t>
            </w:r>
          </w:p>
        </w:tc>
        <w:tc>
          <w:tcPr>
            <w:tcW w:w="1780" w:type="dxa"/>
            <w:tcBorders/>
            <w:shd w:fill="CCEEFF" w:val="clear"/>
            <w:vAlign w:val="bottom"/>
          </w:tcPr>
          <w:p>
            <w:pPr>
              <w:pStyle w:val="TableContents"/>
              <w:bidi w:val="0"/>
              <w:spacing w:before="0" w:after="283"/>
              <w:jc w:val="center"/>
              <w:rPr/>
            </w:pPr>
            <w:r>
              <w:rPr/>
              <w:t>23-27% YoY</w:t>
            </w:r>
          </w:p>
        </w:tc>
      </w:tr>
      <w:tr>
        <w:trPr/>
        <w:tc>
          <w:tcPr>
            <w:tcW w:w="4939" w:type="dxa"/>
            <w:tcBorders/>
          </w:tcPr>
          <w:p>
            <w:pPr>
              <w:pStyle w:val="TableContents"/>
              <w:bidi w:val="0"/>
              <w:spacing w:before="0" w:after="0"/>
              <w:jc w:val="left"/>
              <w:rPr>
                <w:rFonts w:ascii="Times New Roman" w:hAnsi="Times New Roman"/>
                <w:sz w:val="20"/>
              </w:rPr>
            </w:pPr>
            <w:r>
              <w:rPr>
                <w:rFonts w:ascii="Times New Roman" w:hAnsi="Times New Roman"/>
                <w:sz w:val="20"/>
              </w:rPr>
              <w:t>FX-Neutral Revenue Less Ancillary Services Growth (excluding Sertifi)</w:t>
            </w:r>
          </w:p>
        </w:tc>
        <w:tc>
          <w:tcPr>
            <w:tcW w:w="220" w:type="dxa"/>
            <w:tcBorders/>
            <w:vAlign w:val="bottom"/>
          </w:tcPr>
          <w:p>
            <w:pPr>
              <w:pStyle w:val="TableContents"/>
              <w:bidi w:val="0"/>
              <w:spacing w:before="0" w:after="283"/>
              <w:jc w:val="left"/>
              <w:rPr/>
            </w:pPr>
            <w:r>
              <w:rPr/>
              <w:t>  </w:t>
            </w:r>
          </w:p>
        </w:tc>
        <w:tc>
          <w:tcPr>
            <w:tcW w:w="1780" w:type="dxa"/>
            <w:tcBorders/>
            <w:vAlign w:val="bottom"/>
          </w:tcPr>
          <w:p>
            <w:pPr>
              <w:pStyle w:val="TableContents"/>
              <w:bidi w:val="0"/>
              <w:spacing w:before="0" w:after="283"/>
              <w:jc w:val="center"/>
              <w:rPr/>
            </w:pPr>
            <w:r>
              <w:rPr/>
              <w:t>13-15% YoY</w:t>
            </w:r>
          </w:p>
        </w:tc>
      </w:tr>
      <w:tr>
        <w:trPr/>
        <w:tc>
          <w:tcPr>
            <w:tcW w:w="49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Sertifi Revenue contribution</w:t>
            </w:r>
          </w:p>
        </w:tc>
        <w:tc>
          <w:tcPr>
            <w:tcW w:w="220" w:type="dxa"/>
            <w:tcBorders/>
            <w:shd w:fill="CCEEFF" w:val="clear"/>
            <w:vAlign w:val="bottom"/>
          </w:tcPr>
          <w:p>
            <w:pPr>
              <w:pStyle w:val="TableContents"/>
              <w:bidi w:val="0"/>
              <w:spacing w:before="0" w:after="283"/>
              <w:jc w:val="left"/>
              <w:rPr/>
            </w:pPr>
            <w:r>
              <w:rPr/>
              <w:t>  </w:t>
            </w:r>
          </w:p>
        </w:tc>
        <w:tc>
          <w:tcPr>
            <w:tcW w:w="1780" w:type="dxa"/>
            <w:tcBorders/>
            <w:shd w:fill="CCEEFF" w:val="clear"/>
            <w:vAlign w:val="bottom"/>
          </w:tcPr>
          <w:p>
            <w:pPr>
              <w:pStyle w:val="TableContents"/>
              <w:bidi w:val="0"/>
              <w:spacing w:before="0" w:after="283"/>
              <w:jc w:val="center"/>
              <w:rPr/>
            </w:pPr>
            <w:r>
              <w:rPr/>
              <w:t>$12-14M</w:t>
            </w:r>
          </w:p>
        </w:tc>
      </w:tr>
      <w:tr>
        <w:trPr/>
        <w:tc>
          <w:tcPr>
            <w:tcW w:w="4939"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 Margin Growth</w:t>
            </w:r>
          </w:p>
        </w:tc>
        <w:tc>
          <w:tcPr>
            <w:tcW w:w="220" w:type="dxa"/>
            <w:tcBorders/>
            <w:vAlign w:val="bottom"/>
          </w:tcPr>
          <w:p>
            <w:pPr>
              <w:pStyle w:val="TableContents"/>
              <w:bidi w:val="0"/>
              <w:spacing w:before="0" w:after="283"/>
              <w:jc w:val="left"/>
              <w:rPr/>
            </w:pPr>
            <w:r>
              <w:rPr/>
              <w:t>  </w:t>
            </w:r>
          </w:p>
        </w:tc>
        <w:tc>
          <w:tcPr>
            <w:tcW w:w="1780" w:type="dxa"/>
            <w:tcBorders/>
            <w:vAlign w:val="bottom"/>
          </w:tcPr>
          <w:p>
            <w:pPr>
              <w:pStyle w:val="TableContents"/>
              <w:bidi w:val="0"/>
              <w:spacing w:before="0" w:after="283"/>
              <w:jc w:val="center"/>
              <w:rPr/>
            </w:pPr>
            <w:r>
              <w:rPr/>
              <w:t>+50-200 bps YoY</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Flywire has not provided a quantitative reconciliation of forecasted FX-Neutral Revenue Less Ancillary Services Growth to forecasted GAAP Revenue Growth or forecasted Adjusted EBITDA Margin Growth to forecasted GAAP Net Income Margin Growth or to forecasted GAAP net income (loss) before income taxes within this earnings release because Flywire is unable, without making unreasonable efforts, to calculate certain reconciling items with confidence. These items include, but are not limited to, income taxes, which are directly impacted by unpredictable fluctuations in the market price of Flywire’s stock and foreign currency exchange rates.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statements are forward-looking, and actual results may differ materially. Refer to the “Safe Harbor Statement” below for information on the factors that could cause Flywire’s actual results to differ materially from these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Conference Call </w:t>
      </w:r>
    </w:p>
    <w:p>
      <w:pPr>
        <w:pStyle w:val="TextBody"/>
        <w:bidi w:val="0"/>
        <w:spacing w:before="120" w:after="0"/>
        <w:jc w:val="left"/>
        <w:rPr>
          <w:rFonts w:ascii="Times New Roman" w:hAnsi="Times New Roman"/>
          <w:sz w:val="20"/>
        </w:rPr>
      </w:pPr>
      <w:r>
        <w:rPr>
          <w:rFonts w:ascii="Times New Roman" w:hAnsi="Times New Roman"/>
          <w:sz w:val="20"/>
        </w:rPr>
        <w:t xml:space="preserve">The Company will host a conference call to discuss third quarter financial results today at 5:00 pm ET. Hosting the call will be Mike Massaro, CEO, Rob Orgel, President and COO, and Cosmin Pitigoi, CFO. The conference call can be accessed live via webcast from the Company’s investor relations website at </w:t>
      </w:r>
      <w:r>
        <w:rPr>
          <w:rFonts w:ascii="Times New Roman" w:hAnsi="Times New Roman"/>
          <w:sz w:val="20"/>
          <w:u w:val="single"/>
        </w:rPr>
        <w:t>https://ir.flywire.com/</w:t>
      </w:r>
      <w:r>
        <w:rPr>
          <w:rFonts w:ascii="Times New Roman" w:hAnsi="Times New Roman"/>
          <w:sz w:val="20"/>
        </w:rPr>
        <w:t xml:space="preserve">. A replay will be available on the investor relations website following the call.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Note Regarding Share Repurchase Program </w:t>
      </w:r>
    </w:p>
    <w:p>
      <w:pPr>
        <w:pStyle w:val="TextBody"/>
        <w:bidi w:val="0"/>
        <w:spacing w:before="120" w:after="0"/>
        <w:jc w:val="left"/>
        <w:rPr>
          <w:rFonts w:ascii="Times New Roman" w:hAnsi="Times New Roman"/>
          <w:sz w:val="20"/>
        </w:rPr>
      </w:pPr>
      <w:r>
        <w:rPr>
          <w:rFonts w:ascii="Times New Roman" w:hAnsi="Times New Roman"/>
          <w:sz w:val="20"/>
        </w:rPr>
        <w:t xml:space="preserve">Repurchases under the Company’s share repurchase program (the Repurchase Program) may be made from time to time through open market purchases, in privately negotiated transactions or by other means, including through the use of trading plans intended to qualify under Rule 10b5-1 under the Securities Exchange Act of 1934, as amended, in accordance with applicable securities laws and other restrictions, including Rule 10b-18. The timing, value and number of shares repurchased will be determined by the Company in its discretion and will be based on various factors, including an evaluation of current and future capital needs, current and forecasted cash flows, the Company’s capital structure, cost of capital and prevailing stock prices, general market and economic conditions, applicable legal requirements, and compliance with covenants in the Company’s credit facility that may limit share repurchases based on defined leverage ratios. The Repurchase Program does not obligate the Company to purchase a specific number of, or any, shares. The Repurchase Program does not expire and may be modified, suspended, or terminated at any time without notice at the Company’s discretion. </w:t>
      </w:r>
    </w:p>
    <w:p>
      <w:pPr>
        <w:pStyle w:val="TextBody"/>
        <w:bidi w:val="0"/>
        <w:spacing w:before="360" w:after="0"/>
        <w:jc w:val="left"/>
        <w:rPr>
          <w:rFonts w:ascii="Times New Roman" w:hAnsi="Times New Roman"/>
          <w:b/>
          <w:sz w:val="20"/>
        </w:rPr>
      </w:pPr>
      <w:r>
        <w:rPr>
          <w:rFonts w:ascii="Times New Roman" w:hAnsi="Times New Roman"/>
          <w:b/>
          <w:sz w:val="20"/>
        </w:rPr>
        <w:t xml:space="preserve">Key Operating Metrics and Non-GAAP Financial Measures </w:t>
      </w:r>
    </w:p>
    <w:p>
      <w:pPr>
        <w:pStyle w:val="TextBody"/>
        <w:bidi w:val="0"/>
        <w:spacing w:before="120" w:after="0"/>
        <w:jc w:val="left"/>
        <w:rPr>
          <w:rFonts w:ascii="Times New Roman" w:hAnsi="Times New Roman"/>
          <w:sz w:val="20"/>
        </w:rPr>
      </w:pPr>
      <w:r>
        <w:rPr>
          <w:rFonts w:ascii="Times New Roman" w:hAnsi="Times New Roman"/>
          <w:sz w:val="20"/>
        </w:rPr>
        <w:t xml:space="preserve">Flywire uses non-GAAP financial measures to supplement financial information presented on a GAAP basis. The Company believes that excluding certain items from its GAAP results allows management to better understand its consolidated financial performance from period to period and better project its future consolidated financial performance as forecasts are developed at a level of detail different from that used to prepare GAAP-based financial measures. Moreover, Flywire believes these non-GAAP financial measures provide its stakeholders with useful information to help them evaluate the Company’s operating results by facilitating an enhanced understanding of the Company’s operating performance and enabling them to make more meaningful period-to-period comparisons. There are limitations to the use of the non-GAAP financial measures presented here. Flywire’s non-GAAP financial measures may not be comparable to similarly titled measures of other companies. Other companies, including companies in Flywire’s industry, may calculate non-GAAP financial measures differently, limiting the usefulness of those measures for comparative purposes.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Flywire uses supplemental measures of its performance, which are derived from its consolidated financial information, but which are not presented in its consolidated financial statements prepared in accordance with GAAP. These non-GAAP financial measures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Less Ancillary Services. Revenue Less Ancillary Services represents the Company’s consolidated revenue in accordance with GAAP less (i) pass-through cost for printing and mailing services and (ii) marketing fees. The Company excludes these amounts to arrive at this supplemental non-GAAP financial measure as it views these services as ancillary to the primary services it provides to its clients.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Gross Profit and Adjusted Gross Margin. Adjusted gross profit represents Revenue Less Ancillary Services less cost of revenue adjusted to (i) exclude pass-through cost for printing services, (ii) offset marketing fees against costs incurred and (iii) exclude depreciation and amortization, including accelerated amortization on the impairment of customer set-up costs tied to technology integration, if applicable. Adjusted Gross Margin represents Adjusted Gross Profit divided by Revenue Less Ancillary Services. Management believes this presentation supplements the GAAP presentation of Gross Profit and Gross Margin with a useful measure of the gross profit and gross margin of the Company’s payment-related services, which are the primary services it provides to its clients.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EBITDA represents our consolidated net income (loss) in accordance with GAAP adjusted to include (i) interest expense, (ii) interest income, (iii) (benefit from) provision for income taxes and (iv) depreciation and amortization. Adjusted EBITDA represents EBITDA further adjusted by excluding (a) stock-based compensation expense and related payroll taxes, (b) the impact from the change in fair value measurement for contingent consideration associated with acquisitions,(c) gain (loss) from the remeasurement of foreign currency, (d) indirect taxes related to intercompany activity, (e) acquisition related transaction costs, (f) employee retention costs, such as incentive compensation, associated with acquisition activities, (g) restructuring costs and (h) gain (loss) from investments. Management believes that the exclusion of these amounts to calculate Adjusted EBITDA provides useful measures for period-to-period comparisons of the Company’s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Margin—Adjusted EBITDA Margin represents Adjusted EBITDA divided by Revenue Less Ancillary Services. Management believes this presentation supplements the GAAP presentation of gross margin with a useful measure of the gross margin of the Company’s payment-related services, which are the primary services it provides to its clients.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FX Neutral Revenue Less Ancillary Services. FX Neutral Revenue Less Ancillary Services represents Revenue Less Ancillary Services adjusted to show presentation on a FX Neutral basis. The FX Neutral information presented is calculated by translating current-period results using prior-period weighted average foreign currency exchange rates. Flywire analyzes Revenue Less Ancillary Services on an FX Neutral basis to provide a comparable framework for assessing how the business performed, excluding the effect of foreign currency fluctuations.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Non-GAAP Operating Expenses—Non-GAAP Operating Expenses represents GAAP Operating Expenses adjusted by excluding (i) stock-based compensation expense and related payroll taxes, (ii) depreciation and amortization, (iii) acquisition related transaction costs, if applicable, (iv) employee retention costs, such as incentive compensation, associated with acquisition activities, (v) the impact from the change in fair value measurement for contingent consideration associated with acquisitions and (vi) restructuring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FX Neutral Revenue Less Ancillary Services and Adjusted EBITDA, excluding Sertifi - FX Neutral Revenue Less Ancillary Services and Adjusted EBITDA, excluding Sertifi, represents FX Neutral Revenue Less Ancillary Services and Adjusted EBITDA, respectively, adjusted by excluding the contributions from Sertifi. Flywire believes these measures are useful in understanding the ongoing results of our operations.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non-GAAP financial measures are not meant to be considered as indicators of performance in isolation from or as a substitute for the Company’s revenue, gross profit, gross margin or net income (loss), or operating expenses prepared in accordance with GAAP and should be read only in conjunction with financial information presented on a GAAP basis. Reconciliations of these non-GAAP financial measures to the most directly comparable GAAP financial measure are presented below. Flywire encourages you to review these reconciliations in conjunction with the presentation of the non-GAAP financial measures for each of the periods presented. In future fiscal periods, Flywire may exclude such items and may incur income and expenses similar to these excluded items. </w:t>
      </w:r>
    </w:p>
    <w:p>
      <w:pPr>
        <w:pStyle w:val="TextBody"/>
        <w:bidi w:val="0"/>
        <w:spacing w:before="240" w:after="0"/>
        <w:jc w:val="left"/>
        <w:rPr>
          <w:rFonts w:ascii="Times New Roman" w:hAnsi="Times New Roman"/>
          <w:sz w:val="20"/>
        </w:rPr>
      </w:pPr>
      <w:r>
        <w:rPr>
          <w:rFonts w:ascii="Times New Roman" w:hAnsi="Times New Roman"/>
          <w:sz w:val="20"/>
        </w:rPr>
        <w:t xml:space="preserve">Flywire has not provided a quantitative reconciliation of forecasted FX-Neutral Revenue Less Ancillary Services Growth to forecasted GAAP Revenue Growth or forecasted Adjusted EBITDA Margin Growth to forecasted GAAP Net Income Margin Growth or to forecasted GAAP net income (loss) before income taxes within this earnings release because it is unable, without making unreasonable efforts, to calculate certain reconciling items with confidence. These items include, but are not limited to, income taxes, which are directly impacted by unpredictable fluctuations in the market price of Flywire’s stock and foreign currency exchange rates. For figures in this press release reported on an “FX-Neutral basis,” Flywire calculates the year-over-year impact of foreign currency movements using prior period weighted average foreign currency exchange rates.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Flywire </w:t>
      </w:r>
    </w:p>
    <w:p>
      <w:pPr>
        <w:pStyle w:val="TextBody"/>
        <w:bidi w:val="0"/>
        <w:spacing w:before="120" w:after="0"/>
        <w:jc w:val="left"/>
        <w:rPr>
          <w:rFonts w:ascii="Times New Roman" w:hAnsi="Times New Roman"/>
          <w:sz w:val="20"/>
        </w:rPr>
      </w:pPr>
      <w:r>
        <w:rPr>
          <w:rFonts w:ascii="Times New Roman" w:hAnsi="Times New Roman"/>
          <w:sz w:val="20"/>
        </w:rPr>
        <w:t xml:space="preserve">Flywire is a global payments enablement and software company. We combine our proprietary global payments network, next-gen payments platform and vertical-specific software to deliver the most important and complex payments for our clients and their customers. </w:t>
      </w:r>
    </w:p>
    <w:p>
      <w:pPr>
        <w:pStyle w:val="TextBody"/>
        <w:bidi w:val="0"/>
        <w:spacing w:before="240" w:after="0"/>
        <w:jc w:val="left"/>
        <w:rPr>
          <w:rFonts w:ascii="Times New Roman" w:hAnsi="Times New Roman"/>
          <w:sz w:val="20"/>
        </w:rPr>
      </w:pPr>
      <w:r>
        <w:rPr>
          <w:rFonts w:ascii="Times New Roman" w:hAnsi="Times New Roman"/>
          <w:sz w:val="20"/>
        </w:rPr>
        <w:t xml:space="preserve">Flywire leverages its vertical-specific software and payments technology to deeply embed within the existing A/R workflows for its clients across the education, healthcare, and travel vertical markets, as well as in key B2B industries. Flywire also integrates with leading ERP systems, such as NetSuite, so organizations can optimize the payment experience for their customers while eliminating operational challenges. </w:t>
      </w:r>
    </w:p>
    <w:p>
      <w:pPr>
        <w:pStyle w:val="TextBody"/>
        <w:bidi w:val="0"/>
        <w:spacing w:before="240" w:after="0"/>
        <w:jc w:val="left"/>
        <w:rPr>
          <w:rFonts w:ascii="Times New Roman" w:hAnsi="Times New Roman"/>
          <w:sz w:val="20"/>
        </w:rPr>
      </w:pPr>
      <w:r>
        <w:rPr>
          <w:rFonts w:ascii="Times New Roman" w:hAnsi="Times New Roman"/>
          <w:sz w:val="20"/>
        </w:rPr>
        <w:t xml:space="preserve">Flywire supports over 4,900** clients with diverse payment methods in more than 140 currencies across more than 240 countries and territories around the world. Flywire is headquartered in Boston, MA, USA, with global offices. For more information, visit </w:t>
      </w:r>
      <w:r>
        <w:rPr>
          <w:rFonts w:ascii="Times New Roman" w:hAnsi="Times New Roman"/>
          <w:sz w:val="20"/>
          <w:u w:val="single"/>
        </w:rPr>
        <w:t>www.flywire.com</w:t>
      </w:r>
      <w:r>
        <w:rPr>
          <w:rFonts w:ascii="Times New Roman" w:hAnsi="Times New Roman"/>
          <w:sz w:val="20"/>
        </w:rPr>
        <w:t xml:space="preserve">. Follow Flywire on </w:t>
      </w:r>
      <w:r>
        <w:rPr>
          <w:rFonts w:ascii="Times New Roman" w:hAnsi="Times New Roman"/>
          <w:sz w:val="20"/>
          <w:u w:val="single"/>
        </w:rPr>
        <w:t>X</w:t>
      </w:r>
      <w:r>
        <w:rPr>
          <w:rFonts w:ascii="Times New Roman" w:hAnsi="Times New Roman"/>
          <w:sz w:val="20"/>
        </w:rPr>
        <w:t xml:space="preserve"> (formerly known as Twitter), </w:t>
      </w:r>
      <w:r>
        <w:rPr>
          <w:rFonts w:ascii="Times New Roman" w:hAnsi="Times New Roman"/>
          <w:sz w:val="20"/>
          <w:u w:val="single"/>
        </w:rPr>
        <w:t>LinkedIn</w:t>
      </w:r>
      <w:r>
        <w:rPr>
          <w:rFonts w:ascii="Times New Roman" w:hAnsi="Times New Roman"/>
          <w:sz w:val="20"/>
        </w:rPr>
        <w:t xml:space="preserve"> and </w:t>
      </w:r>
      <w:r>
        <w:rPr>
          <w:rFonts w:ascii="Times New Roman" w:hAnsi="Times New Roman"/>
          <w:sz w:val="20"/>
          <w:u w:val="single"/>
        </w:rPr>
        <w:t>Facebook</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i/>
              </w:rPr>
            </w:pPr>
            <w:r>
              <w:rPr>
                <w:i/>
              </w:rPr>
              <w:t>**</w:t>
            </w:r>
          </w:p>
        </w:tc>
        <w:tc>
          <w:tcPr>
            <w:tcW w:w="9798"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Excludes clients from Flywire’s Invoiced and Sertifi acquisitions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Safe Harbor Statement </w:t>
      </w:r>
    </w:p>
    <w:p>
      <w:pPr>
        <w:pStyle w:val="TextBody"/>
        <w:bidi w:val="0"/>
        <w:spacing w:before="120" w:after="0"/>
        <w:jc w:val="left"/>
        <w:rPr>
          <w:rFonts w:ascii="Times New Roman" w:hAnsi="Times New Roman"/>
          <w:sz w:val="20"/>
        </w:rPr>
      </w:pPr>
      <w:r>
        <w:rPr>
          <w:rFonts w:ascii="Times New Roman" w:hAnsi="Times New Roman"/>
          <w:sz w:val="20"/>
        </w:rPr>
        <w:t xml:space="preserve">This release contains forward-looking statements within the meaning of the Private Securities Litigation Reform Act of 1995, including, but not limited to, statements regarding Flywire’s future operating results and financial position, Flywire’s business strategy and plans, market growth, and Flywire’s objectives for future operations. Flywire intends such forward-looking statements to be covered by the safe harbor provisions for forward-looking statements contained in Section 21E of the Securities Exchange Act of 1934 and the Private Securities Litigation Reform Act of 1995. In some cases, you can identify forward-looking statements by terms such as, but not limited to, “believe,” “may,” “will,” “potentially,” “estimate,” “continue,” “anticipate,” “intend,” “could,” “would,” “project,” “target,” “plan,” “expect,” or the negative of these terms, and similar expressions intended to identify forward-looking statements. Such forward-looking statements are based upon current expectations that involve risks, changes in circumstances, assumptions, and uncertainties. Important factors that could cause actual results to differ materially from those reflected in Flywire’s forward-looking statements include, among others, Flywire’s future financial performance, including its expectations regarding FX Neutral Revenue Less Ancillary Services growth, and Adjusted EBITDA margin growth and foreign exchange rates. Risks that may cause actual results to differ materially from these forward looking statements include, but are not limited to: Flywire’s ability to execute its business plan and effectively manage its growth; Flywire’s cross-border expansion plans and ability to expand internationally; anticipated trends, growth rates, and challenges in Flywire’s business and in the markets in which Flywire operates; the sufficiency of Flywire’s cash and cash equivalents to meet its liquidity needs; political, economic, foreign currency exchange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rate, inflation, legal, social and health risks, that may affect Flywire’s business or the global economy; Flywire’s beliefs and objectives for future operations; Flywire’s ability to develop and protect its brand; Flywire’s ability to maintain and grow the payment volume that it processes; Flywire’s ability to further attract, retain, and expand its client base; Flywire’s ability to develop new solutions and services and bring them to market in a timely manner; Flywire’s expectations concerning relationships with third parties, including financial institutions and strategic partners; the effects of increased competition in Flywire’s markets and its ability to compete effectively; recent and future acquisitions or investments in complementary companies, products, services, or technologies; Flywire’s ability to enter new client verticals, including its relatively new business-to-business sector; Flywire’s expectations regarding anticipated technology needs and developments and its ability to address those needs and developments with its solutions; Flywire’s expectations regarding its ability to meet existing performance obligations and maintain the operability of its solutions; Flywire’s expectations regarding the effects of existing and developing laws and regulations, including with respect to payments and financial services, taxation, privacy and data protection; Flywire’s ability to adapt its business to changes in government policy regarding tariffs and immigration; economic and industry trends, including the risk of a global recession, projected growth, or trend analysis; the effects of global events and geopolitical conflicts, including without limitation the recent hostilities in Ukraine and involving Israel, Hamas and Iran; Flywire’s ability to adapt to recommended or implemented U.S. policy changes, in particular those that impact higher education, the desire for foreign students to study in the U.S., immigration and visa policy, and changes to regulatory agencies and depth of enforcement of regulations; Flywire’s ability to adapt to changes in U.S. federal income or other tax laws or the interpretation of tax laws, including the Inflation Reduction Act of 2022; and The One Big Beautiful Bill Act of 2025; Flywire’s ability to attract and retain qualified employees; Flywire’s ability to maintain, protect, and enhance its intellectual property; Flywire’s ability to maintain the security and availability of its solutions; the increased expenses associated with being a public company; the future market price of Flywire’s common stock; and other factors that are described in the “Risk Factors” and “Management’s Discussion and Analysis of Financial Condition and Results of Operations” sections of Flywire’s Annual Report on Form 10-K for the year ended December 31, 2024 and Quarterly Report on Form 10-Q for the quarter ended June 30, 2025 which are on file with the Securities and Exchange Commission (SEC) and available on the SEC’s website at https://www.sec.gov/. Additional factors may be described in those sections of Flywire’s Quarterly Report on Form 10-Q for the quarter ended September 30, 2025, expected to be filed in the fourth quarter of 2025. The information in this release is provided only as of the date of this release, and Flywire undertakes no obligation to update any forward-looking statements contained in this release on account of new information, future events, or otherwise, except as required by law.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Contacts </w:t>
      </w:r>
    </w:p>
    <w:p>
      <w:pPr>
        <w:pStyle w:val="TextBody"/>
        <w:bidi w:val="0"/>
        <w:spacing w:before="120" w:after="0"/>
        <w:jc w:val="left"/>
        <w:rPr>
          <w:rFonts w:ascii="Times New Roman" w:hAnsi="Times New Roman"/>
          <w:sz w:val="20"/>
        </w:rPr>
      </w:pPr>
      <w:r>
        <w:rPr>
          <w:rFonts w:ascii="Times New Roman" w:hAnsi="Times New Roman"/>
          <w:b/>
          <w:sz w:val="20"/>
        </w:rPr>
        <w:t>Investor Relations</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Masha Kahn </w:t>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ir@Flywire.com </w:t>
      </w:r>
    </w:p>
    <w:p>
      <w:pPr>
        <w:pStyle w:val="TextBody"/>
        <w:bidi w:val="0"/>
        <w:spacing w:before="360" w:after="0"/>
        <w:jc w:val="left"/>
        <w:rPr>
          <w:rFonts w:ascii="Times New Roman" w:hAnsi="Times New Roman"/>
          <w:sz w:val="20"/>
        </w:rPr>
      </w:pPr>
      <w:r>
        <w:rPr>
          <w:rFonts w:ascii="Times New Roman" w:hAnsi="Times New Roman"/>
          <w:b/>
          <w:sz w:val="20"/>
        </w:rPr>
        <w:t>Media</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Sarah King </w:t>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Media@Flywire.com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Statements of Operations and Comprehensive Income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(Amounts in thousands, except share and per share amount)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183"/>
        <w:gridCol w:w="277"/>
        <w:gridCol w:w="140"/>
        <w:gridCol w:w="1222"/>
        <w:gridCol w:w="155"/>
        <w:gridCol w:w="224"/>
        <w:gridCol w:w="140"/>
        <w:gridCol w:w="1222"/>
        <w:gridCol w:w="155"/>
        <w:gridCol w:w="224"/>
        <w:gridCol w:w="140"/>
        <w:gridCol w:w="1222"/>
        <w:gridCol w:w="155"/>
        <w:gridCol w:w="224"/>
        <w:gridCol w:w="140"/>
        <w:gridCol w:w="1222"/>
        <w:gridCol w:w="160"/>
      </w:tblGrid>
      <w:tr>
        <w:trPr/>
        <w:tc>
          <w:tcPr>
            <w:tcW w:w="3183" w:type="dxa"/>
            <w:tcBorders/>
            <w:vAlign w:val="center"/>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83"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3103" w:type="dxa"/>
            <w:gridSpan w:val="6"/>
            <w:tcBorders>
              <w:bottom w:val="single" w:sz="8" w:space="0" w:color="000000"/>
            </w:tcBorders>
            <w:tcMar>
              <w:bottom w:w="28" w:type="dxa"/>
            </w:tcMar>
            <w:vAlign w:val="bottom"/>
          </w:tcPr>
          <w:p>
            <w:pPr>
              <w:pStyle w:val="TableContents"/>
              <w:bidi w:val="0"/>
              <w:spacing w:before="0" w:after="283"/>
              <w:jc w:val="center"/>
              <w:rPr/>
            </w:pPr>
            <w:r>
              <w:rPr>
                <w:b/>
              </w:rPr>
              <w:t>Three Months Ended</w:t>
            </w:r>
            <w:r>
              <w:rPr/>
              <w:br/>
            </w:r>
            <w:r>
              <w:rPr>
                <w:b/>
              </w:rPr>
              <w:t>September 30,</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3103" w:type="dxa"/>
            <w:gridSpan w:val="6"/>
            <w:tcBorders>
              <w:bottom w:val="single" w:sz="8" w:space="0" w:color="000000"/>
            </w:tcBorders>
            <w:tcMar>
              <w:bottom w:w="28" w:type="dxa"/>
            </w:tcMar>
            <w:vAlign w:val="bottom"/>
          </w:tcPr>
          <w:p>
            <w:pPr>
              <w:pStyle w:val="TableContents"/>
              <w:bidi w:val="0"/>
              <w:spacing w:before="0" w:after="283"/>
              <w:jc w:val="center"/>
              <w:rPr/>
            </w:pPr>
            <w:r>
              <w:rPr>
                <w:b/>
              </w:rPr>
              <w:t>Nine Months Ended</w:t>
            </w:r>
            <w:r>
              <w:rPr/>
              <w:br/>
            </w:r>
            <w:r>
              <w:rPr>
                <w:b/>
              </w:rPr>
              <w:t>September 30,</w:t>
            </w:r>
          </w:p>
        </w:tc>
        <w:tc>
          <w:tcPr>
            <w:tcW w:w="160" w:type="dxa"/>
            <w:tcBorders/>
            <w:vAlign w:val="bottom"/>
          </w:tcPr>
          <w:p>
            <w:pPr>
              <w:pStyle w:val="TableContents"/>
              <w:bidi w:val="0"/>
              <w:spacing w:before="0" w:after="283"/>
              <w:jc w:val="left"/>
              <w:rPr/>
            </w:pPr>
            <w:r>
              <w:rPr/>
              <w:t> </w:t>
            </w:r>
          </w:p>
        </w:tc>
      </w:tr>
      <w:tr>
        <w:trPr/>
        <w:tc>
          <w:tcPr>
            <w:tcW w:w="3183"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3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3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3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3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0" w:type="dxa"/>
            <w:tcBorders/>
            <w:vAlign w:val="bottom"/>
          </w:tcPr>
          <w:p>
            <w:pPr>
              <w:pStyle w:val="TableContents"/>
              <w:bidi w:val="0"/>
              <w:spacing w:before="0" w:after="283"/>
              <w:jc w:val="left"/>
              <w:rPr/>
            </w:pPr>
            <w:r>
              <w:rPr/>
              <w:t> </w:t>
            </w:r>
          </w:p>
        </w:tc>
      </w:tr>
      <w:tr>
        <w:trPr/>
        <w:tc>
          <w:tcPr>
            <w:tcW w:w="31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2" w:type="dxa"/>
            <w:tcBorders/>
            <w:shd w:fill="CCEEFF" w:val="clear"/>
            <w:vAlign w:val="bottom"/>
          </w:tcPr>
          <w:p>
            <w:pPr>
              <w:pStyle w:val="TableContents"/>
              <w:bidi w:val="0"/>
              <w:spacing w:before="0" w:after="283"/>
              <w:jc w:val="right"/>
              <w:rPr/>
            </w:pPr>
            <w:r>
              <w:rPr/>
              <w:t>200,138</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2" w:type="dxa"/>
            <w:tcBorders/>
            <w:shd w:fill="CCEEFF" w:val="clear"/>
            <w:vAlign w:val="bottom"/>
          </w:tcPr>
          <w:p>
            <w:pPr>
              <w:pStyle w:val="TableContents"/>
              <w:bidi w:val="0"/>
              <w:spacing w:before="0" w:after="283"/>
              <w:jc w:val="right"/>
              <w:rPr/>
            </w:pPr>
            <w:r>
              <w:rPr/>
              <w:t>156,815</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2" w:type="dxa"/>
            <w:tcBorders/>
            <w:shd w:fill="CCEEFF" w:val="clear"/>
            <w:vAlign w:val="bottom"/>
          </w:tcPr>
          <w:p>
            <w:pPr>
              <w:pStyle w:val="TableContents"/>
              <w:bidi w:val="0"/>
              <w:spacing w:before="0" w:after="283"/>
              <w:jc w:val="right"/>
              <w:rPr/>
            </w:pPr>
            <w:r>
              <w:rPr/>
              <w:t>465,481</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2" w:type="dxa"/>
            <w:tcBorders/>
            <w:shd w:fill="CCEEFF" w:val="clear"/>
            <w:vAlign w:val="bottom"/>
          </w:tcPr>
          <w:p>
            <w:pPr>
              <w:pStyle w:val="TableContents"/>
              <w:bidi w:val="0"/>
              <w:spacing w:before="0" w:after="283"/>
              <w:jc w:val="right"/>
              <w:rPr/>
            </w:pPr>
            <w:r>
              <w:rPr/>
              <w:t>374,594</w:t>
            </w:r>
          </w:p>
        </w:tc>
        <w:tc>
          <w:tcPr>
            <w:tcW w:w="160" w:type="dxa"/>
            <w:tcBorders/>
            <w:shd w:fill="CCEEFF" w:val="clear"/>
            <w:vAlign w:val="bottom"/>
          </w:tcPr>
          <w:p>
            <w:pPr>
              <w:pStyle w:val="TableContents"/>
              <w:bidi w:val="0"/>
              <w:spacing w:before="0" w:after="283"/>
              <w:jc w:val="left"/>
              <w:rPr/>
            </w:pPr>
            <w:r>
              <w:rPr/>
              <w:t> </w:t>
            </w:r>
          </w:p>
        </w:tc>
      </w:tr>
      <w:tr>
        <w:trPr/>
        <w:tc>
          <w:tcPr>
            <w:tcW w:w="3183" w:type="dxa"/>
            <w:tcBorders/>
          </w:tcPr>
          <w:p>
            <w:pPr>
              <w:pStyle w:val="TableContents"/>
              <w:bidi w:val="0"/>
              <w:spacing w:before="0" w:after="0"/>
              <w:jc w:val="left"/>
              <w:rPr>
                <w:rFonts w:ascii="Times New Roman" w:hAnsi="Times New Roman"/>
                <w:sz w:val="20"/>
              </w:rPr>
            </w:pPr>
            <w:r>
              <w:rPr>
                <w:rFonts w:ascii="Times New Roman" w:hAnsi="Times New Roman"/>
                <w:sz w:val="20"/>
              </w:rPr>
              <w:t>Costs and operating expenses:</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31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 processing services costs</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72,318</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54,557</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176,768</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136,106</w:t>
            </w:r>
          </w:p>
        </w:tc>
        <w:tc>
          <w:tcPr>
            <w:tcW w:w="160" w:type="dxa"/>
            <w:tcBorders/>
            <w:shd w:fill="CCEEFF" w:val="clear"/>
            <w:vAlign w:val="bottom"/>
          </w:tcPr>
          <w:p>
            <w:pPr>
              <w:pStyle w:val="TableContents"/>
              <w:bidi w:val="0"/>
              <w:spacing w:before="0" w:after="283"/>
              <w:jc w:val="left"/>
              <w:rPr/>
            </w:pPr>
            <w:r>
              <w:rPr/>
              <w:t> </w:t>
            </w:r>
          </w:p>
        </w:tc>
      </w:tr>
      <w:tr>
        <w:trPr/>
        <w:tc>
          <w:tcPr>
            <w:tcW w:w="3183" w:type="dxa"/>
            <w:tcBorders/>
          </w:tcPr>
          <w:p>
            <w:pPr>
              <w:pStyle w:val="TableContents"/>
              <w:bidi w:val="0"/>
              <w:spacing w:before="0" w:after="0"/>
              <w:jc w:val="left"/>
              <w:rPr>
                <w:rFonts w:ascii="Times New Roman" w:hAnsi="Times New Roman"/>
                <w:sz w:val="20"/>
              </w:rPr>
            </w:pPr>
            <w:r>
              <w:rPr>
                <w:rFonts w:ascii="Times New Roman" w:hAnsi="Times New Roman"/>
                <w:sz w:val="20"/>
              </w:rPr>
              <w:t>Technology and development</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17,650</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16,695</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51,667</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49,266</w:t>
            </w:r>
          </w:p>
        </w:tc>
        <w:tc>
          <w:tcPr>
            <w:tcW w:w="160" w:type="dxa"/>
            <w:tcBorders/>
            <w:vAlign w:val="bottom"/>
          </w:tcPr>
          <w:p>
            <w:pPr>
              <w:pStyle w:val="TableContents"/>
              <w:bidi w:val="0"/>
              <w:spacing w:before="0" w:after="283"/>
              <w:jc w:val="left"/>
              <w:rPr/>
            </w:pPr>
            <w:r>
              <w:rPr/>
              <w:t> </w:t>
            </w:r>
          </w:p>
        </w:tc>
      </w:tr>
      <w:tr>
        <w:trPr/>
        <w:tc>
          <w:tcPr>
            <w:tcW w:w="31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and marketing</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41,911</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34,228</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116,857</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96,082</w:t>
            </w:r>
          </w:p>
        </w:tc>
        <w:tc>
          <w:tcPr>
            <w:tcW w:w="160" w:type="dxa"/>
            <w:tcBorders/>
            <w:shd w:fill="CCEEFF" w:val="clear"/>
            <w:vAlign w:val="bottom"/>
          </w:tcPr>
          <w:p>
            <w:pPr>
              <w:pStyle w:val="TableContents"/>
              <w:bidi w:val="0"/>
              <w:spacing w:before="0" w:after="283"/>
              <w:jc w:val="left"/>
              <w:rPr/>
            </w:pPr>
            <w:r>
              <w:rPr/>
              <w:t> </w:t>
            </w:r>
          </w:p>
        </w:tc>
      </w:tr>
      <w:tr>
        <w:trPr/>
        <w:tc>
          <w:tcPr>
            <w:tcW w:w="3183"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36,006</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31,065</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99,239</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94,620</w:t>
            </w:r>
          </w:p>
        </w:tc>
        <w:tc>
          <w:tcPr>
            <w:tcW w:w="160" w:type="dxa"/>
            <w:tcBorders/>
            <w:vAlign w:val="bottom"/>
          </w:tcPr>
          <w:p>
            <w:pPr>
              <w:pStyle w:val="TableContents"/>
              <w:bidi w:val="0"/>
              <w:spacing w:before="0" w:after="283"/>
              <w:jc w:val="left"/>
              <w:rPr/>
            </w:pPr>
            <w:r>
              <w:rPr/>
              <w:t> </w:t>
            </w:r>
          </w:p>
        </w:tc>
      </w:tr>
      <w:tr>
        <w:trPr/>
        <w:tc>
          <w:tcPr>
            <w:tcW w:w="31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Restructuring</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8,690</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3183"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183" w:type="dxa"/>
            <w:tcBorders/>
          </w:tcPr>
          <w:p>
            <w:pPr>
              <w:pStyle w:val="TableContents"/>
              <w:bidi w:val="0"/>
              <w:spacing w:before="0" w:after="0"/>
              <w:jc w:val="left"/>
              <w:rPr>
                <w:rFonts w:ascii="Times New Roman" w:hAnsi="Times New Roman"/>
                <w:sz w:val="20"/>
              </w:rPr>
            </w:pPr>
            <w:r>
              <w:rPr>
                <w:rFonts w:ascii="Times New Roman" w:hAnsi="Times New Roman"/>
                <w:sz w:val="20"/>
              </w:rPr>
              <w:t>Total costs and operating expenses</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167,885</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136,545</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453,221</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376,074</w:t>
            </w:r>
          </w:p>
        </w:tc>
        <w:tc>
          <w:tcPr>
            <w:tcW w:w="160" w:type="dxa"/>
            <w:tcBorders/>
            <w:vAlign w:val="bottom"/>
          </w:tcPr>
          <w:p>
            <w:pPr>
              <w:pStyle w:val="TableContents"/>
              <w:bidi w:val="0"/>
              <w:spacing w:before="0" w:after="283"/>
              <w:jc w:val="left"/>
              <w:rPr/>
            </w:pPr>
            <w:r>
              <w:rPr/>
              <w:t> </w:t>
            </w:r>
          </w:p>
        </w:tc>
      </w:tr>
      <w:tr>
        <w:trPr/>
        <w:tc>
          <w:tcPr>
            <w:tcW w:w="3183"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1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(loss) from operations</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2" w:type="dxa"/>
            <w:tcBorders/>
            <w:shd w:fill="CCEEFF" w:val="clear"/>
            <w:vAlign w:val="bottom"/>
          </w:tcPr>
          <w:p>
            <w:pPr>
              <w:pStyle w:val="TableContents"/>
              <w:bidi w:val="0"/>
              <w:spacing w:before="0" w:after="283"/>
              <w:jc w:val="right"/>
              <w:rPr/>
            </w:pPr>
            <w:r>
              <w:rPr/>
              <w:t>32,253</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2" w:type="dxa"/>
            <w:tcBorders/>
            <w:shd w:fill="CCEEFF" w:val="clear"/>
            <w:vAlign w:val="bottom"/>
          </w:tcPr>
          <w:p>
            <w:pPr>
              <w:pStyle w:val="TableContents"/>
              <w:bidi w:val="0"/>
              <w:spacing w:before="0" w:after="283"/>
              <w:jc w:val="right"/>
              <w:rPr/>
            </w:pPr>
            <w:r>
              <w:rPr/>
              <w:t>20,270</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2" w:type="dxa"/>
            <w:tcBorders/>
            <w:shd w:fill="CCEEFF" w:val="clear"/>
            <w:vAlign w:val="bottom"/>
          </w:tcPr>
          <w:p>
            <w:pPr>
              <w:pStyle w:val="TableContents"/>
              <w:bidi w:val="0"/>
              <w:spacing w:before="0" w:after="283"/>
              <w:jc w:val="right"/>
              <w:rPr/>
            </w:pPr>
            <w:r>
              <w:rPr/>
              <w:t>12,260</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2" w:type="dxa"/>
            <w:tcBorders/>
            <w:shd w:fill="CCEEFF" w:val="clear"/>
            <w:vAlign w:val="bottom"/>
          </w:tcPr>
          <w:p>
            <w:pPr>
              <w:pStyle w:val="TableContents"/>
              <w:bidi w:val="0"/>
              <w:spacing w:before="0" w:after="283"/>
              <w:jc w:val="right"/>
              <w:rPr/>
            </w:pPr>
            <w:r>
              <w:rPr/>
              <w:t>(1,480</w:t>
            </w:r>
          </w:p>
        </w:tc>
        <w:tc>
          <w:tcPr>
            <w:tcW w:w="160" w:type="dxa"/>
            <w:tcBorders/>
            <w:shd w:fill="CCEEFF" w:val="clear"/>
            <w:vAlign w:val="bottom"/>
          </w:tcPr>
          <w:p>
            <w:pPr>
              <w:pStyle w:val="TableContents"/>
              <w:bidi w:val="0"/>
              <w:spacing w:before="0" w:after="283"/>
              <w:jc w:val="left"/>
              <w:rPr/>
            </w:pPr>
            <w:r>
              <w:rPr/>
              <w:t>) </w:t>
            </w:r>
          </w:p>
        </w:tc>
      </w:tr>
      <w:tr>
        <w:trPr/>
        <w:tc>
          <w:tcPr>
            <w:tcW w:w="3183"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183" w:type="dxa"/>
            <w:tcBorders/>
          </w:tcPr>
          <w:p>
            <w:pPr>
              <w:pStyle w:val="TableContents"/>
              <w:bidi w:val="0"/>
              <w:spacing w:before="0" w:after="0"/>
              <w:jc w:val="left"/>
              <w:rPr>
                <w:rFonts w:ascii="Times New Roman" w:hAnsi="Times New Roman"/>
                <w:sz w:val="20"/>
              </w:rPr>
            </w:pPr>
            <w:r>
              <w:rPr>
                <w:rFonts w:ascii="Times New Roman" w:hAnsi="Times New Roman"/>
                <w:sz w:val="20"/>
              </w:rPr>
              <w:t>Other (expense) income:</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31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(1,197</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(128</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(2,986</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(403</w:t>
            </w:r>
          </w:p>
        </w:tc>
        <w:tc>
          <w:tcPr>
            <w:tcW w:w="160" w:type="dxa"/>
            <w:tcBorders/>
            <w:shd w:fill="CCEEFF" w:val="clear"/>
            <w:vAlign w:val="bottom"/>
          </w:tcPr>
          <w:p>
            <w:pPr>
              <w:pStyle w:val="TableContents"/>
              <w:bidi w:val="0"/>
              <w:spacing w:before="0" w:after="283"/>
              <w:jc w:val="left"/>
              <w:rPr/>
            </w:pPr>
            <w:r>
              <w:rPr/>
              <w:t>) </w:t>
            </w:r>
          </w:p>
        </w:tc>
      </w:tr>
      <w:tr>
        <w:trPr/>
        <w:tc>
          <w:tcPr>
            <w:tcW w:w="3183"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769</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4,970</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4,792</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16,568</w:t>
            </w:r>
          </w:p>
        </w:tc>
        <w:tc>
          <w:tcPr>
            <w:tcW w:w="160" w:type="dxa"/>
            <w:tcBorders/>
            <w:vAlign w:val="bottom"/>
          </w:tcPr>
          <w:p>
            <w:pPr>
              <w:pStyle w:val="TableContents"/>
              <w:bidi w:val="0"/>
              <w:spacing w:before="0" w:after="283"/>
              <w:jc w:val="left"/>
              <w:rPr/>
            </w:pPr>
            <w:r>
              <w:rPr/>
              <w:t> </w:t>
            </w:r>
          </w:p>
        </w:tc>
      </w:tr>
      <w:tr>
        <w:trPr/>
        <w:tc>
          <w:tcPr>
            <w:tcW w:w="31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gain from remeasurement of foreign currency</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(626</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5,457</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6,897</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2,079</w:t>
            </w:r>
          </w:p>
        </w:tc>
        <w:tc>
          <w:tcPr>
            <w:tcW w:w="160" w:type="dxa"/>
            <w:tcBorders/>
            <w:shd w:fill="CCEEFF" w:val="clear"/>
            <w:vAlign w:val="bottom"/>
          </w:tcPr>
          <w:p>
            <w:pPr>
              <w:pStyle w:val="TableContents"/>
              <w:bidi w:val="0"/>
              <w:spacing w:before="0" w:after="283"/>
              <w:jc w:val="left"/>
              <w:rPr/>
            </w:pPr>
            <w:r>
              <w:rPr/>
              <w:t> </w:t>
            </w:r>
          </w:p>
        </w:tc>
      </w:tr>
      <w:tr>
        <w:trPr/>
        <w:tc>
          <w:tcPr>
            <w:tcW w:w="3183" w:type="dxa"/>
            <w:tcBorders/>
          </w:tcPr>
          <w:p>
            <w:pPr>
              <w:pStyle w:val="TableContents"/>
              <w:bidi w:val="0"/>
              <w:spacing w:before="0" w:after="0"/>
              <w:jc w:val="left"/>
              <w:rPr>
                <w:rFonts w:ascii="Times New Roman" w:hAnsi="Times New Roman"/>
                <w:sz w:val="20"/>
              </w:rPr>
            </w:pPr>
            <w:r>
              <w:rPr>
                <w:rFonts w:ascii="Times New Roman" w:hAnsi="Times New Roman"/>
                <w:sz w:val="20"/>
              </w:rPr>
              <w:t>Gain on available-for-sale debt securities</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166</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3183"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1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(expense) income, net</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(1,054</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10,299</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8,869</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18,244</w:t>
            </w:r>
          </w:p>
        </w:tc>
        <w:tc>
          <w:tcPr>
            <w:tcW w:w="160" w:type="dxa"/>
            <w:tcBorders/>
            <w:shd w:fill="CCEEFF" w:val="clear"/>
            <w:vAlign w:val="bottom"/>
          </w:tcPr>
          <w:p>
            <w:pPr>
              <w:pStyle w:val="TableContents"/>
              <w:bidi w:val="0"/>
              <w:spacing w:before="0" w:after="283"/>
              <w:jc w:val="left"/>
              <w:rPr/>
            </w:pPr>
            <w:r>
              <w:rPr/>
              <w:t> </w:t>
            </w:r>
          </w:p>
        </w:tc>
      </w:tr>
      <w:tr>
        <w:trPr/>
        <w:tc>
          <w:tcPr>
            <w:tcW w:w="3183"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183" w:type="dxa"/>
            <w:tcBorders/>
          </w:tcPr>
          <w:p>
            <w:pPr>
              <w:pStyle w:val="TableContents"/>
              <w:bidi w:val="0"/>
              <w:spacing w:before="0" w:after="0"/>
              <w:jc w:val="left"/>
              <w:rPr>
                <w:rFonts w:ascii="Times New Roman" w:hAnsi="Times New Roman"/>
                <w:sz w:val="20"/>
              </w:rPr>
            </w:pPr>
            <w:r>
              <w:rPr>
                <w:rFonts w:ascii="Times New Roman" w:hAnsi="Times New Roman"/>
                <w:sz w:val="20"/>
              </w:rPr>
              <w:t>Income before income taxes</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31,199</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30,569</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21,129</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16,764</w:t>
            </w:r>
          </w:p>
        </w:tc>
        <w:tc>
          <w:tcPr>
            <w:tcW w:w="160" w:type="dxa"/>
            <w:tcBorders/>
            <w:vAlign w:val="bottom"/>
          </w:tcPr>
          <w:p>
            <w:pPr>
              <w:pStyle w:val="TableContents"/>
              <w:bidi w:val="0"/>
              <w:spacing w:before="0" w:after="283"/>
              <w:jc w:val="left"/>
              <w:rPr/>
            </w:pPr>
            <w:r>
              <w:rPr/>
              <w:t> </w:t>
            </w:r>
          </w:p>
        </w:tc>
      </w:tr>
      <w:tr>
        <w:trPr/>
        <w:tc>
          <w:tcPr>
            <w:tcW w:w="31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(benefit from) income taxes</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1,568</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(8,327</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7,665</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(2,035</w:t>
            </w:r>
          </w:p>
        </w:tc>
        <w:tc>
          <w:tcPr>
            <w:tcW w:w="160" w:type="dxa"/>
            <w:tcBorders/>
            <w:shd w:fill="CCEEFF" w:val="clear"/>
            <w:vAlign w:val="bottom"/>
          </w:tcPr>
          <w:p>
            <w:pPr>
              <w:pStyle w:val="TableContents"/>
              <w:bidi w:val="0"/>
              <w:spacing w:before="0" w:after="283"/>
              <w:jc w:val="left"/>
              <w:rPr/>
            </w:pPr>
            <w:r>
              <w:rPr/>
              <w:t>) </w:t>
            </w:r>
          </w:p>
        </w:tc>
      </w:tr>
      <w:tr>
        <w:trPr/>
        <w:tc>
          <w:tcPr>
            <w:tcW w:w="3183"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183"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2" w:type="dxa"/>
            <w:tcBorders/>
            <w:vAlign w:val="bottom"/>
          </w:tcPr>
          <w:p>
            <w:pPr>
              <w:pStyle w:val="TableContents"/>
              <w:bidi w:val="0"/>
              <w:spacing w:before="0" w:after="283"/>
              <w:jc w:val="right"/>
              <w:rPr/>
            </w:pPr>
            <w:r>
              <w:rPr/>
              <w:t>29,631</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2" w:type="dxa"/>
            <w:tcBorders/>
            <w:vAlign w:val="bottom"/>
          </w:tcPr>
          <w:p>
            <w:pPr>
              <w:pStyle w:val="TableContents"/>
              <w:bidi w:val="0"/>
              <w:spacing w:before="0" w:after="283"/>
              <w:jc w:val="right"/>
              <w:rPr/>
            </w:pPr>
            <w:r>
              <w:rPr/>
              <w:t>38,896</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2" w:type="dxa"/>
            <w:tcBorders/>
            <w:vAlign w:val="bottom"/>
          </w:tcPr>
          <w:p>
            <w:pPr>
              <w:pStyle w:val="TableContents"/>
              <w:bidi w:val="0"/>
              <w:spacing w:before="0" w:after="283"/>
              <w:jc w:val="right"/>
              <w:rPr/>
            </w:pPr>
            <w:r>
              <w:rPr/>
              <w:t>13,464</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2" w:type="dxa"/>
            <w:tcBorders/>
            <w:vAlign w:val="bottom"/>
          </w:tcPr>
          <w:p>
            <w:pPr>
              <w:pStyle w:val="TableContents"/>
              <w:bidi w:val="0"/>
              <w:spacing w:before="0" w:after="283"/>
              <w:jc w:val="right"/>
              <w:rPr/>
            </w:pPr>
            <w:r>
              <w:rPr/>
              <w:t>18,799</w:t>
            </w:r>
          </w:p>
        </w:tc>
        <w:tc>
          <w:tcPr>
            <w:tcW w:w="160" w:type="dxa"/>
            <w:tcBorders/>
            <w:vAlign w:val="bottom"/>
          </w:tcPr>
          <w:p>
            <w:pPr>
              <w:pStyle w:val="TableContents"/>
              <w:bidi w:val="0"/>
              <w:spacing w:before="0" w:after="283"/>
              <w:jc w:val="left"/>
              <w:rPr/>
            </w:pPr>
            <w:r>
              <w:rPr/>
              <w:t> </w:t>
            </w:r>
          </w:p>
        </w:tc>
      </w:tr>
      <w:tr>
        <w:trPr/>
        <w:tc>
          <w:tcPr>
            <w:tcW w:w="31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(1,917</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4,904</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7,415</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3,736</w:t>
            </w:r>
          </w:p>
        </w:tc>
        <w:tc>
          <w:tcPr>
            <w:tcW w:w="160" w:type="dxa"/>
            <w:tcBorders/>
            <w:shd w:fill="CCEEFF" w:val="clear"/>
            <w:vAlign w:val="bottom"/>
          </w:tcPr>
          <w:p>
            <w:pPr>
              <w:pStyle w:val="TableContents"/>
              <w:bidi w:val="0"/>
              <w:spacing w:before="0" w:after="283"/>
              <w:jc w:val="left"/>
              <w:rPr/>
            </w:pPr>
            <w:r>
              <w:rPr/>
              <w:t> </w:t>
            </w:r>
          </w:p>
        </w:tc>
      </w:tr>
      <w:tr>
        <w:trPr/>
        <w:tc>
          <w:tcPr>
            <w:tcW w:w="3183" w:type="dxa"/>
            <w:tcBorders/>
          </w:tcPr>
          <w:p>
            <w:pPr>
              <w:pStyle w:val="TableContents"/>
              <w:bidi w:val="0"/>
              <w:spacing w:before="0" w:after="0"/>
              <w:jc w:val="left"/>
              <w:rPr>
                <w:rFonts w:ascii="Times New Roman" w:hAnsi="Times New Roman"/>
                <w:sz w:val="20"/>
              </w:rPr>
            </w:pPr>
            <w:r>
              <w:rPr>
                <w:rFonts w:ascii="Times New Roman" w:hAnsi="Times New Roman"/>
                <w:sz w:val="20"/>
              </w:rPr>
              <w:t>Unrealized gains (losses) on available-for-sale debt securities, net of taxes</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20</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702</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(145</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649</w:t>
            </w:r>
          </w:p>
        </w:tc>
        <w:tc>
          <w:tcPr>
            <w:tcW w:w="160" w:type="dxa"/>
            <w:tcBorders/>
            <w:vAlign w:val="bottom"/>
          </w:tcPr>
          <w:p>
            <w:pPr>
              <w:pStyle w:val="TableContents"/>
              <w:bidi w:val="0"/>
              <w:spacing w:before="0" w:after="283"/>
              <w:jc w:val="left"/>
              <w:rPr/>
            </w:pPr>
            <w:r>
              <w:rPr/>
              <w:t> </w:t>
            </w:r>
          </w:p>
        </w:tc>
      </w:tr>
      <w:tr>
        <w:trPr/>
        <w:tc>
          <w:tcPr>
            <w:tcW w:w="3183"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1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comprehensive (loss) income</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2" w:type="dxa"/>
            <w:tcBorders/>
            <w:shd w:fill="CCEEFF" w:val="clear"/>
            <w:vAlign w:val="bottom"/>
          </w:tcPr>
          <w:p>
            <w:pPr>
              <w:pStyle w:val="TableContents"/>
              <w:bidi w:val="0"/>
              <w:spacing w:before="0" w:after="283"/>
              <w:jc w:val="right"/>
              <w:rPr/>
            </w:pPr>
            <w:r>
              <w:rPr/>
              <w:t>(1,897</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2" w:type="dxa"/>
            <w:tcBorders/>
            <w:shd w:fill="CCEEFF" w:val="clear"/>
            <w:vAlign w:val="bottom"/>
          </w:tcPr>
          <w:p>
            <w:pPr>
              <w:pStyle w:val="TableContents"/>
              <w:bidi w:val="0"/>
              <w:spacing w:before="0" w:after="283"/>
              <w:jc w:val="right"/>
              <w:rPr/>
            </w:pPr>
            <w:r>
              <w:rPr/>
              <w:t>5,606</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2" w:type="dxa"/>
            <w:tcBorders/>
            <w:shd w:fill="CCEEFF" w:val="clear"/>
            <w:vAlign w:val="bottom"/>
          </w:tcPr>
          <w:p>
            <w:pPr>
              <w:pStyle w:val="TableContents"/>
              <w:bidi w:val="0"/>
              <w:spacing w:before="0" w:after="283"/>
              <w:jc w:val="right"/>
              <w:rPr/>
            </w:pPr>
            <w:r>
              <w:rPr/>
              <w:t>7,270</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2" w:type="dxa"/>
            <w:tcBorders/>
            <w:shd w:fill="CCEEFF" w:val="clear"/>
            <w:vAlign w:val="bottom"/>
          </w:tcPr>
          <w:p>
            <w:pPr>
              <w:pStyle w:val="TableContents"/>
              <w:bidi w:val="0"/>
              <w:spacing w:before="0" w:after="283"/>
              <w:jc w:val="right"/>
              <w:rPr/>
            </w:pPr>
            <w:r>
              <w:rPr/>
              <w:t>4,385</w:t>
            </w:r>
          </w:p>
        </w:tc>
        <w:tc>
          <w:tcPr>
            <w:tcW w:w="160" w:type="dxa"/>
            <w:tcBorders/>
            <w:shd w:fill="CCEEFF" w:val="clear"/>
            <w:vAlign w:val="bottom"/>
          </w:tcPr>
          <w:p>
            <w:pPr>
              <w:pStyle w:val="TableContents"/>
              <w:bidi w:val="0"/>
              <w:spacing w:before="0" w:after="283"/>
              <w:jc w:val="left"/>
              <w:rPr/>
            </w:pPr>
            <w:r>
              <w:rPr/>
              <w:t> </w:t>
            </w:r>
          </w:p>
        </w:tc>
      </w:tr>
      <w:tr>
        <w:trPr/>
        <w:tc>
          <w:tcPr>
            <w:tcW w:w="3183"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183" w:type="dxa"/>
            <w:tcBorders/>
          </w:tcPr>
          <w:p>
            <w:pPr>
              <w:pStyle w:val="TableContents"/>
              <w:bidi w:val="0"/>
              <w:spacing w:before="0" w:after="0"/>
              <w:jc w:val="left"/>
              <w:rPr>
                <w:rFonts w:ascii="Times New Roman" w:hAnsi="Times New Roman"/>
                <w:sz w:val="20"/>
              </w:rPr>
            </w:pPr>
            <w:r>
              <w:rPr>
                <w:rFonts w:ascii="Times New Roman" w:hAnsi="Times New Roman"/>
                <w:sz w:val="20"/>
              </w:rPr>
              <w:t>Comprehensive income</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2" w:type="dxa"/>
            <w:tcBorders/>
            <w:vAlign w:val="bottom"/>
          </w:tcPr>
          <w:p>
            <w:pPr>
              <w:pStyle w:val="TableContents"/>
              <w:bidi w:val="0"/>
              <w:spacing w:before="0" w:after="283"/>
              <w:jc w:val="right"/>
              <w:rPr/>
            </w:pPr>
            <w:r>
              <w:rPr/>
              <w:t>27,734</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2" w:type="dxa"/>
            <w:tcBorders/>
            <w:vAlign w:val="bottom"/>
          </w:tcPr>
          <w:p>
            <w:pPr>
              <w:pStyle w:val="TableContents"/>
              <w:bidi w:val="0"/>
              <w:spacing w:before="0" w:after="283"/>
              <w:jc w:val="right"/>
              <w:rPr/>
            </w:pPr>
            <w:r>
              <w:rPr/>
              <w:t>44,502</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2" w:type="dxa"/>
            <w:tcBorders/>
            <w:vAlign w:val="bottom"/>
          </w:tcPr>
          <w:p>
            <w:pPr>
              <w:pStyle w:val="TableContents"/>
              <w:bidi w:val="0"/>
              <w:spacing w:before="0" w:after="283"/>
              <w:jc w:val="right"/>
              <w:rPr/>
            </w:pPr>
            <w:r>
              <w:rPr/>
              <w:t>20,734</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2" w:type="dxa"/>
            <w:tcBorders/>
            <w:vAlign w:val="bottom"/>
          </w:tcPr>
          <w:p>
            <w:pPr>
              <w:pStyle w:val="TableContents"/>
              <w:bidi w:val="0"/>
              <w:spacing w:before="0" w:after="283"/>
              <w:jc w:val="right"/>
              <w:rPr/>
            </w:pPr>
            <w:r>
              <w:rPr/>
              <w:t>23,184</w:t>
            </w:r>
          </w:p>
        </w:tc>
        <w:tc>
          <w:tcPr>
            <w:tcW w:w="160" w:type="dxa"/>
            <w:tcBorders/>
            <w:vAlign w:val="bottom"/>
          </w:tcPr>
          <w:p>
            <w:pPr>
              <w:pStyle w:val="TableContents"/>
              <w:bidi w:val="0"/>
              <w:spacing w:before="0" w:after="283"/>
              <w:jc w:val="left"/>
              <w:rPr/>
            </w:pPr>
            <w:r>
              <w:rPr/>
              <w:t> </w:t>
            </w:r>
          </w:p>
        </w:tc>
      </w:tr>
      <w:tr>
        <w:trPr/>
        <w:tc>
          <w:tcPr>
            <w:tcW w:w="3183"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2"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1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attributable to common stockholders – basic and diluted</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2" w:type="dxa"/>
            <w:tcBorders/>
            <w:shd w:fill="CCEEFF" w:val="clear"/>
            <w:vAlign w:val="bottom"/>
          </w:tcPr>
          <w:p>
            <w:pPr>
              <w:pStyle w:val="TableContents"/>
              <w:bidi w:val="0"/>
              <w:spacing w:before="0" w:after="283"/>
              <w:jc w:val="right"/>
              <w:rPr/>
            </w:pPr>
            <w:r>
              <w:rPr/>
              <w:t>29,631</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2" w:type="dxa"/>
            <w:tcBorders/>
            <w:shd w:fill="CCEEFF" w:val="clear"/>
            <w:vAlign w:val="bottom"/>
          </w:tcPr>
          <w:p>
            <w:pPr>
              <w:pStyle w:val="TableContents"/>
              <w:bidi w:val="0"/>
              <w:spacing w:before="0" w:after="283"/>
              <w:jc w:val="right"/>
              <w:rPr/>
            </w:pPr>
            <w:r>
              <w:rPr/>
              <w:t>38,896</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2" w:type="dxa"/>
            <w:tcBorders/>
            <w:shd w:fill="CCEEFF" w:val="clear"/>
            <w:vAlign w:val="bottom"/>
          </w:tcPr>
          <w:p>
            <w:pPr>
              <w:pStyle w:val="TableContents"/>
              <w:bidi w:val="0"/>
              <w:spacing w:before="0" w:after="283"/>
              <w:jc w:val="right"/>
              <w:rPr/>
            </w:pPr>
            <w:r>
              <w:rPr/>
              <w:t>13,464</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2" w:type="dxa"/>
            <w:tcBorders/>
            <w:shd w:fill="CCEEFF" w:val="clear"/>
            <w:vAlign w:val="bottom"/>
          </w:tcPr>
          <w:p>
            <w:pPr>
              <w:pStyle w:val="TableContents"/>
              <w:bidi w:val="0"/>
              <w:spacing w:before="0" w:after="283"/>
              <w:jc w:val="right"/>
              <w:rPr/>
            </w:pPr>
            <w:r>
              <w:rPr/>
              <w:t>18,799</w:t>
            </w:r>
          </w:p>
        </w:tc>
        <w:tc>
          <w:tcPr>
            <w:tcW w:w="160" w:type="dxa"/>
            <w:tcBorders/>
            <w:shd w:fill="CCEEFF" w:val="clear"/>
            <w:vAlign w:val="bottom"/>
          </w:tcPr>
          <w:p>
            <w:pPr>
              <w:pStyle w:val="TableContents"/>
              <w:bidi w:val="0"/>
              <w:spacing w:before="0" w:after="283"/>
              <w:jc w:val="left"/>
              <w:rPr/>
            </w:pPr>
            <w:r>
              <w:rPr/>
              <w:t> </w:t>
            </w:r>
          </w:p>
        </w:tc>
      </w:tr>
      <w:tr>
        <w:trPr/>
        <w:tc>
          <w:tcPr>
            <w:tcW w:w="3183" w:type="dxa"/>
            <w:tcBorders/>
          </w:tcPr>
          <w:p>
            <w:pPr>
              <w:pStyle w:val="TableContents"/>
              <w:bidi w:val="0"/>
              <w:spacing w:before="0" w:after="0"/>
              <w:jc w:val="left"/>
              <w:rPr>
                <w:rFonts w:ascii="Times New Roman" w:hAnsi="Times New Roman"/>
                <w:sz w:val="20"/>
              </w:rPr>
            </w:pPr>
            <w:r>
              <w:rPr>
                <w:rFonts w:ascii="Times New Roman" w:hAnsi="Times New Roman"/>
                <w:sz w:val="20"/>
              </w:rPr>
              <w:t>Net income per share attributable to common stockholders – basic</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2" w:type="dxa"/>
            <w:tcBorders/>
            <w:vAlign w:val="bottom"/>
          </w:tcPr>
          <w:p>
            <w:pPr>
              <w:pStyle w:val="TableContents"/>
              <w:bidi w:val="0"/>
              <w:spacing w:before="0" w:after="283"/>
              <w:jc w:val="right"/>
              <w:rPr/>
            </w:pPr>
            <w:r>
              <w:rPr/>
              <w:t>0.24</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2" w:type="dxa"/>
            <w:tcBorders/>
            <w:vAlign w:val="bottom"/>
          </w:tcPr>
          <w:p>
            <w:pPr>
              <w:pStyle w:val="TableContents"/>
              <w:bidi w:val="0"/>
              <w:spacing w:before="0" w:after="283"/>
              <w:jc w:val="right"/>
              <w:rPr/>
            </w:pPr>
            <w:r>
              <w:rPr/>
              <w:t>0.31</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2" w:type="dxa"/>
            <w:tcBorders/>
            <w:vAlign w:val="bottom"/>
          </w:tcPr>
          <w:p>
            <w:pPr>
              <w:pStyle w:val="TableContents"/>
              <w:bidi w:val="0"/>
              <w:spacing w:before="0" w:after="283"/>
              <w:jc w:val="right"/>
              <w:rPr/>
            </w:pPr>
            <w:r>
              <w:rPr/>
              <w:t>0.11</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2" w:type="dxa"/>
            <w:tcBorders/>
            <w:vAlign w:val="bottom"/>
          </w:tcPr>
          <w:p>
            <w:pPr>
              <w:pStyle w:val="TableContents"/>
              <w:bidi w:val="0"/>
              <w:spacing w:before="0" w:after="283"/>
              <w:jc w:val="right"/>
              <w:rPr/>
            </w:pPr>
            <w:r>
              <w:rPr/>
              <w:t>0.15</w:t>
            </w:r>
          </w:p>
        </w:tc>
        <w:tc>
          <w:tcPr>
            <w:tcW w:w="160" w:type="dxa"/>
            <w:tcBorders/>
            <w:vAlign w:val="bottom"/>
          </w:tcPr>
          <w:p>
            <w:pPr>
              <w:pStyle w:val="TableContents"/>
              <w:bidi w:val="0"/>
              <w:spacing w:before="0" w:after="283"/>
              <w:jc w:val="left"/>
              <w:rPr/>
            </w:pPr>
            <w:r>
              <w:rPr/>
              <w:t> </w:t>
            </w:r>
          </w:p>
        </w:tc>
      </w:tr>
      <w:tr>
        <w:trPr/>
        <w:tc>
          <w:tcPr>
            <w:tcW w:w="31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per share attributable to common stockholders – diluted</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2" w:type="dxa"/>
            <w:tcBorders/>
            <w:shd w:fill="CCEEFF" w:val="clear"/>
            <w:vAlign w:val="bottom"/>
          </w:tcPr>
          <w:p>
            <w:pPr>
              <w:pStyle w:val="TableContents"/>
              <w:bidi w:val="0"/>
              <w:spacing w:before="0" w:after="283"/>
              <w:jc w:val="right"/>
              <w:rPr/>
            </w:pPr>
            <w:r>
              <w:rPr/>
              <w:t>0.23</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2" w:type="dxa"/>
            <w:tcBorders/>
            <w:shd w:fill="CCEEFF" w:val="clear"/>
            <w:vAlign w:val="bottom"/>
          </w:tcPr>
          <w:p>
            <w:pPr>
              <w:pStyle w:val="TableContents"/>
              <w:bidi w:val="0"/>
              <w:spacing w:before="0" w:after="283"/>
              <w:jc w:val="right"/>
              <w:rPr/>
            </w:pPr>
            <w:r>
              <w:rPr/>
              <w:t>0.30</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2" w:type="dxa"/>
            <w:tcBorders/>
            <w:shd w:fill="CCEEFF" w:val="clear"/>
            <w:vAlign w:val="bottom"/>
          </w:tcPr>
          <w:p>
            <w:pPr>
              <w:pStyle w:val="TableContents"/>
              <w:bidi w:val="0"/>
              <w:spacing w:before="0" w:after="283"/>
              <w:jc w:val="right"/>
              <w:rPr/>
            </w:pPr>
            <w:r>
              <w:rPr/>
              <w:t>0.11</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2" w:type="dxa"/>
            <w:tcBorders/>
            <w:shd w:fill="CCEEFF" w:val="clear"/>
            <w:vAlign w:val="bottom"/>
          </w:tcPr>
          <w:p>
            <w:pPr>
              <w:pStyle w:val="TableContents"/>
              <w:bidi w:val="0"/>
              <w:spacing w:before="0" w:after="283"/>
              <w:jc w:val="right"/>
              <w:rPr/>
            </w:pPr>
            <w:r>
              <w:rPr/>
              <w:t>0.15</w:t>
            </w:r>
          </w:p>
        </w:tc>
        <w:tc>
          <w:tcPr>
            <w:tcW w:w="160" w:type="dxa"/>
            <w:tcBorders/>
            <w:shd w:fill="CCEEFF" w:val="clear"/>
            <w:vAlign w:val="bottom"/>
          </w:tcPr>
          <w:p>
            <w:pPr>
              <w:pStyle w:val="TableContents"/>
              <w:bidi w:val="0"/>
              <w:spacing w:before="0" w:after="283"/>
              <w:jc w:val="left"/>
              <w:rPr/>
            </w:pPr>
            <w:r>
              <w:rPr/>
              <w:t> </w:t>
            </w:r>
          </w:p>
        </w:tc>
      </w:tr>
      <w:tr>
        <w:trPr/>
        <w:tc>
          <w:tcPr>
            <w:tcW w:w="3183"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 – basic</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122,434,615</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124,887,591</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122,504,476</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124,204,873</w:t>
            </w:r>
          </w:p>
        </w:tc>
        <w:tc>
          <w:tcPr>
            <w:tcW w:w="160" w:type="dxa"/>
            <w:tcBorders/>
            <w:vAlign w:val="bottom"/>
          </w:tcPr>
          <w:p>
            <w:pPr>
              <w:pStyle w:val="TableContents"/>
              <w:bidi w:val="0"/>
              <w:spacing w:before="0" w:after="283"/>
              <w:jc w:val="left"/>
              <w:rPr/>
            </w:pPr>
            <w:r>
              <w:rPr/>
              <w:t> </w:t>
            </w:r>
          </w:p>
        </w:tc>
      </w:tr>
      <w:tr>
        <w:trPr/>
        <w:tc>
          <w:tcPr>
            <w:tcW w:w="31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 – diluted</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127,675,613</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129,155,010</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127,495,177</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129,321,537</w:t>
            </w:r>
          </w:p>
        </w:tc>
        <w:tc>
          <w:tcPr>
            <w:tcW w:w="160" w:type="dxa"/>
            <w:tcBorders/>
            <w:shd w:fill="CCEEFF" w:val="clear"/>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Balance Sheets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(Amounts in thousands, except par value per share and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702"/>
        <w:gridCol w:w="152"/>
        <w:gridCol w:w="184"/>
        <w:gridCol w:w="1301"/>
        <w:gridCol w:w="155"/>
        <w:gridCol w:w="111"/>
        <w:gridCol w:w="176"/>
        <w:gridCol w:w="1265"/>
        <w:gridCol w:w="159"/>
      </w:tblGrid>
      <w:tr>
        <w:trPr/>
        <w:tc>
          <w:tcPr>
            <w:tcW w:w="6702"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02"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br/>
              <w:t>2025</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159" w:type="dxa"/>
            <w:tcBorders/>
            <w:vAlign w:val="bottom"/>
          </w:tcPr>
          <w:p>
            <w:pPr>
              <w:pStyle w:val="TableContents"/>
              <w:bidi w:val="0"/>
              <w:spacing w:before="0" w:after="283"/>
              <w:jc w:val="left"/>
              <w:rPr/>
            </w:pPr>
            <w:r>
              <w:rPr/>
              <w:t> </w:t>
            </w:r>
          </w:p>
        </w:tc>
      </w:tr>
      <w:tr>
        <w:trPr/>
        <w:tc>
          <w:tcPr>
            <w:tcW w:w="670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52"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sz w:val="4"/>
                <w:szCs w:val="4"/>
              </w:rPr>
            </w:pPr>
            <w:r>
              <w:rPr>
                <w:sz w:val="4"/>
                <w:szCs w:val="4"/>
              </w:rPr>
            </w:r>
          </w:p>
        </w:tc>
        <w:tc>
          <w:tcPr>
            <w:tcW w:w="130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1"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126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702"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152"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sz w:val="4"/>
                <w:szCs w:val="4"/>
              </w:rPr>
            </w:pPr>
            <w:r>
              <w:rPr>
                <w:sz w:val="4"/>
                <w:szCs w:val="4"/>
              </w:rPr>
            </w:r>
          </w:p>
        </w:tc>
        <w:tc>
          <w:tcPr>
            <w:tcW w:w="130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sz w:val="4"/>
                <w:szCs w:val="4"/>
              </w:rPr>
            </w:pPr>
            <w:r>
              <w:rPr>
                <w:sz w:val="4"/>
                <w:szCs w:val="4"/>
              </w:rPr>
            </w:r>
          </w:p>
        </w:tc>
        <w:tc>
          <w:tcPr>
            <w:tcW w:w="1265"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52"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w:t>
            </w:r>
          </w:p>
        </w:tc>
        <w:tc>
          <w:tcPr>
            <w:tcW w:w="1301" w:type="dxa"/>
            <w:tcBorders/>
            <w:shd w:fill="CCEEFF" w:val="clear"/>
            <w:vAlign w:val="bottom"/>
          </w:tcPr>
          <w:p>
            <w:pPr>
              <w:pStyle w:val="TableContents"/>
              <w:bidi w:val="0"/>
              <w:spacing w:before="0" w:after="283"/>
              <w:jc w:val="right"/>
              <w:rPr/>
            </w:pPr>
            <w:r>
              <w:rPr/>
              <w:t>354,914</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1265" w:type="dxa"/>
            <w:tcBorders/>
            <w:shd w:fill="CCEEFF" w:val="clear"/>
            <w:vAlign w:val="bottom"/>
          </w:tcPr>
          <w:p>
            <w:pPr>
              <w:pStyle w:val="TableContents"/>
              <w:bidi w:val="0"/>
              <w:spacing w:before="0" w:after="283"/>
              <w:jc w:val="right"/>
              <w:rPr/>
            </w:pPr>
            <w:r>
              <w:rPr/>
              <w:t>495,242</w:t>
            </w:r>
          </w:p>
        </w:tc>
        <w:tc>
          <w:tcPr>
            <w:tcW w:w="159" w:type="dxa"/>
            <w:tcBorders/>
            <w:shd w:fill="CCEEFF" w:val="clear"/>
            <w:vAlign w:val="bottom"/>
          </w:tcPr>
          <w:p>
            <w:pPr>
              <w:pStyle w:val="TableContents"/>
              <w:bidi w:val="0"/>
              <w:spacing w:before="0" w:after="283"/>
              <w:jc w:val="left"/>
              <w:rPr/>
            </w:pPr>
            <w:r>
              <w:rPr/>
              <w:t> </w:t>
            </w:r>
          </w:p>
        </w:tc>
      </w:tr>
      <w:tr>
        <w:trPr/>
        <w:tc>
          <w:tcPr>
            <w:tcW w:w="6702" w:type="dxa"/>
            <w:tcBorders/>
          </w:tcPr>
          <w:p>
            <w:pPr>
              <w:pStyle w:val="TableContents"/>
              <w:bidi w:val="0"/>
              <w:spacing w:before="0" w:after="0"/>
              <w:jc w:val="left"/>
              <w:rPr>
                <w:rFonts w:ascii="Times New Roman" w:hAnsi="Times New Roman"/>
                <w:sz w:val="20"/>
              </w:rPr>
            </w:pPr>
            <w:r>
              <w:rPr>
                <w:rFonts w:ascii="Times New Roman" w:hAnsi="Times New Roman"/>
                <w:sz w:val="20"/>
              </w:rPr>
              <w:t>Short-term investments</w:t>
            </w:r>
          </w:p>
        </w:tc>
        <w:tc>
          <w:tcPr>
            <w:tcW w:w="152"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301" w:type="dxa"/>
            <w:tcBorders/>
            <w:vAlign w:val="bottom"/>
          </w:tcPr>
          <w:p>
            <w:pPr>
              <w:pStyle w:val="TableContents"/>
              <w:bidi w:val="0"/>
              <w:spacing w:before="0" w:after="283"/>
              <w:jc w:val="right"/>
              <w:rPr/>
            </w:pPr>
            <w:r>
              <w:rPr/>
              <w:t>22,430</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right"/>
              <w:rPr/>
            </w:pPr>
            <w:r>
              <w:rPr/>
              <w:t>115,848</w:t>
            </w:r>
          </w:p>
        </w:tc>
        <w:tc>
          <w:tcPr>
            <w:tcW w:w="159" w:type="dxa"/>
            <w:tcBorders/>
            <w:vAlign w:val="bottom"/>
          </w:tcPr>
          <w:p>
            <w:pPr>
              <w:pStyle w:val="TableContents"/>
              <w:bidi w:val="0"/>
              <w:spacing w:before="0" w:after="283"/>
              <w:jc w:val="left"/>
              <w:rPr/>
            </w:pPr>
            <w:r>
              <w:rPr/>
              <w:t> </w:t>
            </w:r>
          </w:p>
        </w:tc>
      </w:tr>
      <w:tr>
        <w:trPr/>
        <w:tc>
          <w:tcPr>
            <w:tcW w:w="6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152"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301" w:type="dxa"/>
            <w:tcBorders/>
            <w:shd w:fill="CCEEFF" w:val="clear"/>
            <w:vAlign w:val="bottom"/>
          </w:tcPr>
          <w:p>
            <w:pPr>
              <w:pStyle w:val="TableContents"/>
              <w:bidi w:val="0"/>
              <w:spacing w:before="0" w:after="283"/>
              <w:jc w:val="right"/>
              <w:rPr/>
            </w:pPr>
            <w:r>
              <w:rPr/>
              <w:t>40,354</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65" w:type="dxa"/>
            <w:tcBorders/>
            <w:shd w:fill="CCEEFF" w:val="clear"/>
            <w:vAlign w:val="bottom"/>
          </w:tcPr>
          <w:p>
            <w:pPr>
              <w:pStyle w:val="TableContents"/>
              <w:bidi w:val="0"/>
              <w:spacing w:before="0" w:after="283"/>
              <w:jc w:val="right"/>
              <w:rPr/>
            </w:pPr>
            <w:r>
              <w:rPr/>
              <w:t>23,703</w:t>
            </w:r>
          </w:p>
        </w:tc>
        <w:tc>
          <w:tcPr>
            <w:tcW w:w="159" w:type="dxa"/>
            <w:tcBorders/>
            <w:shd w:fill="CCEEFF" w:val="clear"/>
            <w:vAlign w:val="bottom"/>
          </w:tcPr>
          <w:p>
            <w:pPr>
              <w:pStyle w:val="TableContents"/>
              <w:bidi w:val="0"/>
              <w:spacing w:before="0" w:after="283"/>
              <w:jc w:val="left"/>
              <w:rPr/>
            </w:pPr>
            <w:r>
              <w:rPr/>
              <w:t> </w:t>
            </w:r>
          </w:p>
        </w:tc>
      </w:tr>
      <w:tr>
        <w:trPr/>
        <w:tc>
          <w:tcPr>
            <w:tcW w:w="6702" w:type="dxa"/>
            <w:tcBorders/>
          </w:tcPr>
          <w:p>
            <w:pPr>
              <w:pStyle w:val="TableContents"/>
              <w:bidi w:val="0"/>
              <w:spacing w:before="0" w:after="0"/>
              <w:jc w:val="left"/>
              <w:rPr>
                <w:rFonts w:ascii="Times New Roman" w:hAnsi="Times New Roman"/>
                <w:sz w:val="20"/>
              </w:rPr>
            </w:pPr>
            <w:r>
              <w:rPr>
                <w:rFonts w:ascii="Times New Roman" w:hAnsi="Times New Roman"/>
                <w:sz w:val="20"/>
              </w:rPr>
              <w:t>Unbilled receivables, net</w:t>
            </w:r>
          </w:p>
        </w:tc>
        <w:tc>
          <w:tcPr>
            <w:tcW w:w="152"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301" w:type="dxa"/>
            <w:tcBorders/>
            <w:vAlign w:val="bottom"/>
          </w:tcPr>
          <w:p>
            <w:pPr>
              <w:pStyle w:val="TableContents"/>
              <w:bidi w:val="0"/>
              <w:spacing w:before="0" w:after="283"/>
              <w:jc w:val="right"/>
              <w:rPr/>
            </w:pPr>
            <w:r>
              <w:rPr/>
              <w:t>13,883</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right"/>
              <w:rPr/>
            </w:pPr>
            <w:r>
              <w:rPr/>
              <w:t>15,453</w:t>
            </w:r>
          </w:p>
        </w:tc>
        <w:tc>
          <w:tcPr>
            <w:tcW w:w="159" w:type="dxa"/>
            <w:tcBorders/>
            <w:vAlign w:val="bottom"/>
          </w:tcPr>
          <w:p>
            <w:pPr>
              <w:pStyle w:val="TableContents"/>
              <w:bidi w:val="0"/>
              <w:spacing w:before="0" w:after="283"/>
              <w:jc w:val="left"/>
              <w:rPr/>
            </w:pPr>
            <w:r>
              <w:rPr/>
              <w:t> </w:t>
            </w:r>
          </w:p>
        </w:tc>
      </w:tr>
      <w:tr>
        <w:trPr/>
        <w:tc>
          <w:tcPr>
            <w:tcW w:w="6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Funds receivable from payment partners</w:t>
            </w:r>
          </w:p>
        </w:tc>
        <w:tc>
          <w:tcPr>
            <w:tcW w:w="152"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301" w:type="dxa"/>
            <w:tcBorders/>
            <w:shd w:fill="CCEEFF" w:val="clear"/>
            <w:vAlign w:val="bottom"/>
          </w:tcPr>
          <w:p>
            <w:pPr>
              <w:pStyle w:val="TableContents"/>
              <w:bidi w:val="0"/>
              <w:spacing w:before="0" w:after="283"/>
              <w:jc w:val="right"/>
              <w:rPr/>
            </w:pPr>
            <w:r>
              <w:rPr/>
              <w:t>133,398</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65" w:type="dxa"/>
            <w:tcBorders/>
            <w:shd w:fill="CCEEFF" w:val="clear"/>
            <w:vAlign w:val="bottom"/>
          </w:tcPr>
          <w:p>
            <w:pPr>
              <w:pStyle w:val="TableContents"/>
              <w:bidi w:val="0"/>
              <w:spacing w:before="0" w:after="283"/>
              <w:jc w:val="right"/>
              <w:rPr/>
            </w:pPr>
            <w:r>
              <w:rPr/>
              <w:t>90,110</w:t>
            </w:r>
          </w:p>
        </w:tc>
        <w:tc>
          <w:tcPr>
            <w:tcW w:w="159" w:type="dxa"/>
            <w:tcBorders/>
            <w:shd w:fill="CCEEFF" w:val="clear"/>
            <w:vAlign w:val="bottom"/>
          </w:tcPr>
          <w:p>
            <w:pPr>
              <w:pStyle w:val="TableContents"/>
              <w:bidi w:val="0"/>
              <w:spacing w:before="0" w:after="283"/>
              <w:jc w:val="left"/>
              <w:rPr/>
            </w:pPr>
            <w:r>
              <w:rPr/>
              <w:t> </w:t>
            </w:r>
          </w:p>
        </w:tc>
      </w:tr>
      <w:tr>
        <w:trPr/>
        <w:tc>
          <w:tcPr>
            <w:tcW w:w="6702"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152"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301" w:type="dxa"/>
            <w:tcBorders/>
            <w:vAlign w:val="bottom"/>
          </w:tcPr>
          <w:p>
            <w:pPr>
              <w:pStyle w:val="TableContents"/>
              <w:bidi w:val="0"/>
              <w:spacing w:before="0" w:after="283"/>
              <w:jc w:val="right"/>
              <w:rPr/>
            </w:pPr>
            <w:r>
              <w:rPr/>
              <w:t>41,149</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right"/>
              <w:rPr/>
            </w:pPr>
            <w:r>
              <w:rPr/>
              <w:t>22,528</w:t>
            </w:r>
          </w:p>
        </w:tc>
        <w:tc>
          <w:tcPr>
            <w:tcW w:w="159" w:type="dxa"/>
            <w:tcBorders/>
            <w:vAlign w:val="bottom"/>
          </w:tcPr>
          <w:p>
            <w:pPr>
              <w:pStyle w:val="TableContents"/>
              <w:bidi w:val="0"/>
              <w:spacing w:before="0" w:after="283"/>
              <w:jc w:val="left"/>
              <w:rPr/>
            </w:pPr>
            <w:r>
              <w:rPr/>
              <w:t> </w:t>
            </w:r>
          </w:p>
        </w:tc>
      </w:tr>
      <w:tr>
        <w:trPr/>
        <w:tc>
          <w:tcPr>
            <w:tcW w:w="6702"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3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6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152"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301" w:type="dxa"/>
            <w:tcBorders/>
            <w:shd w:fill="CCEEFF" w:val="clear"/>
            <w:vAlign w:val="bottom"/>
          </w:tcPr>
          <w:p>
            <w:pPr>
              <w:pStyle w:val="TableContents"/>
              <w:bidi w:val="0"/>
              <w:spacing w:before="0" w:after="283"/>
              <w:jc w:val="right"/>
              <w:rPr/>
            </w:pPr>
            <w:r>
              <w:rPr/>
              <w:t>606,128</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65" w:type="dxa"/>
            <w:tcBorders/>
            <w:shd w:fill="CCEEFF" w:val="clear"/>
            <w:vAlign w:val="bottom"/>
          </w:tcPr>
          <w:p>
            <w:pPr>
              <w:pStyle w:val="TableContents"/>
              <w:bidi w:val="0"/>
              <w:spacing w:before="0" w:after="283"/>
              <w:jc w:val="right"/>
              <w:rPr/>
            </w:pPr>
            <w:r>
              <w:rPr/>
              <w:t>762,884</w:t>
            </w:r>
          </w:p>
        </w:tc>
        <w:tc>
          <w:tcPr>
            <w:tcW w:w="159" w:type="dxa"/>
            <w:tcBorders/>
            <w:shd w:fill="CCEEFF" w:val="clear"/>
            <w:vAlign w:val="bottom"/>
          </w:tcPr>
          <w:p>
            <w:pPr>
              <w:pStyle w:val="TableContents"/>
              <w:bidi w:val="0"/>
              <w:spacing w:before="0" w:after="283"/>
              <w:jc w:val="left"/>
              <w:rPr/>
            </w:pPr>
            <w:r>
              <w:rPr/>
              <w:t> </w:t>
            </w:r>
          </w:p>
        </w:tc>
      </w:tr>
      <w:tr>
        <w:trPr/>
        <w:tc>
          <w:tcPr>
            <w:tcW w:w="6702" w:type="dxa"/>
            <w:tcBorders/>
          </w:tcPr>
          <w:p>
            <w:pPr>
              <w:pStyle w:val="TableContents"/>
              <w:bidi w:val="0"/>
              <w:spacing w:before="0" w:after="0"/>
              <w:jc w:val="left"/>
              <w:rPr>
                <w:rFonts w:ascii="Times New Roman" w:hAnsi="Times New Roman"/>
                <w:sz w:val="20"/>
              </w:rPr>
            </w:pPr>
            <w:r>
              <w:rPr>
                <w:rFonts w:ascii="Times New Roman" w:hAnsi="Times New Roman"/>
                <w:sz w:val="20"/>
              </w:rPr>
              <w:t>Long-term investments</w:t>
            </w:r>
          </w:p>
        </w:tc>
        <w:tc>
          <w:tcPr>
            <w:tcW w:w="152"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301" w:type="dxa"/>
            <w:tcBorders/>
            <w:vAlign w:val="bottom"/>
          </w:tcPr>
          <w:p>
            <w:pPr>
              <w:pStyle w:val="TableContents"/>
              <w:bidi w:val="0"/>
              <w:spacing w:before="0" w:after="283"/>
              <w:jc w:val="right"/>
              <w:rPr/>
            </w:pPr>
            <w:r>
              <w:rPr/>
              <w:t>4,394</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right"/>
              <w:rPr/>
            </w:pPr>
            <w:r>
              <w:rPr/>
              <w:t>50,125</w:t>
            </w:r>
          </w:p>
        </w:tc>
        <w:tc>
          <w:tcPr>
            <w:tcW w:w="159" w:type="dxa"/>
            <w:tcBorders/>
            <w:vAlign w:val="bottom"/>
          </w:tcPr>
          <w:p>
            <w:pPr>
              <w:pStyle w:val="TableContents"/>
              <w:bidi w:val="0"/>
              <w:spacing w:before="0" w:after="283"/>
              <w:jc w:val="left"/>
              <w:rPr/>
            </w:pPr>
            <w:r>
              <w:rPr/>
              <w:t> </w:t>
            </w:r>
          </w:p>
        </w:tc>
      </w:tr>
      <w:tr>
        <w:trPr/>
        <w:tc>
          <w:tcPr>
            <w:tcW w:w="6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152"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301" w:type="dxa"/>
            <w:tcBorders/>
            <w:shd w:fill="CCEEFF" w:val="clear"/>
            <w:vAlign w:val="bottom"/>
          </w:tcPr>
          <w:p>
            <w:pPr>
              <w:pStyle w:val="TableContents"/>
              <w:bidi w:val="0"/>
              <w:spacing w:before="0" w:after="283"/>
              <w:jc w:val="right"/>
              <w:rPr/>
            </w:pPr>
            <w:r>
              <w:rPr/>
              <w:t>20,356</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65" w:type="dxa"/>
            <w:tcBorders/>
            <w:shd w:fill="CCEEFF" w:val="clear"/>
            <w:vAlign w:val="bottom"/>
          </w:tcPr>
          <w:p>
            <w:pPr>
              <w:pStyle w:val="TableContents"/>
              <w:bidi w:val="0"/>
              <w:spacing w:before="0" w:after="283"/>
              <w:jc w:val="right"/>
              <w:rPr/>
            </w:pPr>
            <w:r>
              <w:rPr/>
              <w:t>17,160</w:t>
            </w:r>
          </w:p>
        </w:tc>
        <w:tc>
          <w:tcPr>
            <w:tcW w:w="159" w:type="dxa"/>
            <w:tcBorders/>
            <w:shd w:fill="CCEEFF" w:val="clear"/>
            <w:vAlign w:val="bottom"/>
          </w:tcPr>
          <w:p>
            <w:pPr>
              <w:pStyle w:val="TableContents"/>
              <w:bidi w:val="0"/>
              <w:spacing w:before="0" w:after="283"/>
              <w:jc w:val="left"/>
              <w:rPr/>
            </w:pPr>
            <w:r>
              <w:rPr/>
              <w:t> </w:t>
            </w:r>
          </w:p>
        </w:tc>
      </w:tr>
      <w:tr>
        <w:trPr/>
        <w:tc>
          <w:tcPr>
            <w:tcW w:w="6702" w:type="dxa"/>
            <w:tcBorders/>
          </w:tcPr>
          <w:p>
            <w:pPr>
              <w:pStyle w:val="TableContents"/>
              <w:bidi w:val="0"/>
              <w:spacing w:before="0" w:after="0"/>
              <w:jc w:val="left"/>
              <w:rPr>
                <w:rFonts w:ascii="Times New Roman" w:hAnsi="Times New Roman"/>
                <w:sz w:val="20"/>
              </w:rPr>
            </w:pPr>
            <w:r>
              <w:rPr>
                <w:rFonts w:ascii="Times New Roman" w:hAnsi="Times New Roman"/>
                <w:sz w:val="20"/>
              </w:rPr>
              <w:t>Intangible assets, net</w:t>
            </w:r>
          </w:p>
        </w:tc>
        <w:tc>
          <w:tcPr>
            <w:tcW w:w="152"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301" w:type="dxa"/>
            <w:tcBorders/>
            <w:vAlign w:val="bottom"/>
          </w:tcPr>
          <w:p>
            <w:pPr>
              <w:pStyle w:val="TableContents"/>
              <w:bidi w:val="0"/>
              <w:spacing w:before="0" w:after="283"/>
              <w:jc w:val="right"/>
              <w:rPr/>
            </w:pPr>
            <w:r>
              <w:rPr/>
              <w:t>194,199</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right"/>
              <w:rPr/>
            </w:pPr>
            <w:r>
              <w:rPr/>
              <w:t>118,684</w:t>
            </w:r>
          </w:p>
        </w:tc>
        <w:tc>
          <w:tcPr>
            <w:tcW w:w="159" w:type="dxa"/>
            <w:tcBorders/>
            <w:vAlign w:val="bottom"/>
          </w:tcPr>
          <w:p>
            <w:pPr>
              <w:pStyle w:val="TableContents"/>
              <w:bidi w:val="0"/>
              <w:spacing w:before="0" w:after="283"/>
              <w:jc w:val="left"/>
              <w:rPr/>
            </w:pPr>
            <w:r>
              <w:rPr/>
              <w:t> </w:t>
            </w:r>
          </w:p>
        </w:tc>
      </w:tr>
      <w:tr>
        <w:trPr/>
        <w:tc>
          <w:tcPr>
            <w:tcW w:w="6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152"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301" w:type="dxa"/>
            <w:tcBorders/>
            <w:shd w:fill="CCEEFF" w:val="clear"/>
            <w:vAlign w:val="bottom"/>
          </w:tcPr>
          <w:p>
            <w:pPr>
              <w:pStyle w:val="TableContents"/>
              <w:bidi w:val="0"/>
              <w:spacing w:before="0" w:after="283"/>
              <w:jc w:val="right"/>
              <w:rPr/>
            </w:pPr>
            <w:r>
              <w:rPr/>
              <w:t>406,149</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65" w:type="dxa"/>
            <w:tcBorders/>
            <w:shd w:fill="CCEEFF" w:val="clear"/>
            <w:vAlign w:val="bottom"/>
          </w:tcPr>
          <w:p>
            <w:pPr>
              <w:pStyle w:val="TableContents"/>
              <w:bidi w:val="0"/>
              <w:spacing w:before="0" w:after="283"/>
              <w:jc w:val="right"/>
              <w:rPr/>
            </w:pPr>
            <w:r>
              <w:rPr/>
              <w:t>149,558</w:t>
            </w:r>
          </w:p>
        </w:tc>
        <w:tc>
          <w:tcPr>
            <w:tcW w:w="159" w:type="dxa"/>
            <w:tcBorders/>
            <w:shd w:fill="CCEEFF" w:val="clear"/>
            <w:vAlign w:val="bottom"/>
          </w:tcPr>
          <w:p>
            <w:pPr>
              <w:pStyle w:val="TableContents"/>
              <w:bidi w:val="0"/>
              <w:spacing w:before="0" w:after="283"/>
              <w:jc w:val="left"/>
              <w:rPr/>
            </w:pPr>
            <w:r>
              <w:rPr/>
              <w:t> </w:t>
            </w:r>
          </w:p>
        </w:tc>
      </w:tr>
      <w:tr>
        <w:trPr/>
        <w:tc>
          <w:tcPr>
            <w:tcW w:w="6702"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152"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301" w:type="dxa"/>
            <w:tcBorders/>
            <w:vAlign w:val="bottom"/>
          </w:tcPr>
          <w:p>
            <w:pPr>
              <w:pStyle w:val="TableContents"/>
              <w:bidi w:val="0"/>
              <w:spacing w:before="0" w:after="283"/>
              <w:jc w:val="right"/>
              <w:rPr/>
            </w:pPr>
            <w:r>
              <w:rPr/>
              <w:t>28,641</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right"/>
              <w:rPr/>
            </w:pPr>
            <w:r>
              <w:rPr/>
              <w:t>24,035</w:t>
            </w:r>
          </w:p>
        </w:tc>
        <w:tc>
          <w:tcPr>
            <w:tcW w:w="159" w:type="dxa"/>
            <w:tcBorders/>
            <w:vAlign w:val="bottom"/>
          </w:tcPr>
          <w:p>
            <w:pPr>
              <w:pStyle w:val="TableContents"/>
              <w:bidi w:val="0"/>
              <w:spacing w:before="0" w:after="283"/>
              <w:jc w:val="left"/>
              <w:rPr/>
            </w:pPr>
            <w:r>
              <w:rPr/>
              <w:t> </w:t>
            </w:r>
          </w:p>
        </w:tc>
      </w:tr>
      <w:tr>
        <w:trPr/>
        <w:tc>
          <w:tcPr>
            <w:tcW w:w="6702"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3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6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52"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w:t>
            </w:r>
          </w:p>
        </w:tc>
        <w:tc>
          <w:tcPr>
            <w:tcW w:w="1301" w:type="dxa"/>
            <w:tcBorders/>
            <w:shd w:fill="CCEEFF" w:val="clear"/>
            <w:vAlign w:val="bottom"/>
          </w:tcPr>
          <w:p>
            <w:pPr>
              <w:pStyle w:val="TableContents"/>
              <w:bidi w:val="0"/>
              <w:spacing w:before="0" w:after="283"/>
              <w:jc w:val="right"/>
              <w:rPr/>
            </w:pPr>
            <w:r>
              <w:rPr/>
              <w:t>1,259 867</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1265" w:type="dxa"/>
            <w:tcBorders/>
            <w:shd w:fill="CCEEFF" w:val="clear"/>
            <w:vAlign w:val="bottom"/>
          </w:tcPr>
          <w:p>
            <w:pPr>
              <w:pStyle w:val="TableContents"/>
              <w:bidi w:val="0"/>
              <w:spacing w:before="0" w:after="283"/>
              <w:jc w:val="right"/>
              <w:rPr/>
            </w:pPr>
            <w:r>
              <w:rPr/>
              <w:t>1,122 446</w:t>
            </w:r>
          </w:p>
        </w:tc>
        <w:tc>
          <w:tcPr>
            <w:tcW w:w="159" w:type="dxa"/>
            <w:tcBorders/>
            <w:shd w:fill="CCEEFF" w:val="clear"/>
            <w:vAlign w:val="bottom"/>
          </w:tcPr>
          <w:p>
            <w:pPr>
              <w:pStyle w:val="TableContents"/>
              <w:bidi w:val="0"/>
              <w:spacing w:before="0" w:after="283"/>
              <w:jc w:val="left"/>
              <w:rPr/>
            </w:pPr>
            <w:r>
              <w:rPr/>
              <w:t> </w:t>
            </w:r>
          </w:p>
        </w:tc>
      </w:tr>
      <w:tr>
        <w:trPr/>
        <w:tc>
          <w:tcPr>
            <w:tcW w:w="6702"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double" w:sz="6" w:space="1" w:color="000000"/>
              </w:pBdr>
              <w:bidi w:val="0"/>
              <w:spacing w:before="0" w:after="0"/>
              <w:jc w:val="left"/>
              <w:rPr/>
            </w:pPr>
            <w:r>
              <w:rPr/>
              <w:t> </w:t>
            </w:r>
          </w:p>
        </w:tc>
        <w:tc>
          <w:tcPr>
            <w:tcW w:w="130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double" w:sz="6" w:space="1" w:color="000000"/>
              </w:pBdr>
              <w:bidi w:val="0"/>
              <w:spacing w:before="0" w:after="0"/>
              <w:jc w:val="left"/>
              <w:rPr/>
            </w:pPr>
            <w:r>
              <w:rPr/>
              <w:t> </w:t>
            </w:r>
          </w:p>
        </w:tc>
        <w:tc>
          <w:tcPr>
            <w:tcW w:w="126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02"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 and Stockholders’ Equity</w:t>
            </w:r>
          </w:p>
        </w:tc>
        <w:tc>
          <w:tcPr>
            <w:tcW w:w="152"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sz w:val="4"/>
                <w:szCs w:val="4"/>
              </w:rPr>
            </w:pPr>
            <w:r>
              <w:rPr>
                <w:sz w:val="4"/>
                <w:szCs w:val="4"/>
              </w:rPr>
            </w:r>
          </w:p>
        </w:tc>
        <w:tc>
          <w:tcPr>
            <w:tcW w:w="130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sz w:val="4"/>
                <w:szCs w:val="4"/>
              </w:rPr>
            </w:pPr>
            <w:r>
              <w:rPr>
                <w:sz w:val="4"/>
                <w:szCs w:val="4"/>
              </w:rPr>
            </w:r>
          </w:p>
        </w:tc>
        <w:tc>
          <w:tcPr>
            <w:tcW w:w="1265"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152"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sz w:val="4"/>
                <w:szCs w:val="4"/>
              </w:rPr>
            </w:pPr>
            <w:r>
              <w:rPr>
                <w:sz w:val="4"/>
                <w:szCs w:val="4"/>
              </w:rPr>
            </w:r>
          </w:p>
        </w:tc>
        <w:tc>
          <w:tcPr>
            <w:tcW w:w="130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1"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126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702"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52"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w:t>
            </w:r>
          </w:p>
        </w:tc>
        <w:tc>
          <w:tcPr>
            <w:tcW w:w="1301" w:type="dxa"/>
            <w:tcBorders/>
            <w:vAlign w:val="bottom"/>
          </w:tcPr>
          <w:p>
            <w:pPr>
              <w:pStyle w:val="TableContents"/>
              <w:bidi w:val="0"/>
              <w:spacing w:before="0" w:after="283"/>
              <w:jc w:val="right"/>
              <w:rPr/>
            </w:pPr>
            <w:r>
              <w:rPr/>
              <w:t>18,858</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1265" w:type="dxa"/>
            <w:tcBorders/>
            <w:vAlign w:val="bottom"/>
          </w:tcPr>
          <w:p>
            <w:pPr>
              <w:pStyle w:val="TableContents"/>
              <w:bidi w:val="0"/>
              <w:spacing w:before="0" w:after="283"/>
              <w:jc w:val="right"/>
              <w:rPr/>
            </w:pPr>
            <w:r>
              <w:rPr/>
              <w:t>15,353</w:t>
            </w:r>
          </w:p>
        </w:tc>
        <w:tc>
          <w:tcPr>
            <w:tcW w:w="159" w:type="dxa"/>
            <w:tcBorders/>
            <w:vAlign w:val="bottom"/>
          </w:tcPr>
          <w:p>
            <w:pPr>
              <w:pStyle w:val="TableContents"/>
              <w:bidi w:val="0"/>
              <w:spacing w:before="0" w:after="283"/>
              <w:jc w:val="left"/>
              <w:rPr/>
            </w:pPr>
            <w:r>
              <w:rPr/>
              <w:t> </w:t>
            </w:r>
          </w:p>
        </w:tc>
      </w:tr>
      <w:tr>
        <w:trPr/>
        <w:tc>
          <w:tcPr>
            <w:tcW w:w="6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Funds payable to clients</w:t>
            </w:r>
          </w:p>
        </w:tc>
        <w:tc>
          <w:tcPr>
            <w:tcW w:w="152"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301" w:type="dxa"/>
            <w:tcBorders/>
            <w:shd w:fill="CCEEFF" w:val="clear"/>
            <w:vAlign w:val="bottom"/>
          </w:tcPr>
          <w:p>
            <w:pPr>
              <w:pStyle w:val="TableContents"/>
              <w:bidi w:val="0"/>
              <w:spacing w:before="0" w:after="283"/>
              <w:jc w:val="right"/>
              <w:rPr/>
            </w:pPr>
            <w:r>
              <w:rPr/>
              <w:t>302,943</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65" w:type="dxa"/>
            <w:tcBorders/>
            <w:shd w:fill="CCEEFF" w:val="clear"/>
            <w:vAlign w:val="bottom"/>
          </w:tcPr>
          <w:p>
            <w:pPr>
              <w:pStyle w:val="TableContents"/>
              <w:bidi w:val="0"/>
              <w:spacing w:before="0" w:after="283"/>
              <w:jc w:val="right"/>
              <w:rPr/>
            </w:pPr>
            <w:r>
              <w:rPr/>
              <w:t>217,788</w:t>
            </w:r>
          </w:p>
        </w:tc>
        <w:tc>
          <w:tcPr>
            <w:tcW w:w="159" w:type="dxa"/>
            <w:tcBorders/>
            <w:shd w:fill="CCEEFF" w:val="clear"/>
            <w:vAlign w:val="bottom"/>
          </w:tcPr>
          <w:p>
            <w:pPr>
              <w:pStyle w:val="TableContents"/>
              <w:bidi w:val="0"/>
              <w:spacing w:before="0" w:after="283"/>
              <w:jc w:val="left"/>
              <w:rPr/>
            </w:pPr>
            <w:r>
              <w:rPr/>
              <w:t> </w:t>
            </w:r>
          </w:p>
        </w:tc>
      </w:tr>
      <w:tr>
        <w:trPr/>
        <w:tc>
          <w:tcPr>
            <w:tcW w:w="6702"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152"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301" w:type="dxa"/>
            <w:tcBorders/>
            <w:vAlign w:val="bottom"/>
          </w:tcPr>
          <w:p>
            <w:pPr>
              <w:pStyle w:val="TableContents"/>
              <w:bidi w:val="0"/>
              <w:spacing w:before="0" w:after="283"/>
              <w:jc w:val="right"/>
              <w:rPr/>
            </w:pPr>
            <w:r>
              <w:rPr/>
              <w:t>52,665</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right"/>
              <w:rPr/>
            </w:pPr>
            <w:r>
              <w:rPr/>
              <w:t>49,297</w:t>
            </w:r>
          </w:p>
        </w:tc>
        <w:tc>
          <w:tcPr>
            <w:tcW w:w="159" w:type="dxa"/>
            <w:tcBorders/>
            <w:vAlign w:val="bottom"/>
          </w:tcPr>
          <w:p>
            <w:pPr>
              <w:pStyle w:val="TableContents"/>
              <w:bidi w:val="0"/>
              <w:spacing w:before="0" w:after="283"/>
              <w:jc w:val="left"/>
              <w:rPr/>
            </w:pPr>
            <w:r>
              <w:rPr/>
              <w:t> </w:t>
            </w:r>
          </w:p>
        </w:tc>
      </w:tr>
      <w:tr>
        <w:trPr/>
        <w:tc>
          <w:tcPr>
            <w:tcW w:w="6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152"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301" w:type="dxa"/>
            <w:tcBorders/>
            <w:shd w:fill="CCEEFF" w:val="clear"/>
            <w:vAlign w:val="bottom"/>
          </w:tcPr>
          <w:p>
            <w:pPr>
              <w:pStyle w:val="TableContents"/>
              <w:bidi w:val="0"/>
              <w:spacing w:before="0" w:after="283"/>
              <w:jc w:val="right"/>
              <w:rPr/>
            </w:pPr>
            <w:r>
              <w:rPr/>
              <w:t>21,454</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65" w:type="dxa"/>
            <w:tcBorders/>
            <w:shd w:fill="CCEEFF" w:val="clear"/>
            <w:vAlign w:val="bottom"/>
          </w:tcPr>
          <w:p>
            <w:pPr>
              <w:pStyle w:val="TableContents"/>
              <w:bidi w:val="0"/>
              <w:spacing w:before="0" w:after="283"/>
              <w:jc w:val="right"/>
              <w:rPr/>
            </w:pPr>
            <w:r>
              <w:rPr/>
              <w:t>7,337</w:t>
            </w:r>
          </w:p>
        </w:tc>
        <w:tc>
          <w:tcPr>
            <w:tcW w:w="159" w:type="dxa"/>
            <w:tcBorders/>
            <w:shd w:fill="CCEEFF" w:val="clear"/>
            <w:vAlign w:val="bottom"/>
          </w:tcPr>
          <w:p>
            <w:pPr>
              <w:pStyle w:val="TableContents"/>
              <w:bidi w:val="0"/>
              <w:spacing w:before="0" w:after="283"/>
              <w:jc w:val="left"/>
              <w:rPr/>
            </w:pPr>
            <w:r>
              <w:rPr/>
              <w:t> </w:t>
            </w:r>
          </w:p>
        </w:tc>
      </w:tr>
      <w:tr>
        <w:trPr/>
        <w:tc>
          <w:tcPr>
            <w:tcW w:w="6702"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3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6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02"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152"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301" w:type="dxa"/>
            <w:tcBorders/>
            <w:vAlign w:val="bottom"/>
          </w:tcPr>
          <w:p>
            <w:pPr>
              <w:pStyle w:val="TableContents"/>
              <w:bidi w:val="0"/>
              <w:spacing w:before="0" w:after="283"/>
              <w:jc w:val="right"/>
              <w:rPr/>
            </w:pPr>
            <w:r>
              <w:rPr/>
              <w:t>395,920</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right"/>
              <w:rPr/>
            </w:pPr>
            <w:r>
              <w:rPr/>
              <w:t>289,775</w:t>
            </w:r>
          </w:p>
        </w:tc>
        <w:tc>
          <w:tcPr>
            <w:tcW w:w="159" w:type="dxa"/>
            <w:tcBorders/>
            <w:vAlign w:val="bottom"/>
          </w:tcPr>
          <w:p>
            <w:pPr>
              <w:pStyle w:val="TableContents"/>
              <w:bidi w:val="0"/>
              <w:spacing w:before="0" w:after="283"/>
              <w:jc w:val="left"/>
              <w:rPr/>
            </w:pPr>
            <w:r>
              <w:rPr/>
              <w:t> </w:t>
            </w:r>
          </w:p>
        </w:tc>
      </w:tr>
      <w:tr>
        <w:trPr/>
        <w:tc>
          <w:tcPr>
            <w:tcW w:w="6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liabilities</w:t>
            </w:r>
          </w:p>
        </w:tc>
        <w:tc>
          <w:tcPr>
            <w:tcW w:w="152"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301" w:type="dxa"/>
            <w:tcBorders/>
            <w:shd w:fill="CCEEFF" w:val="clear"/>
            <w:vAlign w:val="bottom"/>
          </w:tcPr>
          <w:p>
            <w:pPr>
              <w:pStyle w:val="TableContents"/>
              <w:bidi w:val="0"/>
              <w:spacing w:before="0" w:after="283"/>
              <w:jc w:val="right"/>
              <w:rPr/>
            </w:pPr>
            <w:r>
              <w:rPr/>
              <w:t>13,009</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65" w:type="dxa"/>
            <w:tcBorders/>
            <w:shd w:fill="CCEEFF" w:val="clear"/>
            <w:vAlign w:val="bottom"/>
          </w:tcPr>
          <w:p>
            <w:pPr>
              <w:pStyle w:val="TableContents"/>
              <w:bidi w:val="0"/>
              <w:spacing w:before="0" w:after="283"/>
              <w:jc w:val="right"/>
              <w:rPr/>
            </w:pPr>
            <w:r>
              <w:rPr/>
              <w:t>12,643</w:t>
            </w:r>
          </w:p>
        </w:tc>
        <w:tc>
          <w:tcPr>
            <w:tcW w:w="159" w:type="dxa"/>
            <w:tcBorders/>
            <w:shd w:fill="CCEEFF" w:val="clear"/>
            <w:vAlign w:val="bottom"/>
          </w:tcPr>
          <w:p>
            <w:pPr>
              <w:pStyle w:val="TableContents"/>
              <w:bidi w:val="0"/>
              <w:spacing w:before="0" w:after="283"/>
              <w:jc w:val="left"/>
              <w:rPr/>
            </w:pPr>
            <w:r>
              <w:rPr/>
              <w:t> </w:t>
            </w:r>
          </w:p>
        </w:tc>
      </w:tr>
      <w:tr>
        <w:trPr/>
        <w:tc>
          <w:tcPr>
            <w:tcW w:w="6702" w:type="dxa"/>
            <w:tcBorders/>
          </w:tcPr>
          <w:p>
            <w:pPr>
              <w:pStyle w:val="TableContents"/>
              <w:bidi w:val="0"/>
              <w:spacing w:before="0" w:after="0"/>
              <w:jc w:val="left"/>
              <w:rPr>
                <w:rFonts w:ascii="Times New Roman" w:hAnsi="Times New Roman"/>
                <w:sz w:val="20"/>
              </w:rPr>
            </w:pPr>
            <w:r>
              <w:rPr>
                <w:rFonts w:ascii="Times New Roman" w:hAnsi="Times New Roman"/>
                <w:sz w:val="20"/>
              </w:rPr>
              <w:t>Long-term debt</w:t>
            </w:r>
          </w:p>
        </w:tc>
        <w:tc>
          <w:tcPr>
            <w:tcW w:w="152"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301" w:type="dxa"/>
            <w:tcBorders/>
            <w:vAlign w:val="bottom"/>
          </w:tcPr>
          <w:p>
            <w:pPr>
              <w:pStyle w:val="TableContents"/>
              <w:bidi w:val="0"/>
              <w:spacing w:before="0" w:after="283"/>
              <w:jc w:val="right"/>
              <w:rPr/>
            </w:pPr>
            <w:r>
              <w:rPr/>
              <w:t>15,000</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152"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301" w:type="dxa"/>
            <w:tcBorders/>
            <w:shd w:fill="CCEEFF" w:val="clear"/>
            <w:vAlign w:val="bottom"/>
          </w:tcPr>
          <w:p>
            <w:pPr>
              <w:pStyle w:val="TableContents"/>
              <w:bidi w:val="0"/>
              <w:spacing w:before="0" w:after="283"/>
              <w:jc w:val="right"/>
              <w:rPr/>
            </w:pPr>
            <w:r>
              <w:rPr/>
              <w:t>6,812</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65" w:type="dxa"/>
            <w:tcBorders/>
            <w:shd w:fill="CCEEFF" w:val="clear"/>
            <w:vAlign w:val="bottom"/>
          </w:tcPr>
          <w:p>
            <w:pPr>
              <w:pStyle w:val="TableContents"/>
              <w:bidi w:val="0"/>
              <w:spacing w:before="0" w:after="283"/>
              <w:jc w:val="right"/>
              <w:rPr/>
            </w:pPr>
            <w:r>
              <w:rPr/>
              <w:t>5,261</w:t>
            </w:r>
          </w:p>
        </w:tc>
        <w:tc>
          <w:tcPr>
            <w:tcW w:w="159" w:type="dxa"/>
            <w:tcBorders/>
            <w:shd w:fill="CCEEFF" w:val="clear"/>
            <w:vAlign w:val="bottom"/>
          </w:tcPr>
          <w:p>
            <w:pPr>
              <w:pStyle w:val="TableContents"/>
              <w:bidi w:val="0"/>
              <w:spacing w:before="0" w:after="283"/>
              <w:jc w:val="left"/>
              <w:rPr/>
            </w:pPr>
            <w:r>
              <w:rPr/>
              <w:t> </w:t>
            </w:r>
          </w:p>
        </w:tc>
      </w:tr>
      <w:tr>
        <w:trPr/>
        <w:tc>
          <w:tcPr>
            <w:tcW w:w="6702"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3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6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02"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152"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301" w:type="dxa"/>
            <w:tcBorders/>
            <w:vAlign w:val="bottom"/>
          </w:tcPr>
          <w:p>
            <w:pPr>
              <w:pStyle w:val="TableContents"/>
              <w:bidi w:val="0"/>
              <w:spacing w:before="0" w:after="283"/>
              <w:jc w:val="right"/>
              <w:rPr/>
            </w:pPr>
            <w:r>
              <w:rPr/>
              <w:t>430,741</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right"/>
              <w:rPr/>
            </w:pPr>
            <w:r>
              <w:rPr/>
              <w:t>307,679</w:t>
            </w:r>
          </w:p>
        </w:tc>
        <w:tc>
          <w:tcPr>
            <w:tcW w:w="159" w:type="dxa"/>
            <w:tcBorders/>
            <w:vAlign w:val="bottom"/>
          </w:tcPr>
          <w:p>
            <w:pPr>
              <w:pStyle w:val="TableContents"/>
              <w:bidi w:val="0"/>
              <w:spacing w:before="0" w:after="283"/>
              <w:jc w:val="left"/>
              <w:rPr/>
            </w:pPr>
            <w:r>
              <w:rPr/>
              <w:t> </w:t>
            </w:r>
          </w:p>
        </w:tc>
      </w:tr>
      <w:tr>
        <w:trPr/>
        <w:tc>
          <w:tcPr>
            <w:tcW w:w="6702"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3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6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Commitments and contingencies Stockholders’ equity:</w:t>
            </w:r>
          </w:p>
        </w:tc>
        <w:tc>
          <w:tcPr>
            <w:tcW w:w="152"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sz w:val="4"/>
                <w:szCs w:val="4"/>
              </w:rPr>
            </w:pPr>
            <w:r>
              <w:rPr>
                <w:sz w:val="4"/>
                <w:szCs w:val="4"/>
              </w:rPr>
            </w:r>
          </w:p>
        </w:tc>
        <w:tc>
          <w:tcPr>
            <w:tcW w:w="130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1"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126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702" w:type="dxa"/>
            <w:tcBorders/>
          </w:tcPr>
          <w:p>
            <w:pPr>
              <w:pStyle w:val="TableContents"/>
              <w:bidi w:val="0"/>
              <w:spacing w:before="0" w:after="0"/>
              <w:jc w:val="left"/>
              <w:rPr>
                <w:rFonts w:ascii="Times New Roman" w:hAnsi="Times New Roman"/>
                <w:sz w:val="20"/>
              </w:rPr>
            </w:pPr>
            <w:r>
              <w:rPr>
                <w:rFonts w:ascii="Times New Roman" w:hAnsi="Times New Roman"/>
                <w:sz w:val="20"/>
              </w:rPr>
              <w:t>Preferred stock, $0.0001 par value; 10,000,000 shares authorized, none issued and outstanding as of September 30, 2025 and December 31 , 2024</w:t>
            </w:r>
          </w:p>
        </w:tc>
        <w:tc>
          <w:tcPr>
            <w:tcW w:w="152"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30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Voting common stock, $0.0001 par value; 2,000,000,000 shares authorized as of September 30, 2025 and December 31, 2024; 129,761,844 shares issued and 120,238,939 shares outstanding as of September 30, 2025; 126,853,852 shares issued and 122,182,878 shares outstanding as of December 31, 2024</w:t>
            </w:r>
          </w:p>
        </w:tc>
        <w:tc>
          <w:tcPr>
            <w:tcW w:w="152"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301" w:type="dxa"/>
            <w:tcBorders/>
            <w:shd w:fill="CCEEFF" w:val="clear"/>
            <w:vAlign w:val="bottom"/>
          </w:tcPr>
          <w:p>
            <w:pPr>
              <w:pStyle w:val="TableContents"/>
              <w:bidi w:val="0"/>
              <w:spacing w:before="0" w:after="283"/>
              <w:jc w:val="right"/>
              <w:rPr/>
            </w:pPr>
            <w:r>
              <w:rPr/>
              <w:t>13</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65" w:type="dxa"/>
            <w:tcBorders/>
            <w:shd w:fill="CCEEFF" w:val="clear"/>
            <w:vAlign w:val="bottom"/>
          </w:tcPr>
          <w:p>
            <w:pPr>
              <w:pStyle w:val="TableContents"/>
              <w:bidi w:val="0"/>
              <w:spacing w:before="0" w:after="283"/>
              <w:jc w:val="right"/>
              <w:rPr/>
            </w:pPr>
            <w:r>
              <w:rPr/>
              <w:t>13</w:t>
            </w:r>
          </w:p>
        </w:tc>
        <w:tc>
          <w:tcPr>
            <w:tcW w:w="159" w:type="dxa"/>
            <w:tcBorders/>
            <w:shd w:fill="CCEEFF" w:val="clear"/>
            <w:vAlign w:val="bottom"/>
          </w:tcPr>
          <w:p>
            <w:pPr>
              <w:pStyle w:val="TableContents"/>
              <w:bidi w:val="0"/>
              <w:spacing w:before="0" w:after="283"/>
              <w:jc w:val="left"/>
              <w:rPr/>
            </w:pPr>
            <w:r>
              <w:rPr/>
              <w:t> </w:t>
            </w:r>
          </w:p>
        </w:tc>
      </w:tr>
      <w:tr>
        <w:trPr/>
        <w:tc>
          <w:tcPr>
            <w:tcW w:w="6702" w:type="dxa"/>
            <w:tcBorders/>
          </w:tcPr>
          <w:p>
            <w:pPr>
              <w:pStyle w:val="TableContents"/>
              <w:bidi w:val="0"/>
              <w:spacing w:before="0" w:after="0"/>
              <w:jc w:val="left"/>
              <w:rPr>
                <w:rFonts w:ascii="Times New Roman" w:hAnsi="Times New Roman"/>
                <w:sz w:val="20"/>
              </w:rPr>
            </w:pPr>
            <w:r>
              <w:rPr>
                <w:rFonts w:ascii="Times New Roman" w:hAnsi="Times New Roman"/>
                <w:sz w:val="20"/>
              </w:rPr>
              <w:t>Non-voting common stock, $0.0001 par value; 10,000,000 shares authorized as of September 30, 2025 and December 31 , 2024; 1,873,320 shares issued and outstanding as of September 30, 2025 and December 31, 2024</w:t>
            </w:r>
          </w:p>
        </w:tc>
        <w:tc>
          <w:tcPr>
            <w:tcW w:w="152"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30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Treasury voting common stock, 9,522,905 and 4,670,974 shares as of September 30, 2025 and December 31, 2024, respectively, held at cost</w:t>
            </w:r>
          </w:p>
        </w:tc>
        <w:tc>
          <w:tcPr>
            <w:tcW w:w="152"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301" w:type="dxa"/>
            <w:tcBorders/>
            <w:shd w:fill="CCEEFF" w:val="clear"/>
            <w:vAlign w:val="bottom"/>
          </w:tcPr>
          <w:p>
            <w:pPr>
              <w:pStyle w:val="TableContents"/>
              <w:bidi w:val="0"/>
              <w:spacing w:before="0" w:after="283"/>
              <w:jc w:val="right"/>
              <w:rPr/>
            </w:pPr>
            <w:r>
              <w:rPr/>
              <w:t>(108,687</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65" w:type="dxa"/>
            <w:tcBorders/>
            <w:shd w:fill="CCEEFF" w:val="clear"/>
            <w:vAlign w:val="bottom"/>
          </w:tcPr>
          <w:p>
            <w:pPr>
              <w:pStyle w:val="TableContents"/>
              <w:bidi w:val="0"/>
              <w:spacing w:before="0" w:after="283"/>
              <w:jc w:val="right"/>
              <w:rPr/>
            </w:pPr>
            <w:r>
              <w:rPr/>
              <w:t>(46,268</w:t>
            </w:r>
          </w:p>
        </w:tc>
        <w:tc>
          <w:tcPr>
            <w:tcW w:w="159" w:type="dxa"/>
            <w:tcBorders/>
            <w:shd w:fill="CCEEFF" w:val="clear"/>
            <w:vAlign w:val="bottom"/>
          </w:tcPr>
          <w:p>
            <w:pPr>
              <w:pStyle w:val="TableContents"/>
              <w:bidi w:val="0"/>
              <w:spacing w:before="0" w:after="283"/>
              <w:jc w:val="left"/>
              <w:rPr/>
            </w:pPr>
            <w:r>
              <w:rPr/>
              <w:t>) </w:t>
            </w:r>
          </w:p>
        </w:tc>
      </w:tr>
      <w:tr>
        <w:trPr/>
        <w:tc>
          <w:tcPr>
            <w:tcW w:w="6702"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152"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301" w:type="dxa"/>
            <w:tcBorders/>
            <w:vAlign w:val="bottom"/>
          </w:tcPr>
          <w:p>
            <w:pPr>
              <w:pStyle w:val="TableContents"/>
              <w:bidi w:val="0"/>
              <w:spacing w:before="0" w:after="283"/>
              <w:jc w:val="right"/>
              <w:rPr/>
            </w:pPr>
            <w:r>
              <w:rPr/>
              <w:t>1,090,002</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right"/>
              <w:rPr/>
            </w:pPr>
            <w:r>
              <w:rPr/>
              <w:t>1,033,958</w:t>
            </w:r>
          </w:p>
        </w:tc>
        <w:tc>
          <w:tcPr>
            <w:tcW w:w="159" w:type="dxa"/>
            <w:tcBorders/>
            <w:vAlign w:val="bottom"/>
          </w:tcPr>
          <w:p>
            <w:pPr>
              <w:pStyle w:val="TableContents"/>
              <w:bidi w:val="0"/>
              <w:spacing w:before="0" w:after="283"/>
              <w:jc w:val="left"/>
              <w:rPr/>
            </w:pPr>
            <w:r>
              <w:rPr/>
              <w:t> </w:t>
            </w:r>
          </w:p>
        </w:tc>
      </w:tr>
      <w:tr>
        <w:trPr/>
        <w:tc>
          <w:tcPr>
            <w:tcW w:w="6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 (loss)</w:t>
            </w:r>
          </w:p>
        </w:tc>
        <w:tc>
          <w:tcPr>
            <w:tcW w:w="152"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301" w:type="dxa"/>
            <w:tcBorders/>
            <w:shd w:fill="CCEEFF" w:val="clear"/>
            <w:vAlign w:val="bottom"/>
          </w:tcPr>
          <w:p>
            <w:pPr>
              <w:pStyle w:val="TableContents"/>
              <w:bidi w:val="0"/>
              <w:spacing w:before="0" w:after="283"/>
              <w:jc w:val="right"/>
              <w:rPr/>
            </w:pPr>
            <w:r>
              <w:rPr/>
              <w:t>5,204</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65" w:type="dxa"/>
            <w:tcBorders/>
            <w:shd w:fill="CCEEFF" w:val="clear"/>
            <w:vAlign w:val="bottom"/>
          </w:tcPr>
          <w:p>
            <w:pPr>
              <w:pStyle w:val="TableContents"/>
              <w:bidi w:val="0"/>
              <w:spacing w:before="0" w:after="283"/>
              <w:jc w:val="right"/>
              <w:rPr/>
            </w:pPr>
            <w:r>
              <w:rPr/>
              <w:t>(2,066</w:t>
            </w:r>
          </w:p>
        </w:tc>
        <w:tc>
          <w:tcPr>
            <w:tcW w:w="159" w:type="dxa"/>
            <w:tcBorders/>
            <w:shd w:fill="CCEEFF" w:val="clear"/>
            <w:vAlign w:val="bottom"/>
          </w:tcPr>
          <w:p>
            <w:pPr>
              <w:pStyle w:val="TableContents"/>
              <w:bidi w:val="0"/>
              <w:spacing w:before="0" w:after="283"/>
              <w:jc w:val="left"/>
              <w:rPr/>
            </w:pPr>
            <w:r>
              <w:rPr/>
              <w:t>) </w:t>
            </w:r>
          </w:p>
        </w:tc>
      </w:tr>
      <w:tr>
        <w:trPr/>
        <w:tc>
          <w:tcPr>
            <w:tcW w:w="6702"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152"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301" w:type="dxa"/>
            <w:tcBorders/>
            <w:vAlign w:val="bottom"/>
          </w:tcPr>
          <w:p>
            <w:pPr>
              <w:pStyle w:val="TableContents"/>
              <w:bidi w:val="0"/>
              <w:spacing w:before="0" w:after="283"/>
              <w:jc w:val="right"/>
              <w:rPr/>
            </w:pPr>
            <w:r>
              <w:rPr/>
              <w:t>(157,406</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right"/>
              <w:rPr/>
            </w:pPr>
            <w:r>
              <w:rPr/>
              <w:t>(170,870</w:t>
            </w:r>
          </w:p>
        </w:tc>
        <w:tc>
          <w:tcPr>
            <w:tcW w:w="159" w:type="dxa"/>
            <w:tcBorders/>
            <w:vAlign w:val="bottom"/>
          </w:tcPr>
          <w:p>
            <w:pPr>
              <w:pStyle w:val="TableContents"/>
              <w:bidi w:val="0"/>
              <w:spacing w:before="0" w:after="283"/>
              <w:jc w:val="left"/>
              <w:rPr/>
            </w:pPr>
            <w:r>
              <w:rPr/>
              <w:t>) </w:t>
            </w:r>
          </w:p>
        </w:tc>
      </w:tr>
      <w:tr>
        <w:trPr/>
        <w:tc>
          <w:tcPr>
            <w:tcW w:w="6702"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3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6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152"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301" w:type="dxa"/>
            <w:tcBorders/>
            <w:shd w:fill="CCEEFF" w:val="clear"/>
            <w:vAlign w:val="bottom"/>
          </w:tcPr>
          <w:p>
            <w:pPr>
              <w:pStyle w:val="TableContents"/>
              <w:bidi w:val="0"/>
              <w:spacing w:before="0" w:after="283"/>
              <w:jc w:val="right"/>
              <w:rPr/>
            </w:pPr>
            <w:r>
              <w:rPr/>
              <w:t>829,126</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65" w:type="dxa"/>
            <w:tcBorders/>
            <w:shd w:fill="CCEEFF" w:val="clear"/>
            <w:vAlign w:val="bottom"/>
          </w:tcPr>
          <w:p>
            <w:pPr>
              <w:pStyle w:val="TableContents"/>
              <w:bidi w:val="0"/>
              <w:spacing w:before="0" w:after="283"/>
              <w:jc w:val="right"/>
              <w:rPr/>
            </w:pPr>
            <w:r>
              <w:rPr/>
              <w:t>814,767</w:t>
            </w:r>
          </w:p>
        </w:tc>
        <w:tc>
          <w:tcPr>
            <w:tcW w:w="159" w:type="dxa"/>
            <w:tcBorders/>
            <w:shd w:fill="CCEEFF" w:val="clear"/>
            <w:vAlign w:val="bottom"/>
          </w:tcPr>
          <w:p>
            <w:pPr>
              <w:pStyle w:val="TableContents"/>
              <w:bidi w:val="0"/>
              <w:spacing w:before="0" w:after="283"/>
              <w:jc w:val="left"/>
              <w:rPr/>
            </w:pPr>
            <w:r>
              <w:rPr/>
              <w:t> </w:t>
            </w:r>
          </w:p>
        </w:tc>
      </w:tr>
      <w:tr>
        <w:trPr/>
        <w:tc>
          <w:tcPr>
            <w:tcW w:w="6702"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3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6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02"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 and stockholders’ equity</w:t>
            </w:r>
          </w:p>
        </w:tc>
        <w:tc>
          <w:tcPr>
            <w:tcW w:w="152"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w:t>
            </w:r>
          </w:p>
        </w:tc>
        <w:tc>
          <w:tcPr>
            <w:tcW w:w="1301" w:type="dxa"/>
            <w:tcBorders/>
            <w:vAlign w:val="bottom"/>
          </w:tcPr>
          <w:p>
            <w:pPr>
              <w:pStyle w:val="TableContents"/>
              <w:bidi w:val="0"/>
              <w:spacing w:before="0" w:after="283"/>
              <w:jc w:val="right"/>
              <w:rPr/>
            </w:pPr>
            <w:r>
              <w:rPr/>
              <w:t>1,259,867</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1265" w:type="dxa"/>
            <w:tcBorders/>
            <w:vAlign w:val="bottom"/>
          </w:tcPr>
          <w:p>
            <w:pPr>
              <w:pStyle w:val="TableContents"/>
              <w:bidi w:val="0"/>
              <w:spacing w:before="0" w:after="283"/>
              <w:jc w:val="right"/>
              <w:rPr/>
            </w:pPr>
            <w:r>
              <w:rPr/>
              <w:t>1,122,446</w:t>
            </w:r>
          </w:p>
        </w:tc>
        <w:tc>
          <w:tcPr>
            <w:tcW w:w="159" w:type="dxa"/>
            <w:tcBorders/>
            <w:vAlign w:val="bottom"/>
          </w:tcPr>
          <w:p>
            <w:pPr>
              <w:pStyle w:val="TableContents"/>
              <w:bidi w:val="0"/>
              <w:spacing w:before="0" w:after="283"/>
              <w:jc w:val="left"/>
              <w:rPr/>
            </w:pPr>
            <w:r>
              <w:rPr/>
              <w:t> </w:t>
            </w:r>
          </w:p>
        </w:tc>
      </w:tr>
      <w:tr>
        <w:trPr/>
        <w:tc>
          <w:tcPr>
            <w:tcW w:w="6702"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3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6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 of Cash Flows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(Amounts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395"/>
        <w:gridCol w:w="236"/>
        <w:gridCol w:w="140"/>
        <w:gridCol w:w="892"/>
        <w:gridCol w:w="155"/>
        <w:gridCol w:w="196"/>
        <w:gridCol w:w="140"/>
        <w:gridCol w:w="892"/>
        <w:gridCol w:w="159"/>
      </w:tblGrid>
      <w:tr>
        <w:trPr/>
        <w:tc>
          <w:tcPr>
            <w:tcW w:w="7395" w:type="dxa"/>
            <w:tcBorders/>
            <w:vAlign w:val="center"/>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9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241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w:t>
            </w:r>
          </w:p>
        </w:tc>
        <w:tc>
          <w:tcPr>
            <w:tcW w:w="159" w:type="dxa"/>
            <w:tcBorders/>
            <w:vAlign w:val="bottom"/>
          </w:tcPr>
          <w:p>
            <w:pPr>
              <w:pStyle w:val="TableContents"/>
              <w:bidi w:val="0"/>
              <w:spacing w:before="0" w:after="283"/>
              <w:jc w:val="left"/>
              <w:rPr/>
            </w:pPr>
            <w:r>
              <w:rPr/>
              <w:t> </w:t>
            </w:r>
          </w:p>
        </w:tc>
      </w:tr>
      <w:tr>
        <w:trPr/>
        <w:tc>
          <w:tcPr>
            <w:tcW w:w="739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0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9" w:type="dxa"/>
            <w:tcBorders/>
            <w:vAlign w:val="bottom"/>
          </w:tcPr>
          <w:p>
            <w:pPr>
              <w:pStyle w:val="TableContents"/>
              <w:bidi w:val="0"/>
              <w:spacing w:before="0" w:after="283"/>
              <w:jc w:val="left"/>
              <w:rPr/>
            </w:pPr>
            <w:r>
              <w:rPr/>
              <w:t> </w:t>
            </w:r>
          </w:p>
        </w:tc>
      </w:tr>
      <w:tr>
        <w:trPr/>
        <w:tc>
          <w:tcPr>
            <w:tcW w:w="739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2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395"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2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92" w:type="dxa"/>
            <w:tcBorders/>
            <w:vAlign w:val="bottom"/>
          </w:tcPr>
          <w:p>
            <w:pPr>
              <w:pStyle w:val="TableContents"/>
              <w:bidi w:val="0"/>
              <w:spacing w:before="0" w:after="283"/>
              <w:jc w:val="right"/>
              <w:rPr/>
            </w:pPr>
            <w:r>
              <w:rPr/>
              <w:t>13,464</w:t>
            </w:r>
          </w:p>
        </w:tc>
        <w:tc>
          <w:tcPr>
            <w:tcW w:w="155"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92" w:type="dxa"/>
            <w:tcBorders/>
            <w:vAlign w:val="bottom"/>
          </w:tcPr>
          <w:p>
            <w:pPr>
              <w:pStyle w:val="TableContents"/>
              <w:bidi w:val="0"/>
              <w:spacing w:before="0" w:after="283"/>
              <w:jc w:val="right"/>
              <w:rPr/>
            </w:pPr>
            <w:r>
              <w:rPr/>
              <w:t>18,799</w:t>
            </w:r>
          </w:p>
        </w:tc>
        <w:tc>
          <w:tcPr>
            <w:tcW w:w="159" w:type="dxa"/>
            <w:tcBorders/>
            <w:vAlign w:val="bottom"/>
          </w:tcPr>
          <w:p>
            <w:pPr>
              <w:pStyle w:val="TableContents"/>
              <w:bidi w:val="0"/>
              <w:spacing w:before="0" w:after="283"/>
              <w:jc w:val="left"/>
              <w:rPr/>
            </w:pPr>
            <w:r>
              <w:rPr/>
              <w:t> </w:t>
            </w:r>
          </w:p>
        </w:tc>
      </w:tr>
      <w:tr>
        <w:trPr/>
        <w:tc>
          <w:tcPr>
            <w:tcW w:w="73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income to net cash provided by operating activities:</w:t>
            </w:r>
          </w:p>
        </w:tc>
        <w:tc>
          <w:tcPr>
            <w:tcW w:w="2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395" w:type="dxa"/>
            <w:tcBorders/>
          </w:tcPr>
          <w:p>
            <w:pPr>
              <w:pStyle w:val="TableContents"/>
              <w:bidi w:val="0"/>
              <w:spacing w:before="0" w:after="0"/>
              <w:jc w:val="left"/>
              <w:rPr>
                <w:rFonts w:ascii="Times New Roman" w:hAnsi="Times New Roman"/>
                <w:sz w:val="20"/>
              </w:rPr>
            </w:pPr>
            <w:r>
              <w:rPr>
                <w:rFonts w:ascii="Times New Roman" w:hAnsi="Times New Roman"/>
                <w:sz w:val="20"/>
              </w:rPr>
              <w:t>Unrealized gain on foreign exchange rates</w:t>
            </w:r>
          </w:p>
        </w:tc>
        <w:tc>
          <w:tcPr>
            <w:tcW w:w="2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(10,458</w:t>
            </w:r>
          </w:p>
        </w:tc>
        <w:tc>
          <w:tcPr>
            <w:tcW w:w="155"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(948</w:t>
            </w:r>
          </w:p>
        </w:tc>
        <w:tc>
          <w:tcPr>
            <w:tcW w:w="159" w:type="dxa"/>
            <w:tcBorders/>
            <w:vAlign w:val="bottom"/>
          </w:tcPr>
          <w:p>
            <w:pPr>
              <w:pStyle w:val="TableContents"/>
              <w:bidi w:val="0"/>
              <w:spacing w:before="0" w:after="283"/>
              <w:jc w:val="left"/>
              <w:rPr/>
            </w:pPr>
            <w:r>
              <w:rPr/>
              <w:t>) </w:t>
            </w:r>
          </w:p>
        </w:tc>
      </w:tr>
      <w:tr>
        <w:trPr/>
        <w:tc>
          <w:tcPr>
            <w:tcW w:w="73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2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19,037</w:t>
            </w:r>
          </w:p>
        </w:tc>
        <w:tc>
          <w:tcPr>
            <w:tcW w:w="155"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12,709</w:t>
            </w:r>
          </w:p>
        </w:tc>
        <w:tc>
          <w:tcPr>
            <w:tcW w:w="159" w:type="dxa"/>
            <w:tcBorders/>
            <w:shd w:fill="CCEEFF" w:val="clear"/>
            <w:vAlign w:val="bottom"/>
          </w:tcPr>
          <w:p>
            <w:pPr>
              <w:pStyle w:val="TableContents"/>
              <w:bidi w:val="0"/>
              <w:spacing w:before="0" w:after="283"/>
              <w:jc w:val="left"/>
              <w:rPr/>
            </w:pPr>
            <w:r>
              <w:rPr/>
              <w:t> </w:t>
            </w:r>
          </w:p>
        </w:tc>
      </w:tr>
      <w:tr>
        <w:trPr/>
        <w:tc>
          <w:tcPr>
            <w:tcW w:w="7395"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2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53,473</w:t>
            </w:r>
          </w:p>
        </w:tc>
        <w:tc>
          <w:tcPr>
            <w:tcW w:w="155"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48,396</w:t>
            </w:r>
          </w:p>
        </w:tc>
        <w:tc>
          <w:tcPr>
            <w:tcW w:w="159" w:type="dxa"/>
            <w:tcBorders/>
            <w:vAlign w:val="bottom"/>
          </w:tcPr>
          <w:p>
            <w:pPr>
              <w:pStyle w:val="TableContents"/>
              <w:bidi w:val="0"/>
              <w:spacing w:before="0" w:after="283"/>
              <w:jc w:val="left"/>
              <w:rPr/>
            </w:pPr>
            <w:r>
              <w:rPr/>
              <w:t> </w:t>
            </w:r>
          </w:p>
        </w:tc>
      </w:tr>
      <w:tr>
        <w:trPr/>
        <w:tc>
          <w:tcPr>
            <w:tcW w:w="73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deferred contract costs</w:t>
            </w:r>
          </w:p>
        </w:tc>
        <w:tc>
          <w:tcPr>
            <w:tcW w:w="2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1,167</w:t>
            </w:r>
          </w:p>
        </w:tc>
        <w:tc>
          <w:tcPr>
            <w:tcW w:w="155"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826</w:t>
            </w:r>
          </w:p>
        </w:tc>
        <w:tc>
          <w:tcPr>
            <w:tcW w:w="159" w:type="dxa"/>
            <w:tcBorders/>
            <w:shd w:fill="CCEEFF" w:val="clear"/>
            <w:vAlign w:val="bottom"/>
          </w:tcPr>
          <w:p>
            <w:pPr>
              <w:pStyle w:val="TableContents"/>
              <w:bidi w:val="0"/>
              <w:spacing w:before="0" w:after="283"/>
              <w:jc w:val="left"/>
              <w:rPr/>
            </w:pPr>
            <w:r>
              <w:rPr/>
              <w:t> </w:t>
            </w:r>
          </w:p>
        </w:tc>
      </w:tr>
      <w:tr>
        <w:trPr/>
        <w:tc>
          <w:tcPr>
            <w:tcW w:w="7395"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contingent consideration</w:t>
            </w:r>
          </w:p>
        </w:tc>
        <w:tc>
          <w:tcPr>
            <w:tcW w:w="2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(1,223</w:t>
            </w:r>
          </w:p>
        </w:tc>
        <w:tc>
          <w:tcPr>
            <w:tcW w:w="155"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(988</w:t>
            </w:r>
          </w:p>
        </w:tc>
        <w:tc>
          <w:tcPr>
            <w:tcW w:w="159" w:type="dxa"/>
            <w:tcBorders/>
            <w:vAlign w:val="bottom"/>
          </w:tcPr>
          <w:p>
            <w:pPr>
              <w:pStyle w:val="TableContents"/>
              <w:bidi w:val="0"/>
              <w:spacing w:before="0" w:after="283"/>
              <w:jc w:val="left"/>
              <w:rPr/>
            </w:pPr>
            <w:r>
              <w:rPr/>
              <w:t>) </w:t>
            </w:r>
          </w:p>
        </w:tc>
      </w:tr>
      <w:tr>
        <w:trPr/>
        <w:tc>
          <w:tcPr>
            <w:tcW w:w="73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benefit</w:t>
            </w:r>
          </w:p>
        </w:tc>
        <w:tc>
          <w:tcPr>
            <w:tcW w:w="2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(452</w:t>
            </w:r>
          </w:p>
        </w:tc>
        <w:tc>
          <w:tcPr>
            <w:tcW w:w="155"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(6,600</w:t>
            </w:r>
          </w:p>
        </w:tc>
        <w:tc>
          <w:tcPr>
            <w:tcW w:w="159" w:type="dxa"/>
            <w:tcBorders/>
            <w:shd w:fill="CCEEFF" w:val="clear"/>
            <w:vAlign w:val="bottom"/>
          </w:tcPr>
          <w:p>
            <w:pPr>
              <w:pStyle w:val="TableContents"/>
              <w:bidi w:val="0"/>
              <w:spacing w:before="0" w:after="283"/>
              <w:jc w:val="left"/>
              <w:rPr/>
            </w:pPr>
            <w:r>
              <w:rPr/>
              <w:t>) </w:t>
            </w:r>
          </w:p>
        </w:tc>
      </w:tr>
      <w:tr>
        <w:trPr/>
        <w:tc>
          <w:tcPr>
            <w:tcW w:w="7395" w:type="dxa"/>
            <w:tcBorders/>
          </w:tcPr>
          <w:p>
            <w:pPr>
              <w:pStyle w:val="TableContents"/>
              <w:bidi w:val="0"/>
              <w:spacing w:before="0" w:after="0"/>
              <w:jc w:val="left"/>
              <w:rPr>
                <w:rFonts w:ascii="Times New Roman" w:hAnsi="Times New Roman"/>
                <w:sz w:val="20"/>
              </w:rPr>
            </w:pPr>
            <w:r>
              <w:rPr>
                <w:rFonts w:ascii="Times New Roman" w:hAnsi="Times New Roman"/>
                <w:sz w:val="20"/>
              </w:rPr>
              <w:t>Change in provision for uncollectible accounts</w:t>
            </w:r>
          </w:p>
        </w:tc>
        <w:tc>
          <w:tcPr>
            <w:tcW w:w="2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1,629</w:t>
            </w:r>
          </w:p>
        </w:tc>
        <w:tc>
          <w:tcPr>
            <w:tcW w:w="155"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(124</w:t>
            </w:r>
          </w:p>
        </w:tc>
        <w:tc>
          <w:tcPr>
            <w:tcW w:w="159" w:type="dxa"/>
            <w:tcBorders/>
            <w:vAlign w:val="bottom"/>
          </w:tcPr>
          <w:p>
            <w:pPr>
              <w:pStyle w:val="TableContents"/>
              <w:bidi w:val="0"/>
              <w:spacing w:before="0" w:after="283"/>
              <w:jc w:val="left"/>
              <w:rPr/>
            </w:pPr>
            <w:r>
              <w:rPr/>
              <w:t>) </w:t>
            </w:r>
          </w:p>
        </w:tc>
      </w:tr>
      <w:tr>
        <w:trPr/>
        <w:tc>
          <w:tcPr>
            <w:tcW w:w="73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debt issuance costs</w:t>
            </w:r>
          </w:p>
        </w:tc>
        <w:tc>
          <w:tcPr>
            <w:tcW w:w="2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173</w:t>
            </w:r>
          </w:p>
        </w:tc>
        <w:tc>
          <w:tcPr>
            <w:tcW w:w="155"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184</w:t>
            </w:r>
          </w:p>
        </w:tc>
        <w:tc>
          <w:tcPr>
            <w:tcW w:w="159" w:type="dxa"/>
            <w:tcBorders/>
            <w:shd w:fill="CCEEFF" w:val="clear"/>
            <w:vAlign w:val="bottom"/>
          </w:tcPr>
          <w:p>
            <w:pPr>
              <w:pStyle w:val="TableContents"/>
              <w:bidi w:val="0"/>
              <w:spacing w:before="0" w:after="283"/>
              <w:jc w:val="left"/>
              <w:rPr/>
            </w:pPr>
            <w:r>
              <w:rPr/>
              <w:t> </w:t>
            </w:r>
          </w:p>
        </w:tc>
      </w:tr>
      <w:tr>
        <w:trPr/>
        <w:tc>
          <w:tcPr>
            <w:tcW w:w="7395" w:type="dxa"/>
            <w:tcBorders/>
          </w:tcPr>
          <w:p>
            <w:pPr>
              <w:pStyle w:val="TableContents"/>
              <w:bidi w:val="0"/>
              <w:spacing w:before="0" w:after="0"/>
              <w:jc w:val="left"/>
              <w:rPr>
                <w:rFonts w:ascii="Times New Roman" w:hAnsi="Times New Roman"/>
                <w:sz w:val="20"/>
              </w:rPr>
            </w:pPr>
            <w:r>
              <w:rPr>
                <w:rFonts w:ascii="Times New Roman" w:hAnsi="Times New Roman"/>
                <w:sz w:val="20"/>
              </w:rPr>
              <w:t>Net accretion of discounts and amortization of premiums on investments</w:t>
            </w:r>
          </w:p>
        </w:tc>
        <w:tc>
          <w:tcPr>
            <w:tcW w:w="2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(612</w:t>
            </w:r>
          </w:p>
        </w:tc>
        <w:tc>
          <w:tcPr>
            <w:tcW w:w="155"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(1,010</w:t>
            </w:r>
          </w:p>
        </w:tc>
        <w:tc>
          <w:tcPr>
            <w:tcW w:w="159" w:type="dxa"/>
            <w:tcBorders/>
            <w:vAlign w:val="bottom"/>
          </w:tcPr>
          <w:p>
            <w:pPr>
              <w:pStyle w:val="TableContents"/>
              <w:bidi w:val="0"/>
              <w:spacing w:before="0" w:after="283"/>
              <w:jc w:val="left"/>
              <w:rPr/>
            </w:pPr>
            <w:r>
              <w:rPr/>
              <w:t>) </w:t>
            </w:r>
          </w:p>
        </w:tc>
      </w:tr>
      <w:tr>
        <w:trPr/>
        <w:tc>
          <w:tcPr>
            <w:tcW w:w="73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 net of acquisitions:</w:t>
            </w:r>
          </w:p>
        </w:tc>
        <w:tc>
          <w:tcPr>
            <w:tcW w:w="2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395"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2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(11,585</w:t>
            </w:r>
          </w:p>
        </w:tc>
        <w:tc>
          <w:tcPr>
            <w:tcW w:w="155"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(8,805</w:t>
            </w:r>
          </w:p>
        </w:tc>
        <w:tc>
          <w:tcPr>
            <w:tcW w:w="159" w:type="dxa"/>
            <w:tcBorders/>
            <w:vAlign w:val="bottom"/>
          </w:tcPr>
          <w:p>
            <w:pPr>
              <w:pStyle w:val="TableContents"/>
              <w:bidi w:val="0"/>
              <w:spacing w:before="0" w:after="283"/>
              <w:jc w:val="left"/>
              <w:rPr/>
            </w:pPr>
            <w:r>
              <w:rPr/>
              <w:t>) </w:t>
            </w:r>
          </w:p>
        </w:tc>
      </w:tr>
      <w:tr>
        <w:trPr/>
        <w:tc>
          <w:tcPr>
            <w:tcW w:w="73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Unbilled receivables</w:t>
            </w:r>
          </w:p>
        </w:tc>
        <w:tc>
          <w:tcPr>
            <w:tcW w:w="2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2,105</w:t>
            </w:r>
          </w:p>
        </w:tc>
        <w:tc>
          <w:tcPr>
            <w:tcW w:w="155"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(708</w:t>
            </w:r>
          </w:p>
        </w:tc>
        <w:tc>
          <w:tcPr>
            <w:tcW w:w="159" w:type="dxa"/>
            <w:tcBorders/>
            <w:shd w:fill="CCEEFF" w:val="clear"/>
            <w:vAlign w:val="bottom"/>
          </w:tcPr>
          <w:p>
            <w:pPr>
              <w:pStyle w:val="TableContents"/>
              <w:bidi w:val="0"/>
              <w:spacing w:before="0" w:after="283"/>
              <w:jc w:val="left"/>
              <w:rPr/>
            </w:pPr>
            <w:r>
              <w:rPr/>
              <w:t>) </w:t>
            </w:r>
          </w:p>
        </w:tc>
      </w:tr>
      <w:tr>
        <w:trPr/>
        <w:tc>
          <w:tcPr>
            <w:tcW w:w="7395" w:type="dxa"/>
            <w:tcBorders/>
          </w:tcPr>
          <w:p>
            <w:pPr>
              <w:pStyle w:val="TableContents"/>
              <w:bidi w:val="0"/>
              <w:spacing w:before="0" w:after="0"/>
              <w:jc w:val="left"/>
              <w:rPr>
                <w:rFonts w:ascii="Times New Roman" w:hAnsi="Times New Roman"/>
                <w:sz w:val="20"/>
              </w:rPr>
            </w:pPr>
            <w:r>
              <w:rPr>
                <w:rFonts w:ascii="Times New Roman" w:hAnsi="Times New Roman"/>
                <w:sz w:val="20"/>
              </w:rPr>
              <w:t>Funds receivable from payment partners</w:t>
            </w:r>
          </w:p>
        </w:tc>
        <w:tc>
          <w:tcPr>
            <w:tcW w:w="2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(42,686</w:t>
            </w:r>
          </w:p>
        </w:tc>
        <w:tc>
          <w:tcPr>
            <w:tcW w:w="155"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(16,383</w:t>
            </w:r>
          </w:p>
        </w:tc>
        <w:tc>
          <w:tcPr>
            <w:tcW w:w="159" w:type="dxa"/>
            <w:tcBorders/>
            <w:vAlign w:val="bottom"/>
          </w:tcPr>
          <w:p>
            <w:pPr>
              <w:pStyle w:val="TableContents"/>
              <w:bidi w:val="0"/>
              <w:spacing w:before="0" w:after="283"/>
              <w:jc w:val="left"/>
              <w:rPr/>
            </w:pPr>
            <w:r>
              <w:rPr/>
              <w:t>) </w:t>
            </w:r>
          </w:p>
        </w:tc>
      </w:tr>
      <w:tr>
        <w:trPr/>
        <w:tc>
          <w:tcPr>
            <w:tcW w:w="73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other current assets and other assets</w:t>
            </w:r>
          </w:p>
        </w:tc>
        <w:tc>
          <w:tcPr>
            <w:tcW w:w="2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(21,304</w:t>
            </w:r>
          </w:p>
        </w:tc>
        <w:tc>
          <w:tcPr>
            <w:tcW w:w="155"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(7,900</w:t>
            </w:r>
          </w:p>
        </w:tc>
        <w:tc>
          <w:tcPr>
            <w:tcW w:w="159" w:type="dxa"/>
            <w:tcBorders/>
            <w:shd w:fill="CCEEFF" w:val="clear"/>
            <w:vAlign w:val="bottom"/>
          </w:tcPr>
          <w:p>
            <w:pPr>
              <w:pStyle w:val="TableContents"/>
              <w:bidi w:val="0"/>
              <w:spacing w:before="0" w:after="283"/>
              <w:jc w:val="left"/>
              <w:rPr/>
            </w:pPr>
            <w:r>
              <w:rPr/>
              <w:t>) </w:t>
            </w:r>
          </w:p>
        </w:tc>
      </w:tr>
      <w:tr>
        <w:trPr/>
        <w:tc>
          <w:tcPr>
            <w:tcW w:w="7395" w:type="dxa"/>
            <w:tcBorders/>
          </w:tcPr>
          <w:p>
            <w:pPr>
              <w:pStyle w:val="TableContents"/>
              <w:bidi w:val="0"/>
              <w:spacing w:before="0" w:after="0"/>
              <w:jc w:val="left"/>
              <w:rPr>
                <w:rFonts w:ascii="Times New Roman" w:hAnsi="Times New Roman"/>
                <w:sz w:val="20"/>
              </w:rPr>
            </w:pPr>
            <w:r>
              <w:rPr>
                <w:rFonts w:ascii="Times New Roman" w:hAnsi="Times New Roman"/>
                <w:sz w:val="20"/>
              </w:rPr>
              <w:t>Funds payable to clients</w:t>
            </w:r>
          </w:p>
        </w:tc>
        <w:tc>
          <w:tcPr>
            <w:tcW w:w="2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83,343</w:t>
            </w:r>
          </w:p>
        </w:tc>
        <w:tc>
          <w:tcPr>
            <w:tcW w:w="155"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82,884</w:t>
            </w:r>
          </w:p>
        </w:tc>
        <w:tc>
          <w:tcPr>
            <w:tcW w:w="159" w:type="dxa"/>
            <w:tcBorders/>
            <w:vAlign w:val="bottom"/>
          </w:tcPr>
          <w:p>
            <w:pPr>
              <w:pStyle w:val="TableContents"/>
              <w:bidi w:val="0"/>
              <w:spacing w:before="0" w:after="283"/>
              <w:jc w:val="left"/>
              <w:rPr/>
            </w:pPr>
            <w:r>
              <w:rPr/>
              <w:t> </w:t>
            </w:r>
          </w:p>
        </w:tc>
      </w:tr>
      <w:tr>
        <w:trPr/>
        <w:tc>
          <w:tcPr>
            <w:tcW w:w="73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 accrued expenses and other current liabilities</w:t>
            </w:r>
          </w:p>
        </w:tc>
        <w:tc>
          <w:tcPr>
            <w:tcW w:w="2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7,537</w:t>
            </w:r>
          </w:p>
        </w:tc>
        <w:tc>
          <w:tcPr>
            <w:tcW w:w="155"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7,724</w:t>
            </w:r>
          </w:p>
        </w:tc>
        <w:tc>
          <w:tcPr>
            <w:tcW w:w="159" w:type="dxa"/>
            <w:tcBorders/>
            <w:shd w:fill="CCEEFF" w:val="clear"/>
            <w:vAlign w:val="bottom"/>
          </w:tcPr>
          <w:p>
            <w:pPr>
              <w:pStyle w:val="TableContents"/>
              <w:bidi w:val="0"/>
              <w:spacing w:before="0" w:after="283"/>
              <w:jc w:val="left"/>
              <w:rPr/>
            </w:pPr>
            <w:r>
              <w:rPr/>
              <w:t> </w:t>
            </w:r>
          </w:p>
        </w:tc>
      </w:tr>
      <w:tr>
        <w:trPr/>
        <w:tc>
          <w:tcPr>
            <w:tcW w:w="7395" w:type="dxa"/>
            <w:tcBorders/>
          </w:tcPr>
          <w:p>
            <w:pPr>
              <w:pStyle w:val="TableContents"/>
              <w:bidi w:val="0"/>
              <w:spacing w:before="0" w:after="0"/>
              <w:jc w:val="left"/>
              <w:rPr>
                <w:rFonts w:ascii="Times New Roman" w:hAnsi="Times New Roman"/>
                <w:sz w:val="20"/>
              </w:rPr>
            </w:pPr>
            <w:r>
              <w:rPr>
                <w:rFonts w:ascii="Times New Roman" w:hAnsi="Times New Roman"/>
                <w:sz w:val="20"/>
              </w:rPr>
              <w:t>Contingent consideration</w:t>
            </w:r>
          </w:p>
        </w:tc>
        <w:tc>
          <w:tcPr>
            <w:tcW w:w="2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(74</w:t>
            </w:r>
          </w:p>
        </w:tc>
        <w:tc>
          <w:tcPr>
            <w:tcW w:w="155"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73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2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2 ,542</w:t>
            </w:r>
          </w:p>
        </w:tc>
        <w:tc>
          <w:tcPr>
            <w:tcW w:w="155"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(369</w:t>
            </w:r>
          </w:p>
        </w:tc>
        <w:tc>
          <w:tcPr>
            <w:tcW w:w="159" w:type="dxa"/>
            <w:tcBorders/>
            <w:shd w:fill="CCEEFF" w:val="clear"/>
            <w:vAlign w:val="bottom"/>
          </w:tcPr>
          <w:p>
            <w:pPr>
              <w:pStyle w:val="TableContents"/>
              <w:bidi w:val="0"/>
              <w:spacing w:before="0" w:after="283"/>
              <w:jc w:val="left"/>
              <w:rPr/>
            </w:pPr>
            <w:r>
              <w:rPr/>
              <w:t>) </w:t>
            </w:r>
          </w:p>
        </w:tc>
      </w:tr>
      <w:tr>
        <w:trPr/>
        <w:tc>
          <w:tcPr>
            <w:tcW w:w="7395" w:type="dxa"/>
            <w:tcBorders/>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2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(787</w:t>
            </w:r>
          </w:p>
        </w:tc>
        <w:tc>
          <w:tcPr>
            <w:tcW w:w="155"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(466</w:t>
            </w:r>
          </w:p>
        </w:tc>
        <w:tc>
          <w:tcPr>
            <w:tcW w:w="159" w:type="dxa"/>
            <w:tcBorders/>
            <w:vAlign w:val="bottom"/>
          </w:tcPr>
          <w:p>
            <w:pPr>
              <w:pStyle w:val="TableContents"/>
              <w:bidi w:val="0"/>
              <w:spacing w:before="0" w:after="283"/>
              <w:jc w:val="left"/>
              <w:rPr/>
            </w:pPr>
            <w:r>
              <w:rPr/>
              <w:t>) </w:t>
            </w:r>
          </w:p>
        </w:tc>
      </w:tr>
      <w:tr>
        <w:trPr/>
        <w:tc>
          <w:tcPr>
            <w:tcW w:w="7395"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3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operating activities</w:t>
            </w:r>
          </w:p>
        </w:tc>
        <w:tc>
          <w:tcPr>
            <w:tcW w:w="2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95,289</w:t>
            </w:r>
          </w:p>
        </w:tc>
        <w:tc>
          <w:tcPr>
            <w:tcW w:w="155"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127,221</w:t>
            </w:r>
          </w:p>
        </w:tc>
        <w:tc>
          <w:tcPr>
            <w:tcW w:w="159" w:type="dxa"/>
            <w:tcBorders/>
            <w:shd w:fill="CCEEFF" w:val="clear"/>
            <w:vAlign w:val="bottom"/>
          </w:tcPr>
          <w:p>
            <w:pPr>
              <w:pStyle w:val="TableContents"/>
              <w:bidi w:val="0"/>
              <w:spacing w:before="0" w:after="283"/>
              <w:jc w:val="left"/>
              <w:rPr/>
            </w:pPr>
            <w:r>
              <w:rPr/>
              <w:t> </w:t>
            </w:r>
          </w:p>
        </w:tc>
      </w:tr>
      <w:tr>
        <w:trPr/>
        <w:tc>
          <w:tcPr>
            <w:tcW w:w="7395"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395" w:type="dxa"/>
            <w:tcBorders/>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2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9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92"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3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Acquisition of businesses, net of cash acquired</w:t>
            </w:r>
          </w:p>
        </w:tc>
        <w:tc>
          <w:tcPr>
            <w:tcW w:w="2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(324,921</w:t>
            </w:r>
          </w:p>
        </w:tc>
        <w:tc>
          <w:tcPr>
            <w:tcW w:w="155"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(45,438</w:t>
            </w:r>
          </w:p>
        </w:tc>
        <w:tc>
          <w:tcPr>
            <w:tcW w:w="159" w:type="dxa"/>
            <w:tcBorders/>
            <w:shd w:fill="CCEEFF" w:val="clear"/>
            <w:vAlign w:val="bottom"/>
          </w:tcPr>
          <w:p>
            <w:pPr>
              <w:pStyle w:val="TableContents"/>
              <w:bidi w:val="0"/>
              <w:spacing w:before="0" w:after="283"/>
              <w:jc w:val="left"/>
              <w:rPr/>
            </w:pPr>
            <w:r>
              <w:rPr/>
              <w:t>) </w:t>
            </w:r>
          </w:p>
        </w:tc>
      </w:tr>
      <w:tr>
        <w:trPr/>
        <w:tc>
          <w:tcPr>
            <w:tcW w:w="7395" w:type="dxa"/>
            <w:tcBorders/>
          </w:tcPr>
          <w:p>
            <w:pPr>
              <w:pStyle w:val="TableContents"/>
              <w:bidi w:val="0"/>
              <w:spacing w:before="0" w:after="0"/>
              <w:jc w:val="left"/>
              <w:rPr>
                <w:rFonts w:ascii="Times New Roman" w:hAnsi="Times New Roman"/>
                <w:sz w:val="20"/>
              </w:rPr>
            </w:pPr>
            <w:r>
              <w:rPr>
                <w:rFonts w:ascii="Times New Roman" w:hAnsi="Times New Roman"/>
                <w:sz w:val="20"/>
              </w:rPr>
              <w:t>Purchase of short-term and long-term investments</w:t>
            </w:r>
          </w:p>
        </w:tc>
        <w:tc>
          <w:tcPr>
            <w:tcW w:w="2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(14,199</w:t>
            </w:r>
          </w:p>
        </w:tc>
        <w:tc>
          <w:tcPr>
            <w:tcW w:w="155"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(159,619</w:t>
            </w:r>
          </w:p>
        </w:tc>
        <w:tc>
          <w:tcPr>
            <w:tcW w:w="159" w:type="dxa"/>
            <w:tcBorders/>
            <w:vAlign w:val="bottom"/>
          </w:tcPr>
          <w:p>
            <w:pPr>
              <w:pStyle w:val="TableContents"/>
              <w:bidi w:val="0"/>
              <w:spacing w:before="0" w:after="283"/>
              <w:jc w:val="left"/>
              <w:rPr/>
            </w:pPr>
            <w:r>
              <w:rPr/>
              <w:t>) </w:t>
            </w:r>
          </w:p>
        </w:tc>
      </w:tr>
      <w:tr>
        <w:trPr/>
        <w:tc>
          <w:tcPr>
            <w:tcW w:w="73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the maturity and sale of short-term and long-term investments</w:t>
            </w:r>
          </w:p>
        </w:tc>
        <w:tc>
          <w:tcPr>
            <w:tcW w:w="2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154,725</w:t>
            </w:r>
          </w:p>
        </w:tc>
        <w:tc>
          <w:tcPr>
            <w:tcW w:w="155"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5,879</w:t>
            </w:r>
          </w:p>
        </w:tc>
        <w:tc>
          <w:tcPr>
            <w:tcW w:w="159" w:type="dxa"/>
            <w:tcBorders/>
            <w:shd w:fill="CCEEFF" w:val="clear"/>
            <w:vAlign w:val="bottom"/>
          </w:tcPr>
          <w:p>
            <w:pPr>
              <w:pStyle w:val="TableContents"/>
              <w:bidi w:val="0"/>
              <w:spacing w:before="0" w:after="283"/>
              <w:jc w:val="left"/>
              <w:rPr/>
            </w:pPr>
            <w:r>
              <w:rPr/>
              <w:t> </w:t>
            </w:r>
          </w:p>
        </w:tc>
      </w:tr>
      <w:tr>
        <w:trPr/>
        <w:tc>
          <w:tcPr>
            <w:tcW w:w="7395" w:type="dxa"/>
            <w:tcBorders/>
          </w:tcPr>
          <w:p>
            <w:pPr>
              <w:pStyle w:val="TableContents"/>
              <w:bidi w:val="0"/>
              <w:spacing w:before="0" w:after="0"/>
              <w:jc w:val="left"/>
              <w:rPr>
                <w:rFonts w:ascii="Times New Roman" w:hAnsi="Times New Roman"/>
                <w:sz w:val="20"/>
              </w:rPr>
            </w:pPr>
            <w:r>
              <w:rPr>
                <w:rFonts w:ascii="Times New Roman" w:hAnsi="Times New Roman"/>
                <w:sz w:val="20"/>
              </w:rPr>
              <w:t>Capitalization of internally developed software</w:t>
            </w:r>
          </w:p>
        </w:tc>
        <w:tc>
          <w:tcPr>
            <w:tcW w:w="2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(5,813</w:t>
            </w:r>
          </w:p>
        </w:tc>
        <w:tc>
          <w:tcPr>
            <w:tcW w:w="155"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(4,581</w:t>
            </w:r>
          </w:p>
        </w:tc>
        <w:tc>
          <w:tcPr>
            <w:tcW w:w="159" w:type="dxa"/>
            <w:tcBorders/>
            <w:vAlign w:val="bottom"/>
          </w:tcPr>
          <w:p>
            <w:pPr>
              <w:pStyle w:val="TableContents"/>
              <w:bidi w:val="0"/>
              <w:spacing w:before="0" w:after="283"/>
              <w:jc w:val="left"/>
              <w:rPr/>
            </w:pPr>
            <w:r>
              <w:rPr/>
              <w:t>) </w:t>
            </w:r>
          </w:p>
        </w:tc>
      </w:tr>
      <w:tr>
        <w:trPr/>
        <w:tc>
          <w:tcPr>
            <w:tcW w:w="73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Purchases of property and equipment</w:t>
            </w:r>
          </w:p>
        </w:tc>
        <w:tc>
          <w:tcPr>
            <w:tcW w:w="2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(960</w:t>
            </w:r>
          </w:p>
        </w:tc>
        <w:tc>
          <w:tcPr>
            <w:tcW w:w="155"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(823</w:t>
            </w:r>
          </w:p>
        </w:tc>
        <w:tc>
          <w:tcPr>
            <w:tcW w:w="159" w:type="dxa"/>
            <w:tcBorders/>
            <w:shd w:fill="CCEEFF" w:val="clear"/>
            <w:vAlign w:val="bottom"/>
          </w:tcPr>
          <w:p>
            <w:pPr>
              <w:pStyle w:val="TableContents"/>
              <w:bidi w:val="0"/>
              <w:spacing w:before="0" w:after="283"/>
              <w:jc w:val="left"/>
              <w:rPr/>
            </w:pPr>
            <w:r>
              <w:rPr/>
              <w:t>) </w:t>
            </w:r>
          </w:p>
        </w:tc>
      </w:tr>
      <w:tr>
        <w:trPr/>
        <w:tc>
          <w:tcPr>
            <w:tcW w:w="7395"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395"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2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(191,168</w:t>
            </w:r>
          </w:p>
        </w:tc>
        <w:tc>
          <w:tcPr>
            <w:tcW w:w="155"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(204,582</w:t>
            </w:r>
          </w:p>
        </w:tc>
        <w:tc>
          <w:tcPr>
            <w:tcW w:w="159" w:type="dxa"/>
            <w:tcBorders/>
            <w:vAlign w:val="bottom"/>
          </w:tcPr>
          <w:p>
            <w:pPr>
              <w:pStyle w:val="TableContents"/>
              <w:bidi w:val="0"/>
              <w:spacing w:before="0" w:after="283"/>
              <w:jc w:val="left"/>
              <w:rPr/>
            </w:pPr>
            <w:r>
              <w:rPr/>
              <w:t>) </w:t>
            </w:r>
          </w:p>
        </w:tc>
      </w:tr>
      <w:tr>
        <w:trPr/>
        <w:tc>
          <w:tcPr>
            <w:tcW w:w="7395"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39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2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395"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issuance of revolving credit facility</w:t>
            </w:r>
          </w:p>
        </w:tc>
        <w:tc>
          <w:tcPr>
            <w:tcW w:w="2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125,000</w:t>
            </w:r>
          </w:p>
        </w:tc>
        <w:tc>
          <w:tcPr>
            <w:tcW w:w="155"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73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 of revolving credit facility</w:t>
            </w:r>
          </w:p>
        </w:tc>
        <w:tc>
          <w:tcPr>
            <w:tcW w:w="2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(110,000</w:t>
            </w:r>
          </w:p>
        </w:tc>
        <w:tc>
          <w:tcPr>
            <w:tcW w:w="155"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7395" w:type="dxa"/>
            <w:tcBorders/>
          </w:tcPr>
          <w:p>
            <w:pPr>
              <w:pStyle w:val="TableContents"/>
              <w:bidi w:val="0"/>
              <w:spacing w:before="0" w:after="0"/>
              <w:jc w:val="left"/>
              <w:rPr>
                <w:rFonts w:ascii="Times New Roman" w:hAnsi="Times New Roman"/>
                <w:sz w:val="20"/>
              </w:rPr>
            </w:pPr>
            <w:r>
              <w:rPr>
                <w:rFonts w:ascii="Times New Roman" w:hAnsi="Times New Roman"/>
                <w:sz w:val="20"/>
              </w:rPr>
              <w:t>Payment of debt issuance costs</w:t>
            </w:r>
          </w:p>
        </w:tc>
        <w:tc>
          <w:tcPr>
            <w:tcW w:w="2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(758</w:t>
            </w:r>
          </w:p>
        </w:tc>
        <w:tc>
          <w:tcPr>
            <w:tcW w:w="155"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(783</w:t>
            </w:r>
          </w:p>
        </w:tc>
        <w:tc>
          <w:tcPr>
            <w:tcW w:w="159" w:type="dxa"/>
            <w:tcBorders/>
            <w:vAlign w:val="bottom"/>
          </w:tcPr>
          <w:p>
            <w:pPr>
              <w:pStyle w:val="TableContents"/>
              <w:bidi w:val="0"/>
              <w:spacing w:before="0" w:after="283"/>
              <w:jc w:val="left"/>
              <w:rPr/>
            </w:pPr>
            <w:r>
              <w:rPr/>
              <w:t>) </w:t>
            </w:r>
          </w:p>
        </w:tc>
      </w:tr>
      <w:tr>
        <w:trPr/>
        <w:tc>
          <w:tcPr>
            <w:tcW w:w="73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Contingent consideration paid for acquisitions</w:t>
            </w:r>
          </w:p>
        </w:tc>
        <w:tc>
          <w:tcPr>
            <w:tcW w:w="2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(4,139</w:t>
            </w:r>
          </w:p>
        </w:tc>
        <w:tc>
          <w:tcPr>
            <w:tcW w:w="155"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7395" w:type="dxa"/>
            <w:tcBorders/>
          </w:tcPr>
          <w:p>
            <w:pPr>
              <w:pStyle w:val="TableContents"/>
              <w:bidi w:val="0"/>
              <w:spacing w:before="0" w:after="0"/>
              <w:jc w:val="left"/>
              <w:rPr>
                <w:rFonts w:ascii="Times New Roman" w:hAnsi="Times New Roman"/>
                <w:sz w:val="20"/>
              </w:rPr>
            </w:pPr>
            <w:r>
              <w:rPr>
                <w:rFonts w:ascii="Times New Roman" w:hAnsi="Times New Roman"/>
                <w:sz w:val="20"/>
              </w:rPr>
              <w:t>Payments of tax withholdings for net settled equity awards</w:t>
            </w:r>
          </w:p>
        </w:tc>
        <w:tc>
          <w:tcPr>
            <w:tcW w:w="2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(3,257</w:t>
            </w:r>
          </w:p>
        </w:tc>
        <w:tc>
          <w:tcPr>
            <w:tcW w:w="155"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73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repurchased</w:t>
            </w:r>
          </w:p>
        </w:tc>
        <w:tc>
          <w:tcPr>
            <w:tcW w:w="2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(64,319</w:t>
            </w:r>
          </w:p>
        </w:tc>
        <w:tc>
          <w:tcPr>
            <w:tcW w:w="155"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(22,883</w:t>
            </w:r>
          </w:p>
        </w:tc>
        <w:tc>
          <w:tcPr>
            <w:tcW w:w="159" w:type="dxa"/>
            <w:tcBorders/>
            <w:shd w:fill="CCEEFF" w:val="clear"/>
            <w:vAlign w:val="bottom"/>
          </w:tcPr>
          <w:p>
            <w:pPr>
              <w:pStyle w:val="TableContents"/>
              <w:bidi w:val="0"/>
              <w:spacing w:before="0" w:after="283"/>
              <w:jc w:val="left"/>
              <w:rPr/>
            </w:pPr>
            <w:r>
              <w:rPr/>
              <w:t>) </w:t>
            </w:r>
          </w:p>
        </w:tc>
      </w:tr>
      <w:tr>
        <w:trPr/>
        <w:tc>
          <w:tcPr>
            <w:tcW w:w="7395"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the issuance of stock under Employee Stock Purchase Plan</w:t>
            </w:r>
          </w:p>
        </w:tc>
        <w:tc>
          <w:tcPr>
            <w:tcW w:w="2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2,527</w:t>
            </w:r>
          </w:p>
        </w:tc>
        <w:tc>
          <w:tcPr>
            <w:tcW w:w="155"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3,108</w:t>
            </w:r>
          </w:p>
        </w:tc>
        <w:tc>
          <w:tcPr>
            <w:tcW w:w="159" w:type="dxa"/>
            <w:tcBorders/>
            <w:vAlign w:val="bottom"/>
          </w:tcPr>
          <w:p>
            <w:pPr>
              <w:pStyle w:val="TableContents"/>
              <w:bidi w:val="0"/>
              <w:spacing w:before="0" w:after="283"/>
              <w:jc w:val="left"/>
              <w:rPr/>
            </w:pPr>
            <w:r>
              <w:rPr/>
              <w:t> </w:t>
            </w:r>
          </w:p>
        </w:tc>
      </w:tr>
      <w:tr>
        <w:trPr/>
        <w:tc>
          <w:tcPr>
            <w:tcW w:w="73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exercise of stock options</w:t>
            </w:r>
          </w:p>
        </w:tc>
        <w:tc>
          <w:tcPr>
            <w:tcW w:w="2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2,064</w:t>
            </w:r>
          </w:p>
        </w:tc>
        <w:tc>
          <w:tcPr>
            <w:tcW w:w="155"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3,956</w:t>
            </w:r>
          </w:p>
        </w:tc>
        <w:tc>
          <w:tcPr>
            <w:tcW w:w="159" w:type="dxa"/>
            <w:tcBorders/>
            <w:shd w:fill="CCEEFF" w:val="clear"/>
            <w:vAlign w:val="bottom"/>
          </w:tcPr>
          <w:p>
            <w:pPr>
              <w:pStyle w:val="TableContents"/>
              <w:bidi w:val="0"/>
              <w:spacing w:before="0" w:after="283"/>
              <w:jc w:val="left"/>
              <w:rPr/>
            </w:pPr>
            <w:r>
              <w:rPr/>
              <w:t> </w:t>
            </w:r>
          </w:p>
        </w:tc>
      </w:tr>
      <w:tr>
        <w:trPr/>
        <w:tc>
          <w:tcPr>
            <w:tcW w:w="7395" w:type="dxa"/>
            <w:tcBorders/>
          </w:tcPr>
          <w:p>
            <w:pPr>
              <w:pStyle w:val="TableContents"/>
              <w:bidi w:val="0"/>
              <w:spacing w:before="0" w:after="0"/>
              <w:jc w:val="left"/>
              <w:rPr>
                <w:rFonts w:ascii="Times New Roman" w:hAnsi="Times New Roman"/>
                <w:sz w:val="20"/>
              </w:rPr>
            </w:pPr>
            <w:r>
              <w:rPr>
                <w:rFonts w:ascii="Times New Roman" w:hAnsi="Times New Roman"/>
                <w:sz w:val="20"/>
              </w:rPr>
              <w:t>Deferred acquisition payment</w:t>
            </w:r>
          </w:p>
        </w:tc>
        <w:tc>
          <w:tcPr>
            <w:tcW w:w="2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(1,000</w:t>
            </w:r>
          </w:p>
        </w:tc>
        <w:tc>
          <w:tcPr>
            <w:tcW w:w="155"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7395"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3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financing activities</w:t>
            </w:r>
          </w:p>
        </w:tc>
        <w:tc>
          <w:tcPr>
            <w:tcW w:w="2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(53,882</w:t>
            </w:r>
          </w:p>
        </w:tc>
        <w:tc>
          <w:tcPr>
            <w:tcW w:w="155"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(16,602</w:t>
            </w:r>
          </w:p>
        </w:tc>
        <w:tc>
          <w:tcPr>
            <w:tcW w:w="159" w:type="dxa"/>
            <w:tcBorders/>
            <w:shd w:fill="CCEEFF" w:val="clear"/>
            <w:vAlign w:val="bottom"/>
          </w:tcPr>
          <w:p>
            <w:pPr>
              <w:pStyle w:val="TableContents"/>
              <w:bidi w:val="0"/>
              <w:spacing w:before="0" w:after="283"/>
              <w:jc w:val="left"/>
              <w:rPr/>
            </w:pPr>
            <w:r>
              <w:rPr/>
              <w:t>) </w:t>
            </w:r>
          </w:p>
        </w:tc>
      </w:tr>
      <w:tr>
        <w:trPr/>
        <w:tc>
          <w:tcPr>
            <w:tcW w:w="7395"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395" w:type="dxa"/>
            <w:tcBorders/>
          </w:tcPr>
          <w:p>
            <w:pPr>
              <w:pStyle w:val="TableContents"/>
              <w:bidi w:val="0"/>
              <w:spacing w:before="0" w:after="0"/>
              <w:jc w:val="left"/>
              <w:rPr>
                <w:rFonts w:ascii="Times New Roman" w:hAnsi="Times New Roman"/>
                <w:sz w:val="20"/>
              </w:rPr>
            </w:pPr>
            <w:r>
              <w:rPr>
                <w:rFonts w:ascii="Times New Roman" w:hAnsi="Times New Roman"/>
                <w:sz w:val="20"/>
              </w:rPr>
              <w:t>Effect of exchange rates changes on cash and cash equivalents</w:t>
            </w:r>
          </w:p>
        </w:tc>
        <w:tc>
          <w:tcPr>
            <w:tcW w:w="2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9,433</w:t>
            </w:r>
          </w:p>
        </w:tc>
        <w:tc>
          <w:tcPr>
            <w:tcW w:w="155"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4,390</w:t>
            </w:r>
          </w:p>
        </w:tc>
        <w:tc>
          <w:tcPr>
            <w:tcW w:w="159" w:type="dxa"/>
            <w:tcBorders/>
            <w:vAlign w:val="bottom"/>
          </w:tcPr>
          <w:p>
            <w:pPr>
              <w:pStyle w:val="TableContents"/>
              <w:bidi w:val="0"/>
              <w:spacing w:before="0" w:after="283"/>
              <w:jc w:val="left"/>
              <w:rPr/>
            </w:pPr>
            <w:r>
              <w:rPr/>
              <w:t> </w:t>
            </w:r>
          </w:p>
        </w:tc>
      </w:tr>
      <w:tr>
        <w:trPr/>
        <w:tc>
          <w:tcPr>
            <w:tcW w:w="7395"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39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decrease in cash and cash equivalents</w:t>
            </w:r>
          </w:p>
        </w:tc>
        <w:tc>
          <w:tcPr>
            <w:tcW w:w="2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(140,328</w:t>
            </w:r>
          </w:p>
        </w:tc>
        <w:tc>
          <w:tcPr>
            <w:tcW w:w="155"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(89,573</w:t>
            </w:r>
          </w:p>
        </w:tc>
        <w:tc>
          <w:tcPr>
            <w:tcW w:w="159" w:type="dxa"/>
            <w:tcBorders/>
            <w:shd w:fill="CCEEFF" w:val="clear"/>
            <w:vAlign w:val="bottom"/>
          </w:tcPr>
          <w:p>
            <w:pPr>
              <w:pStyle w:val="TableContents"/>
              <w:bidi w:val="0"/>
              <w:spacing w:before="0" w:after="283"/>
              <w:jc w:val="left"/>
              <w:rPr/>
            </w:pPr>
            <w:r>
              <w:rPr/>
              <w:t>) </w:t>
            </w:r>
          </w:p>
        </w:tc>
      </w:tr>
      <w:tr>
        <w:trPr/>
        <w:tc>
          <w:tcPr>
            <w:tcW w:w="7395" w:type="dxa"/>
            <w:tcBorders/>
          </w:tcPr>
          <w:p>
            <w:pPr>
              <w:pStyle w:val="TableContents"/>
              <w:bidi w:val="0"/>
              <w:spacing w:before="0" w:after="0"/>
              <w:jc w:val="left"/>
              <w:rPr>
                <w:rFonts w:ascii="Times New Roman" w:hAnsi="Times New Roman"/>
                <w:b/>
                <w:sz w:val="20"/>
              </w:rPr>
            </w:pPr>
            <w:r>
              <w:rPr>
                <w:rFonts w:ascii="Times New Roman" w:hAnsi="Times New Roman"/>
                <w:b/>
                <w:sz w:val="20"/>
              </w:rPr>
              <w:t>Cash and cash equivalents, beginning of year</w:t>
            </w:r>
          </w:p>
        </w:tc>
        <w:tc>
          <w:tcPr>
            <w:tcW w:w="2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92" w:type="dxa"/>
            <w:tcBorders/>
            <w:vAlign w:val="bottom"/>
          </w:tcPr>
          <w:p>
            <w:pPr>
              <w:pStyle w:val="TableContents"/>
              <w:bidi w:val="0"/>
              <w:spacing w:before="0" w:after="283"/>
              <w:jc w:val="right"/>
              <w:rPr/>
            </w:pPr>
            <w:r>
              <w:rPr/>
              <w:t>495,242</w:t>
            </w:r>
          </w:p>
        </w:tc>
        <w:tc>
          <w:tcPr>
            <w:tcW w:w="155"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92" w:type="dxa"/>
            <w:tcBorders/>
            <w:vAlign w:val="bottom"/>
          </w:tcPr>
          <w:p>
            <w:pPr>
              <w:pStyle w:val="TableContents"/>
              <w:bidi w:val="0"/>
              <w:spacing w:before="0" w:after="283"/>
              <w:jc w:val="right"/>
              <w:rPr/>
            </w:pPr>
            <w:r>
              <w:rPr/>
              <w:t>654,608</w:t>
            </w:r>
          </w:p>
        </w:tc>
        <w:tc>
          <w:tcPr>
            <w:tcW w:w="159" w:type="dxa"/>
            <w:tcBorders/>
            <w:vAlign w:val="bottom"/>
          </w:tcPr>
          <w:p>
            <w:pPr>
              <w:pStyle w:val="TableContents"/>
              <w:bidi w:val="0"/>
              <w:spacing w:before="0" w:after="283"/>
              <w:jc w:val="left"/>
              <w:rPr/>
            </w:pPr>
            <w:r>
              <w:rPr/>
              <w:t> </w:t>
            </w:r>
          </w:p>
        </w:tc>
      </w:tr>
      <w:tr>
        <w:trPr/>
        <w:tc>
          <w:tcPr>
            <w:tcW w:w="7395"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39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and cash equivalents, end of year</w:t>
            </w:r>
          </w:p>
        </w:tc>
        <w:tc>
          <w:tcPr>
            <w:tcW w:w="2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92" w:type="dxa"/>
            <w:tcBorders/>
            <w:shd w:fill="CCEEFF" w:val="clear"/>
            <w:vAlign w:val="bottom"/>
          </w:tcPr>
          <w:p>
            <w:pPr>
              <w:pStyle w:val="TableContents"/>
              <w:bidi w:val="0"/>
              <w:spacing w:before="0" w:after="283"/>
              <w:jc w:val="right"/>
              <w:rPr/>
            </w:pPr>
            <w:r>
              <w:rPr/>
              <w:t>354,914</w:t>
            </w:r>
          </w:p>
        </w:tc>
        <w:tc>
          <w:tcPr>
            <w:tcW w:w="155"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92" w:type="dxa"/>
            <w:tcBorders/>
            <w:shd w:fill="CCEEFF" w:val="clear"/>
            <w:vAlign w:val="bottom"/>
          </w:tcPr>
          <w:p>
            <w:pPr>
              <w:pStyle w:val="TableContents"/>
              <w:bidi w:val="0"/>
              <w:spacing w:before="0" w:after="283"/>
              <w:jc w:val="right"/>
              <w:rPr/>
            </w:pPr>
            <w:r>
              <w:rPr/>
              <w:t>565,035</w:t>
            </w:r>
          </w:p>
        </w:tc>
        <w:tc>
          <w:tcPr>
            <w:tcW w:w="159" w:type="dxa"/>
            <w:tcBorders/>
            <w:shd w:fill="CCEEFF" w:val="clear"/>
            <w:vAlign w:val="bottom"/>
          </w:tcPr>
          <w:p>
            <w:pPr>
              <w:pStyle w:val="TableContents"/>
              <w:bidi w:val="0"/>
              <w:spacing w:before="0" w:after="283"/>
              <w:jc w:val="left"/>
              <w:rPr/>
            </w:pPr>
            <w:r>
              <w:rPr/>
              <w:t> </w:t>
            </w:r>
          </w:p>
        </w:tc>
      </w:tr>
      <w:tr>
        <w:trPr/>
        <w:tc>
          <w:tcPr>
            <w:tcW w:w="7395"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revised the Nine-Months Ended September 30, 2024 Consolidated Statements of Cash Flows to correct presentation errors identified during the preparation of our current form 10Q. </w:t>
            </w:r>
          </w:p>
        </w:tc>
      </w:tr>
    </w:tbl>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Reconciliation of Non-GAAP Financial Measures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(Amounts in millions, except percentages)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992"/>
        <w:gridCol w:w="190"/>
        <w:gridCol w:w="295"/>
        <w:gridCol w:w="1182"/>
        <w:gridCol w:w="580"/>
        <w:gridCol w:w="195"/>
        <w:gridCol w:w="295"/>
        <w:gridCol w:w="1187"/>
        <w:gridCol w:w="275"/>
        <w:gridCol w:w="131"/>
        <w:gridCol w:w="284"/>
        <w:gridCol w:w="1140"/>
        <w:gridCol w:w="558"/>
        <w:gridCol w:w="192"/>
        <w:gridCol w:w="284"/>
        <w:gridCol w:w="1143"/>
        <w:gridCol w:w="282"/>
      </w:tblGrid>
      <w:tr>
        <w:trPr/>
        <w:tc>
          <w:tcPr>
            <w:tcW w:w="1992" w:type="dxa"/>
            <w:tcBorders/>
            <w:vAlign w:val="center"/>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1992"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373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September 30,</w:t>
            </w:r>
          </w:p>
        </w:tc>
        <w:tc>
          <w:tcPr>
            <w:tcW w:w="27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360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 September 30,</w:t>
            </w:r>
          </w:p>
        </w:tc>
        <w:tc>
          <w:tcPr>
            <w:tcW w:w="282" w:type="dxa"/>
            <w:tcBorders/>
            <w:vAlign w:val="bottom"/>
          </w:tcPr>
          <w:p>
            <w:pPr>
              <w:pStyle w:val="TableContents"/>
              <w:bidi w:val="0"/>
              <w:spacing w:before="0" w:after="283"/>
              <w:jc w:val="left"/>
              <w:rPr/>
            </w:pPr>
            <w:r>
              <w:rPr/>
              <w:t> </w:t>
            </w:r>
          </w:p>
        </w:tc>
      </w:tr>
      <w:tr>
        <w:trPr/>
        <w:tc>
          <w:tcPr>
            <w:tcW w:w="1992" w:type="dxa"/>
            <w:tcBorders/>
            <w:vAlign w:val="bottom"/>
          </w:tcPr>
          <w:p>
            <w:pPr>
              <w:pStyle w:val="TableContents"/>
              <w:bidi w:val="0"/>
              <w:spacing w:before="0" w:after="283"/>
              <w:jc w:val="left"/>
              <w:rPr>
                <w:b/>
              </w:rPr>
            </w:pPr>
            <w:r>
              <w:rPr>
                <w:b/>
              </w:rPr>
              <w:t>(dollars in millions)</w:t>
            </w:r>
          </w:p>
        </w:tc>
        <w:tc>
          <w:tcPr>
            <w:tcW w:w="190" w:type="dxa"/>
            <w:tcBorders/>
            <w:vAlign w:val="bottom"/>
          </w:tcPr>
          <w:p>
            <w:pPr>
              <w:pStyle w:val="TableContents"/>
              <w:bidi w:val="0"/>
              <w:spacing w:before="0" w:after="283"/>
              <w:jc w:val="left"/>
              <w:rPr/>
            </w:pPr>
            <w:r>
              <w:rPr/>
              <w:t>  </w:t>
            </w:r>
          </w:p>
        </w:tc>
        <w:tc>
          <w:tcPr>
            <w:tcW w:w="1477" w:type="dxa"/>
            <w:gridSpan w:val="2"/>
            <w:tcBorders/>
            <w:vAlign w:val="bottom"/>
          </w:tcPr>
          <w:p>
            <w:pPr>
              <w:pStyle w:val="TableContents"/>
              <w:bidi w:val="0"/>
              <w:spacing w:before="0" w:after="283"/>
              <w:jc w:val="center"/>
              <w:rPr>
                <w:b/>
              </w:rPr>
            </w:pPr>
            <w:r>
              <w:rPr>
                <w:b/>
              </w:rPr>
              <w:t>2025</w:t>
            </w:r>
          </w:p>
        </w:tc>
        <w:tc>
          <w:tcPr>
            <w:tcW w:w="58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82" w:type="dxa"/>
            <w:gridSpan w:val="2"/>
            <w:tcBorders/>
            <w:vAlign w:val="bottom"/>
          </w:tcPr>
          <w:p>
            <w:pPr>
              <w:pStyle w:val="TableContents"/>
              <w:bidi w:val="0"/>
              <w:spacing w:before="0" w:after="283"/>
              <w:jc w:val="center"/>
              <w:rPr>
                <w:b/>
              </w:rPr>
            </w:pPr>
            <w:r>
              <w:rPr>
                <w:b/>
              </w:rPr>
              <w:t>2024</w:t>
            </w:r>
          </w:p>
        </w:tc>
        <w:tc>
          <w:tcPr>
            <w:tcW w:w="27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24" w:type="dxa"/>
            <w:gridSpan w:val="2"/>
            <w:tcBorders/>
            <w:vAlign w:val="bottom"/>
          </w:tcPr>
          <w:p>
            <w:pPr>
              <w:pStyle w:val="TableContents"/>
              <w:bidi w:val="0"/>
              <w:spacing w:before="0" w:after="283"/>
              <w:jc w:val="center"/>
              <w:rPr>
                <w:b/>
              </w:rPr>
            </w:pPr>
            <w:r>
              <w:rPr>
                <w:b/>
              </w:rPr>
              <w:t>2025</w:t>
            </w:r>
          </w:p>
        </w:tc>
        <w:tc>
          <w:tcPr>
            <w:tcW w:w="558"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427" w:type="dxa"/>
            <w:gridSpan w:val="2"/>
            <w:tcBorders/>
            <w:vAlign w:val="bottom"/>
          </w:tcPr>
          <w:p>
            <w:pPr>
              <w:pStyle w:val="TableContents"/>
              <w:bidi w:val="0"/>
              <w:spacing w:before="0" w:after="283"/>
              <w:jc w:val="center"/>
              <w:rPr>
                <w:b/>
              </w:rPr>
            </w:pPr>
            <w:r>
              <w:rPr>
                <w:b/>
              </w:rPr>
              <w:t>2024</w:t>
            </w:r>
          </w:p>
        </w:tc>
        <w:tc>
          <w:tcPr>
            <w:tcW w:w="282" w:type="dxa"/>
            <w:tcBorders/>
            <w:vAlign w:val="bottom"/>
          </w:tcPr>
          <w:p>
            <w:pPr>
              <w:pStyle w:val="TableContents"/>
              <w:bidi w:val="0"/>
              <w:spacing w:before="0" w:after="283"/>
              <w:jc w:val="left"/>
              <w:rPr/>
            </w:pPr>
            <w:r>
              <w:rPr/>
              <w:t> </w:t>
            </w:r>
          </w:p>
        </w:tc>
      </w:tr>
      <w:tr>
        <w:trPr/>
        <w:tc>
          <w:tcPr>
            <w:tcW w:w="19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9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w:t>
            </w:r>
          </w:p>
        </w:tc>
        <w:tc>
          <w:tcPr>
            <w:tcW w:w="1182" w:type="dxa"/>
            <w:tcBorders/>
            <w:shd w:fill="CCEEFF" w:val="clear"/>
            <w:vAlign w:val="bottom"/>
          </w:tcPr>
          <w:p>
            <w:pPr>
              <w:pStyle w:val="TableContents"/>
              <w:bidi w:val="0"/>
              <w:spacing w:before="0" w:after="283"/>
              <w:jc w:val="right"/>
              <w:rPr/>
            </w:pPr>
            <w:r>
              <w:rPr/>
              <w:t>200.1</w:t>
            </w:r>
          </w:p>
        </w:tc>
        <w:tc>
          <w:tcPr>
            <w:tcW w:w="58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w:t>
            </w:r>
          </w:p>
        </w:tc>
        <w:tc>
          <w:tcPr>
            <w:tcW w:w="1187" w:type="dxa"/>
            <w:tcBorders/>
            <w:shd w:fill="CCEEFF" w:val="clear"/>
            <w:vAlign w:val="bottom"/>
          </w:tcPr>
          <w:p>
            <w:pPr>
              <w:pStyle w:val="TableContents"/>
              <w:bidi w:val="0"/>
              <w:spacing w:before="0" w:after="283"/>
              <w:jc w:val="right"/>
              <w:rPr/>
            </w:pPr>
            <w:r>
              <w:rPr/>
              <w:t>156.8</w:t>
            </w:r>
          </w:p>
        </w:tc>
        <w:tc>
          <w:tcPr>
            <w:tcW w:w="27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w:t>
            </w:r>
          </w:p>
        </w:tc>
        <w:tc>
          <w:tcPr>
            <w:tcW w:w="1140" w:type="dxa"/>
            <w:tcBorders/>
            <w:shd w:fill="CCEEFF" w:val="clear"/>
            <w:vAlign w:val="bottom"/>
          </w:tcPr>
          <w:p>
            <w:pPr>
              <w:pStyle w:val="TableContents"/>
              <w:bidi w:val="0"/>
              <w:spacing w:before="0" w:after="283"/>
              <w:jc w:val="right"/>
              <w:rPr/>
            </w:pPr>
            <w:r>
              <w:rPr/>
              <w:t>465.5</w:t>
            </w:r>
          </w:p>
        </w:tc>
        <w:tc>
          <w:tcPr>
            <w:tcW w:w="558"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w:t>
            </w:r>
          </w:p>
        </w:tc>
        <w:tc>
          <w:tcPr>
            <w:tcW w:w="1143" w:type="dxa"/>
            <w:tcBorders/>
            <w:shd w:fill="CCEEFF" w:val="clear"/>
            <w:vAlign w:val="bottom"/>
          </w:tcPr>
          <w:p>
            <w:pPr>
              <w:pStyle w:val="TableContents"/>
              <w:bidi w:val="0"/>
              <w:spacing w:before="0" w:after="283"/>
              <w:jc w:val="right"/>
              <w:rPr/>
            </w:pPr>
            <w:r>
              <w:rPr/>
              <w:t>374.6</w:t>
            </w:r>
          </w:p>
        </w:tc>
        <w:tc>
          <w:tcPr>
            <w:tcW w:w="282" w:type="dxa"/>
            <w:tcBorders/>
            <w:shd w:fill="CCEEFF" w:val="clear"/>
            <w:vAlign w:val="bottom"/>
          </w:tcPr>
          <w:p>
            <w:pPr>
              <w:pStyle w:val="TableContents"/>
              <w:bidi w:val="0"/>
              <w:spacing w:before="0" w:after="283"/>
              <w:jc w:val="left"/>
              <w:rPr/>
            </w:pPr>
            <w:r>
              <w:rPr/>
              <w:t> </w:t>
            </w:r>
          </w:p>
        </w:tc>
      </w:tr>
      <w:tr>
        <w:trPr/>
        <w:tc>
          <w:tcPr>
            <w:tcW w:w="1992" w:type="dxa"/>
            <w:tcBorders/>
          </w:tcPr>
          <w:p>
            <w:pPr>
              <w:pStyle w:val="TableContents"/>
              <w:bidi w:val="0"/>
              <w:spacing w:before="0" w:after="0"/>
              <w:jc w:val="left"/>
              <w:rPr>
                <w:rFonts w:ascii="Times New Roman" w:hAnsi="Times New Roman"/>
                <w:sz w:val="20"/>
              </w:rPr>
            </w:pPr>
            <w:r>
              <w:rPr>
                <w:rFonts w:ascii="Times New Roman" w:hAnsi="Times New Roman"/>
                <w:sz w:val="20"/>
              </w:rPr>
              <w:t>Adjusted to exclude gross up for:</w:t>
            </w:r>
          </w:p>
        </w:tc>
        <w:tc>
          <w:tcPr>
            <w:tcW w:w="19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1182" w:type="dxa"/>
            <w:tcBorders/>
            <w:vAlign w:val="bottom"/>
          </w:tcPr>
          <w:p>
            <w:pPr>
              <w:pStyle w:val="TableContents"/>
              <w:bidi w:val="0"/>
              <w:spacing w:before="0" w:after="283"/>
              <w:jc w:val="left"/>
              <w:rPr>
                <w:sz w:val="4"/>
                <w:szCs w:val="4"/>
              </w:rPr>
            </w:pPr>
            <w:r>
              <w:rPr>
                <w:sz w:val="4"/>
                <w:szCs w:val="4"/>
              </w:rPr>
            </w:r>
          </w:p>
        </w:tc>
        <w:tc>
          <w:tcPr>
            <w:tcW w:w="580"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1187"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sz w:val="4"/>
                <w:szCs w:val="4"/>
              </w:rPr>
            </w:pPr>
            <w:r>
              <w:rPr>
                <w:sz w:val="4"/>
                <w:szCs w:val="4"/>
              </w:rPr>
            </w:r>
          </w:p>
        </w:tc>
        <w:tc>
          <w:tcPr>
            <w:tcW w:w="1140" w:type="dxa"/>
            <w:tcBorders/>
            <w:vAlign w:val="bottom"/>
          </w:tcPr>
          <w:p>
            <w:pPr>
              <w:pStyle w:val="TableContents"/>
              <w:bidi w:val="0"/>
              <w:spacing w:before="0" w:after="283"/>
              <w:jc w:val="left"/>
              <w:rPr>
                <w:sz w:val="4"/>
                <w:szCs w:val="4"/>
              </w:rPr>
            </w:pPr>
            <w:r>
              <w:rPr>
                <w:sz w:val="4"/>
                <w:szCs w:val="4"/>
              </w:rPr>
            </w:r>
          </w:p>
        </w:tc>
        <w:tc>
          <w:tcPr>
            <w:tcW w:w="558" w:type="dxa"/>
            <w:tcBorders/>
            <w:vAlign w:val="bottom"/>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sz w:val="4"/>
                <w:szCs w:val="4"/>
              </w:rPr>
            </w:pPr>
            <w:r>
              <w:rPr>
                <w:sz w:val="4"/>
                <w:szCs w:val="4"/>
              </w:rPr>
            </w:r>
          </w:p>
        </w:tc>
        <w:tc>
          <w:tcPr>
            <w:tcW w:w="1143"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r>
      <w:tr>
        <w:trPr/>
        <w:tc>
          <w:tcPr>
            <w:tcW w:w="19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Pass-through cost for printing and mailing</w:t>
            </w:r>
          </w:p>
        </w:tc>
        <w:tc>
          <w:tcPr>
            <w:tcW w:w="19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(4.6</w:t>
            </w:r>
          </w:p>
        </w:tc>
        <w:tc>
          <w:tcPr>
            <w:tcW w:w="58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187" w:type="dxa"/>
            <w:tcBorders/>
            <w:shd w:fill="CCEEFF" w:val="clear"/>
            <w:vAlign w:val="bottom"/>
          </w:tcPr>
          <w:p>
            <w:pPr>
              <w:pStyle w:val="TableContents"/>
              <w:bidi w:val="0"/>
              <w:spacing w:before="0" w:after="283"/>
              <w:jc w:val="right"/>
              <w:rPr/>
            </w:pPr>
            <w:r>
              <w:rPr/>
              <w:t>(4.2</w:t>
            </w:r>
          </w:p>
        </w:tc>
        <w:tc>
          <w:tcPr>
            <w:tcW w:w="27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140" w:type="dxa"/>
            <w:tcBorders/>
            <w:shd w:fill="CCEEFF" w:val="clear"/>
            <w:vAlign w:val="bottom"/>
          </w:tcPr>
          <w:p>
            <w:pPr>
              <w:pStyle w:val="TableContents"/>
              <w:bidi w:val="0"/>
              <w:spacing w:before="0" w:after="283"/>
              <w:jc w:val="right"/>
              <w:rPr/>
            </w:pPr>
            <w:r>
              <w:rPr/>
              <w:t>(13.3</w:t>
            </w:r>
          </w:p>
        </w:tc>
        <w:tc>
          <w:tcPr>
            <w:tcW w:w="558"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(11.4</w:t>
            </w:r>
          </w:p>
        </w:tc>
        <w:tc>
          <w:tcPr>
            <w:tcW w:w="282" w:type="dxa"/>
            <w:tcBorders/>
            <w:shd w:fill="CCEEFF" w:val="clear"/>
            <w:vAlign w:val="bottom"/>
          </w:tcPr>
          <w:p>
            <w:pPr>
              <w:pStyle w:val="TableContents"/>
              <w:bidi w:val="0"/>
              <w:spacing w:before="0" w:after="283"/>
              <w:jc w:val="left"/>
              <w:rPr/>
            </w:pPr>
            <w:r>
              <w:rPr/>
              <w:t>) </w:t>
            </w:r>
          </w:p>
        </w:tc>
      </w:tr>
      <w:tr>
        <w:trPr/>
        <w:tc>
          <w:tcPr>
            <w:tcW w:w="1992" w:type="dxa"/>
            <w:tcBorders/>
          </w:tcPr>
          <w:p>
            <w:pPr>
              <w:pStyle w:val="TableContents"/>
              <w:bidi w:val="0"/>
              <w:spacing w:before="0" w:after="0"/>
              <w:jc w:val="left"/>
              <w:rPr>
                <w:rFonts w:ascii="Times New Roman" w:hAnsi="Times New Roman"/>
                <w:sz w:val="20"/>
              </w:rPr>
            </w:pPr>
            <w:r>
              <w:rPr>
                <w:rFonts w:ascii="Times New Roman" w:hAnsi="Times New Roman"/>
                <w:sz w:val="20"/>
              </w:rPr>
              <w:t>Marketing fees</w:t>
            </w:r>
          </w:p>
        </w:tc>
        <w:tc>
          <w:tcPr>
            <w:tcW w:w="19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(1.4</w:t>
            </w:r>
          </w:p>
        </w:tc>
        <w:tc>
          <w:tcPr>
            <w:tcW w:w="58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pPr>
            <w:r>
              <w:rPr/>
              <w:t>(1.2</w:t>
            </w:r>
          </w:p>
        </w:tc>
        <w:tc>
          <w:tcPr>
            <w:tcW w:w="27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140" w:type="dxa"/>
            <w:tcBorders/>
            <w:vAlign w:val="bottom"/>
          </w:tcPr>
          <w:p>
            <w:pPr>
              <w:pStyle w:val="TableContents"/>
              <w:bidi w:val="0"/>
              <w:spacing w:before="0" w:after="283"/>
              <w:jc w:val="right"/>
              <w:rPr/>
            </w:pPr>
            <w:r>
              <w:rPr/>
              <w:t>(1.9</w:t>
            </w:r>
          </w:p>
        </w:tc>
        <w:tc>
          <w:tcPr>
            <w:tcW w:w="558"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(1.7</w:t>
            </w:r>
          </w:p>
        </w:tc>
        <w:tc>
          <w:tcPr>
            <w:tcW w:w="282" w:type="dxa"/>
            <w:tcBorders/>
            <w:vAlign w:val="bottom"/>
          </w:tcPr>
          <w:p>
            <w:pPr>
              <w:pStyle w:val="TableContents"/>
              <w:bidi w:val="0"/>
              <w:spacing w:before="0" w:after="283"/>
              <w:jc w:val="left"/>
              <w:rPr/>
            </w:pPr>
            <w:r>
              <w:rPr/>
              <w:t>) </w:t>
            </w:r>
          </w:p>
        </w:tc>
      </w:tr>
      <w:tr>
        <w:trPr/>
        <w:tc>
          <w:tcPr>
            <w:tcW w:w="1992" w:type="dxa"/>
            <w:tcBorders/>
            <w:vAlign w:val="bottom"/>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295"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580"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295" w:type="dxa"/>
            <w:tcBorders/>
            <w:vAlign w:val="bottom"/>
          </w:tcPr>
          <w:p>
            <w:pPr>
              <w:pStyle w:val="TableContents"/>
              <w:pBdr>
                <w:top w:val="single" w:sz="2" w:space="1" w:color="000000"/>
              </w:pBdr>
              <w:bidi w:val="0"/>
              <w:spacing w:before="0" w:after="0"/>
              <w:jc w:val="left"/>
              <w:rPr/>
            </w:pPr>
            <w:r>
              <w:rPr/>
              <w:t> </w:t>
            </w:r>
          </w:p>
        </w:tc>
        <w:tc>
          <w:tcPr>
            <w:tcW w:w="1187"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284" w:type="dxa"/>
            <w:tcBorders/>
            <w:vAlign w:val="bottom"/>
          </w:tcPr>
          <w:p>
            <w:pPr>
              <w:pStyle w:val="TableContents"/>
              <w:pBdr>
                <w:top w:val="single" w:sz="2" w:space="1" w:color="000000"/>
              </w:pBdr>
              <w:bidi w:val="0"/>
              <w:spacing w:before="0" w:after="0"/>
              <w:jc w:val="left"/>
              <w:rPr/>
            </w:pPr>
            <w:r>
              <w:rPr/>
              <w:t> </w:t>
            </w:r>
          </w:p>
        </w:tc>
        <w:tc>
          <w:tcPr>
            <w:tcW w:w="1140" w:type="dxa"/>
            <w:tcBorders/>
            <w:vAlign w:val="bottom"/>
          </w:tcPr>
          <w:p>
            <w:pPr>
              <w:pStyle w:val="TableContents"/>
              <w:pBdr>
                <w:top w:val="single" w:sz="2" w:space="1" w:color="000000"/>
              </w:pBdr>
              <w:bidi w:val="0"/>
              <w:spacing w:before="0" w:after="0"/>
              <w:jc w:val="left"/>
              <w:rPr/>
            </w:pPr>
            <w:r>
              <w:rPr/>
              <w:t> </w:t>
            </w:r>
          </w:p>
        </w:tc>
        <w:tc>
          <w:tcPr>
            <w:tcW w:w="558"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284" w:type="dxa"/>
            <w:tcBorders/>
            <w:vAlign w:val="bottom"/>
          </w:tcPr>
          <w:p>
            <w:pPr>
              <w:pStyle w:val="TableContents"/>
              <w:pBdr>
                <w:top w:val="single" w:sz="2" w:space="1" w:color="000000"/>
              </w:pBdr>
              <w:bidi w:val="0"/>
              <w:spacing w:before="0" w:after="0"/>
              <w:jc w:val="left"/>
              <w:rPr/>
            </w:pPr>
            <w:r>
              <w:rPr/>
              <w:t> </w:t>
            </w:r>
          </w:p>
        </w:tc>
        <w:tc>
          <w:tcPr>
            <w:tcW w:w="1143"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19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Less Ancillary Services</w:t>
            </w:r>
          </w:p>
        </w:tc>
        <w:tc>
          <w:tcPr>
            <w:tcW w:w="19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w:t>
            </w:r>
          </w:p>
        </w:tc>
        <w:tc>
          <w:tcPr>
            <w:tcW w:w="1182" w:type="dxa"/>
            <w:tcBorders/>
            <w:shd w:fill="CCEEFF" w:val="clear"/>
            <w:vAlign w:val="bottom"/>
          </w:tcPr>
          <w:p>
            <w:pPr>
              <w:pStyle w:val="TableContents"/>
              <w:bidi w:val="0"/>
              <w:spacing w:before="0" w:after="283"/>
              <w:jc w:val="right"/>
              <w:rPr/>
            </w:pPr>
            <w:r>
              <w:rPr/>
              <w:t>194.1</w:t>
            </w:r>
          </w:p>
        </w:tc>
        <w:tc>
          <w:tcPr>
            <w:tcW w:w="58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w:t>
            </w:r>
          </w:p>
        </w:tc>
        <w:tc>
          <w:tcPr>
            <w:tcW w:w="1187" w:type="dxa"/>
            <w:tcBorders/>
            <w:shd w:fill="CCEEFF" w:val="clear"/>
            <w:vAlign w:val="bottom"/>
          </w:tcPr>
          <w:p>
            <w:pPr>
              <w:pStyle w:val="TableContents"/>
              <w:bidi w:val="0"/>
              <w:spacing w:before="0" w:after="283"/>
              <w:jc w:val="right"/>
              <w:rPr/>
            </w:pPr>
            <w:r>
              <w:rPr/>
              <w:t>151.4</w:t>
            </w:r>
          </w:p>
        </w:tc>
        <w:tc>
          <w:tcPr>
            <w:tcW w:w="27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w:t>
            </w:r>
          </w:p>
        </w:tc>
        <w:tc>
          <w:tcPr>
            <w:tcW w:w="1140" w:type="dxa"/>
            <w:tcBorders/>
            <w:shd w:fill="CCEEFF" w:val="clear"/>
            <w:vAlign w:val="bottom"/>
          </w:tcPr>
          <w:p>
            <w:pPr>
              <w:pStyle w:val="TableContents"/>
              <w:bidi w:val="0"/>
              <w:spacing w:before="0" w:after="283"/>
              <w:jc w:val="right"/>
              <w:rPr/>
            </w:pPr>
            <w:r>
              <w:rPr/>
              <w:t>450.3</w:t>
            </w:r>
          </w:p>
        </w:tc>
        <w:tc>
          <w:tcPr>
            <w:tcW w:w="558"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w:t>
            </w:r>
          </w:p>
        </w:tc>
        <w:tc>
          <w:tcPr>
            <w:tcW w:w="1143" w:type="dxa"/>
            <w:tcBorders/>
            <w:shd w:fill="CCEEFF" w:val="clear"/>
            <w:vAlign w:val="bottom"/>
          </w:tcPr>
          <w:p>
            <w:pPr>
              <w:pStyle w:val="TableContents"/>
              <w:bidi w:val="0"/>
              <w:spacing w:before="0" w:after="283"/>
              <w:jc w:val="right"/>
              <w:rPr/>
            </w:pPr>
            <w:r>
              <w:rPr/>
              <w:t>361.5</w:t>
            </w:r>
          </w:p>
        </w:tc>
        <w:tc>
          <w:tcPr>
            <w:tcW w:w="282" w:type="dxa"/>
            <w:tcBorders/>
            <w:shd w:fill="CCEEFF" w:val="clear"/>
            <w:vAlign w:val="bottom"/>
          </w:tcPr>
          <w:p>
            <w:pPr>
              <w:pStyle w:val="TableContents"/>
              <w:bidi w:val="0"/>
              <w:spacing w:before="0" w:after="283"/>
              <w:jc w:val="left"/>
              <w:rPr/>
            </w:pPr>
            <w:r>
              <w:rPr/>
              <w:t> </w:t>
            </w:r>
          </w:p>
        </w:tc>
      </w:tr>
      <w:tr>
        <w:trPr/>
        <w:tc>
          <w:tcPr>
            <w:tcW w:w="1992" w:type="dxa"/>
            <w:tcBorders/>
            <w:vAlign w:val="bottom"/>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295" w:type="dxa"/>
            <w:tcBorders/>
            <w:vAlign w:val="bottom"/>
          </w:tcPr>
          <w:p>
            <w:pPr>
              <w:pStyle w:val="TableContents"/>
              <w:pBdr>
                <w:top w:val="double" w:sz="6" w:space="1" w:color="000000"/>
              </w:pBdr>
              <w:bidi w:val="0"/>
              <w:spacing w:before="0" w:after="0"/>
              <w:jc w:val="left"/>
              <w:rPr/>
            </w:pPr>
            <w:r>
              <w:rPr/>
              <w:t> </w:t>
            </w:r>
          </w:p>
        </w:tc>
        <w:tc>
          <w:tcPr>
            <w:tcW w:w="1182" w:type="dxa"/>
            <w:tcBorders/>
            <w:vAlign w:val="bottom"/>
          </w:tcPr>
          <w:p>
            <w:pPr>
              <w:pStyle w:val="TableContents"/>
              <w:pBdr>
                <w:top w:val="double" w:sz="6" w:space="1" w:color="000000"/>
              </w:pBdr>
              <w:bidi w:val="0"/>
              <w:spacing w:before="0" w:after="0"/>
              <w:jc w:val="left"/>
              <w:rPr/>
            </w:pPr>
            <w:r>
              <w:rPr/>
              <w:t> </w:t>
            </w:r>
          </w:p>
        </w:tc>
        <w:tc>
          <w:tcPr>
            <w:tcW w:w="580"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295" w:type="dxa"/>
            <w:tcBorders/>
            <w:vAlign w:val="bottom"/>
          </w:tcPr>
          <w:p>
            <w:pPr>
              <w:pStyle w:val="TableContents"/>
              <w:pBdr>
                <w:top w:val="double" w:sz="6" w:space="1" w:color="000000"/>
              </w:pBdr>
              <w:bidi w:val="0"/>
              <w:spacing w:before="0" w:after="0"/>
              <w:jc w:val="left"/>
              <w:rPr/>
            </w:pPr>
            <w:r>
              <w:rPr/>
              <w:t> </w:t>
            </w:r>
          </w:p>
        </w:tc>
        <w:tc>
          <w:tcPr>
            <w:tcW w:w="1187"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284" w:type="dxa"/>
            <w:tcBorders/>
            <w:vAlign w:val="bottom"/>
          </w:tcPr>
          <w:p>
            <w:pPr>
              <w:pStyle w:val="TableContents"/>
              <w:pBdr>
                <w:top w:val="double" w:sz="6" w:space="1" w:color="000000"/>
              </w:pBdr>
              <w:bidi w:val="0"/>
              <w:spacing w:before="0" w:after="0"/>
              <w:jc w:val="left"/>
              <w:rPr/>
            </w:pPr>
            <w:r>
              <w:rPr/>
              <w:t> </w:t>
            </w:r>
          </w:p>
        </w:tc>
        <w:tc>
          <w:tcPr>
            <w:tcW w:w="1140" w:type="dxa"/>
            <w:tcBorders/>
            <w:vAlign w:val="bottom"/>
          </w:tcPr>
          <w:p>
            <w:pPr>
              <w:pStyle w:val="TableContents"/>
              <w:pBdr>
                <w:top w:val="double" w:sz="6" w:space="1" w:color="000000"/>
              </w:pBdr>
              <w:bidi w:val="0"/>
              <w:spacing w:before="0" w:after="0"/>
              <w:jc w:val="left"/>
              <w:rPr/>
            </w:pPr>
            <w:r>
              <w:rPr/>
              <w:t> </w:t>
            </w:r>
          </w:p>
        </w:tc>
        <w:tc>
          <w:tcPr>
            <w:tcW w:w="558"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284" w:type="dxa"/>
            <w:tcBorders/>
            <w:vAlign w:val="bottom"/>
          </w:tcPr>
          <w:p>
            <w:pPr>
              <w:pStyle w:val="TableContents"/>
              <w:pBdr>
                <w:top w:val="double" w:sz="6" w:space="1" w:color="000000"/>
              </w:pBdr>
              <w:bidi w:val="0"/>
              <w:spacing w:before="0" w:after="0"/>
              <w:jc w:val="left"/>
              <w:rPr/>
            </w:pPr>
            <w:r>
              <w:rPr/>
              <w:t> </w:t>
            </w:r>
          </w:p>
        </w:tc>
        <w:tc>
          <w:tcPr>
            <w:tcW w:w="1143" w:type="dxa"/>
            <w:tcBorders/>
            <w:vAlign w:val="bottom"/>
          </w:tcPr>
          <w:p>
            <w:pPr>
              <w:pStyle w:val="TableContents"/>
              <w:pBdr>
                <w:top w:val="double" w:sz="6"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1992" w:type="dxa"/>
            <w:tcBorders/>
          </w:tcPr>
          <w:p>
            <w:pPr>
              <w:pStyle w:val="TableContents"/>
              <w:bidi w:val="0"/>
              <w:spacing w:before="0" w:after="0"/>
              <w:jc w:val="left"/>
              <w:rPr>
                <w:rFonts w:ascii="Times New Roman" w:hAnsi="Times New Roman"/>
                <w:sz w:val="20"/>
              </w:rPr>
            </w:pPr>
            <w:r>
              <w:rPr>
                <w:rFonts w:ascii="Times New Roman" w:hAnsi="Times New Roman"/>
                <w:sz w:val="20"/>
              </w:rPr>
              <w:t>Payment processing services costs</w:t>
            </w:r>
          </w:p>
        </w:tc>
        <w:tc>
          <w:tcPr>
            <w:tcW w:w="19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72.3</w:t>
            </w:r>
          </w:p>
        </w:tc>
        <w:tc>
          <w:tcPr>
            <w:tcW w:w="58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pPr>
            <w:r>
              <w:rPr/>
              <w:t>54.6</w:t>
            </w:r>
          </w:p>
        </w:tc>
        <w:tc>
          <w:tcPr>
            <w:tcW w:w="27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140" w:type="dxa"/>
            <w:tcBorders/>
            <w:vAlign w:val="bottom"/>
          </w:tcPr>
          <w:p>
            <w:pPr>
              <w:pStyle w:val="TableContents"/>
              <w:bidi w:val="0"/>
              <w:spacing w:before="0" w:after="283"/>
              <w:jc w:val="right"/>
              <w:rPr/>
            </w:pPr>
            <w:r>
              <w:rPr/>
              <w:t>176.8</w:t>
            </w:r>
          </w:p>
        </w:tc>
        <w:tc>
          <w:tcPr>
            <w:tcW w:w="558"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136.1</w:t>
            </w:r>
          </w:p>
        </w:tc>
        <w:tc>
          <w:tcPr>
            <w:tcW w:w="282" w:type="dxa"/>
            <w:tcBorders/>
            <w:vAlign w:val="bottom"/>
          </w:tcPr>
          <w:p>
            <w:pPr>
              <w:pStyle w:val="TableContents"/>
              <w:bidi w:val="0"/>
              <w:spacing w:before="0" w:after="283"/>
              <w:jc w:val="left"/>
              <w:rPr/>
            </w:pPr>
            <w:r>
              <w:rPr/>
              <w:t> </w:t>
            </w:r>
          </w:p>
        </w:tc>
      </w:tr>
      <w:tr>
        <w:trPr/>
        <w:tc>
          <w:tcPr>
            <w:tcW w:w="19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Hosting and amortization costs within technology and development expenses</w:t>
            </w:r>
          </w:p>
        </w:tc>
        <w:tc>
          <w:tcPr>
            <w:tcW w:w="19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3.1</w:t>
            </w:r>
          </w:p>
        </w:tc>
        <w:tc>
          <w:tcPr>
            <w:tcW w:w="58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187" w:type="dxa"/>
            <w:tcBorders/>
            <w:shd w:fill="CCEEFF" w:val="clear"/>
            <w:vAlign w:val="bottom"/>
          </w:tcPr>
          <w:p>
            <w:pPr>
              <w:pStyle w:val="TableContents"/>
              <w:bidi w:val="0"/>
              <w:spacing w:before="0" w:after="283"/>
              <w:jc w:val="right"/>
              <w:rPr/>
            </w:pPr>
            <w:r>
              <w:rPr/>
              <w:t>1.9</w:t>
            </w:r>
          </w:p>
        </w:tc>
        <w:tc>
          <w:tcPr>
            <w:tcW w:w="27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140" w:type="dxa"/>
            <w:tcBorders/>
            <w:shd w:fill="CCEEFF" w:val="clear"/>
            <w:vAlign w:val="bottom"/>
          </w:tcPr>
          <w:p>
            <w:pPr>
              <w:pStyle w:val="TableContents"/>
              <w:bidi w:val="0"/>
              <w:spacing w:before="0" w:after="283"/>
              <w:jc w:val="right"/>
              <w:rPr/>
            </w:pPr>
            <w:r>
              <w:rPr/>
              <w:t>8.3</w:t>
            </w:r>
          </w:p>
        </w:tc>
        <w:tc>
          <w:tcPr>
            <w:tcW w:w="558"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5.8</w:t>
            </w:r>
          </w:p>
        </w:tc>
        <w:tc>
          <w:tcPr>
            <w:tcW w:w="282" w:type="dxa"/>
            <w:tcBorders/>
            <w:shd w:fill="CCEEFF" w:val="clear"/>
            <w:vAlign w:val="bottom"/>
          </w:tcPr>
          <w:p>
            <w:pPr>
              <w:pStyle w:val="TableContents"/>
              <w:bidi w:val="0"/>
              <w:spacing w:before="0" w:after="283"/>
              <w:jc w:val="left"/>
              <w:rPr/>
            </w:pPr>
            <w:r>
              <w:rPr/>
              <w:t> </w:t>
            </w:r>
          </w:p>
        </w:tc>
      </w:tr>
      <w:tr>
        <w:trPr/>
        <w:tc>
          <w:tcPr>
            <w:tcW w:w="1992" w:type="dxa"/>
            <w:tcBorders/>
            <w:vAlign w:val="bottom"/>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295"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580"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295" w:type="dxa"/>
            <w:tcBorders/>
            <w:vAlign w:val="bottom"/>
          </w:tcPr>
          <w:p>
            <w:pPr>
              <w:pStyle w:val="TableContents"/>
              <w:pBdr>
                <w:top w:val="single" w:sz="2" w:space="1" w:color="000000"/>
              </w:pBdr>
              <w:bidi w:val="0"/>
              <w:spacing w:before="0" w:after="0"/>
              <w:jc w:val="left"/>
              <w:rPr/>
            </w:pPr>
            <w:r>
              <w:rPr/>
              <w:t> </w:t>
            </w:r>
          </w:p>
        </w:tc>
        <w:tc>
          <w:tcPr>
            <w:tcW w:w="1187"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284" w:type="dxa"/>
            <w:tcBorders/>
            <w:vAlign w:val="bottom"/>
          </w:tcPr>
          <w:p>
            <w:pPr>
              <w:pStyle w:val="TableContents"/>
              <w:pBdr>
                <w:top w:val="single" w:sz="2" w:space="1" w:color="000000"/>
              </w:pBdr>
              <w:bidi w:val="0"/>
              <w:spacing w:before="0" w:after="0"/>
              <w:jc w:val="left"/>
              <w:rPr/>
            </w:pPr>
            <w:r>
              <w:rPr/>
              <w:t> </w:t>
            </w:r>
          </w:p>
        </w:tc>
        <w:tc>
          <w:tcPr>
            <w:tcW w:w="1140" w:type="dxa"/>
            <w:tcBorders/>
            <w:vAlign w:val="bottom"/>
          </w:tcPr>
          <w:p>
            <w:pPr>
              <w:pStyle w:val="TableContents"/>
              <w:pBdr>
                <w:top w:val="single" w:sz="2" w:space="1" w:color="000000"/>
              </w:pBdr>
              <w:bidi w:val="0"/>
              <w:spacing w:before="0" w:after="0"/>
              <w:jc w:val="left"/>
              <w:rPr/>
            </w:pPr>
            <w:r>
              <w:rPr/>
              <w:t> </w:t>
            </w:r>
          </w:p>
        </w:tc>
        <w:tc>
          <w:tcPr>
            <w:tcW w:w="558"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284" w:type="dxa"/>
            <w:tcBorders/>
            <w:vAlign w:val="bottom"/>
          </w:tcPr>
          <w:p>
            <w:pPr>
              <w:pStyle w:val="TableContents"/>
              <w:pBdr>
                <w:top w:val="single" w:sz="2" w:space="1" w:color="000000"/>
              </w:pBdr>
              <w:bidi w:val="0"/>
              <w:spacing w:before="0" w:after="0"/>
              <w:jc w:val="left"/>
              <w:rPr/>
            </w:pPr>
            <w:r>
              <w:rPr/>
              <w:t> </w:t>
            </w:r>
          </w:p>
        </w:tc>
        <w:tc>
          <w:tcPr>
            <w:tcW w:w="1143"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1992"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19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w:t>
            </w:r>
          </w:p>
        </w:tc>
        <w:tc>
          <w:tcPr>
            <w:tcW w:w="1182" w:type="dxa"/>
            <w:tcBorders/>
            <w:vAlign w:val="bottom"/>
          </w:tcPr>
          <w:p>
            <w:pPr>
              <w:pStyle w:val="TableContents"/>
              <w:bidi w:val="0"/>
              <w:spacing w:before="0" w:after="283"/>
              <w:jc w:val="right"/>
              <w:rPr/>
            </w:pPr>
            <w:r>
              <w:rPr/>
              <w:t>75.4</w:t>
            </w:r>
          </w:p>
        </w:tc>
        <w:tc>
          <w:tcPr>
            <w:tcW w:w="58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w:t>
            </w:r>
          </w:p>
        </w:tc>
        <w:tc>
          <w:tcPr>
            <w:tcW w:w="1187" w:type="dxa"/>
            <w:tcBorders/>
            <w:vAlign w:val="bottom"/>
          </w:tcPr>
          <w:p>
            <w:pPr>
              <w:pStyle w:val="TableContents"/>
              <w:bidi w:val="0"/>
              <w:spacing w:before="0" w:after="283"/>
              <w:jc w:val="right"/>
              <w:rPr/>
            </w:pPr>
            <w:r>
              <w:rPr/>
              <w:t>56.5</w:t>
            </w:r>
          </w:p>
        </w:tc>
        <w:tc>
          <w:tcPr>
            <w:tcW w:w="27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w:t>
            </w:r>
          </w:p>
        </w:tc>
        <w:tc>
          <w:tcPr>
            <w:tcW w:w="1140" w:type="dxa"/>
            <w:tcBorders/>
            <w:vAlign w:val="bottom"/>
          </w:tcPr>
          <w:p>
            <w:pPr>
              <w:pStyle w:val="TableContents"/>
              <w:bidi w:val="0"/>
              <w:spacing w:before="0" w:after="283"/>
              <w:jc w:val="right"/>
              <w:rPr/>
            </w:pPr>
            <w:r>
              <w:rPr/>
              <w:t>185.1</w:t>
            </w:r>
          </w:p>
        </w:tc>
        <w:tc>
          <w:tcPr>
            <w:tcW w:w="558"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w:t>
            </w:r>
          </w:p>
        </w:tc>
        <w:tc>
          <w:tcPr>
            <w:tcW w:w="1143" w:type="dxa"/>
            <w:tcBorders/>
            <w:vAlign w:val="bottom"/>
          </w:tcPr>
          <w:p>
            <w:pPr>
              <w:pStyle w:val="TableContents"/>
              <w:bidi w:val="0"/>
              <w:spacing w:before="0" w:after="283"/>
              <w:jc w:val="right"/>
              <w:rPr/>
            </w:pPr>
            <w:r>
              <w:rPr/>
              <w:t>141.9</w:t>
            </w:r>
          </w:p>
        </w:tc>
        <w:tc>
          <w:tcPr>
            <w:tcW w:w="282" w:type="dxa"/>
            <w:tcBorders/>
            <w:vAlign w:val="bottom"/>
          </w:tcPr>
          <w:p>
            <w:pPr>
              <w:pStyle w:val="TableContents"/>
              <w:bidi w:val="0"/>
              <w:spacing w:before="0" w:after="283"/>
              <w:jc w:val="left"/>
              <w:rPr/>
            </w:pPr>
            <w:r>
              <w:rPr/>
              <w:t> </w:t>
            </w:r>
          </w:p>
        </w:tc>
      </w:tr>
      <w:tr>
        <w:trPr/>
        <w:tc>
          <w:tcPr>
            <w:tcW w:w="1992" w:type="dxa"/>
            <w:tcBorders/>
            <w:vAlign w:val="bottom"/>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295" w:type="dxa"/>
            <w:tcBorders/>
            <w:vAlign w:val="bottom"/>
          </w:tcPr>
          <w:p>
            <w:pPr>
              <w:pStyle w:val="TableContents"/>
              <w:pBdr>
                <w:top w:val="double" w:sz="6" w:space="1" w:color="000000"/>
              </w:pBdr>
              <w:bidi w:val="0"/>
              <w:spacing w:before="0" w:after="0"/>
              <w:jc w:val="left"/>
              <w:rPr/>
            </w:pPr>
            <w:r>
              <w:rPr/>
              <w:t> </w:t>
            </w:r>
          </w:p>
        </w:tc>
        <w:tc>
          <w:tcPr>
            <w:tcW w:w="1182" w:type="dxa"/>
            <w:tcBorders/>
            <w:vAlign w:val="bottom"/>
          </w:tcPr>
          <w:p>
            <w:pPr>
              <w:pStyle w:val="TableContents"/>
              <w:pBdr>
                <w:top w:val="double" w:sz="6" w:space="1" w:color="000000"/>
              </w:pBdr>
              <w:bidi w:val="0"/>
              <w:spacing w:before="0" w:after="0"/>
              <w:jc w:val="left"/>
              <w:rPr/>
            </w:pPr>
            <w:r>
              <w:rPr/>
              <w:t> </w:t>
            </w:r>
          </w:p>
        </w:tc>
        <w:tc>
          <w:tcPr>
            <w:tcW w:w="580"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295" w:type="dxa"/>
            <w:tcBorders/>
            <w:vAlign w:val="bottom"/>
          </w:tcPr>
          <w:p>
            <w:pPr>
              <w:pStyle w:val="TableContents"/>
              <w:pBdr>
                <w:top w:val="double" w:sz="6" w:space="1" w:color="000000"/>
              </w:pBdr>
              <w:bidi w:val="0"/>
              <w:spacing w:before="0" w:after="0"/>
              <w:jc w:val="left"/>
              <w:rPr/>
            </w:pPr>
            <w:r>
              <w:rPr/>
              <w:t> </w:t>
            </w:r>
          </w:p>
        </w:tc>
        <w:tc>
          <w:tcPr>
            <w:tcW w:w="1187"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284" w:type="dxa"/>
            <w:tcBorders/>
            <w:vAlign w:val="bottom"/>
          </w:tcPr>
          <w:p>
            <w:pPr>
              <w:pStyle w:val="TableContents"/>
              <w:pBdr>
                <w:top w:val="double" w:sz="6" w:space="1" w:color="000000"/>
              </w:pBdr>
              <w:bidi w:val="0"/>
              <w:spacing w:before="0" w:after="0"/>
              <w:jc w:val="left"/>
              <w:rPr/>
            </w:pPr>
            <w:r>
              <w:rPr/>
              <w:t> </w:t>
            </w:r>
          </w:p>
        </w:tc>
        <w:tc>
          <w:tcPr>
            <w:tcW w:w="1140" w:type="dxa"/>
            <w:tcBorders/>
            <w:vAlign w:val="bottom"/>
          </w:tcPr>
          <w:p>
            <w:pPr>
              <w:pStyle w:val="TableContents"/>
              <w:pBdr>
                <w:top w:val="double" w:sz="6" w:space="1" w:color="000000"/>
              </w:pBdr>
              <w:bidi w:val="0"/>
              <w:spacing w:before="0" w:after="0"/>
              <w:jc w:val="left"/>
              <w:rPr/>
            </w:pPr>
            <w:r>
              <w:rPr/>
              <w:t> </w:t>
            </w:r>
          </w:p>
        </w:tc>
        <w:tc>
          <w:tcPr>
            <w:tcW w:w="558"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284" w:type="dxa"/>
            <w:tcBorders/>
            <w:vAlign w:val="bottom"/>
          </w:tcPr>
          <w:p>
            <w:pPr>
              <w:pStyle w:val="TableContents"/>
              <w:pBdr>
                <w:top w:val="double" w:sz="6" w:space="1" w:color="000000"/>
              </w:pBdr>
              <w:bidi w:val="0"/>
              <w:spacing w:before="0" w:after="0"/>
              <w:jc w:val="left"/>
              <w:rPr/>
            </w:pPr>
            <w:r>
              <w:rPr/>
              <w:t> </w:t>
            </w:r>
          </w:p>
        </w:tc>
        <w:tc>
          <w:tcPr>
            <w:tcW w:w="1143" w:type="dxa"/>
            <w:tcBorders/>
            <w:vAlign w:val="bottom"/>
          </w:tcPr>
          <w:p>
            <w:pPr>
              <w:pStyle w:val="TableContents"/>
              <w:pBdr>
                <w:top w:val="double" w:sz="6"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19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to:</w:t>
            </w:r>
          </w:p>
        </w:tc>
        <w:tc>
          <w:tcPr>
            <w:tcW w:w="19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1182" w:type="dxa"/>
            <w:tcBorders/>
            <w:shd w:fill="CCEEFF" w:val="clear"/>
            <w:vAlign w:val="bottom"/>
          </w:tcPr>
          <w:p>
            <w:pPr>
              <w:pStyle w:val="TableContents"/>
              <w:bidi w:val="0"/>
              <w:spacing w:before="0" w:after="283"/>
              <w:jc w:val="left"/>
              <w:rPr>
                <w:sz w:val="4"/>
                <w:szCs w:val="4"/>
              </w:rPr>
            </w:pPr>
            <w:r>
              <w:rPr>
                <w:sz w:val="4"/>
                <w:szCs w:val="4"/>
              </w:rPr>
            </w:r>
          </w:p>
        </w:tc>
        <w:tc>
          <w:tcPr>
            <w:tcW w:w="580" w:type="dxa"/>
            <w:tcBorders/>
            <w:shd w:fill="CCEEFF" w:val="clear"/>
            <w:vAlign w:val="bottom"/>
          </w:tcPr>
          <w:p>
            <w:pPr>
              <w:pStyle w:val="TableContents"/>
              <w:bidi w:val="0"/>
              <w:spacing w:before="0" w:after="283"/>
              <w:jc w:val="left"/>
              <w:rPr>
                <w:sz w:val="4"/>
                <w:szCs w:val="4"/>
              </w:rPr>
            </w:pPr>
            <w:r>
              <w:rPr>
                <w:sz w:val="4"/>
                <w:szCs w:val="4"/>
              </w:rPr>
            </w:r>
          </w:p>
        </w:tc>
        <w:tc>
          <w:tcPr>
            <w:tcW w:w="195"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1187"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sz w:val="4"/>
                <w:szCs w:val="4"/>
              </w:rPr>
            </w:pPr>
            <w:r>
              <w:rPr>
                <w:sz w:val="4"/>
                <w:szCs w:val="4"/>
              </w:rPr>
            </w:r>
          </w:p>
        </w:tc>
        <w:tc>
          <w:tcPr>
            <w:tcW w:w="1140" w:type="dxa"/>
            <w:tcBorders/>
            <w:shd w:fill="CCEEFF" w:val="clear"/>
            <w:vAlign w:val="bottom"/>
          </w:tcPr>
          <w:p>
            <w:pPr>
              <w:pStyle w:val="TableContents"/>
              <w:bidi w:val="0"/>
              <w:spacing w:before="0" w:after="283"/>
              <w:jc w:val="left"/>
              <w:rPr>
                <w:sz w:val="4"/>
                <w:szCs w:val="4"/>
              </w:rPr>
            </w:pPr>
            <w:r>
              <w:rPr>
                <w:sz w:val="4"/>
                <w:szCs w:val="4"/>
              </w:rPr>
            </w:r>
          </w:p>
        </w:tc>
        <w:tc>
          <w:tcPr>
            <w:tcW w:w="558" w:type="dxa"/>
            <w:tcBorders/>
            <w:shd w:fill="CCEEFF" w:val="clear"/>
            <w:vAlign w:val="bottom"/>
          </w:tcPr>
          <w:p>
            <w:pPr>
              <w:pStyle w:val="TableContents"/>
              <w:bidi w:val="0"/>
              <w:spacing w:before="0" w:after="283"/>
              <w:jc w:val="left"/>
              <w:rPr>
                <w:sz w:val="4"/>
                <w:szCs w:val="4"/>
              </w:rPr>
            </w:pPr>
            <w:r>
              <w:rPr>
                <w:sz w:val="4"/>
                <w:szCs w:val="4"/>
              </w:rPr>
            </w:r>
          </w:p>
        </w:tc>
        <w:tc>
          <w:tcPr>
            <w:tcW w:w="192"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sz w:val="4"/>
                <w:szCs w:val="4"/>
              </w:rPr>
            </w:pPr>
            <w:r>
              <w:rPr>
                <w:sz w:val="4"/>
                <w:szCs w:val="4"/>
              </w:rPr>
            </w:r>
          </w:p>
        </w:tc>
        <w:tc>
          <w:tcPr>
            <w:tcW w:w="1143" w:type="dxa"/>
            <w:tcBorders/>
            <w:shd w:fill="CCEEFF" w:val="clear"/>
            <w:vAlign w:val="bottom"/>
          </w:tcPr>
          <w:p>
            <w:pPr>
              <w:pStyle w:val="TableContents"/>
              <w:bidi w:val="0"/>
              <w:spacing w:before="0" w:after="283"/>
              <w:jc w:val="left"/>
              <w:rPr>
                <w:sz w:val="4"/>
                <w:szCs w:val="4"/>
              </w:rPr>
            </w:pPr>
            <w:r>
              <w:rPr>
                <w:sz w:val="4"/>
                <w:szCs w:val="4"/>
              </w:rPr>
            </w:r>
          </w:p>
        </w:tc>
        <w:tc>
          <w:tcPr>
            <w:tcW w:w="282" w:type="dxa"/>
            <w:tcBorders/>
            <w:shd w:fill="CCEEFF" w:val="clear"/>
            <w:vAlign w:val="bottom"/>
          </w:tcPr>
          <w:p>
            <w:pPr>
              <w:pStyle w:val="TableContents"/>
              <w:bidi w:val="0"/>
              <w:spacing w:before="0" w:after="283"/>
              <w:jc w:val="left"/>
              <w:rPr>
                <w:sz w:val="4"/>
                <w:szCs w:val="4"/>
              </w:rPr>
            </w:pPr>
            <w:r>
              <w:rPr>
                <w:sz w:val="4"/>
                <w:szCs w:val="4"/>
              </w:rPr>
            </w:r>
          </w:p>
        </w:tc>
      </w:tr>
      <w:tr>
        <w:trPr/>
        <w:tc>
          <w:tcPr>
            <w:tcW w:w="1992" w:type="dxa"/>
            <w:tcBorders/>
          </w:tcPr>
          <w:p>
            <w:pPr>
              <w:pStyle w:val="TableContents"/>
              <w:bidi w:val="0"/>
              <w:spacing w:before="0" w:after="0"/>
              <w:jc w:val="left"/>
              <w:rPr>
                <w:rFonts w:ascii="Times New Roman" w:hAnsi="Times New Roman"/>
                <w:sz w:val="20"/>
              </w:rPr>
            </w:pPr>
            <w:r>
              <w:rPr>
                <w:rFonts w:ascii="Times New Roman" w:hAnsi="Times New Roman"/>
                <w:sz w:val="20"/>
              </w:rPr>
              <w:t>Exclude printing and mailing costs</w:t>
            </w:r>
          </w:p>
        </w:tc>
        <w:tc>
          <w:tcPr>
            <w:tcW w:w="19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(4.6</w:t>
            </w:r>
          </w:p>
        </w:tc>
        <w:tc>
          <w:tcPr>
            <w:tcW w:w="58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pPr>
            <w:r>
              <w:rPr/>
              <w:t>(4.2</w:t>
            </w:r>
          </w:p>
        </w:tc>
        <w:tc>
          <w:tcPr>
            <w:tcW w:w="27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140" w:type="dxa"/>
            <w:tcBorders/>
            <w:vAlign w:val="bottom"/>
          </w:tcPr>
          <w:p>
            <w:pPr>
              <w:pStyle w:val="TableContents"/>
              <w:bidi w:val="0"/>
              <w:spacing w:before="0" w:after="283"/>
              <w:jc w:val="right"/>
              <w:rPr/>
            </w:pPr>
            <w:r>
              <w:rPr/>
              <w:t>(13.3</w:t>
            </w:r>
          </w:p>
        </w:tc>
        <w:tc>
          <w:tcPr>
            <w:tcW w:w="558"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(11.4</w:t>
            </w:r>
          </w:p>
        </w:tc>
        <w:tc>
          <w:tcPr>
            <w:tcW w:w="282" w:type="dxa"/>
            <w:tcBorders/>
            <w:vAlign w:val="bottom"/>
          </w:tcPr>
          <w:p>
            <w:pPr>
              <w:pStyle w:val="TableContents"/>
              <w:bidi w:val="0"/>
              <w:spacing w:before="0" w:after="283"/>
              <w:jc w:val="left"/>
              <w:rPr/>
            </w:pPr>
            <w:r>
              <w:rPr/>
              <w:t>) </w:t>
            </w:r>
          </w:p>
        </w:tc>
      </w:tr>
      <w:tr>
        <w:trPr/>
        <w:tc>
          <w:tcPr>
            <w:tcW w:w="19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Offset marketing fees against related costs</w:t>
            </w:r>
          </w:p>
        </w:tc>
        <w:tc>
          <w:tcPr>
            <w:tcW w:w="19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(1.4</w:t>
            </w:r>
          </w:p>
        </w:tc>
        <w:tc>
          <w:tcPr>
            <w:tcW w:w="58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187" w:type="dxa"/>
            <w:tcBorders/>
            <w:shd w:fill="CCEEFF" w:val="clear"/>
            <w:vAlign w:val="bottom"/>
          </w:tcPr>
          <w:p>
            <w:pPr>
              <w:pStyle w:val="TableContents"/>
              <w:bidi w:val="0"/>
              <w:spacing w:before="0" w:after="283"/>
              <w:jc w:val="right"/>
              <w:rPr/>
            </w:pPr>
            <w:r>
              <w:rPr/>
              <w:t>(1.2</w:t>
            </w:r>
          </w:p>
        </w:tc>
        <w:tc>
          <w:tcPr>
            <w:tcW w:w="27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140" w:type="dxa"/>
            <w:tcBorders/>
            <w:shd w:fill="CCEEFF" w:val="clear"/>
            <w:vAlign w:val="bottom"/>
          </w:tcPr>
          <w:p>
            <w:pPr>
              <w:pStyle w:val="TableContents"/>
              <w:bidi w:val="0"/>
              <w:spacing w:before="0" w:after="283"/>
              <w:jc w:val="right"/>
              <w:rPr/>
            </w:pPr>
            <w:r>
              <w:rPr/>
              <w:t>(1.9</w:t>
            </w:r>
          </w:p>
        </w:tc>
        <w:tc>
          <w:tcPr>
            <w:tcW w:w="558"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(1.7</w:t>
            </w:r>
          </w:p>
        </w:tc>
        <w:tc>
          <w:tcPr>
            <w:tcW w:w="282" w:type="dxa"/>
            <w:tcBorders/>
            <w:shd w:fill="CCEEFF" w:val="clear"/>
            <w:vAlign w:val="bottom"/>
          </w:tcPr>
          <w:p>
            <w:pPr>
              <w:pStyle w:val="TableContents"/>
              <w:bidi w:val="0"/>
              <w:spacing w:before="0" w:after="283"/>
              <w:jc w:val="left"/>
              <w:rPr/>
            </w:pPr>
            <w:r>
              <w:rPr/>
              <w:t>) </w:t>
            </w:r>
          </w:p>
        </w:tc>
      </w:tr>
      <w:tr>
        <w:trPr/>
        <w:tc>
          <w:tcPr>
            <w:tcW w:w="1992" w:type="dxa"/>
            <w:tcBorders/>
          </w:tcPr>
          <w:p>
            <w:pPr>
              <w:pStyle w:val="TableContents"/>
              <w:bidi w:val="0"/>
              <w:spacing w:before="0" w:after="0"/>
              <w:jc w:val="left"/>
              <w:rPr>
                <w:rFonts w:ascii="Times New Roman" w:hAnsi="Times New Roman"/>
                <w:sz w:val="20"/>
              </w:rPr>
            </w:pPr>
            <w:r>
              <w:rPr>
                <w:rFonts w:ascii="Times New Roman" w:hAnsi="Times New Roman"/>
                <w:sz w:val="20"/>
              </w:rPr>
              <w:t>Exclude depreciation and amortization</w:t>
            </w:r>
          </w:p>
        </w:tc>
        <w:tc>
          <w:tcPr>
            <w:tcW w:w="19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(2.8</w:t>
            </w:r>
          </w:p>
        </w:tc>
        <w:tc>
          <w:tcPr>
            <w:tcW w:w="58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pPr>
            <w:r>
              <w:rPr/>
              <w:t>(1.6</w:t>
            </w:r>
          </w:p>
        </w:tc>
        <w:tc>
          <w:tcPr>
            <w:tcW w:w="27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140" w:type="dxa"/>
            <w:tcBorders/>
            <w:vAlign w:val="bottom"/>
          </w:tcPr>
          <w:p>
            <w:pPr>
              <w:pStyle w:val="TableContents"/>
              <w:bidi w:val="0"/>
              <w:spacing w:before="0" w:after="283"/>
              <w:jc w:val="right"/>
              <w:rPr/>
            </w:pPr>
            <w:r>
              <w:rPr/>
              <w:t>(7.5</w:t>
            </w:r>
          </w:p>
        </w:tc>
        <w:tc>
          <w:tcPr>
            <w:tcW w:w="558"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(4.6</w:t>
            </w:r>
          </w:p>
        </w:tc>
        <w:tc>
          <w:tcPr>
            <w:tcW w:w="282" w:type="dxa"/>
            <w:tcBorders/>
            <w:vAlign w:val="bottom"/>
          </w:tcPr>
          <w:p>
            <w:pPr>
              <w:pStyle w:val="TableContents"/>
              <w:bidi w:val="0"/>
              <w:spacing w:before="0" w:after="283"/>
              <w:jc w:val="left"/>
              <w:rPr/>
            </w:pPr>
            <w:r>
              <w:rPr/>
              <w:t>) </w:t>
            </w:r>
          </w:p>
        </w:tc>
      </w:tr>
      <w:tr>
        <w:trPr/>
        <w:tc>
          <w:tcPr>
            <w:tcW w:w="1992" w:type="dxa"/>
            <w:tcBorders/>
            <w:vAlign w:val="bottom"/>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295"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580"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295" w:type="dxa"/>
            <w:tcBorders/>
            <w:vAlign w:val="bottom"/>
          </w:tcPr>
          <w:p>
            <w:pPr>
              <w:pStyle w:val="TableContents"/>
              <w:pBdr>
                <w:top w:val="single" w:sz="2" w:space="1" w:color="000000"/>
              </w:pBdr>
              <w:bidi w:val="0"/>
              <w:spacing w:before="0" w:after="0"/>
              <w:jc w:val="left"/>
              <w:rPr/>
            </w:pPr>
            <w:r>
              <w:rPr/>
              <w:t> </w:t>
            </w:r>
          </w:p>
        </w:tc>
        <w:tc>
          <w:tcPr>
            <w:tcW w:w="1187"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284" w:type="dxa"/>
            <w:tcBorders/>
            <w:vAlign w:val="bottom"/>
          </w:tcPr>
          <w:p>
            <w:pPr>
              <w:pStyle w:val="TableContents"/>
              <w:pBdr>
                <w:top w:val="single" w:sz="2" w:space="1" w:color="000000"/>
              </w:pBdr>
              <w:bidi w:val="0"/>
              <w:spacing w:before="0" w:after="0"/>
              <w:jc w:val="left"/>
              <w:rPr/>
            </w:pPr>
            <w:r>
              <w:rPr/>
              <w:t> </w:t>
            </w:r>
          </w:p>
        </w:tc>
        <w:tc>
          <w:tcPr>
            <w:tcW w:w="1140" w:type="dxa"/>
            <w:tcBorders/>
            <w:vAlign w:val="bottom"/>
          </w:tcPr>
          <w:p>
            <w:pPr>
              <w:pStyle w:val="TableContents"/>
              <w:pBdr>
                <w:top w:val="single" w:sz="2" w:space="1" w:color="000000"/>
              </w:pBdr>
              <w:bidi w:val="0"/>
              <w:spacing w:before="0" w:after="0"/>
              <w:jc w:val="left"/>
              <w:rPr/>
            </w:pPr>
            <w:r>
              <w:rPr/>
              <w:t> </w:t>
            </w:r>
          </w:p>
        </w:tc>
        <w:tc>
          <w:tcPr>
            <w:tcW w:w="558"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284" w:type="dxa"/>
            <w:tcBorders/>
            <w:vAlign w:val="bottom"/>
          </w:tcPr>
          <w:p>
            <w:pPr>
              <w:pStyle w:val="TableContents"/>
              <w:pBdr>
                <w:top w:val="single" w:sz="2" w:space="1" w:color="000000"/>
              </w:pBdr>
              <w:bidi w:val="0"/>
              <w:spacing w:before="0" w:after="0"/>
              <w:jc w:val="left"/>
              <w:rPr/>
            </w:pPr>
            <w:r>
              <w:rPr/>
              <w:t> </w:t>
            </w:r>
          </w:p>
        </w:tc>
        <w:tc>
          <w:tcPr>
            <w:tcW w:w="1143"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19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Cost of Revenue</w:t>
            </w:r>
          </w:p>
        </w:tc>
        <w:tc>
          <w:tcPr>
            <w:tcW w:w="19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w:t>
            </w:r>
          </w:p>
        </w:tc>
        <w:tc>
          <w:tcPr>
            <w:tcW w:w="1182" w:type="dxa"/>
            <w:tcBorders/>
            <w:shd w:fill="CCEEFF" w:val="clear"/>
            <w:vAlign w:val="bottom"/>
          </w:tcPr>
          <w:p>
            <w:pPr>
              <w:pStyle w:val="TableContents"/>
              <w:bidi w:val="0"/>
              <w:spacing w:before="0" w:after="283"/>
              <w:jc w:val="right"/>
              <w:rPr/>
            </w:pPr>
            <w:r>
              <w:rPr/>
              <w:t>66.6</w:t>
            </w:r>
          </w:p>
        </w:tc>
        <w:tc>
          <w:tcPr>
            <w:tcW w:w="58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w:t>
            </w:r>
          </w:p>
        </w:tc>
        <w:tc>
          <w:tcPr>
            <w:tcW w:w="1187" w:type="dxa"/>
            <w:tcBorders/>
            <w:shd w:fill="CCEEFF" w:val="clear"/>
            <w:vAlign w:val="bottom"/>
          </w:tcPr>
          <w:p>
            <w:pPr>
              <w:pStyle w:val="TableContents"/>
              <w:bidi w:val="0"/>
              <w:spacing w:before="0" w:after="283"/>
              <w:jc w:val="right"/>
              <w:rPr/>
            </w:pPr>
            <w:r>
              <w:rPr/>
              <w:t>49.5</w:t>
            </w:r>
          </w:p>
        </w:tc>
        <w:tc>
          <w:tcPr>
            <w:tcW w:w="27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w:t>
            </w:r>
          </w:p>
        </w:tc>
        <w:tc>
          <w:tcPr>
            <w:tcW w:w="1140" w:type="dxa"/>
            <w:tcBorders/>
            <w:shd w:fill="CCEEFF" w:val="clear"/>
            <w:vAlign w:val="bottom"/>
          </w:tcPr>
          <w:p>
            <w:pPr>
              <w:pStyle w:val="TableContents"/>
              <w:bidi w:val="0"/>
              <w:spacing w:before="0" w:after="283"/>
              <w:jc w:val="right"/>
              <w:rPr/>
            </w:pPr>
            <w:r>
              <w:rPr/>
              <w:t>162.4</w:t>
            </w:r>
          </w:p>
        </w:tc>
        <w:tc>
          <w:tcPr>
            <w:tcW w:w="558"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w:t>
            </w:r>
          </w:p>
        </w:tc>
        <w:tc>
          <w:tcPr>
            <w:tcW w:w="1143" w:type="dxa"/>
            <w:tcBorders/>
            <w:shd w:fill="CCEEFF" w:val="clear"/>
            <w:vAlign w:val="bottom"/>
          </w:tcPr>
          <w:p>
            <w:pPr>
              <w:pStyle w:val="TableContents"/>
              <w:bidi w:val="0"/>
              <w:spacing w:before="0" w:after="283"/>
              <w:jc w:val="right"/>
              <w:rPr/>
            </w:pPr>
            <w:r>
              <w:rPr/>
              <w:t>124.2</w:t>
            </w:r>
          </w:p>
        </w:tc>
        <w:tc>
          <w:tcPr>
            <w:tcW w:w="282" w:type="dxa"/>
            <w:tcBorders/>
            <w:shd w:fill="CCEEFF" w:val="clear"/>
            <w:vAlign w:val="bottom"/>
          </w:tcPr>
          <w:p>
            <w:pPr>
              <w:pStyle w:val="TableContents"/>
              <w:bidi w:val="0"/>
              <w:spacing w:before="0" w:after="283"/>
              <w:jc w:val="left"/>
              <w:rPr/>
            </w:pPr>
            <w:r>
              <w:rPr/>
              <w:t> </w:t>
            </w:r>
          </w:p>
        </w:tc>
      </w:tr>
      <w:tr>
        <w:trPr/>
        <w:tc>
          <w:tcPr>
            <w:tcW w:w="1992" w:type="dxa"/>
            <w:tcBorders/>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9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w:t>
            </w:r>
          </w:p>
        </w:tc>
        <w:tc>
          <w:tcPr>
            <w:tcW w:w="1182" w:type="dxa"/>
            <w:tcBorders/>
            <w:vAlign w:val="bottom"/>
          </w:tcPr>
          <w:p>
            <w:pPr>
              <w:pStyle w:val="TableContents"/>
              <w:bidi w:val="0"/>
              <w:spacing w:before="0" w:after="283"/>
              <w:jc w:val="right"/>
              <w:rPr/>
            </w:pPr>
            <w:r>
              <w:rPr/>
              <w:t>124.7</w:t>
            </w:r>
          </w:p>
        </w:tc>
        <w:tc>
          <w:tcPr>
            <w:tcW w:w="58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w:t>
            </w:r>
          </w:p>
        </w:tc>
        <w:tc>
          <w:tcPr>
            <w:tcW w:w="1187" w:type="dxa"/>
            <w:tcBorders/>
            <w:vAlign w:val="bottom"/>
          </w:tcPr>
          <w:p>
            <w:pPr>
              <w:pStyle w:val="TableContents"/>
              <w:bidi w:val="0"/>
              <w:spacing w:before="0" w:after="283"/>
              <w:jc w:val="right"/>
              <w:rPr/>
            </w:pPr>
            <w:r>
              <w:rPr/>
              <w:t>100.3</w:t>
            </w:r>
          </w:p>
        </w:tc>
        <w:tc>
          <w:tcPr>
            <w:tcW w:w="27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w:t>
            </w:r>
          </w:p>
        </w:tc>
        <w:tc>
          <w:tcPr>
            <w:tcW w:w="1140" w:type="dxa"/>
            <w:tcBorders/>
            <w:vAlign w:val="bottom"/>
          </w:tcPr>
          <w:p>
            <w:pPr>
              <w:pStyle w:val="TableContents"/>
              <w:bidi w:val="0"/>
              <w:spacing w:before="0" w:after="283"/>
              <w:jc w:val="right"/>
              <w:rPr/>
            </w:pPr>
            <w:r>
              <w:rPr/>
              <w:t>280.4</w:t>
            </w:r>
          </w:p>
        </w:tc>
        <w:tc>
          <w:tcPr>
            <w:tcW w:w="558"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w:t>
            </w:r>
          </w:p>
        </w:tc>
        <w:tc>
          <w:tcPr>
            <w:tcW w:w="1143" w:type="dxa"/>
            <w:tcBorders/>
            <w:vAlign w:val="bottom"/>
          </w:tcPr>
          <w:p>
            <w:pPr>
              <w:pStyle w:val="TableContents"/>
              <w:bidi w:val="0"/>
              <w:spacing w:before="0" w:after="283"/>
              <w:jc w:val="right"/>
              <w:rPr/>
            </w:pPr>
            <w:r>
              <w:rPr/>
              <w:t>232.7</w:t>
            </w:r>
          </w:p>
        </w:tc>
        <w:tc>
          <w:tcPr>
            <w:tcW w:w="282" w:type="dxa"/>
            <w:tcBorders/>
            <w:vAlign w:val="bottom"/>
          </w:tcPr>
          <w:p>
            <w:pPr>
              <w:pStyle w:val="TableContents"/>
              <w:bidi w:val="0"/>
              <w:spacing w:before="0" w:after="283"/>
              <w:jc w:val="left"/>
              <w:rPr/>
            </w:pPr>
            <w:r>
              <w:rPr/>
              <w:t> </w:t>
            </w:r>
          </w:p>
        </w:tc>
      </w:tr>
      <w:tr>
        <w:trPr/>
        <w:tc>
          <w:tcPr>
            <w:tcW w:w="19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Margin</w:t>
            </w:r>
          </w:p>
        </w:tc>
        <w:tc>
          <w:tcPr>
            <w:tcW w:w="19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62.3</w:t>
            </w:r>
          </w:p>
        </w:tc>
        <w:tc>
          <w:tcPr>
            <w:tcW w:w="58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187" w:type="dxa"/>
            <w:tcBorders/>
            <w:shd w:fill="CCEEFF" w:val="clear"/>
            <w:vAlign w:val="bottom"/>
          </w:tcPr>
          <w:p>
            <w:pPr>
              <w:pStyle w:val="TableContents"/>
              <w:bidi w:val="0"/>
              <w:spacing w:before="0" w:after="283"/>
              <w:jc w:val="right"/>
              <w:rPr/>
            </w:pPr>
            <w:r>
              <w:rPr/>
              <w:t>64.0</w:t>
            </w:r>
          </w:p>
        </w:tc>
        <w:tc>
          <w:tcPr>
            <w:tcW w:w="27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140" w:type="dxa"/>
            <w:tcBorders/>
            <w:shd w:fill="CCEEFF" w:val="clear"/>
            <w:vAlign w:val="bottom"/>
          </w:tcPr>
          <w:p>
            <w:pPr>
              <w:pStyle w:val="TableContents"/>
              <w:bidi w:val="0"/>
              <w:spacing w:before="0" w:after="283"/>
              <w:jc w:val="right"/>
              <w:rPr/>
            </w:pPr>
            <w:r>
              <w:rPr/>
              <w:t>60.2</w:t>
            </w:r>
          </w:p>
        </w:tc>
        <w:tc>
          <w:tcPr>
            <w:tcW w:w="558"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62.1</w:t>
            </w:r>
          </w:p>
        </w:tc>
        <w:tc>
          <w:tcPr>
            <w:tcW w:w="282" w:type="dxa"/>
            <w:tcBorders/>
            <w:shd w:fill="CCEEFF" w:val="clear"/>
            <w:vAlign w:val="bottom"/>
          </w:tcPr>
          <w:p>
            <w:pPr>
              <w:pStyle w:val="TableContents"/>
              <w:bidi w:val="0"/>
              <w:spacing w:before="0" w:after="283"/>
              <w:jc w:val="left"/>
              <w:rPr/>
            </w:pPr>
            <w:r>
              <w:rPr/>
              <w:t>% </w:t>
            </w:r>
          </w:p>
        </w:tc>
      </w:tr>
      <w:tr>
        <w:trPr/>
        <w:tc>
          <w:tcPr>
            <w:tcW w:w="1992" w:type="dxa"/>
            <w:tcBorders/>
            <w:vAlign w:val="bottom"/>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295" w:type="dxa"/>
            <w:tcBorders/>
            <w:vAlign w:val="bottom"/>
          </w:tcPr>
          <w:p>
            <w:pPr>
              <w:pStyle w:val="TableContents"/>
              <w:pBdr>
                <w:top w:val="double" w:sz="6" w:space="1" w:color="000000"/>
              </w:pBdr>
              <w:bidi w:val="0"/>
              <w:spacing w:before="0" w:after="0"/>
              <w:jc w:val="left"/>
              <w:rPr/>
            </w:pPr>
            <w:r>
              <w:rPr/>
              <w:t> </w:t>
            </w:r>
          </w:p>
        </w:tc>
        <w:tc>
          <w:tcPr>
            <w:tcW w:w="1182" w:type="dxa"/>
            <w:tcBorders/>
            <w:vAlign w:val="bottom"/>
          </w:tcPr>
          <w:p>
            <w:pPr>
              <w:pStyle w:val="TableContents"/>
              <w:pBdr>
                <w:top w:val="double" w:sz="6" w:space="1" w:color="000000"/>
              </w:pBdr>
              <w:bidi w:val="0"/>
              <w:spacing w:before="0" w:after="0"/>
              <w:jc w:val="left"/>
              <w:rPr/>
            </w:pPr>
            <w:r>
              <w:rPr/>
              <w:t> </w:t>
            </w:r>
          </w:p>
        </w:tc>
        <w:tc>
          <w:tcPr>
            <w:tcW w:w="580"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295" w:type="dxa"/>
            <w:tcBorders/>
            <w:vAlign w:val="bottom"/>
          </w:tcPr>
          <w:p>
            <w:pPr>
              <w:pStyle w:val="TableContents"/>
              <w:pBdr>
                <w:top w:val="double" w:sz="6" w:space="1" w:color="000000"/>
              </w:pBdr>
              <w:bidi w:val="0"/>
              <w:spacing w:before="0" w:after="0"/>
              <w:jc w:val="left"/>
              <w:rPr/>
            </w:pPr>
            <w:r>
              <w:rPr/>
              <w:t> </w:t>
            </w:r>
          </w:p>
        </w:tc>
        <w:tc>
          <w:tcPr>
            <w:tcW w:w="1187"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284" w:type="dxa"/>
            <w:tcBorders/>
            <w:vAlign w:val="bottom"/>
          </w:tcPr>
          <w:p>
            <w:pPr>
              <w:pStyle w:val="TableContents"/>
              <w:pBdr>
                <w:top w:val="double" w:sz="6" w:space="1" w:color="000000"/>
              </w:pBdr>
              <w:bidi w:val="0"/>
              <w:spacing w:before="0" w:after="0"/>
              <w:jc w:val="left"/>
              <w:rPr/>
            </w:pPr>
            <w:r>
              <w:rPr/>
              <w:t> </w:t>
            </w:r>
          </w:p>
        </w:tc>
        <w:tc>
          <w:tcPr>
            <w:tcW w:w="1140" w:type="dxa"/>
            <w:tcBorders/>
            <w:vAlign w:val="bottom"/>
          </w:tcPr>
          <w:p>
            <w:pPr>
              <w:pStyle w:val="TableContents"/>
              <w:pBdr>
                <w:top w:val="double" w:sz="6" w:space="1" w:color="000000"/>
              </w:pBdr>
              <w:bidi w:val="0"/>
              <w:spacing w:before="0" w:after="0"/>
              <w:jc w:val="left"/>
              <w:rPr/>
            </w:pPr>
            <w:r>
              <w:rPr/>
              <w:t> </w:t>
            </w:r>
          </w:p>
        </w:tc>
        <w:tc>
          <w:tcPr>
            <w:tcW w:w="558"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284" w:type="dxa"/>
            <w:tcBorders/>
            <w:vAlign w:val="bottom"/>
          </w:tcPr>
          <w:p>
            <w:pPr>
              <w:pStyle w:val="TableContents"/>
              <w:pBdr>
                <w:top w:val="double" w:sz="6" w:space="1" w:color="000000"/>
              </w:pBdr>
              <w:bidi w:val="0"/>
              <w:spacing w:before="0" w:after="0"/>
              <w:jc w:val="left"/>
              <w:rPr/>
            </w:pPr>
            <w:r>
              <w:rPr/>
              <w:t> </w:t>
            </w:r>
          </w:p>
        </w:tc>
        <w:tc>
          <w:tcPr>
            <w:tcW w:w="1143" w:type="dxa"/>
            <w:tcBorders/>
            <w:vAlign w:val="bottom"/>
          </w:tcPr>
          <w:p>
            <w:pPr>
              <w:pStyle w:val="TableContents"/>
              <w:pBdr>
                <w:top w:val="double" w:sz="6"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1992" w:type="dxa"/>
            <w:tcBorders/>
          </w:tcPr>
          <w:p>
            <w:pPr>
              <w:pStyle w:val="TableContents"/>
              <w:bidi w:val="0"/>
              <w:spacing w:before="0" w:after="0"/>
              <w:jc w:val="left"/>
              <w:rPr>
                <w:rFonts w:ascii="Times New Roman" w:hAnsi="Times New Roman"/>
                <w:sz w:val="20"/>
              </w:rPr>
            </w:pPr>
            <w:r>
              <w:rPr>
                <w:rFonts w:ascii="Times New Roman" w:hAnsi="Times New Roman"/>
                <w:sz w:val="20"/>
              </w:rPr>
              <w:t>Adjusted Gross Profit</w:t>
            </w:r>
          </w:p>
        </w:tc>
        <w:tc>
          <w:tcPr>
            <w:tcW w:w="19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w:t>
            </w:r>
          </w:p>
        </w:tc>
        <w:tc>
          <w:tcPr>
            <w:tcW w:w="1182" w:type="dxa"/>
            <w:tcBorders/>
            <w:vAlign w:val="bottom"/>
          </w:tcPr>
          <w:p>
            <w:pPr>
              <w:pStyle w:val="TableContents"/>
              <w:bidi w:val="0"/>
              <w:spacing w:before="0" w:after="283"/>
              <w:jc w:val="right"/>
              <w:rPr/>
            </w:pPr>
            <w:r>
              <w:rPr/>
              <w:t>127.5</w:t>
            </w:r>
          </w:p>
        </w:tc>
        <w:tc>
          <w:tcPr>
            <w:tcW w:w="58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w:t>
            </w:r>
          </w:p>
        </w:tc>
        <w:tc>
          <w:tcPr>
            <w:tcW w:w="1187" w:type="dxa"/>
            <w:tcBorders/>
            <w:vAlign w:val="bottom"/>
          </w:tcPr>
          <w:p>
            <w:pPr>
              <w:pStyle w:val="TableContents"/>
              <w:bidi w:val="0"/>
              <w:spacing w:before="0" w:after="283"/>
              <w:jc w:val="right"/>
              <w:rPr/>
            </w:pPr>
            <w:r>
              <w:rPr/>
              <w:t>101.9</w:t>
            </w:r>
          </w:p>
        </w:tc>
        <w:tc>
          <w:tcPr>
            <w:tcW w:w="27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w:t>
            </w:r>
          </w:p>
        </w:tc>
        <w:tc>
          <w:tcPr>
            <w:tcW w:w="1140" w:type="dxa"/>
            <w:tcBorders/>
            <w:vAlign w:val="bottom"/>
          </w:tcPr>
          <w:p>
            <w:pPr>
              <w:pStyle w:val="TableContents"/>
              <w:bidi w:val="0"/>
              <w:spacing w:before="0" w:after="283"/>
              <w:jc w:val="right"/>
              <w:rPr/>
            </w:pPr>
            <w:r>
              <w:rPr/>
              <w:t>287.9</w:t>
            </w:r>
          </w:p>
        </w:tc>
        <w:tc>
          <w:tcPr>
            <w:tcW w:w="558"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w:t>
            </w:r>
          </w:p>
        </w:tc>
        <w:tc>
          <w:tcPr>
            <w:tcW w:w="1143" w:type="dxa"/>
            <w:tcBorders/>
            <w:vAlign w:val="bottom"/>
          </w:tcPr>
          <w:p>
            <w:pPr>
              <w:pStyle w:val="TableContents"/>
              <w:bidi w:val="0"/>
              <w:spacing w:before="0" w:after="283"/>
              <w:jc w:val="right"/>
              <w:rPr/>
            </w:pPr>
            <w:r>
              <w:rPr/>
              <w:t>237.3</w:t>
            </w:r>
          </w:p>
        </w:tc>
        <w:tc>
          <w:tcPr>
            <w:tcW w:w="282" w:type="dxa"/>
            <w:tcBorders/>
            <w:vAlign w:val="bottom"/>
          </w:tcPr>
          <w:p>
            <w:pPr>
              <w:pStyle w:val="TableContents"/>
              <w:bidi w:val="0"/>
              <w:spacing w:before="0" w:after="283"/>
              <w:jc w:val="left"/>
              <w:rPr/>
            </w:pPr>
            <w:r>
              <w:rPr/>
              <w:t> </w:t>
            </w:r>
          </w:p>
        </w:tc>
      </w:tr>
      <w:tr>
        <w:trPr/>
        <w:tc>
          <w:tcPr>
            <w:tcW w:w="19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Gross Margin</w:t>
            </w:r>
          </w:p>
        </w:tc>
        <w:tc>
          <w:tcPr>
            <w:tcW w:w="19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65.7</w:t>
            </w:r>
          </w:p>
        </w:tc>
        <w:tc>
          <w:tcPr>
            <w:tcW w:w="58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187" w:type="dxa"/>
            <w:tcBorders/>
            <w:shd w:fill="CCEEFF" w:val="clear"/>
            <w:vAlign w:val="bottom"/>
          </w:tcPr>
          <w:p>
            <w:pPr>
              <w:pStyle w:val="TableContents"/>
              <w:bidi w:val="0"/>
              <w:spacing w:before="0" w:after="283"/>
              <w:jc w:val="right"/>
              <w:rPr/>
            </w:pPr>
            <w:r>
              <w:rPr/>
              <w:t>67.3</w:t>
            </w:r>
          </w:p>
        </w:tc>
        <w:tc>
          <w:tcPr>
            <w:tcW w:w="27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140" w:type="dxa"/>
            <w:tcBorders/>
            <w:shd w:fill="CCEEFF" w:val="clear"/>
            <w:vAlign w:val="bottom"/>
          </w:tcPr>
          <w:p>
            <w:pPr>
              <w:pStyle w:val="TableContents"/>
              <w:bidi w:val="0"/>
              <w:spacing w:before="0" w:after="283"/>
              <w:jc w:val="right"/>
              <w:rPr/>
            </w:pPr>
            <w:r>
              <w:rPr/>
              <w:t>63.9</w:t>
            </w:r>
          </w:p>
        </w:tc>
        <w:tc>
          <w:tcPr>
            <w:tcW w:w="558"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65.6</w:t>
            </w:r>
          </w:p>
        </w:tc>
        <w:tc>
          <w:tcPr>
            <w:tcW w:w="282" w:type="dxa"/>
            <w:tcBorders/>
            <w:shd w:fill="CCEEFF" w:val="clear"/>
            <w:vAlign w:val="bottom"/>
          </w:tcPr>
          <w:p>
            <w:pPr>
              <w:pStyle w:val="TableContents"/>
              <w:bidi w:val="0"/>
              <w:spacing w:before="0" w:after="283"/>
              <w:jc w:val="left"/>
              <w:rPr/>
            </w:pPr>
            <w:r>
              <w:rPr/>
              <w:t>% </w:t>
            </w:r>
          </w:p>
        </w:tc>
      </w:tr>
      <w:tr>
        <w:trPr/>
        <w:tc>
          <w:tcPr>
            <w:tcW w:w="1992" w:type="dxa"/>
            <w:tcBorders/>
            <w:vAlign w:val="bottom"/>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295" w:type="dxa"/>
            <w:tcBorders/>
            <w:vAlign w:val="bottom"/>
          </w:tcPr>
          <w:p>
            <w:pPr>
              <w:pStyle w:val="TableContents"/>
              <w:pBdr>
                <w:top w:val="double" w:sz="6" w:space="1" w:color="000000"/>
              </w:pBdr>
              <w:bidi w:val="0"/>
              <w:spacing w:before="0" w:after="0"/>
              <w:jc w:val="left"/>
              <w:rPr/>
            </w:pPr>
            <w:r>
              <w:rPr/>
              <w:t> </w:t>
            </w:r>
          </w:p>
        </w:tc>
        <w:tc>
          <w:tcPr>
            <w:tcW w:w="1182" w:type="dxa"/>
            <w:tcBorders/>
            <w:vAlign w:val="bottom"/>
          </w:tcPr>
          <w:p>
            <w:pPr>
              <w:pStyle w:val="TableContents"/>
              <w:pBdr>
                <w:top w:val="double" w:sz="6" w:space="1" w:color="000000"/>
              </w:pBdr>
              <w:bidi w:val="0"/>
              <w:spacing w:before="0" w:after="0"/>
              <w:jc w:val="left"/>
              <w:rPr/>
            </w:pPr>
            <w:r>
              <w:rPr/>
              <w:t> </w:t>
            </w:r>
          </w:p>
        </w:tc>
        <w:tc>
          <w:tcPr>
            <w:tcW w:w="580"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295" w:type="dxa"/>
            <w:tcBorders/>
            <w:vAlign w:val="bottom"/>
          </w:tcPr>
          <w:p>
            <w:pPr>
              <w:pStyle w:val="TableContents"/>
              <w:pBdr>
                <w:top w:val="double" w:sz="6" w:space="1" w:color="000000"/>
              </w:pBdr>
              <w:bidi w:val="0"/>
              <w:spacing w:before="0" w:after="0"/>
              <w:jc w:val="left"/>
              <w:rPr/>
            </w:pPr>
            <w:r>
              <w:rPr/>
              <w:t> </w:t>
            </w:r>
          </w:p>
        </w:tc>
        <w:tc>
          <w:tcPr>
            <w:tcW w:w="1187"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284" w:type="dxa"/>
            <w:tcBorders/>
            <w:vAlign w:val="bottom"/>
          </w:tcPr>
          <w:p>
            <w:pPr>
              <w:pStyle w:val="TableContents"/>
              <w:pBdr>
                <w:top w:val="double" w:sz="6" w:space="1" w:color="000000"/>
              </w:pBdr>
              <w:bidi w:val="0"/>
              <w:spacing w:before="0" w:after="0"/>
              <w:jc w:val="left"/>
              <w:rPr/>
            </w:pPr>
            <w:r>
              <w:rPr/>
              <w:t> </w:t>
            </w:r>
          </w:p>
        </w:tc>
        <w:tc>
          <w:tcPr>
            <w:tcW w:w="1140" w:type="dxa"/>
            <w:tcBorders/>
            <w:vAlign w:val="bottom"/>
          </w:tcPr>
          <w:p>
            <w:pPr>
              <w:pStyle w:val="TableContents"/>
              <w:pBdr>
                <w:top w:val="double" w:sz="6" w:space="1" w:color="000000"/>
              </w:pBdr>
              <w:bidi w:val="0"/>
              <w:spacing w:before="0" w:after="0"/>
              <w:jc w:val="left"/>
              <w:rPr/>
            </w:pPr>
            <w:r>
              <w:rPr/>
              <w:t> </w:t>
            </w:r>
          </w:p>
        </w:tc>
        <w:tc>
          <w:tcPr>
            <w:tcW w:w="558"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284" w:type="dxa"/>
            <w:tcBorders/>
            <w:vAlign w:val="bottom"/>
          </w:tcPr>
          <w:p>
            <w:pPr>
              <w:pStyle w:val="TableContents"/>
              <w:pBdr>
                <w:top w:val="double" w:sz="6" w:space="1" w:color="000000"/>
              </w:pBdr>
              <w:bidi w:val="0"/>
              <w:spacing w:before="0" w:after="0"/>
              <w:jc w:val="left"/>
              <w:rPr/>
            </w:pPr>
            <w:r>
              <w:rPr/>
              <w:t> </w:t>
            </w:r>
          </w:p>
        </w:tc>
        <w:tc>
          <w:tcPr>
            <w:tcW w:w="1143" w:type="dxa"/>
            <w:tcBorders/>
            <w:vAlign w:val="bottom"/>
          </w:tcPr>
          <w:p>
            <w:pPr>
              <w:pStyle w:val="TableContents"/>
              <w:pBdr>
                <w:top w:val="double" w:sz="6"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12652" w:type="dxa"/>
        <w:jc w:val="center"/>
        <w:tblInd w:w="0" w:type="dxa"/>
        <w:tblLayout w:type="fixed"/>
        <w:tblCellMar>
          <w:top w:w="0" w:type="dxa"/>
          <w:left w:w="0" w:type="dxa"/>
          <w:bottom w:w="0" w:type="dxa"/>
          <w:right w:w="0" w:type="dxa"/>
        </w:tblCellMar>
      </w:tblPr>
      <w:tblGrid>
        <w:gridCol w:w="1070"/>
        <w:gridCol w:w="120"/>
        <w:gridCol w:w="249"/>
        <w:gridCol w:w="1001"/>
        <w:gridCol w:w="442"/>
        <w:gridCol w:w="96"/>
        <w:gridCol w:w="475"/>
        <w:gridCol w:w="1495"/>
        <w:gridCol w:w="442"/>
        <w:gridCol w:w="96"/>
        <w:gridCol w:w="225"/>
        <w:gridCol w:w="905"/>
        <w:gridCol w:w="275"/>
        <w:gridCol w:w="60"/>
        <w:gridCol w:w="249"/>
        <w:gridCol w:w="1001"/>
        <w:gridCol w:w="442"/>
        <w:gridCol w:w="96"/>
        <w:gridCol w:w="475"/>
        <w:gridCol w:w="1495"/>
        <w:gridCol w:w="442"/>
        <w:gridCol w:w="96"/>
        <w:gridCol w:w="225"/>
        <w:gridCol w:w="905"/>
        <w:gridCol w:w="275"/>
      </w:tblGrid>
      <w:tr>
        <w:trPr/>
        <w:tc>
          <w:tcPr>
            <w:tcW w:w="107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07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426"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Three Months Ended September 30, 2025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426"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Three Months Ended September 30, 2024</w:t>
            </w:r>
          </w:p>
        </w:tc>
        <w:tc>
          <w:tcPr>
            <w:tcW w:w="275" w:type="dxa"/>
            <w:tcBorders/>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r>
          </w:p>
        </w:tc>
        <w:tc>
          <w:tcPr>
            <w:tcW w:w="4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970" w:type="dxa"/>
            <w:gridSpan w:val="2"/>
            <w:tcBorders>
              <w:bottom w:val="single" w:sz="8" w:space="0" w:color="000000"/>
            </w:tcBorders>
            <w:tcMar>
              <w:bottom w:w="28" w:type="dxa"/>
            </w:tcMar>
            <w:vAlign w:val="bottom"/>
          </w:tcPr>
          <w:p>
            <w:pPr>
              <w:pStyle w:val="TableContents"/>
              <w:bidi w:val="0"/>
              <w:spacing w:before="0" w:after="283"/>
              <w:jc w:val="center"/>
              <w:rPr/>
            </w:pPr>
            <w:r>
              <w:rPr>
                <w:b/>
              </w:rPr>
              <w:t>Platform and other</w:t>
            </w:r>
            <w:r>
              <w:rPr/>
              <w:br/>
            </w:r>
            <w:r>
              <w:rPr>
                <w:b/>
              </w:rPr>
              <w:t>revenues</w:t>
            </w:r>
          </w:p>
        </w:tc>
        <w:tc>
          <w:tcPr>
            <w:tcW w:w="4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Revenue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r>
          </w:p>
        </w:tc>
        <w:tc>
          <w:tcPr>
            <w:tcW w:w="4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9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Platform and other</w:t>
              <w:br/>
              <w:t>revenues</w:t>
            </w:r>
          </w:p>
        </w:tc>
        <w:tc>
          <w:tcPr>
            <w:tcW w:w="4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Revenue</w:t>
            </w:r>
          </w:p>
        </w:tc>
        <w:tc>
          <w:tcPr>
            <w:tcW w:w="275" w:type="dxa"/>
            <w:tcBorders/>
            <w:vAlign w:val="bottom"/>
          </w:tcPr>
          <w:p>
            <w:pPr>
              <w:pStyle w:val="TableContents"/>
              <w:bidi w:val="0"/>
              <w:spacing w:before="0" w:after="283"/>
              <w:jc w:val="left"/>
              <w:rPr/>
            </w:pPr>
            <w:r>
              <w:rPr/>
              <w:t> </w:t>
            </w:r>
          </w:p>
        </w:tc>
      </w:tr>
      <w:tr>
        <w:trPr/>
        <w:tc>
          <w:tcPr>
            <w:tcW w:w="10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2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w:t>
            </w:r>
          </w:p>
        </w:tc>
        <w:tc>
          <w:tcPr>
            <w:tcW w:w="1001" w:type="dxa"/>
            <w:tcBorders/>
            <w:shd w:fill="CCEEFF" w:val="clear"/>
            <w:vAlign w:val="bottom"/>
          </w:tcPr>
          <w:p>
            <w:pPr>
              <w:pStyle w:val="TableContents"/>
              <w:bidi w:val="0"/>
              <w:spacing w:before="0" w:after="283"/>
              <w:jc w:val="right"/>
              <w:rPr/>
            </w:pPr>
            <w:r>
              <w:rPr/>
              <w:t>167.2</w:t>
            </w:r>
          </w:p>
        </w:tc>
        <w:tc>
          <w:tcPr>
            <w:tcW w:w="44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475" w:type="dxa"/>
            <w:tcBorders/>
            <w:shd w:fill="CCEEFF" w:val="clear"/>
            <w:vAlign w:val="bottom"/>
          </w:tcPr>
          <w:p>
            <w:pPr>
              <w:pStyle w:val="TableContents"/>
              <w:bidi w:val="0"/>
              <w:spacing w:before="0" w:after="283"/>
              <w:jc w:val="left"/>
              <w:rPr/>
            </w:pPr>
            <w:r>
              <w:rPr/>
              <w:t>$</w:t>
            </w:r>
          </w:p>
        </w:tc>
        <w:tc>
          <w:tcPr>
            <w:tcW w:w="1495" w:type="dxa"/>
            <w:tcBorders/>
            <w:shd w:fill="CCEEFF" w:val="clear"/>
            <w:vAlign w:val="bottom"/>
          </w:tcPr>
          <w:p>
            <w:pPr>
              <w:pStyle w:val="TableContents"/>
              <w:bidi w:val="0"/>
              <w:spacing w:before="0" w:after="283"/>
              <w:jc w:val="right"/>
              <w:rPr/>
            </w:pPr>
            <w:r>
              <w:rPr/>
              <w:t>33.0</w:t>
            </w:r>
          </w:p>
        </w:tc>
        <w:tc>
          <w:tcPr>
            <w:tcW w:w="44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w:t>
            </w:r>
          </w:p>
        </w:tc>
        <w:tc>
          <w:tcPr>
            <w:tcW w:w="905" w:type="dxa"/>
            <w:tcBorders/>
            <w:shd w:fill="CCEEFF" w:val="clear"/>
            <w:vAlign w:val="bottom"/>
          </w:tcPr>
          <w:p>
            <w:pPr>
              <w:pStyle w:val="TableContents"/>
              <w:bidi w:val="0"/>
              <w:spacing w:before="0" w:after="283"/>
              <w:jc w:val="right"/>
              <w:rPr/>
            </w:pPr>
            <w:r>
              <w:rPr/>
              <w:t>200.1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w:t>
            </w:r>
          </w:p>
        </w:tc>
        <w:tc>
          <w:tcPr>
            <w:tcW w:w="1001" w:type="dxa"/>
            <w:tcBorders/>
            <w:shd w:fill="CCEEFF" w:val="clear"/>
            <w:vAlign w:val="bottom"/>
          </w:tcPr>
          <w:p>
            <w:pPr>
              <w:pStyle w:val="TableContents"/>
              <w:bidi w:val="0"/>
              <w:spacing w:before="0" w:after="283"/>
              <w:jc w:val="right"/>
              <w:rPr/>
            </w:pPr>
            <w:r>
              <w:rPr/>
              <w:t>134.4</w:t>
            </w:r>
          </w:p>
        </w:tc>
        <w:tc>
          <w:tcPr>
            <w:tcW w:w="44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475" w:type="dxa"/>
            <w:tcBorders/>
            <w:shd w:fill="CCEEFF" w:val="clear"/>
            <w:vAlign w:val="bottom"/>
          </w:tcPr>
          <w:p>
            <w:pPr>
              <w:pStyle w:val="TableContents"/>
              <w:bidi w:val="0"/>
              <w:spacing w:before="0" w:after="283"/>
              <w:jc w:val="left"/>
              <w:rPr/>
            </w:pPr>
            <w:r>
              <w:rPr/>
              <w:t>$</w:t>
            </w:r>
          </w:p>
        </w:tc>
        <w:tc>
          <w:tcPr>
            <w:tcW w:w="1495" w:type="dxa"/>
            <w:tcBorders/>
            <w:shd w:fill="CCEEFF" w:val="clear"/>
            <w:vAlign w:val="bottom"/>
          </w:tcPr>
          <w:p>
            <w:pPr>
              <w:pStyle w:val="TableContents"/>
              <w:bidi w:val="0"/>
              <w:spacing w:before="0" w:after="283"/>
              <w:jc w:val="right"/>
              <w:rPr/>
            </w:pPr>
            <w:r>
              <w:rPr/>
              <w:t>22.4</w:t>
            </w:r>
          </w:p>
        </w:tc>
        <w:tc>
          <w:tcPr>
            <w:tcW w:w="44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w:t>
            </w:r>
          </w:p>
        </w:tc>
        <w:tc>
          <w:tcPr>
            <w:tcW w:w="905" w:type="dxa"/>
            <w:tcBorders/>
            <w:shd w:fill="CCEEFF" w:val="clear"/>
            <w:vAlign w:val="bottom"/>
          </w:tcPr>
          <w:p>
            <w:pPr>
              <w:pStyle w:val="TableContents"/>
              <w:bidi w:val="0"/>
              <w:spacing w:before="0" w:after="283"/>
              <w:jc w:val="right"/>
              <w:rPr/>
            </w:pPr>
            <w:r>
              <w:rPr/>
              <w:t>156.8</w:t>
            </w:r>
          </w:p>
        </w:tc>
        <w:tc>
          <w:tcPr>
            <w:tcW w:w="275" w:type="dxa"/>
            <w:tcBorders/>
            <w:shd w:fill="CCEEFF" w:val="clear"/>
            <w:vAlign w:val="bottom"/>
          </w:tcPr>
          <w:p>
            <w:pPr>
              <w:pStyle w:val="TableContents"/>
              <w:bidi w:val="0"/>
              <w:spacing w:before="0" w:after="283"/>
              <w:jc w:val="left"/>
              <w:rPr/>
            </w:pPr>
            <w:r>
              <w:rPr/>
              <w:t> </w:t>
            </w:r>
          </w:p>
        </w:tc>
      </w:tr>
      <w:tr>
        <w:trPr/>
        <w:tc>
          <w:tcPr>
            <w:tcW w:w="1070" w:type="dxa"/>
            <w:tcBorders/>
          </w:tcPr>
          <w:p>
            <w:pPr>
              <w:pStyle w:val="TableContents"/>
              <w:bidi w:val="0"/>
              <w:spacing w:before="0" w:after="0"/>
              <w:jc w:val="left"/>
              <w:rPr>
                <w:rFonts w:ascii="Times New Roman" w:hAnsi="Times New Roman"/>
                <w:sz w:val="20"/>
              </w:rPr>
            </w:pPr>
            <w:r>
              <w:rPr>
                <w:rFonts w:ascii="Times New Roman" w:hAnsi="Times New Roman"/>
                <w:sz w:val="20"/>
              </w:rPr>
              <w:t>Adjusted to exclude gross up for:</w:t>
            </w:r>
          </w:p>
        </w:tc>
        <w:tc>
          <w:tcPr>
            <w:tcW w:w="12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sz w:val="4"/>
                <w:szCs w:val="4"/>
              </w:rPr>
            </w:pPr>
            <w:r>
              <w:rPr>
                <w:sz w:val="4"/>
                <w:szCs w:val="4"/>
              </w:rPr>
            </w:r>
          </w:p>
        </w:tc>
        <w:tc>
          <w:tcPr>
            <w:tcW w:w="1001" w:type="dxa"/>
            <w:tcBorders/>
            <w:vAlign w:val="bottom"/>
          </w:tcPr>
          <w:p>
            <w:pPr>
              <w:pStyle w:val="TableContents"/>
              <w:bidi w:val="0"/>
              <w:spacing w:before="0" w:after="283"/>
              <w:jc w:val="left"/>
              <w:rPr>
                <w:sz w:val="4"/>
                <w:szCs w:val="4"/>
              </w:rPr>
            </w:pPr>
            <w:r>
              <w:rPr>
                <w:sz w:val="4"/>
                <w:szCs w:val="4"/>
              </w:rPr>
            </w:r>
          </w:p>
        </w:tc>
        <w:tc>
          <w:tcPr>
            <w:tcW w:w="442" w:type="dxa"/>
            <w:tcBorders/>
            <w:vAlign w:val="bottom"/>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475" w:type="dxa"/>
            <w:tcBorders/>
            <w:vAlign w:val="bottom"/>
          </w:tcPr>
          <w:p>
            <w:pPr>
              <w:pStyle w:val="TableContents"/>
              <w:bidi w:val="0"/>
              <w:spacing w:before="0" w:after="283"/>
              <w:jc w:val="left"/>
              <w:rPr>
                <w:sz w:val="4"/>
                <w:szCs w:val="4"/>
              </w:rPr>
            </w:pPr>
            <w:r>
              <w:rPr>
                <w:sz w:val="4"/>
                <w:szCs w:val="4"/>
              </w:rPr>
            </w:r>
          </w:p>
        </w:tc>
        <w:tc>
          <w:tcPr>
            <w:tcW w:w="1495" w:type="dxa"/>
            <w:tcBorders/>
            <w:vAlign w:val="bottom"/>
          </w:tcPr>
          <w:p>
            <w:pPr>
              <w:pStyle w:val="TableContents"/>
              <w:bidi w:val="0"/>
              <w:spacing w:before="0" w:after="283"/>
              <w:jc w:val="left"/>
              <w:rPr>
                <w:sz w:val="4"/>
                <w:szCs w:val="4"/>
              </w:rPr>
            </w:pPr>
            <w:r>
              <w:rPr>
                <w:sz w:val="4"/>
                <w:szCs w:val="4"/>
              </w:rPr>
            </w:r>
          </w:p>
        </w:tc>
        <w:tc>
          <w:tcPr>
            <w:tcW w:w="442" w:type="dxa"/>
            <w:tcBorders/>
            <w:vAlign w:val="bottom"/>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sz w:val="4"/>
                <w:szCs w:val="4"/>
              </w:rPr>
            </w:pPr>
            <w:r>
              <w:rPr>
                <w:sz w:val="4"/>
                <w:szCs w:val="4"/>
              </w:rPr>
            </w:r>
          </w:p>
        </w:tc>
        <w:tc>
          <w:tcPr>
            <w:tcW w:w="90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sz w:val="4"/>
                <w:szCs w:val="4"/>
              </w:rPr>
            </w:pPr>
            <w:r>
              <w:rPr>
                <w:sz w:val="4"/>
                <w:szCs w:val="4"/>
              </w:rPr>
            </w:r>
          </w:p>
        </w:tc>
        <w:tc>
          <w:tcPr>
            <w:tcW w:w="1001" w:type="dxa"/>
            <w:tcBorders/>
            <w:vAlign w:val="bottom"/>
          </w:tcPr>
          <w:p>
            <w:pPr>
              <w:pStyle w:val="TableContents"/>
              <w:bidi w:val="0"/>
              <w:spacing w:before="0" w:after="283"/>
              <w:jc w:val="left"/>
              <w:rPr>
                <w:sz w:val="4"/>
                <w:szCs w:val="4"/>
              </w:rPr>
            </w:pPr>
            <w:r>
              <w:rPr>
                <w:sz w:val="4"/>
                <w:szCs w:val="4"/>
              </w:rPr>
            </w:r>
          </w:p>
        </w:tc>
        <w:tc>
          <w:tcPr>
            <w:tcW w:w="442" w:type="dxa"/>
            <w:tcBorders/>
            <w:vAlign w:val="bottom"/>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475" w:type="dxa"/>
            <w:tcBorders/>
            <w:vAlign w:val="bottom"/>
          </w:tcPr>
          <w:p>
            <w:pPr>
              <w:pStyle w:val="TableContents"/>
              <w:bidi w:val="0"/>
              <w:spacing w:before="0" w:after="283"/>
              <w:jc w:val="left"/>
              <w:rPr>
                <w:sz w:val="4"/>
                <w:szCs w:val="4"/>
              </w:rPr>
            </w:pPr>
            <w:r>
              <w:rPr>
                <w:sz w:val="4"/>
                <w:szCs w:val="4"/>
              </w:rPr>
            </w:r>
          </w:p>
        </w:tc>
        <w:tc>
          <w:tcPr>
            <w:tcW w:w="1495" w:type="dxa"/>
            <w:tcBorders/>
            <w:vAlign w:val="bottom"/>
          </w:tcPr>
          <w:p>
            <w:pPr>
              <w:pStyle w:val="TableContents"/>
              <w:bidi w:val="0"/>
              <w:spacing w:before="0" w:after="283"/>
              <w:jc w:val="left"/>
              <w:rPr>
                <w:sz w:val="4"/>
                <w:szCs w:val="4"/>
              </w:rPr>
            </w:pPr>
            <w:r>
              <w:rPr>
                <w:sz w:val="4"/>
                <w:szCs w:val="4"/>
              </w:rPr>
            </w:r>
          </w:p>
        </w:tc>
        <w:tc>
          <w:tcPr>
            <w:tcW w:w="442" w:type="dxa"/>
            <w:tcBorders/>
            <w:vAlign w:val="bottom"/>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sz w:val="4"/>
                <w:szCs w:val="4"/>
              </w:rPr>
            </w:pPr>
            <w:r>
              <w:rPr>
                <w:sz w:val="4"/>
                <w:szCs w:val="4"/>
              </w:rPr>
            </w:r>
          </w:p>
        </w:tc>
        <w:tc>
          <w:tcPr>
            <w:tcW w:w="90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0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Pass-through cost for printing and mailing</w:t>
            </w:r>
          </w:p>
        </w:tc>
        <w:tc>
          <w:tcPr>
            <w:tcW w:w="12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— </w:t>
            </w:r>
          </w:p>
        </w:tc>
        <w:tc>
          <w:tcPr>
            <w:tcW w:w="44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475" w:type="dxa"/>
            <w:tcBorders/>
            <w:shd w:fill="CCEEFF" w:val="clear"/>
            <w:vAlign w:val="bottom"/>
          </w:tcPr>
          <w:p>
            <w:pPr>
              <w:pStyle w:val="TableContents"/>
              <w:bidi w:val="0"/>
              <w:spacing w:before="0" w:after="283"/>
              <w:jc w:val="left"/>
              <w:rPr/>
            </w:pPr>
            <w:r>
              <w:rPr/>
              <w:t> </w:t>
            </w:r>
          </w:p>
        </w:tc>
        <w:tc>
          <w:tcPr>
            <w:tcW w:w="1495" w:type="dxa"/>
            <w:tcBorders/>
            <w:shd w:fill="CCEEFF" w:val="clear"/>
            <w:vAlign w:val="bottom"/>
          </w:tcPr>
          <w:p>
            <w:pPr>
              <w:pStyle w:val="TableContents"/>
              <w:bidi w:val="0"/>
              <w:spacing w:before="0" w:after="283"/>
              <w:jc w:val="right"/>
              <w:rPr/>
            </w:pPr>
            <w:r>
              <w:rPr/>
              <w:t>(4.6</w:t>
            </w:r>
          </w:p>
        </w:tc>
        <w:tc>
          <w:tcPr>
            <w:tcW w:w="44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(4.6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— </w:t>
            </w:r>
          </w:p>
        </w:tc>
        <w:tc>
          <w:tcPr>
            <w:tcW w:w="44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475" w:type="dxa"/>
            <w:tcBorders/>
            <w:shd w:fill="CCEEFF" w:val="clear"/>
            <w:vAlign w:val="bottom"/>
          </w:tcPr>
          <w:p>
            <w:pPr>
              <w:pStyle w:val="TableContents"/>
              <w:bidi w:val="0"/>
              <w:spacing w:before="0" w:after="283"/>
              <w:jc w:val="left"/>
              <w:rPr/>
            </w:pPr>
            <w:r>
              <w:rPr/>
              <w:t> </w:t>
            </w:r>
          </w:p>
        </w:tc>
        <w:tc>
          <w:tcPr>
            <w:tcW w:w="1495" w:type="dxa"/>
            <w:tcBorders/>
            <w:shd w:fill="CCEEFF" w:val="clear"/>
            <w:vAlign w:val="bottom"/>
          </w:tcPr>
          <w:p>
            <w:pPr>
              <w:pStyle w:val="TableContents"/>
              <w:bidi w:val="0"/>
              <w:spacing w:before="0" w:after="283"/>
              <w:jc w:val="right"/>
              <w:rPr/>
            </w:pPr>
            <w:r>
              <w:rPr/>
              <w:t>(4.2</w:t>
            </w:r>
          </w:p>
        </w:tc>
        <w:tc>
          <w:tcPr>
            <w:tcW w:w="44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(4.2</w:t>
            </w:r>
          </w:p>
        </w:tc>
        <w:tc>
          <w:tcPr>
            <w:tcW w:w="275" w:type="dxa"/>
            <w:tcBorders/>
            <w:shd w:fill="CCEEFF" w:val="clear"/>
            <w:vAlign w:val="bottom"/>
          </w:tcPr>
          <w:p>
            <w:pPr>
              <w:pStyle w:val="TableContents"/>
              <w:bidi w:val="0"/>
              <w:spacing w:before="0" w:after="283"/>
              <w:jc w:val="left"/>
              <w:rPr/>
            </w:pPr>
            <w:r>
              <w:rPr/>
              <w:t>) </w:t>
            </w:r>
          </w:p>
        </w:tc>
      </w:tr>
      <w:tr>
        <w:trPr/>
        <w:tc>
          <w:tcPr>
            <w:tcW w:w="1070" w:type="dxa"/>
            <w:tcBorders/>
          </w:tcPr>
          <w:p>
            <w:pPr>
              <w:pStyle w:val="TableContents"/>
              <w:bidi w:val="0"/>
              <w:spacing w:before="0" w:after="0"/>
              <w:jc w:val="left"/>
              <w:rPr>
                <w:rFonts w:ascii="Times New Roman" w:hAnsi="Times New Roman"/>
                <w:sz w:val="20"/>
              </w:rPr>
            </w:pPr>
            <w:r>
              <w:rPr>
                <w:rFonts w:ascii="Times New Roman" w:hAnsi="Times New Roman"/>
                <w:sz w:val="20"/>
              </w:rPr>
              <w:t>Marketing fees</w:t>
            </w:r>
          </w:p>
        </w:tc>
        <w:tc>
          <w:tcPr>
            <w:tcW w:w="12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(1.4</w:t>
            </w:r>
          </w:p>
        </w:tc>
        <w:tc>
          <w:tcPr>
            <w:tcW w:w="4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75" w:type="dxa"/>
            <w:tcBorders/>
            <w:vAlign w:val="bottom"/>
          </w:tcPr>
          <w:p>
            <w:pPr>
              <w:pStyle w:val="TableContents"/>
              <w:bidi w:val="0"/>
              <w:spacing w:before="0" w:after="283"/>
              <w:jc w:val="left"/>
              <w:rPr/>
            </w:pPr>
            <w:r>
              <w:rPr/>
              <w:t> </w:t>
            </w:r>
          </w:p>
        </w:tc>
        <w:tc>
          <w:tcPr>
            <w:tcW w:w="1495" w:type="dxa"/>
            <w:tcBorders/>
            <w:vAlign w:val="bottom"/>
          </w:tcPr>
          <w:p>
            <w:pPr>
              <w:pStyle w:val="TableContents"/>
              <w:bidi w:val="0"/>
              <w:spacing w:before="0" w:after="283"/>
              <w:jc w:val="right"/>
              <w:rPr/>
            </w:pPr>
            <w:r>
              <w:rPr/>
              <w:t>— </w:t>
            </w:r>
          </w:p>
        </w:tc>
        <w:tc>
          <w:tcPr>
            <w:tcW w:w="4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(1.4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(1.2</w:t>
            </w:r>
          </w:p>
        </w:tc>
        <w:tc>
          <w:tcPr>
            <w:tcW w:w="4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75" w:type="dxa"/>
            <w:tcBorders/>
            <w:vAlign w:val="bottom"/>
          </w:tcPr>
          <w:p>
            <w:pPr>
              <w:pStyle w:val="TableContents"/>
              <w:bidi w:val="0"/>
              <w:spacing w:before="0" w:after="283"/>
              <w:jc w:val="left"/>
              <w:rPr/>
            </w:pPr>
            <w:r>
              <w:rPr/>
              <w:t> </w:t>
            </w:r>
          </w:p>
        </w:tc>
        <w:tc>
          <w:tcPr>
            <w:tcW w:w="1495" w:type="dxa"/>
            <w:tcBorders/>
            <w:vAlign w:val="bottom"/>
          </w:tcPr>
          <w:p>
            <w:pPr>
              <w:pStyle w:val="TableContents"/>
              <w:bidi w:val="0"/>
              <w:spacing w:before="0" w:after="283"/>
              <w:jc w:val="right"/>
              <w:rPr/>
            </w:pPr>
            <w:r>
              <w:rPr/>
              <w:t>— </w:t>
            </w:r>
          </w:p>
        </w:tc>
        <w:tc>
          <w:tcPr>
            <w:tcW w:w="4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(1.2</w:t>
            </w:r>
          </w:p>
        </w:tc>
        <w:tc>
          <w:tcPr>
            <w:tcW w:w="275" w:type="dxa"/>
            <w:tcBorders/>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single" w:sz="2" w:space="1" w:color="000000"/>
              </w:pBdr>
              <w:bidi w:val="0"/>
              <w:spacing w:before="0" w:after="0"/>
              <w:jc w:val="left"/>
              <w:rPr/>
            </w:pPr>
            <w:r>
              <w:rPr/>
              <w:t> </w:t>
            </w:r>
          </w:p>
        </w:tc>
        <w:tc>
          <w:tcPr>
            <w:tcW w:w="1001" w:type="dxa"/>
            <w:tcBorders/>
            <w:vAlign w:val="bottom"/>
          </w:tcPr>
          <w:p>
            <w:pPr>
              <w:pStyle w:val="TableContents"/>
              <w:pBdr>
                <w:top w:val="single" w:sz="2" w:space="1" w:color="000000"/>
              </w:pBdr>
              <w:bidi w:val="0"/>
              <w:spacing w:before="0" w:after="0"/>
              <w:jc w:val="left"/>
              <w:rPr/>
            </w:pPr>
            <w:r>
              <w:rPr/>
              <w:t> </w:t>
            </w:r>
          </w:p>
        </w:tc>
        <w:tc>
          <w:tcPr>
            <w:tcW w:w="442"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75" w:type="dxa"/>
            <w:tcBorders/>
            <w:vAlign w:val="bottom"/>
          </w:tcPr>
          <w:p>
            <w:pPr>
              <w:pStyle w:val="TableContents"/>
              <w:pBdr>
                <w:top w:val="single" w:sz="2" w:space="1" w:color="000000"/>
              </w:pBdr>
              <w:bidi w:val="0"/>
              <w:spacing w:before="0" w:after="0"/>
              <w:jc w:val="left"/>
              <w:rPr/>
            </w:pPr>
            <w:r>
              <w:rPr/>
              <w:t> </w:t>
            </w:r>
          </w:p>
        </w:tc>
        <w:tc>
          <w:tcPr>
            <w:tcW w:w="1495" w:type="dxa"/>
            <w:tcBorders/>
            <w:vAlign w:val="bottom"/>
          </w:tcPr>
          <w:p>
            <w:pPr>
              <w:pStyle w:val="TableContents"/>
              <w:pBdr>
                <w:top w:val="single" w:sz="2" w:space="1" w:color="000000"/>
              </w:pBdr>
              <w:bidi w:val="0"/>
              <w:spacing w:before="0" w:after="0"/>
              <w:jc w:val="left"/>
              <w:rPr/>
            </w:pPr>
            <w:r>
              <w:rPr/>
              <w:t> </w:t>
            </w:r>
          </w:p>
        </w:tc>
        <w:tc>
          <w:tcPr>
            <w:tcW w:w="442"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single" w:sz="2" w:space="1" w:color="000000"/>
              </w:pBdr>
              <w:bidi w:val="0"/>
              <w:spacing w:before="0" w:after="0"/>
              <w:jc w:val="left"/>
              <w:rPr/>
            </w:pPr>
            <w:r>
              <w:rPr/>
              <w:t> </w:t>
            </w:r>
          </w:p>
        </w:tc>
        <w:tc>
          <w:tcPr>
            <w:tcW w:w="90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single" w:sz="2" w:space="1" w:color="000000"/>
              </w:pBdr>
              <w:bidi w:val="0"/>
              <w:spacing w:before="0" w:after="0"/>
              <w:jc w:val="left"/>
              <w:rPr/>
            </w:pPr>
            <w:r>
              <w:rPr/>
              <w:t> </w:t>
            </w:r>
          </w:p>
        </w:tc>
        <w:tc>
          <w:tcPr>
            <w:tcW w:w="1001" w:type="dxa"/>
            <w:tcBorders/>
            <w:vAlign w:val="bottom"/>
          </w:tcPr>
          <w:p>
            <w:pPr>
              <w:pStyle w:val="TableContents"/>
              <w:pBdr>
                <w:top w:val="single" w:sz="2" w:space="1" w:color="000000"/>
              </w:pBdr>
              <w:bidi w:val="0"/>
              <w:spacing w:before="0" w:after="0"/>
              <w:jc w:val="left"/>
              <w:rPr/>
            </w:pPr>
            <w:r>
              <w:rPr/>
              <w:t> </w:t>
            </w:r>
          </w:p>
        </w:tc>
        <w:tc>
          <w:tcPr>
            <w:tcW w:w="442"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75" w:type="dxa"/>
            <w:tcBorders/>
            <w:vAlign w:val="bottom"/>
          </w:tcPr>
          <w:p>
            <w:pPr>
              <w:pStyle w:val="TableContents"/>
              <w:pBdr>
                <w:top w:val="single" w:sz="2" w:space="1" w:color="000000"/>
              </w:pBdr>
              <w:bidi w:val="0"/>
              <w:spacing w:before="0" w:after="0"/>
              <w:jc w:val="left"/>
              <w:rPr/>
            </w:pPr>
            <w:r>
              <w:rPr/>
              <w:t> </w:t>
            </w:r>
          </w:p>
        </w:tc>
        <w:tc>
          <w:tcPr>
            <w:tcW w:w="1495" w:type="dxa"/>
            <w:tcBorders/>
            <w:vAlign w:val="bottom"/>
          </w:tcPr>
          <w:p>
            <w:pPr>
              <w:pStyle w:val="TableContents"/>
              <w:pBdr>
                <w:top w:val="single" w:sz="2" w:space="1" w:color="000000"/>
              </w:pBdr>
              <w:bidi w:val="0"/>
              <w:spacing w:before="0" w:after="0"/>
              <w:jc w:val="left"/>
              <w:rPr/>
            </w:pPr>
            <w:r>
              <w:rPr/>
              <w:t> </w:t>
            </w:r>
          </w:p>
        </w:tc>
        <w:tc>
          <w:tcPr>
            <w:tcW w:w="442"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single" w:sz="2" w:space="1" w:color="000000"/>
              </w:pBdr>
              <w:bidi w:val="0"/>
              <w:spacing w:before="0" w:after="0"/>
              <w:jc w:val="left"/>
              <w:rPr/>
            </w:pPr>
            <w:r>
              <w:rPr/>
              <w:t> </w:t>
            </w:r>
          </w:p>
        </w:tc>
        <w:tc>
          <w:tcPr>
            <w:tcW w:w="90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r>
        <w:trPr/>
        <w:tc>
          <w:tcPr>
            <w:tcW w:w="10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Less Ancillary Services</w:t>
            </w:r>
          </w:p>
        </w:tc>
        <w:tc>
          <w:tcPr>
            <w:tcW w:w="12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w:t>
            </w:r>
          </w:p>
        </w:tc>
        <w:tc>
          <w:tcPr>
            <w:tcW w:w="1001" w:type="dxa"/>
            <w:tcBorders/>
            <w:shd w:fill="CCEEFF" w:val="clear"/>
            <w:vAlign w:val="bottom"/>
          </w:tcPr>
          <w:p>
            <w:pPr>
              <w:pStyle w:val="TableContents"/>
              <w:bidi w:val="0"/>
              <w:spacing w:before="0" w:after="283"/>
              <w:jc w:val="right"/>
              <w:rPr/>
            </w:pPr>
            <w:r>
              <w:rPr/>
              <w:t>165.7</w:t>
            </w:r>
          </w:p>
        </w:tc>
        <w:tc>
          <w:tcPr>
            <w:tcW w:w="44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475" w:type="dxa"/>
            <w:tcBorders/>
            <w:shd w:fill="CCEEFF" w:val="clear"/>
            <w:vAlign w:val="bottom"/>
          </w:tcPr>
          <w:p>
            <w:pPr>
              <w:pStyle w:val="TableContents"/>
              <w:bidi w:val="0"/>
              <w:spacing w:before="0" w:after="283"/>
              <w:jc w:val="left"/>
              <w:rPr/>
            </w:pPr>
            <w:r>
              <w:rPr/>
              <w:t>$</w:t>
            </w:r>
          </w:p>
        </w:tc>
        <w:tc>
          <w:tcPr>
            <w:tcW w:w="1495" w:type="dxa"/>
            <w:tcBorders/>
            <w:shd w:fill="CCEEFF" w:val="clear"/>
            <w:vAlign w:val="bottom"/>
          </w:tcPr>
          <w:p>
            <w:pPr>
              <w:pStyle w:val="TableContents"/>
              <w:bidi w:val="0"/>
              <w:spacing w:before="0" w:after="283"/>
              <w:jc w:val="right"/>
              <w:rPr/>
            </w:pPr>
            <w:r>
              <w:rPr/>
              <w:t>28.4</w:t>
            </w:r>
          </w:p>
        </w:tc>
        <w:tc>
          <w:tcPr>
            <w:tcW w:w="44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w:t>
            </w:r>
          </w:p>
        </w:tc>
        <w:tc>
          <w:tcPr>
            <w:tcW w:w="905" w:type="dxa"/>
            <w:tcBorders/>
            <w:shd w:fill="CCEEFF" w:val="clear"/>
            <w:vAlign w:val="bottom"/>
          </w:tcPr>
          <w:p>
            <w:pPr>
              <w:pStyle w:val="TableContents"/>
              <w:bidi w:val="0"/>
              <w:spacing w:before="0" w:after="283"/>
              <w:jc w:val="right"/>
              <w:rPr/>
            </w:pPr>
            <w:r>
              <w:rPr/>
              <w:t>194.1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w:t>
            </w:r>
          </w:p>
        </w:tc>
        <w:tc>
          <w:tcPr>
            <w:tcW w:w="1001" w:type="dxa"/>
            <w:tcBorders/>
            <w:shd w:fill="CCEEFF" w:val="clear"/>
            <w:vAlign w:val="bottom"/>
          </w:tcPr>
          <w:p>
            <w:pPr>
              <w:pStyle w:val="TableContents"/>
              <w:bidi w:val="0"/>
              <w:spacing w:before="0" w:after="283"/>
              <w:jc w:val="right"/>
              <w:rPr/>
            </w:pPr>
            <w:r>
              <w:rPr/>
              <w:t>133.2</w:t>
            </w:r>
          </w:p>
        </w:tc>
        <w:tc>
          <w:tcPr>
            <w:tcW w:w="44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475" w:type="dxa"/>
            <w:tcBorders/>
            <w:shd w:fill="CCEEFF" w:val="clear"/>
            <w:vAlign w:val="bottom"/>
          </w:tcPr>
          <w:p>
            <w:pPr>
              <w:pStyle w:val="TableContents"/>
              <w:bidi w:val="0"/>
              <w:spacing w:before="0" w:after="283"/>
              <w:jc w:val="left"/>
              <w:rPr/>
            </w:pPr>
            <w:r>
              <w:rPr/>
              <w:t>$</w:t>
            </w:r>
          </w:p>
        </w:tc>
        <w:tc>
          <w:tcPr>
            <w:tcW w:w="1495" w:type="dxa"/>
            <w:tcBorders/>
            <w:shd w:fill="CCEEFF" w:val="clear"/>
            <w:vAlign w:val="bottom"/>
          </w:tcPr>
          <w:p>
            <w:pPr>
              <w:pStyle w:val="TableContents"/>
              <w:bidi w:val="0"/>
              <w:spacing w:before="0" w:after="283"/>
              <w:jc w:val="right"/>
              <w:rPr/>
            </w:pPr>
            <w:r>
              <w:rPr/>
              <w:t>18.2</w:t>
            </w:r>
          </w:p>
        </w:tc>
        <w:tc>
          <w:tcPr>
            <w:tcW w:w="44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w:t>
            </w:r>
          </w:p>
        </w:tc>
        <w:tc>
          <w:tcPr>
            <w:tcW w:w="905" w:type="dxa"/>
            <w:tcBorders/>
            <w:shd w:fill="CCEEFF" w:val="clear"/>
            <w:vAlign w:val="bottom"/>
          </w:tcPr>
          <w:p>
            <w:pPr>
              <w:pStyle w:val="TableContents"/>
              <w:bidi w:val="0"/>
              <w:spacing w:before="0" w:after="283"/>
              <w:jc w:val="right"/>
              <w:rPr/>
            </w:pPr>
            <w:r>
              <w:rPr/>
              <w:t>151.4</w:t>
            </w:r>
          </w:p>
        </w:tc>
        <w:tc>
          <w:tcPr>
            <w:tcW w:w="275" w:type="dxa"/>
            <w:tcBorders/>
            <w:shd w:fill="CCEEFF" w:val="clear"/>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double" w:sz="6" w:space="1" w:color="000000"/>
              </w:pBdr>
              <w:bidi w:val="0"/>
              <w:spacing w:before="0" w:after="0"/>
              <w:jc w:val="left"/>
              <w:rPr/>
            </w:pPr>
            <w:r>
              <w:rPr/>
              <w:t> </w:t>
            </w:r>
          </w:p>
        </w:tc>
        <w:tc>
          <w:tcPr>
            <w:tcW w:w="1001" w:type="dxa"/>
            <w:tcBorders/>
            <w:vAlign w:val="bottom"/>
          </w:tcPr>
          <w:p>
            <w:pPr>
              <w:pStyle w:val="TableContents"/>
              <w:pBdr>
                <w:top w:val="double" w:sz="6" w:space="1" w:color="000000"/>
              </w:pBdr>
              <w:bidi w:val="0"/>
              <w:spacing w:before="0" w:after="0"/>
              <w:jc w:val="left"/>
              <w:rPr/>
            </w:pPr>
            <w:r>
              <w:rPr/>
              <w:t> </w:t>
            </w:r>
          </w:p>
        </w:tc>
        <w:tc>
          <w:tcPr>
            <w:tcW w:w="442"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75" w:type="dxa"/>
            <w:tcBorders/>
            <w:vAlign w:val="bottom"/>
          </w:tcPr>
          <w:p>
            <w:pPr>
              <w:pStyle w:val="TableContents"/>
              <w:pBdr>
                <w:top w:val="double" w:sz="6" w:space="1" w:color="000000"/>
              </w:pBdr>
              <w:bidi w:val="0"/>
              <w:spacing w:before="0" w:after="0"/>
              <w:jc w:val="left"/>
              <w:rPr/>
            </w:pPr>
            <w:r>
              <w:rPr/>
              <w:t> </w:t>
            </w:r>
          </w:p>
        </w:tc>
        <w:tc>
          <w:tcPr>
            <w:tcW w:w="1495" w:type="dxa"/>
            <w:tcBorders/>
            <w:vAlign w:val="bottom"/>
          </w:tcPr>
          <w:p>
            <w:pPr>
              <w:pStyle w:val="TableContents"/>
              <w:pBdr>
                <w:top w:val="double" w:sz="6" w:space="1" w:color="000000"/>
              </w:pBdr>
              <w:bidi w:val="0"/>
              <w:spacing w:before="0" w:after="0"/>
              <w:jc w:val="left"/>
              <w:rPr/>
            </w:pPr>
            <w:r>
              <w:rPr/>
              <w:t> </w:t>
            </w:r>
          </w:p>
        </w:tc>
        <w:tc>
          <w:tcPr>
            <w:tcW w:w="442"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double" w:sz="6" w:space="1" w:color="000000"/>
              </w:pBdr>
              <w:bidi w:val="0"/>
              <w:spacing w:before="0" w:after="0"/>
              <w:jc w:val="left"/>
              <w:rPr/>
            </w:pPr>
            <w:r>
              <w:rPr/>
              <w:t> </w:t>
            </w:r>
          </w:p>
        </w:tc>
        <w:tc>
          <w:tcPr>
            <w:tcW w:w="905"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double" w:sz="6" w:space="1" w:color="000000"/>
              </w:pBdr>
              <w:bidi w:val="0"/>
              <w:spacing w:before="0" w:after="0"/>
              <w:jc w:val="left"/>
              <w:rPr/>
            </w:pPr>
            <w:r>
              <w:rPr/>
              <w:t> </w:t>
            </w:r>
          </w:p>
        </w:tc>
        <w:tc>
          <w:tcPr>
            <w:tcW w:w="1001" w:type="dxa"/>
            <w:tcBorders/>
            <w:vAlign w:val="bottom"/>
          </w:tcPr>
          <w:p>
            <w:pPr>
              <w:pStyle w:val="TableContents"/>
              <w:pBdr>
                <w:top w:val="double" w:sz="6" w:space="1" w:color="000000"/>
              </w:pBdr>
              <w:bidi w:val="0"/>
              <w:spacing w:before="0" w:after="0"/>
              <w:jc w:val="left"/>
              <w:rPr/>
            </w:pPr>
            <w:r>
              <w:rPr/>
              <w:t> </w:t>
            </w:r>
          </w:p>
        </w:tc>
        <w:tc>
          <w:tcPr>
            <w:tcW w:w="442"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75" w:type="dxa"/>
            <w:tcBorders/>
            <w:vAlign w:val="bottom"/>
          </w:tcPr>
          <w:p>
            <w:pPr>
              <w:pStyle w:val="TableContents"/>
              <w:pBdr>
                <w:top w:val="double" w:sz="6" w:space="1" w:color="000000"/>
              </w:pBdr>
              <w:bidi w:val="0"/>
              <w:spacing w:before="0" w:after="0"/>
              <w:jc w:val="left"/>
              <w:rPr/>
            </w:pPr>
            <w:r>
              <w:rPr/>
              <w:t> </w:t>
            </w:r>
          </w:p>
        </w:tc>
        <w:tc>
          <w:tcPr>
            <w:tcW w:w="1495" w:type="dxa"/>
            <w:tcBorders/>
            <w:vAlign w:val="bottom"/>
          </w:tcPr>
          <w:p>
            <w:pPr>
              <w:pStyle w:val="TableContents"/>
              <w:pBdr>
                <w:top w:val="double" w:sz="6" w:space="1" w:color="000000"/>
              </w:pBdr>
              <w:bidi w:val="0"/>
              <w:spacing w:before="0" w:after="0"/>
              <w:jc w:val="left"/>
              <w:rPr/>
            </w:pPr>
            <w:r>
              <w:rPr/>
              <w:t> </w:t>
            </w:r>
          </w:p>
        </w:tc>
        <w:tc>
          <w:tcPr>
            <w:tcW w:w="442"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double" w:sz="6" w:space="1" w:color="000000"/>
              </w:pBdr>
              <w:bidi w:val="0"/>
              <w:spacing w:before="0" w:after="0"/>
              <w:jc w:val="left"/>
              <w:rPr/>
            </w:pPr>
            <w:r>
              <w:rPr/>
              <w:t> </w:t>
            </w:r>
          </w:p>
        </w:tc>
        <w:tc>
          <w:tcPr>
            <w:tcW w:w="905"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r>
        <w:trPr/>
        <w:tc>
          <w:tcPr>
            <w:tcW w:w="1070" w:type="dxa"/>
            <w:tcBorders/>
          </w:tcPr>
          <w:p>
            <w:pPr>
              <w:pStyle w:val="TableContents"/>
              <w:bidi w:val="0"/>
              <w:spacing w:before="0" w:after="0"/>
              <w:jc w:val="left"/>
              <w:rPr>
                <w:rFonts w:ascii="Times New Roman" w:hAnsi="Times New Roman"/>
                <w:sz w:val="20"/>
              </w:rPr>
            </w:pPr>
            <w:r>
              <w:rPr>
                <w:rFonts w:ascii="Times New Roman" w:hAnsi="Times New Roman"/>
                <w:sz w:val="20"/>
              </w:rPr>
              <w:t>Percentage of Revenue</w:t>
            </w:r>
          </w:p>
        </w:tc>
        <w:tc>
          <w:tcPr>
            <w:tcW w:w="12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83.5</w:t>
            </w:r>
          </w:p>
        </w:tc>
        <w:tc>
          <w:tcPr>
            <w:tcW w:w="4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75" w:type="dxa"/>
            <w:tcBorders/>
            <w:vAlign w:val="bottom"/>
          </w:tcPr>
          <w:p>
            <w:pPr>
              <w:pStyle w:val="TableContents"/>
              <w:bidi w:val="0"/>
              <w:spacing w:before="0" w:after="283"/>
              <w:jc w:val="left"/>
              <w:rPr/>
            </w:pPr>
            <w:r>
              <w:rPr/>
              <w:t> </w:t>
            </w:r>
          </w:p>
        </w:tc>
        <w:tc>
          <w:tcPr>
            <w:tcW w:w="1495" w:type="dxa"/>
            <w:tcBorders/>
            <w:vAlign w:val="bottom"/>
          </w:tcPr>
          <w:p>
            <w:pPr>
              <w:pStyle w:val="TableContents"/>
              <w:bidi w:val="0"/>
              <w:spacing w:before="0" w:after="283"/>
              <w:jc w:val="right"/>
              <w:rPr/>
            </w:pPr>
            <w:r>
              <w:rPr/>
              <w:t>16.5</w:t>
            </w:r>
          </w:p>
        </w:tc>
        <w:tc>
          <w:tcPr>
            <w:tcW w:w="4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100.0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85.7</w:t>
            </w:r>
          </w:p>
        </w:tc>
        <w:tc>
          <w:tcPr>
            <w:tcW w:w="4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75" w:type="dxa"/>
            <w:tcBorders/>
            <w:vAlign w:val="bottom"/>
          </w:tcPr>
          <w:p>
            <w:pPr>
              <w:pStyle w:val="TableContents"/>
              <w:bidi w:val="0"/>
              <w:spacing w:before="0" w:after="283"/>
              <w:jc w:val="left"/>
              <w:rPr/>
            </w:pPr>
            <w:r>
              <w:rPr/>
              <w:t> </w:t>
            </w:r>
          </w:p>
        </w:tc>
        <w:tc>
          <w:tcPr>
            <w:tcW w:w="1495" w:type="dxa"/>
            <w:tcBorders/>
            <w:vAlign w:val="bottom"/>
          </w:tcPr>
          <w:p>
            <w:pPr>
              <w:pStyle w:val="TableContents"/>
              <w:bidi w:val="0"/>
              <w:spacing w:before="0" w:after="283"/>
              <w:jc w:val="right"/>
              <w:rPr/>
            </w:pPr>
            <w:r>
              <w:rPr/>
              <w:t>14.3</w:t>
            </w:r>
          </w:p>
        </w:tc>
        <w:tc>
          <w:tcPr>
            <w:tcW w:w="4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100.0</w:t>
            </w:r>
          </w:p>
        </w:tc>
        <w:tc>
          <w:tcPr>
            <w:tcW w:w="275" w:type="dxa"/>
            <w:tcBorders/>
            <w:vAlign w:val="bottom"/>
          </w:tcPr>
          <w:p>
            <w:pPr>
              <w:pStyle w:val="TableContents"/>
              <w:bidi w:val="0"/>
              <w:spacing w:before="0" w:after="283"/>
              <w:jc w:val="left"/>
              <w:rPr/>
            </w:pPr>
            <w:r>
              <w:rPr/>
              <w:t>% </w:t>
            </w:r>
          </w:p>
        </w:tc>
      </w:tr>
      <w:tr>
        <w:trPr/>
        <w:tc>
          <w:tcPr>
            <w:tcW w:w="10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Percentage of Revenue Less Ancillary Services</w:t>
            </w:r>
          </w:p>
        </w:tc>
        <w:tc>
          <w:tcPr>
            <w:tcW w:w="12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85.4</w:t>
            </w:r>
          </w:p>
        </w:tc>
        <w:tc>
          <w:tcPr>
            <w:tcW w:w="44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475" w:type="dxa"/>
            <w:tcBorders/>
            <w:shd w:fill="CCEEFF" w:val="clear"/>
            <w:vAlign w:val="bottom"/>
          </w:tcPr>
          <w:p>
            <w:pPr>
              <w:pStyle w:val="TableContents"/>
              <w:bidi w:val="0"/>
              <w:spacing w:before="0" w:after="283"/>
              <w:jc w:val="left"/>
              <w:rPr/>
            </w:pPr>
            <w:r>
              <w:rPr/>
              <w:t> </w:t>
            </w:r>
          </w:p>
        </w:tc>
        <w:tc>
          <w:tcPr>
            <w:tcW w:w="1495" w:type="dxa"/>
            <w:tcBorders/>
            <w:shd w:fill="CCEEFF" w:val="clear"/>
            <w:vAlign w:val="bottom"/>
          </w:tcPr>
          <w:p>
            <w:pPr>
              <w:pStyle w:val="TableContents"/>
              <w:bidi w:val="0"/>
              <w:spacing w:before="0" w:after="283"/>
              <w:jc w:val="right"/>
              <w:rPr/>
            </w:pPr>
            <w:r>
              <w:rPr/>
              <w:t>14.6</w:t>
            </w:r>
          </w:p>
        </w:tc>
        <w:tc>
          <w:tcPr>
            <w:tcW w:w="44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88.0</w:t>
            </w:r>
          </w:p>
        </w:tc>
        <w:tc>
          <w:tcPr>
            <w:tcW w:w="44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475" w:type="dxa"/>
            <w:tcBorders/>
            <w:shd w:fill="CCEEFF" w:val="clear"/>
            <w:vAlign w:val="bottom"/>
          </w:tcPr>
          <w:p>
            <w:pPr>
              <w:pStyle w:val="TableContents"/>
              <w:bidi w:val="0"/>
              <w:spacing w:before="0" w:after="283"/>
              <w:jc w:val="left"/>
              <w:rPr/>
            </w:pPr>
            <w:r>
              <w:rPr/>
              <w:t> </w:t>
            </w:r>
          </w:p>
        </w:tc>
        <w:tc>
          <w:tcPr>
            <w:tcW w:w="1495" w:type="dxa"/>
            <w:tcBorders/>
            <w:shd w:fill="CCEEFF" w:val="clear"/>
            <w:vAlign w:val="bottom"/>
          </w:tcPr>
          <w:p>
            <w:pPr>
              <w:pStyle w:val="TableContents"/>
              <w:bidi w:val="0"/>
              <w:spacing w:before="0" w:after="283"/>
              <w:jc w:val="right"/>
              <w:rPr/>
            </w:pPr>
            <w:r>
              <w:rPr/>
              <w:t>12.0</w:t>
            </w:r>
          </w:p>
        </w:tc>
        <w:tc>
          <w:tcPr>
            <w:tcW w:w="44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11390" w:type="dxa"/>
        <w:jc w:val="center"/>
        <w:tblInd w:w="0" w:type="dxa"/>
        <w:tblLayout w:type="fixed"/>
        <w:tblCellMar>
          <w:top w:w="0" w:type="dxa"/>
          <w:left w:w="0" w:type="dxa"/>
          <w:bottom w:w="0" w:type="dxa"/>
          <w:right w:w="0" w:type="dxa"/>
        </w:tblCellMar>
      </w:tblPr>
      <w:tblGrid>
        <w:gridCol w:w="1070"/>
        <w:gridCol w:w="120"/>
        <w:gridCol w:w="250"/>
        <w:gridCol w:w="1000"/>
        <w:gridCol w:w="275"/>
        <w:gridCol w:w="60"/>
        <w:gridCol w:w="421"/>
        <w:gridCol w:w="1549"/>
        <w:gridCol w:w="275"/>
        <w:gridCol w:w="60"/>
        <w:gridCol w:w="212"/>
        <w:gridCol w:w="693"/>
        <w:gridCol w:w="275"/>
        <w:gridCol w:w="60"/>
        <w:gridCol w:w="250"/>
        <w:gridCol w:w="1000"/>
        <w:gridCol w:w="275"/>
        <w:gridCol w:w="60"/>
        <w:gridCol w:w="421"/>
        <w:gridCol w:w="1549"/>
        <w:gridCol w:w="275"/>
        <w:gridCol w:w="60"/>
        <w:gridCol w:w="211"/>
        <w:gridCol w:w="694"/>
        <w:gridCol w:w="275"/>
      </w:tblGrid>
      <w:tr>
        <w:trPr/>
        <w:tc>
          <w:tcPr>
            <w:tcW w:w="107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07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795"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Nine Months Ended September 30, 2025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95"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Nine Months Ended September 30, 2024</w:t>
            </w:r>
          </w:p>
        </w:tc>
        <w:tc>
          <w:tcPr>
            <w:tcW w:w="275" w:type="dxa"/>
            <w:tcBorders/>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Platform and other</w:t>
              <w:br/>
              <w:t>revenues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Revenue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Platform and other</w:t>
              <w:br/>
              <w:t>revenues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Revenue</w:t>
            </w:r>
          </w:p>
        </w:tc>
        <w:tc>
          <w:tcPr>
            <w:tcW w:w="275" w:type="dxa"/>
            <w:tcBorders/>
            <w:vAlign w:val="bottom"/>
          </w:tcPr>
          <w:p>
            <w:pPr>
              <w:pStyle w:val="TableContents"/>
              <w:bidi w:val="0"/>
              <w:spacing w:before="0" w:after="283"/>
              <w:jc w:val="left"/>
              <w:rPr/>
            </w:pPr>
            <w:r>
              <w:rPr/>
              <w:t> </w:t>
            </w:r>
          </w:p>
        </w:tc>
      </w:tr>
      <w:tr>
        <w:trPr/>
        <w:tc>
          <w:tcPr>
            <w:tcW w:w="10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2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1000" w:type="dxa"/>
            <w:tcBorders/>
            <w:shd w:fill="CCEEFF" w:val="clear"/>
            <w:vAlign w:val="bottom"/>
          </w:tcPr>
          <w:p>
            <w:pPr>
              <w:pStyle w:val="TableContents"/>
              <w:bidi w:val="0"/>
              <w:spacing w:before="0" w:after="283"/>
              <w:jc w:val="right"/>
              <w:rPr/>
            </w:pPr>
            <w:r>
              <w:rPr/>
              <w:t>376.2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1" w:type="dxa"/>
            <w:tcBorders/>
            <w:shd w:fill="CCEEFF" w:val="clear"/>
            <w:vAlign w:val="bottom"/>
          </w:tcPr>
          <w:p>
            <w:pPr>
              <w:pStyle w:val="TableContents"/>
              <w:bidi w:val="0"/>
              <w:spacing w:before="0" w:after="283"/>
              <w:jc w:val="left"/>
              <w:rPr/>
            </w:pPr>
            <w:r>
              <w:rPr/>
              <w:t>$</w:t>
            </w:r>
          </w:p>
        </w:tc>
        <w:tc>
          <w:tcPr>
            <w:tcW w:w="1549" w:type="dxa"/>
            <w:tcBorders/>
            <w:shd w:fill="CCEEFF" w:val="clear"/>
            <w:vAlign w:val="bottom"/>
          </w:tcPr>
          <w:p>
            <w:pPr>
              <w:pStyle w:val="TableContents"/>
              <w:bidi w:val="0"/>
              <w:spacing w:before="0" w:after="283"/>
              <w:jc w:val="right"/>
              <w:rPr/>
            </w:pPr>
            <w:r>
              <w:rPr/>
              <w:t>89.2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w:t>
            </w:r>
          </w:p>
        </w:tc>
        <w:tc>
          <w:tcPr>
            <w:tcW w:w="693" w:type="dxa"/>
            <w:tcBorders/>
            <w:shd w:fill="CCEEFF" w:val="clear"/>
            <w:vAlign w:val="bottom"/>
          </w:tcPr>
          <w:p>
            <w:pPr>
              <w:pStyle w:val="TableContents"/>
              <w:bidi w:val="0"/>
              <w:spacing w:before="0" w:after="283"/>
              <w:jc w:val="right"/>
              <w:rPr/>
            </w:pPr>
            <w:r>
              <w:rPr/>
              <w:t>465.5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1000" w:type="dxa"/>
            <w:tcBorders/>
            <w:shd w:fill="CCEEFF" w:val="clear"/>
            <w:vAlign w:val="bottom"/>
          </w:tcPr>
          <w:p>
            <w:pPr>
              <w:pStyle w:val="TableContents"/>
              <w:bidi w:val="0"/>
              <w:spacing w:before="0" w:after="283"/>
              <w:jc w:val="right"/>
              <w:rPr/>
            </w:pPr>
            <w:r>
              <w:rPr/>
              <w:t>314.9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1" w:type="dxa"/>
            <w:tcBorders/>
            <w:shd w:fill="CCEEFF" w:val="clear"/>
            <w:vAlign w:val="bottom"/>
          </w:tcPr>
          <w:p>
            <w:pPr>
              <w:pStyle w:val="TableContents"/>
              <w:bidi w:val="0"/>
              <w:spacing w:before="0" w:after="283"/>
              <w:jc w:val="left"/>
              <w:rPr/>
            </w:pPr>
            <w:r>
              <w:rPr/>
              <w:t>$</w:t>
            </w:r>
          </w:p>
        </w:tc>
        <w:tc>
          <w:tcPr>
            <w:tcW w:w="1549" w:type="dxa"/>
            <w:tcBorders/>
            <w:shd w:fill="CCEEFF" w:val="clear"/>
            <w:vAlign w:val="bottom"/>
          </w:tcPr>
          <w:p>
            <w:pPr>
              <w:pStyle w:val="TableContents"/>
              <w:bidi w:val="0"/>
              <w:spacing w:before="0" w:after="283"/>
              <w:jc w:val="right"/>
              <w:rPr/>
            </w:pPr>
            <w:r>
              <w:rPr/>
              <w:t>59.6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694" w:type="dxa"/>
            <w:tcBorders/>
            <w:shd w:fill="CCEEFF" w:val="clear"/>
            <w:vAlign w:val="bottom"/>
          </w:tcPr>
          <w:p>
            <w:pPr>
              <w:pStyle w:val="TableContents"/>
              <w:bidi w:val="0"/>
              <w:spacing w:before="0" w:after="283"/>
              <w:jc w:val="right"/>
              <w:rPr/>
            </w:pPr>
            <w:r>
              <w:rPr/>
              <w:t>374.6</w:t>
            </w:r>
          </w:p>
        </w:tc>
        <w:tc>
          <w:tcPr>
            <w:tcW w:w="275" w:type="dxa"/>
            <w:tcBorders/>
            <w:shd w:fill="CCEEFF" w:val="clear"/>
            <w:vAlign w:val="bottom"/>
          </w:tcPr>
          <w:p>
            <w:pPr>
              <w:pStyle w:val="TableContents"/>
              <w:bidi w:val="0"/>
              <w:spacing w:before="0" w:after="283"/>
              <w:jc w:val="left"/>
              <w:rPr/>
            </w:pPr>
            <w:r>
              <w:rPr/>
              <w:t> </w:t>
            </w:r>
          </w:p>
        </w:tc>
      </w:tr>
      <w:tr>
        <w:trPr/>
        <w:tc>
          <w:tcPr>
            <w:tcW w:w="1070" w:type="dxa"/>
            <w:tcBorders/>
          </w:tcPr>
          <w:p>
            <w:pPr>
              <w:pStyle w:val="TableContents"/>
              <w:bidi w:val="0"/>
              <w:spacing w:before="0" w:after="0"/>
              <w:jc w:val="left"/>
              <w:rPr>
                <w:rFonts w:ascii="Times New Roman" w:hAnsi="Times New Roman"/>
                <w:sz w:val="20"/>
              </w:rPr>
            </w:pPr>
            <w:r>
              <w:rPr>
                <w:rFonts w:ascii="Times New Roman" w:hAnsi="Times New Roman"/>
                <w:sz w:val="20"/>
              </w:rPr>
              <w:t>Adjusted to exclude gross up for:</w:t>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100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left"/>
              <w:rPr>
                <w:sz w:val="4"/>
                <w:szCs w:val="4"/>
              </w:rPr>
            </w:pPr>
            <w:r>
              <w:rPr>
                <w:sz w:val="4"/>
                <w:szCs w:val="4"/>
              </w:rPr>
            </w:r>
          </w:p>
        </w:tc>
        <w:tc>
          <w:tcPr>
            <w:tcW w:w="15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sz w:val="4"/>
                <w:szCs w:val="4"/>
              </w:rPr>
            </w:pPr>
            <w:r>
              <w:rPr>
                <w:sz w:val="4"/>
                <w:szCs w:val="4"/>
              </w:rPr>
            </w:r>
          </w:p>
        </w:tc>
        <w:tc>
          <w:tcPr>
            <w:tcW w:w="693"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100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left"/>
              <w:rPr>
                <w:sz w:val="4"/>
                <w:szCs w:val="4"/>
              </w:rPr>
            </w:pPr>
            <w:r>
              <w:rPr>
                <w:sz w:val="4"/>
                <w:szCs w:val="4"/>
              </w:rPr>
            </w:r>
          </w:p>
        </w:tc>
        <w:tc>
          <w:tcPr>
            <w:tcW w:w="15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sz w:val="4"/>
                <w:szCs w:val="4"/>
              </w:rPr>
            </w:pPr>
            <w:r>
              <w:rPr>
                <w:sz w:val="4"/>
                <w:szCs w:val="4"/>
              </w:rPr>
            </w:r>
          </w:p>
        </w:tc>
        <w:tc>
          <w:tcPr>
            <w:tcW w:w="694"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0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Pass-through cost for printing and mailing</w:t>
            </w:r>
          </w:p>
        </w:tc>
        <w:tc>
          <w:tcPr>
            <w:tcW w:w="12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1" w:type="dxa"/>
            <w:tcBorders/>
            <w:shd w:fill="CCEEFF" w:val="clear"/>
            <w:vAlign w:val="bottom"/>
          </w:tcPr>
          <w:p>
            <w:pPr>
              <w:pStyle w:val="TableContents"/>
              <w:bidi w:val="0"/>
              <w:spacing w:before="0" w:after="283"/>
              <w:jc w:val="left"/>
              <w:rPr/>
            </w:pPr>
            <w:r>
              <w:rPr/>
              <w:t> </w:t>
            </w:r>
          </w:p>
        </w:tc>
        <w:tc>
          <w:tcPr>
            <w:tcW w:w="1549" w:type="dxa"/>
            <w:tcBorders/>
            <w:shd w:fill="CCEEFF" w:val="clear"/>
            <w:vAlign w:val="bottom"/>
          </w:tcPr>
          <w:p>
            <w:pPr>
              <w:pStyle w:val="TableContents"/>
              <w:bidi w:val="0"/>
              <w:spacing w:before="0" w:after="283"/>
              <w:jc w:val="right"/>
              <w:rPr/>
            </w:pPr>
            <w:r>
              <w:rPr/>
              <w:t>(13.3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693" w:type="dxa"/>
            <w:tcBorders/>
            <w:shd w:fill="CCEEFF" w:val="clear"/>
            <w:vAlign w:val="bottom"/>
          </w:tcPr>
          <w:p>
            <w:pPr>
              <w:pStyle w:val="TableContents"/>
              <w:bidi w:val="0"/>
              <w:spacing w:before="0" w:after="283"/>
              <w:jc w:val="right"/>
              <w:rPr/>
            </w:pPr>
            <w:r>
              <w:rPr/>
              <w:t>(13.3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1" w:type="dxa"/>
            <w:tcBorders/>
            <w:shd w:fill="CCEEFF" w:val="clear"/>
            <w:vAlign w:val="bottom"/>
          </w:tcPr>
          <w:p>
            <w:pPr>
              <w:pStyle w:val="TableContents"/>
              <w:bidi w:val="0"/>
              <w:spacing w:before="0" w:after="283"/>
              <w:jc w:val="left"/>
              <w:rPr/>
            </w:pPr>
            <w:r>
              <w:rPr/>
              <w:t> </w:t>
            </w:r>
          </w:p>
        </w:tc>
        <w:tc>
          <w:tcPr>
            <w:tcW w:w="1549" w:type="dxa"/>
            <w:tcBorders/>
            <w:shd w:fill="CCEEFF" w:val="clear"/>
            <w:vAlign w:val="bottom"/>
          </w:tcPr>
          <w:p>
            <w:pPr>
              <w:pStyle w:val="TableContents"/>
              <w:bidi w:val="0"/>
              <w:spacing w:before="0" w:after="283"/>
              <w:jc w:val="right"/>
              <w:rPr/>
            </w:pPr>
            <w:r>
              <w:rPr/>
              <w:t>(11.4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(11 .4</w:t>
            </w:r>
          </w:p>
        </w:tc>
        <w:tc>
          <w:tcPr>
            <w:tcW w:w="275" w:type="dxa"/>
            <w:tcBorders/>
            <w:shd w:fill="CCEEFF" w:val="clear"/>
            <w:vAlign w:val="bottom"/>
          </w:tcPr>
          <w:p>
            <w:pPr>
              <w:pStyle w:val="TableContents"/>
              <w:bidi w:val="0"/>
              <w:spacing w:before="0" w:after="283"/>
              <w:jc w:val="left"/>
              <w:rPr/>
            </w:pPr>
            <w:r>
              <w:rPr/>
              <w:t>) </w:t>
            </w:r>
          </w:p>
        </w:tc>
      </w:tr>
      <w:tr>
        <w:trPr/>
        <w:tc>
          <w:tcPr>
            <w:tcW w:w="1070" w:type="dxa"/>
            <w:tcBorders/>
          </w:tcPr>
          <w:p>
            <w:pPr>
              <w:pStyle w:val="TableContents"/>
              <w:bidi w:val="0"/>
              <w:spacing w:before="0" w:after="0"/>
              <w:jc w:val="left"/>
              <w:rPr>
                <w:rFonts w:ascii="Times New Roman" w:hAnsi="Times New Roman"/>
                <w:sz w:val="20"/>
              </w:rPr>
            </w:pPr>
            <w:r>
              <w:rPr>
                <w:rFonts w:ascii="Times New Roman" w:hAnsi="Times New Roman"/>
                <w:sz w:val="20"/>
              </w:rPr>
              <w:t>Marketing fees</w:t>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(1.9</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left"/>
              <w:rPr/>
            </w:pPr>
            <w:r>
              <w:rPr/>
              <w:t> </w:t>
            </w:r>
          </w:p>
        </w:tc>
        <w:tc>
          <w:tcPr>
            <w:tcW w:w="1549"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693" w:type="dxa"/>
            <w:tcBorders/>
            <w:vAlign w:val="bottom"/>
          </w:tcPr>
          <w:p>
            <w:pPr>
              <w:pStyle w:val="TableContents"/>
              <w:bidi w:val="0"/>
              <w:spacing w:before="0" w:after="283"/>
              <w:jc w:val="right"/>
              <w:rPr/>
            </w:pPr>
            <w:r>
              <w:rPr/>
              <w:t>(1.9</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(1.7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left"/>
              <w:rPr/>
            </w:pPr>
            <w:r>
              <w:rPr/>
              <w:t> </w:t>
            </w:r>
          </w:p>
        </w:tc>
        <w:tc>
          <w:tcPr>
            <w:tcW w:w="1549"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(1.7</w:t>
            </w:r>
          </w:p>
        </w:tc>
        <w:tc>
          <w:tcPr>
            <w:tcW w:w="275" w:type="dxa"/>
            <w:tcBorders/>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1" w:type="dxa"/>
            <w:tcBorders/>
            <w:vAlign w:val="bottom"/>
          </w:tcPr>
          <w:p>
            <w:pPr>
              <w:pStyle w:val="TableContents"/>
              <w:pBdr>
                <w:top w:val="single" w:sz="2" w:space="1" w:color="000000"/>
              </w:pBdr>
              <w:bidi w:val="0"/>
              <w:spacing w:before="0" w:after="0"/>
              <w:jc w:val="left"/>
              <w:rPr/>
            </w:pPr>
            <w:r>
              <w:rPr/>
              <w:t> </w:t>
            </w:r>
          </w:p>
        </w:tc>
        <w:tc>
          <w:tcPr>
            <w:tcW w:w="1549"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single" w:sz="2" w:space="1" w:color="000000"/>
              </w:pBdr>
              <w:bidi w:val="0"/>
              <w:spacing w:before="0" w:after="0"/>
              <w:jc w:val="left"/>
              <w:rPr/>
            </w:pPr>
            <w:r>
              <w:rPr/>
              <w:t> </w:t>
            </w:r>
          </w:p>
        </w:tc>
        <w:tc>
          <w:tcPr>
            <w:tcW w:w="693"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1" w:type="dxa"/>
            <w:tcBorders/>
            <w:vAlign w:val="bottom"/>
          </w:tcPr>
          <w:p>
            <w:pPr>
              <w:pStyle w:val="TableContents"/>
              <w:pBdr>
                <w:top w:val="single" w:sz="2" w:space="1" w:color="000000"/>
              </w:pBdr>
              <w:bidi w:val="0"/>
              <w:spacing w:before="0" w:after="0"/>
              <w:jc w:val="left"/>
              <w:rPr/>
            </w:pPr>
            <w:r>
              <w:rPr/>
              <w:t> </w:t>
            </w:r>
          </w:p>
        </w:tc>
        <w:tc>
          <w:tcPr>
            <w:tcW w:w="1549"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69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r>
        <w:trPr/>
        <w:tc>
          <w:tcPr>
            <w:tcW w:w="10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Less Ancillary Services</w:t>
            </w:r>
          </w:p>
        </w:tc>
        <w:tc>
          <w:tcPr>
            <w:tcW w:w="12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1000" w:type="dxa"/>
            <w:tcBorders/>
            <w:shd w:fill="CCEEFF" w:val="clear"/>
            <w:vAlign w:val="bottom"/>
          </w:tcPr>
          <w:p>
            <w:pPr>
              <w:pStyle w:val="TableContents"/>
              <w:bidi w:val="0"/>
              <w:spacing w:before="0" w:after="283"/>
              <w:jc w:val="right"/>
              <w:rPr/>
            </w:pPr>
            <w:r>
              <w:rPr/>
              <w:t>374.3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1" w:type="dxa"/>
            <w:tcBorders/>
            <w:shd w:fill="CCEEFF" w:val="clear"/>
            <w:vAlign w:val="bottom"/>
          </w:tcPr>
          <w:p>
            <w:pPr>
              <w:pStyle w:val="TableContents"/>
              <w:bidi w:val="0"/>
              <w:spacing w:before="0" w:after="283"/>
              <w:jc w:val="left"/>
              <w:rPr/>
            </w:pPr>
            <w:r>
              <w:rPr/>
              <w:t>$</w:t>
            </w:r>
          </w:p>
        </w:tc>
        <w:tc>
          <w:tcPr>
            <w:tcW w:w="1549" w:type="dxa"/>
            <w:tcBorders/>
            <w:shd w:fill="CCEEFF" w:val="clear"/>
            <w:vAlign w:val="bottom"/>
          </w:tcPr>
          <w:p>
            <w:pPr>
              <w:pStyle w:val="TableContents"/>
              <w:bidi w:val="0"/>
              <w:spacing w:before="0" w:after="283"/>
              <w:jc w:val="right"/>
              <w:rPr/>
            </w:pPr>
            <w:r>
              <w:rPr/>
              <w:t>76.0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w:t>
            </w:r>
          </w:p>
        </w:tc>
        <w:tc>
          <w:tcPr>
            <w:tcW w:w="693" w:type="dxa"/>
            <w:tcBorders/>
            <w:shd w:fill="CCEEFF" w:val="clear"/>
            <w:vAlign w:val="bottom"/>
          </w:tcPr>
          <w:p>
            <w:pPr>
              <w:pStyle w:val="TableContents"/>
              <w:bidi w:val="0"/>
              <w:spacing w:before="0" w:after="283"/>
              <w:jc w:val="right"/>
              <w:rPr/>
            </w:pPr>
            <w:r>
              <w:rPr/>
              <w:t>450.3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1000" w:type="dxa"/>
            <w:tcBorders/>
            <w:shd w:fill="CCEEFF" w:val="clear"/>
            <w:vAlign w:val="bottom"/>
          </w:tcPr>
          <w:p>
            <w:pPr>
              <w:pStyle w:val="TableContents"/>
              <w:bidi w:val="0"/>
              <w:spacing w:before="0" w:after="283"/>
              <w:jc w:val="right"/>
              <w:rPr/>
            </w:pPr>
            <w:r>
              <w:rPr/>
              <w:t>313.2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1" w:type="dxa"/>
            <w:tcBorders/>
            <w:shd w:fill="CCEEFF" w:val="clear"/>
            <w:vAlign w:val="bottom"/>
          </w:tcPr>
          <w:p>
            <w:pPr>
              <w:pStyle w:val="TableContents"/>
              <w:bidi w:val="0"/>
              <w:spacing w:before="0" w:after="283"/>
              <w:jc w:val="left"/>
              <w:rPr/>
            </w:pPr>
            <w:r>
              <w:rPr/>
              <w:t>$</w:t>
            </w:r>
          </w:p>
        </w:tc>
        <w:tc>
          <w:tcPr>
            <w:tcW w:w="1549" w:type="dxa"/>
            <w:tcBorders/>
            <w:shd w:fill="CCEEFF" w:val="clear"/>
            <w:vAlign w:val="bottom"/>
          </w:tcPr>
          <w:p>
            <w:pPr>
              <w:pStyle w:val="TableContents"/>
              <w:bidi w:val="0"/>
              <w:spacing w:before="0" w:after="283"/>
              <w:jc w:val="right"/>
              <w:rPr/>
            </w:pPr>
            <w:r>
              <w:rPr/>
              <w:t>48.2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694" w:type="dxa"/>
            <w:tcBorders/>
            <w:shd w:fill="CCEEFF" w:val="clear"/>
            <w:vAlign w:val="bottom"/>
          </w:tcPr>
          <w:p>
            <w:pPr>
              <w:pStyle w:val="TableContents"/>
              <w:bidi w:val="0"/>
              <w:spacing w:before="0" w:after="283"/>
              <w:jc w:val="right"/>
              <w:rPr/>
            </w:pPr>
            <w:r>
              <w:rPr/>
              <w:t>361.5</w:t>
            </w:r>
          </w:p>
        </w:tc>
        <w:tc>
          <w:tcPr>
            <w:tcW w:w="275" w:type="dxa"/>
            <w:tcBorders/>
            <w:shd w:fill="CCEEFF" w:val="clear"/>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double" w:sz="6" w:space="1" w:color="000000"/>
              </w:pBdr>
              <w:bidi w:val="0"/>
              <w:spacing w:before="0" w:after="0"/>
              <w:jc w:val="left"/>
              <w:rPr/>
            </w:pPr>
            <w:r>
              <w:rPr/>
              <w:t> </w:t>
            </w:r>
          </w:p>
        </w:tc>
        <w:tc>
          <w:tcPr>
            <w:tcW w:w="100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1" w:type="dxa"/>
            <w:tcBorders/>
            <w:vAlign w:val="bottom"/>
          </w:tcPr>
          <w:p>
            <w:pPr>
              <w:pStyle w:val="TableContents"/>
              <w:pBdr>
                <w:top w:val="double" w:sz="6" w:space="1" w:color="000000"/>
              </w:pBdr>
              <w:bidi w:val="0"/>
              <w:spacing w:before="0" w:after="0"/>
              <w:jc w:val="left"/>
              <w:rPr/>
            </w:pPr>
            <w:r>
              <w:rPr/>
              <w:t> </w:t>
            </w:r>
          </w:p>
        </w:tc>
        <w:tc>
          <w:tcPr>
            <w:tcW w:w="1549"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double" w:sz="6" w:space="1" w:color="000000"/>
              </w:pBdr>
              <w:bidi w:val="0"/>
              <w:spacing w:before="0" w:after="0"/>
              <w:jc w:val="left"/>
              <w:rPr/>
            </w:pPr>
            <w:r>
              <w:rPr/>
              <w:t> </w:t>
            </w:r>
          </w:p>
        </w:tc>
        <w:tc>
          <w:tcPr>
            <w:tcW w:w="693"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double" w:sz="6" w:space="1" w:color="000000"/>
              </w:pBdr>
              <w:bidi w:val="0"/>
              <w:spacing w:before="0" w:after="0"/>
              <w:jc w:val="left"/>
              <w:rPr/>
            </w:pPr>
            <w:r>
              <w:rPr/>
              <w:t> </w:t>
            </w:r>
          </w:p>
        </w:tc>
        <w:tc>
          <w:tcPr>
            <w:tcW w:w="100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1" w:type="dxa"/>
            <w:tcBorders/>
            <w:vAlign w:val="bottom"/>
          </w:tcPr>
          <w:p>
            <w:pPr>
              <w:pStyle w:val="TableContents"/>
              <w:pBdr>
                <w:top w:val="double" w:sz="6" w:space="1" w:color="000000"/>
              </w:pBdr>
              <w:bidi w:val="0"/>
              <w:spacing w:before="0" w:after="0"/>
              <w:jc w:val="left"/>
              <w:rPr/>
            </w:pPr>
            <w:r>
              <w:rPr/>
              <w:t> </w:t>
            </w:r>
          </w:p>
        </w:tc>
        <w:tc>
          <w:tcPr>
            <w:tcW w:w="1549"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double" w:sz="6" w:space="1" w:color="000000"/>
              </w:pBdr>
              <w:bidi w:val="0"/>
              <w:spacing w:before="0" w:after="0"/>
              <w:jc w:val="left"/>
              <w:rPr/>
            </w:pPr>
            <w:r>
              <w:rPr/>
              <w:t> </w:t>
            </w:r>
          </w:p>
        </w:tc>
        <w:tc>
          <w:tcPr>
            <w:tcW w:w="694"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r>
        <w:trPr/>
        <w:tc>
          <w:tcPr>
            <w:tcW w:w="1070" w:type="dxa"/>
            <w:tcBorders/>
          </w:tcPr>
          <w:p>
            <w:pPr>
              <w:pStyle w:val="TableContents"/>
              <w:bidi w:val="0"/>
              <w:spacing w:before="0" w:after="0"/>
              <w:jc w:val="left"/>
              <w:rPr>
                <w:rFonts w:ascii="Times New Roman" w:hAnsi="Times New Roman"/>
                <w:sz w:val="20"/>
              </w:rPr>
            </w:pPr>
            <w:r>
              <w:rPr>
                <w:rFonts w:ascii="Times New Roman" w:hAnsi="Times New Roman"/>
                <w:sz w:val="20"/>
              </w:rPr>
              <w:t>Percentage of Revenue</w:t>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80.8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left"/>
              <w:rPr/>
            </w:pPr>
            <w:r>
              <w:rPr/>
              <w:t> </w:t>
            </w:r>
          </w:p>
        </w:tc>
        <w:tc>
          <w:tcPr>
            <w:tcW w:w="1549" w:type="dxa"/>
            <w:tcBorders/>
            <w:vAlign w:val="bottom"/>
          </w:tcPr>
          <w:p>
            <w:pPr>
              <w:pStyle w:val="TableContents"/>
              <w:bidi w:val="0"/>
              <w:spacing w:before="0" w:after="283"/>
              <w:jc w:val="right"/>
              <w:rPr/>
            </w:pPr>
            <w:r>
              <w:rPr/>
              <w:t>19.2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693" w:type="dxa"/>
            <w:tcBorders/>
            <w:vAlign w:val="bottom"/>
          </w:tcPr>
          <w:p>
            <w:pPr>
              <w:pStyle w:val="TableContents"/>
              <w:bidi w:val="0"/>
              <w:spacing w:before="0" w:after="283"/>
              <w:jc w:val="right"/>
              <w:rPr/>
            </w:pPr>
            <w:r>
              <w:rPr/>
              <w:t>100.0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84.1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left"/>
              <w:rPr/>
            </w:pPr>
            <w:r>
              <w:rPr/>
              <w:t> </w:t>
            </w:r>
          </w:p>
        </w:tc>
        <w:tc>
          <w:tcPr>
            <w:tcW w:w="1549" w:type="dxa"/>
            <w:tcBorders/>
            <w:vAlign w:val="bottom"/>
          </w:tcPr>
          <w:p>
            <w:pPr>
              <w:pStyle w:val="TableContents"/>
              <w:bidi w:val="0"/>
              <w:spacing w:before="0" w:after="283"/>
              <w:jc w:val="right"/>
              <w:rPr/>
            </w:pPr>
            <w:r>
              <w:rPr/>
              <w:t>15.9</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100.0</w:t>
            </w:r>
          </w:p>
        </w:tc>
        <w:tc>
          <w:tcPr>
            <w:tcW w:w="275" w:type="dxa"/>
            <w:tcBorders/>
            <w:vAlign w:val="bottom"/>
          </w:tcPr>
          <w:p>
            <w:pPr>
              <w:pStyle w:val="TableContents"/>
              <w:bidi w:val="0"/>
              <w:spacing w:before="0" w:after="283"/>
              <w:jc w:val="left"/>
              <w:rPr/>
            </w:pPr>
            <w:r>
              <w:rPr/>
              <w:t>% </w:t>
            </w:r>
          </w:p>
        </w:tc>
      </w:tr>
      <w:tr>
        <w:trPr/>
        <w:tc>
          <w:tcPr>
            <w:tcW w:w="10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Percentage of Revenue Less Ancillary Services</w:t>
            </w:r>
          </w:p>
        </w:tc>
        <w:tc>
          <w:tcPr>
            <w:tcW w:w="12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83.1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1" w:type="dxa"/>
            <w:tcBorders/>
            <w:shd w:fill="CCEEFF" w:val="clear"/>
            <w:vAlign w:val="bottom"/>
          </w:tcPr>
          <w:p>
            <w:pPr>
              <w:pStyle w:val="TableContents"/>
              <w:bidi w:val="0"/>
              <w:spacing w:before="0" w:after="283"/>
              <w:jc w:val="left"/>
              <w:rPr/>
            </w:pPr>
            <w:r>
              <w:rPr/>
              <w:t> </w:t>
            </w:r>
          </w:p>
        </w:tc>
        <w:tc>
          <w:tcPr>
            <w:tcW w:w="1549" w:type="dxa"/>
            <w:tcBorders/>
            <w:shd w:fill="CCEEFF" w:val="clear"/>
            <w:vAlign w:val="bottom"/>
          </w:tcPr>
          <w:p>
            <w:pPr>
              <w:pStyle w:val="TableContents"/>
              <w:bidi w:val="0"/>
              <w:spacing w:before="0" w:after="283"/>
              <w:jc w:val="right"/>
              <w:rPr/>
            </w:pPr>
            <w:r>
              <w:rPr/>
              <w:t>16.9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693"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86.7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1" w:type="dxa"/>
            <w:tcBorders/>
            <w:shd w:fill="CCEEFF" w:val="clear"/>
            <w:vAlign w:val="bottom"/>
          </w:tcPr>
          <w:p>
            <w:pPr>
              <w:pStyle w:val="TableContents"/>
              <w:bidi w:val="0"/>
              <w:spacing w:before="0" w:after="283"/>
              <w:jc w:val="left"/>
              <w:rPr/>
            </w:pPr>
            <w:r>
              <w:rPr/>
              <w:t> </w:t>
            </w:r>
          </w:p>
        </w:tc>
        <w:tc>
          <w:tcPr>
            <w:tcW w:w="1549" w:type="dxa"/>
            <w:tcBorders/>
            <w:shd w:fill="CCEEFF" w:val="clear"/>
            <w:vAlign w:val="bottom"/>
          </w:tcPr>
          <w:p>
            <w:pPr>
              <w:pStyle w:val="TableContents"/>
              <w:bidi w:val="0"/>
              <w:spacing w:before="0" w:after="283"/>
              <w:jc w:val="right"/>
              <w:rPr/>
            </w:pPr>
            <w:r>
              <w:rPr/>
              <w:t>13.3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FX Neutral Revenue Less Ancillary Services </w:t>
      </w:r>
    </w:p>
    <w:p>
      <w:pPr>
        <w:pStyle w:val="TextBody"/>
        <w:bidi w:val="0"/>
        <w:spacing w:before="0" w:after="0"/>
        <w:jc w:val="left"/>
        <w:rPr>
          <w:rFonts w:ascii="Times New Roman" w:hAnsi="Times New Roman"/>
          <w:b/>
          <w:sz w:val="20"/>
        </w:rPr>
      </w:pPr>
      <w:r>
        <w:rPr>
          <w:rFonts w:ascii="Times New Roman" w:hAnsi="Times New Roman"/>
          <w:b/>
          <w:sz w:val="20"/>
        </w:rPr>
        <w:t xml:space="preserve">(Unaudited) (in millions) </w:t>
      </w:r>
    </w:p>
    <w:p>
      <w:pPr>
        <w:pStyle w:val="TextBody"/>
        <w:bidi w:val="0"/>
        <w:spacing w:before="0" w:after="0"/>
        <w:jc w:val="left"/>
        <w:rPr/>
      </w:pPr>
      <w:r>
        <w:rPr/>
        <w:t> </w:t>
      </w:r>
    </w:p>
    <w:tbl>
      <w:tblPr>
        <w:tblW w:w="10980" w:type="dxa"/>
        <w:jc w:val="center"/>
        <w:tblInd w:w="0" w:type="dxa"/>
        <w:tblLayout w:type="fixed"/>
        <w:tblCellMar>
          <w:top w:w="0" w:type="dxa"/>
          <w:left w:w="0" w:type="dxa"/>
          <w:bottom w:w="0" w:type="dxa"/>
          <w:right w:w="0" w:type="dxa"/>
        </w:tblCellMar>
      </w:tblPr>
      <w:tblGrid>
        <w:gridCol w:w="995"/>
        <w:gridCol w:w="120"/>
        <w:gridCol w:w="317"/>
        <w:gridCol w:w="1270"/>
        <w:gridCol w:w="351"/>
        <w:gridCol w:w="136"/>
        <w:gridCol w:w="317"/>
        <w:gridCol w:w="1274"/>
        <w:gridCol w:w="155"/>
        <w:gridCol w:w="60"/>
        <w:gridCol w:w="152"/>
        <w:gridCol w:w="663"/>
        <w:gridCol w:w="275"/>
        <w:gridCol w:w="60"/>
        <w:gridCol w:w="306"/>
        <w:gridCol w:w="1224"/>
        <w:gridCol w:w="338"/>
        <w:gridCol w:w="131"/>
        <w:gridCol w:w="306"/>
        <w:gridCol w:w="1225"/>
        <w:gridCol w:w="155"/>
        <w:gridCol w:w="60"/>
        <w:gridCol w:w="152"/>
        <w:gridCol w:w="663"/>
        <w:gridCol w:w="275"/>
      </w:tblGrid>
      <w:tr>
        <w:trPr/>
        <w:tc>
          <w:tcPr>
            <w:tcW w:w="99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99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6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September 30,</w:t>
            </w:r>
          </w:p>
        </w:tc>
        <w:tc>
          <w:tcPr>
            <w:tcW w:w="155"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815"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Growth</w:t>
            </w:r>
            <w:r>
              <w:rPr/>
              <w:br/>
            </w:r>
            <w:r>
              <w:rPr>
                <w:b/>
              </w:rPr>
              <w:t>Rate</w:t>
            </w:r>
          </w:p>
        </w:tc>
        <w:tc>
          <w:tcPr>
            <w:tcW w:w="275" w:type="dxa"/>
            <w:vMerge w:val="restart"/>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3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 September 30,</w:t>
            </w:r>
          </w:p>
        </w:tc>
        <w:tc>
          <w:tcPr>
            <w:tcW w:w="155"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815"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Growth</w:t>
            </w:r>
            <w:r>
              <w:rPr/>
              <w:br/>
            </w:r>
            <w:r>
              <w:rPr>
                <w:b/>
              </w:rPr>
              <w:t>Rate</w:t>
            </w:r>
          </w:p>
        </w:tc>
        <w:tc>
          <w:tcPr>
            <w:tcW w:w="275" w:type="dxa"/>
            <w:vMerge w:val="restart"/>
            <w:tcBorders/>
            <w:vAlign w:val="bottom"/>
          </w:tcPr>
          <w:p>
            <w:pPr>
              <w:pStyle w:val="TableContents"/>
              <w:bidi w:val="0"/>
              <w:spacing w:before="0" w:after="283"/>
              <w:jc w:val="left"/>
              <w:rPr/>
            </w:pPr>
            <w:r>
              <w:rPr/>
              <w:t> </w:t>
            </w:r>
          </w:p>
        </w:tc>
      </w:tr>
      <w:tr>
        <w:trPr/>
        <w:tc>
          <w:tcPr>
            <w:tcW w:w="99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351"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5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815" w:type="dxa"/>
            <w:gridSpan w:val="2"/>
            <w:vMerge w:val="continue"/>
            <w:tcBorders>
              <w:bottom w:val="single" w:sz="8" w:space="0" w:color="000000"/>
            </w:tcBorders>
            <w:tcMar>
              <w:bottom w:w="28" w:type="dxa"/>
            </w:tcMar>
            <w:vAlign w:val="bottom"/>
          </w:tcPr>
          <w:p>
            <w:pPr>
              <w:pStyle w:val="Normal"/>
              <w:bidi w:val="0"/>
              <w:jc w:val="left"/>
              <w:rPr/>
            </w:pPr>
            <w:r>
              <w:rPr/>
            </w:r>
          </w:p>
        </w:tc>
        <w:tc>
          <w:tcPr>
            <w:tcW w:w="275" w:type="dxa"/>
            <w:vMerge w:val="continue"/>
            <w:tcBorders/>
            <w:vAlign w:val="bottom"/>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15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338"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5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815" w:type="dxa"/>
            <w:gridSpan w:val="2"/>
            <w:vMerge w:val="continue"/>
            <w:tcBorders>
              <w:bottom w:val="single" w:sz="8" w:space="0" w:color="000000"/>
            </w:tcBorders>
            <w:tcMar>
              <w:bottom w:w="28" w:type="dxa"/>
            </w:tcMar>
            <w:vAlign w:val="bottom"/>
          </w:tcPr>
          <w:p>
            <w:pPr>
              <w:pStyle w:val="Normal"/>
              <w:bidi w:val="0"/>
              <w:jc w:val="left"/>
              <w:rPr/>
            </w:pPr>
            <w:r>
              <w:rPr/>
            </w:r>
          </w:p>
        </w:tc>
        <w:tc>
          <w:tcPr>
            <w:tcW w:w="275" w:type="dxa"/>
            <w:vMerge w:val="continue"/>
            <w:tcBorders/>
            <w:vAlign w:val="bottom"/>
          </w:tcPr>
          <w:p>
            <w:pPr>
              <w:pStyle w:val="Normal"/>
              <w:bidi w:val="0"/>
              <w:jc w:val="left"/>
              <w:rPr/>
            </w:pPr>
            <w:r>
              <w:rPr/>
            </w:r>
          </w:p>
        </w:tc>
      </w:tr>
      <w:tr>
        <w:trPr/>
        <w:tc>
          <w:tcPr>
            <w:tcW w:w="9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20"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w:t>
            </w:r>
          </w:p>
        </w:tc>
        <w:tc>
          <w:tcPr>
            <w:tcW w:w="1270" w:type="dxa"/>
            <w:tcBorders/>
            <w:shd w:fill="CCEEFF" w:val="clear"/>
            <w:vAlign w:val="bottom"/>
          </w:tcPr>
          <w:p>
            <w:pPr>
              <w:pStyle w:val="TableContents"/>
              <w:bidi w:val="0"/>
              <w:spacing w:before="0" w:after="283"/>
              <w:jc w:val="right"/>
              <w:rPr/>
            </w:pPr>
            <w:r>
              <w:rPr/>
              <w:t>200.1</w:t>
            </w:r>
          </w:p>
        </w:tc>
        <w:tc>
          <w:tcPr>
            <w:tcW w:w="351"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1274" w:type="dxa"/>
            <w:tcBorders/>
            <w:shd w:fill="CCEEFF" w:val="clear"/>
            <w:vAlign w:val="bottom"/>
          </w:tcPr>
          <w:p>
            <w:pPr>
              <w:pStyle w:val="TableContents"/>
              <w:bidi w:val="0"/>
              <w:spacing w:before="0" w:after="283"/>
              <w:jc w:val="right"/>
              <w:rPr/>
            </w:pPr>
            <w:r>
              <w:rPr/>
              <w:t>156.8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28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w:t>
            </w:r>
          </w:p>
        </w:tc>
        <w:tc>
          <w:tcPr>
            <w:tcW w:w="1224" w:type="dxa"/>
            <w:tcBorders/>
            <w:shd w:fill="CCEEFF" w:val="clear"/>
            <w:vAlign w:val="bottom"/>
          </w:tcPr>
          <w:p>
            <w:pPr>
              <w:pStyle w:val="TableContents"/>
              <w:bidi w:val="0"/>
              <w:spacing w:before="0" w:after="283"/>
              <w:jc w:val="right"/>
              <w:rPr/>
            </w:pPr>
            <w:r>
              <w:rPr/>
              <w:t>435.5</w:t>
            </w:r>
          </w:p>
        </w:tc>
        <w:tc>
          <w:tcPr>
            <w:tcW w:w="338"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w:t>
            </w:r>
          </w:p>
        </w:tc>
        <w:tc>
          <w:tcPr>
            <w:tcW w:w="1225" w:type="dxa"/>
            <w:tcBorders/>
            <w:shd w:fill="CCEEFF" w:val="clear"/>
            <w:vAlign w:val="bottom"/>
          </w:tcPr>
          <w:p>
            <w:pPr>
              <w:pStyle w:val="TableContents"/>
              <w:bidi w:val="0"/>
              <w:spacing w:before="0" w:after="283"/>
              <w:jc w:val="right"/>
              <w:rPr/>
            </w:pPr>
            <w:r>
              <w:rPr/>
              <w:t>374.3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24</w:t>
            </w:r>
          </w:p>
        </w:tc>
        <w:tc>
          <w:tcPr>
            <w:tcW w:w="275" w:type="dxa"/>
            <w:tcBorders/>
            <w:shd w:fill="CCEEFF" w:val="clear"/>
            <w:vAlign w:val="bottom"/>
          </w:tcPr>
          <w:p>
            <w:pPr>
              <w:pStyle w:val="TableContents"/>
              <w:bidi w:val="0"/>
              <w:spacing w:before="0" w:after="283"/>
              <w:jc w:val="left"/>
              <w:rPr/>
            </w:pPr>
            <w:r>
              <w:rPr/>
              <w:t>% </w:t>
            </w:r>
          </w:p>
        </w:tc>
      </w:tr>
      <w:tr>
        <w:trPr/>
        <w:tc>
          <w:tcPr>
            <w:tcW w:w="995" w:type="dxa"/>
            <w:tcBorders/>
          </w:tcPr>
          <w:p>
            <w:pPr>
              <w:pStyle w:val="TableContents"/>
              <w:bidi w:val="0"/>
              <w:spacing w:before="0" w:after="0"/>
              <w:jc w:val="left"/>
              <w:rPr>
                <w:rFonts w:ascii="Times New Roman" w:hAnsi="Times New Roman"/>
                <w:sz w:val="20"/>
              </w:rPr>
            </w:pPr>
            <w:r>
              <w:rPr>
                <w:rFonts w:ascii="Times New Roman" w:hAnsi="Times New Roman"/>
                <w:sz w:val="20"/>
              </w:rPr>
              <w:t>Ancillary services</w:t>
            </w:r>
          </w:p>
        </w:tc>
        <w:tc>
          <w:tcPr>
            <w:tcW w:w="120"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(6.0</w:t>
            </w:r>
          </w:p>
        </w:tc>
        <w:tc>
          <w:tcPr>
            <w:tcW w:w="351"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right"/>
              <w:rPr/>
            </w:pPr>
            <w:r>
              <w:rPr/>
              <w:t>(5.4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663"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(15.2</w:t>
            </w:r>
          </w:p>
        </w:tc>
        <w:tc>
          <w:tcPr>
            <w:tcW w:w="338"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(13.1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663"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99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17" w:type="dxa"/>
            <w:tcBorders/>
            <w:vAlign w:val="bottom"/>
          </w:tcPr>
          <w:p>
            <w:pPr>
              <w:pStyle w:val="TableContents"/>
              <w:pBdr>
                <w:top w:val="single" w:sz="2" w:space="1" w:color="000000"/>
              </w:pBdr>
              <w:bidi w:val="0"/>
              <w:spacing w:before="0" w:after="0"/>
              <w:jc w:val="left"/>
              <w:rPr/>
            </w:pPr>
            <w:r>
              <w:rPr/>
              <w:t> </w:t>
            </w:r>
          </w:p>
        </w:tc>
        <w:tc>
          <w:tcPr>
            <w:tcW w:w="1270" w:type="dxa"/>
            <w:tcBorders/>
            <w:vAlign w:val="bottom"/>
          </w:tcPr>
          <w:p>
            <w:pPr>
              <w:pStyle w:val="TableContents"/>
              <w:pBdr>
                <w:top w:val="single" w:sz="2" w:space="1" w:color="000000"/>
              </w:pBdr>
              <w:bidi w:val="0"/>
              <w:spacing w:before="0" w:after="0"/>
              <w:jc w:val="left"/>
              <w:rPr/>
            </w:pPr>
            <w:r>
              <w:rPr/>
              <w:t> </w:t>
            </w:r>
          </w:p>
        </w:tc>
        <w:tc>
          <w:tcPr>
            <w:tcW w:w="351" w:type="dxa"/>
            <w:tcBorders/>
            <w:vAlign w:val="center"/>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317" w:type="dxa"/>
            <w:tcBorders/>
            <w:vAlign w:val="bottom"/>
          </w:tcPr>
          <w:p>
            <w:pPr>
              <w:pStyle w:val="TableContents"/>
              <w:pBdr>
                <w:top w:val="single" w:sz="2" w:space="1" w:color="000000"/>
              </w:pBdr>
              <w:bidi w:val="0"/>
              <w:spacing w:before="0" w:after="0"/>
              <w:jc w:val="left"/>
              <w:rPr/>
            </w:pPr>
            <w:r>
              <w:rPr/>
              <w:t> </w:t>
            </w:r>
          </w:p>
        </w:tc>
        <w:tc>
          <w:tcPr>
            <w:tcW w:w="12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663"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6"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338"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306"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663"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9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Less Ancillary Services</w:t>
            </w:r>
          </w:p>
        </w:tc>
        <w:tc>
          <w:tcPr>
            <w:tcW w:w="120"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194.1</w:t>
            </w:r>
          </w:p>
        </w:tc>
        <w:tc>
          <w:tcPr>
            <w:tcW w:w="351"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1274" w:type="dxa"/>
            <w:tcBorders/>
            <w:shd w:fill="CCEEFF" w:val="clear"/>
            <w:vAlign w:val="bottom"/>
          </w:tcPr>
          <w:p>
            <w:pPr>
              <w:pStyle w:val="TableContents"/>
              <w:bidi w:val="0"/>
              <w:spacing w:before="0" w:after="283"/>
              <w:jc w:val="right"/>
              <w:rPr/>
            </w:pPr>
            <w:r>
              <w:rPr/>
              <w:t>151.4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28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450.3</w:t>
            </w:r>
          </w:p>
        </w:tc>
        <w:tc>
          <w:tcPr>
            <w:tcW w:w="338"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361.5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25</w:t>
            </w:r>
          </w:p>
        </w:tc>
        <w:tc>
          <w:tcPr>
            <w:tcW w:w="275" w:type="dxa"/>
            <w:tcBorders/>
            <w:shd w:fill="CCEEFF" w:val="clear"/>
            <w:vAlign w:val="bottom"/>
          </w:tcPr>
          <w:p>
            <w:pPr>
              <w:pStyle w:val="TableContents"/>
              <w:bidi w:val="0"/>
              <w:spacing w:before="0" w:after="283"/>
              <w:jc w:val="left"/>
              <w:rPr/>
            </w:pPr>
            <w:r>
              <w:rPr/>
              <w:t>% </w:t>
            </w:r>
          </w:p>
        </w:tc>
      </w:tr>
      <w:tr>
        <w:trPr/>
        <w:tc>
          <w:tcPr>
            <w:tcW w:w="995" w:type="dxa"/>
            <w:tcBorders/>
          </w:tcPr>
          <w:p>
            <w:pPr>
              <w:pStyle w:val="TableContents"/>
              <w:bidi w:val="0"/>
              <w:spacing w:before="0" w:after="0"/>
              <w:jc w:val="left"/>
              <w:rPr>
                <w:rFonts w:ascii="Times New Roman" w:hAnsi="Times New Roman"/>
                <w:sz w:val="20"/>
              </w:rPr>
            </w:pPr>
            <w:r>
              <w:rPr>
                <w:rFonts w:ascii="Times New Roman" w:hAnsi="Times New Roman"/>
                <w:sz w:val="20"/>
              </w:rPr>
              <w:t>Effects of foreign currency rate fluctuations</w:t>
            </w:r>
          </w:p>
        </w:tc>
        <w:tc>
          <w:tcPr>
            <w:tcW w:w="120"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(2.9</w:t>
            </w:r>
          </w:p>
        </w:tc>
        <w:tc>
          <w:tcPr>
            <w:tcW w:w="351"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663"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(3.5</w:t>
            </w:r>
          </w:p>
        </w:tc>
        <w:tc>
          <w:tcPr>
            <w:tcW w:w="338"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663"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99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17" w:type="dxa"/>
            <w:tcBorders/>
            <w:vAlign w:val="bottom"/>
          </w:tcPr>
          <w:p>
            <w:pPr>
              <w:pStyle w:val="TableContents"/>
              <w:pBdr>
                <w:top w:val="single" w:sz="2" w:space="1" w:color="000000"/>
              </w:pBdr>
              <w:bidi w:val="0"/>
              <w:spacing w:before="0" w:after="0"/>
              <w:jc w:val="left"/>
              <w:rPr/>
            </w:pPr>
            <w:r>
              <w:rPr/>
              <w:t> </w:t>
            </w:r>
          </w:p>
        </w:tc>
        <w:tc>
          <w:tcPr>
            <w:tcW w:w="1270" w:type="dxa"/>
            <w:tcBorders/>
            <w:vAlign w:val="bottom"/>
          </w:tcPr>
          <w:p>
            <w:pPr>
              <w:pStyle w:val="TableContents"/>
              <w:pBdr>
                <w:top w:val="single" w:sz="2" w:space="1" w:color="000000"/>
              </w:pBdr>
              <w:bidi w:val="0"/>
              <w:spacing w:before="0" w:after="0"/>
              <w:jc w:val="left"/>
              <w:rPr/>
            </w:pPr>
            <w:r>
              <w:rPr/>
              <w:t> </w:t>
            </w:r>
          </w:p>
        </w:tc>
        <w:tc>
          <w:tcPr>
            <w:tcW w:w="351" w:type="dxa"/>
            <w:tcBorders/>
            <w:vAlign w:val="center"/>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317" w:type="dxa"/>
            <w:tcBorders/>
            <w:vAlign w:val="bottom"/>
          </w:tcPr>
          <w:p>
            <w:pPr>
              <w:pStyle w:val="TableContents"/>
              <w:pBdr>
                <w:top w:val="single" w:sz="2" w:space="1" w:color="000000"/>
              </w:pBdr>
              <w:bidi w:val="0"/>
              <w:spacing w:before="0" w:after="0"/>
              <w:jc w:val="left"/>
              <w:rPr/>
            </w:pPr>
            <w:r>
              <w:rPr/>
              <w:t> </w:t>
            </w:r>
          </w:p>
        </w:tc>
        <w:tc>
          <w:tcPr>
            <w:tcW w:w="12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663"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6"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338"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306"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663"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9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FX Neutral Revenue Less Ancillary Services</w:t>
            </w:r>
          </w:p>
        </w:tc>
        <w:tc>
          <w:tcPr>
            <w:tcW w:w="120"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w:t>
            </w:r>
          </w:p>
        </w:tc>
        <w:tc>
          <w:tcPr>
            <w:tcW w:w="1270" w:type="dxa"/>
            <w:tcBorders/>
            <w:shd w:fill="CCEEFF" w:val="clear"/>
            <w:vAlign w:val="bottom"/>
          </w:tcPr>
          <w:p>
            <w:pPr>
              <w:pStyle w:val="TableContents"/>
              <w:bidi w:val="0"/>
              <w:spacing w:before="0" w:after="283"/>
              <w:jc w:val="right"/>
              <w:rPr/>
            </w:pPr>
            <w:r>
              <w:rPr/>
              <w:t>191.2</w:t>
            </w:r>
          </w:p>
        </w:tc>
        <w:tc>
          <w:tcPr>
            <w:tcW w:w="351"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w:t>
            </w:r>
          </w:p>
        </w:tc>
        <w:tc>
          <w:tcPr>
            <w:tcW w:w="1274" w:type="dxa"/>
            <w:tcBorders/>
            <w:shd w:fill="CCEEFF" w:val="clear"/>
            <w:vAlign w:val="bottom"/>
          </w:tcPr>
          <w:p>
            <w:pPr>
              <w:pStyle w:val="TableContents"/>
              <w:bidi w:val="0"/>
              <w:spacing w:before="0" w:after="283"/>
              <w:jc w:val="right"/>
              <w:rPr/>
            </w:pPr>
            <w:r>
              <w:rPr/>
              <w:t>151.4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26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w:t>
            </w:r>
          </w:p>
        </w:tc>
        <w:tc>
          <w:tcPr>
            <w:tcW w:w="1224" w:type="dxa"/>
            <w:tcBorders/>
            <w:shd w:fill="CCEEFF" w:val="clear"/>
            <w:vAlign w:val="bottom"/>
          </w:tcPr>
          <w:p>
            <w:pPr>
              <w:pStyle w:val="TableContents"/>
              <w:bidi w:val="0"/>
              <w:spacing w:before="0" w:after="283"/>
              <w:jc w:val="right"/>
              <w:rPr/>
            </w:pPr>
            <w:r>
              <w:rPr/>
              <w:t>446.8</w:t>
            </w:r>
          </w:p>
        </w:tc>
        <w:tc>
          <w:tcPr>
            <w:tcW w:w="338"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w:t>
            </w:r>
          </w:p>
        </w:tc>
        <w:tc>
          <w:tcPr>
            <w:tcW w:w="1225" w:type="dxa"/>
            <w:tcBorders/>
            <w:shd w:fill="CCEEFF" w:val="clear"/>
            <w:vAlign w:val="bottom"/>
          </w:tcPr>
          <w:p>
            <w:pPr>
              <w:pStyle w:val="TableContents"/>
              <w:bidi w:val="0"/>
              <w:spacing w:before="0" w:after="283"/>
              <w:jc w:val="right"/>
              <w:rPr/>
            </w:pPr>
            <w:r>
              <w:rPr/>
              <w:t>361.5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24</w:t>
            </w:r>
          </w:p>
        </w:tc>
        <w:tc>
          <w:tcPr>
            <w:tcW w:w="275" w:type="dxa"/>
            <w:tcBorders/>
            <w:shd w:fill="CCEEFF" w:val="clear"/>
            <w:vAlign w:val="bottom"/>
          </w:tcPr>
          <w:p>
            <w:pPr>
              <w:pStyle w:val="TableContents"/>
              <w:bidi w:val="0"/>
              <w:spacing w:before="0" w:after="283"/>
              <w:jc w:val="left"/>
              <w:rPr/>
            </w:pPr>
            <w:r>
              <w:rPr/>
              <w:t>% </w:t>
            </w:r>
          </w:p>
        </w:tc>
      </w:tr>
      <w:tr>
        <w:trPr/>
        <w:tc>
          <w:tcPr>
            <w:tcW w:w="99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17" w:type="dxa"/>
            <w:tcBorders/>
            <w:vAlign w:val="bottom"/>
          </w:tcPr>
          <w:p>
            <w:pPr>
              <w:pStyle w:val="TableContents"/>
              <w:pBdr>
                <w:top w:val="double" w:sz="6" w:space="1" w:color="000000"/>
              </w:pBdr>
              <w:bidi w:val="0"/>
              <w:spacing w:before="0" w:after="0"/>
              <w:jc w:val="left"/>
              <w:rPr/>
            </w:pPr>
            <w:r>
              <w:rPr/>
              <w:t> </w:t>
            </w:r>
          </w:p>
        </w:tc>
        <w:tc>
          <w:tcPr>
            <w:tcW w:w="1270" w:type="dxa"/>
            <w:tcBorders/>
            <w:vAlign w:val="bottom"/>
          </w:tcPr>
          <w:p>
            <w:pPr>
              <w:pStyle w:val="TableContents"/>
              <w:pBdr>
                <w:top w:val="double" w:sz="6" w:space="1" w:color="000000"/>
              </w:pBdr>
              <w:bidi w:val="0"/>
              <w:spacing w:before="0" w:after="0"/>
              <w:jc w:val="left"/>
              <w:rPr/>
            </w:pPr>
            <w:r>
              <w:rPr/>
              <w:t> </w:t>
            </w:r>
          </w:p>
        </w:tc>
        <w:tc>
          <w:tcPr>
            <w:tcW w:w="351" w:type="dxa"/>
            <w:tcBorders/>
            <w:vAlign w:val="center"/>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317" w:type="dxa"/>
            <w:tcBorders/>
            <w:vAlign w:val="bottom"/>
          </w:tcPr>
          <w:p>
            <w:pPr>
              <w:pStyle w:val="TableContents"/>
              <w:pBdr>
                <w:top w:val="double" w:sz="6" w:space="1" w:color="000000"/>
              </w:pBdr>
              <w:bidi w:val="0"/>
              <w:spacing w:before="0" w:after="0"/>
              <w:jc w:val="left"/>
              <w:rPr/>
            </w:pPr>
            <w:r>
              <w:rPr/>
              <w:t> </w:t>
            </w:r>
          </w:p>
        </w:tc>
        <w:tc>
          <w:tcPr>
            <w:tcW w:w="127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663"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6" w:type="dxa"/>
            <w:tcBorders/>
            <w:vAlign w:val="bottom"/>
          </w:tcPr>
          <w:p>
            <w:pPr>
              <w:pStyle w:val="TableContents"/>
              <w:pBdr>
                <w:top w:val="double" w:sz="6" w:space="1" w:color="000000"/>
              </w:pBdr>
              <w:bidi w:val="0"/>
              <w:spacing w:before="0" w:after="0"/>
              <w:jc w:val="left"/>
              <w:rPr/>
            </w:pPr>
            <w:r>
              <w:rPr/>
              <w:t> </w:t>
            </w:r>
          </w:p>
        </w:tc>
        <w:tc>
          <w:tcPr>
            <w:tcW w:w="1224" w:type="dxa"/>
            <w:tcBorders/>
            <w:vAlign w:val="bottom"/>
          </w:tcPr>
          <w:p>
            <w:pPr>
              <w:pStyle w:val="TableContents"/>
              <w:pBdr>
                <w:top w:val="double" w:sz="6" w:space="1" w:color="000000"/>
              </w:pBdr>
              <w:bidi w:val="0"/>
              <w:spacing w:before="0" w:after="0"/>
              <w:jc w:val="left"/>
              <w:rPr/>
            </w:pPr>
            <w:r>
              <w:rPr/>
              <w:t> </w:t>
            </w:r>
          </w:p>
        </w:tc>
        <w:tc>
          <w:tcPr>
            <w:tcW w:w="338"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306" w:type="dxa"/>
            <w:tcBorders/>
            <w:vAlign w:val="bottom"/>
          </w:tcPr>
          <w:p>
            <w:pPr>
              <w:pStyle w:val="TableContents"/>
              <w:pBdr>
                <w:top w:val="double" w:sz="6" w:space="1" w:color="000000"/>
              </w:pBdr>
              <w:bidi w:val="0"/>
              <w:spacing w:before="0" w:after="0"/>
              <w:jc w:val="left"/>
              <w:rPr/>
            </w:pPr>
            <w:r>
              <w:rPr/>
              <w:t> </w:t>
            </w:r>
          </w:p>
        </w:tc>
        <w:tc>
          <w:tcPr>
            <w:tcW w:w="12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663"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995" w:type="dxa"/>
            <w:tcBorders/>
          </w:tcPr>
          <w:p>
            <w:pPr>
              <w:pStyle w:val="TableContents"/>
              <w:bidi w:val="0"/>
              <w:spacing w:before="0" w:after="0"/>
              <w:jc w:val="left"/>
              <w:rPr>
                <w:rFonts w:ascii="Times New Roman" w:hAnsi="Times New Roman"/>
                <w:sz w:val="20"/>
              </w:rPr>
            </w:pPr>
            <w:r>
              <w:rPr>
                <w:rFonts w:ascii="Times New Roman" w:hAnsi="Times New Roman"/>
                <w:sz w:val="20"/>
              </w:rPr>
              <w:t>Revenue Less Ancillary Services</w:t>
            </w:r>
          </w:p>
        </w:tc>
        <w:tc>
          <w:tcPr>
            <w:tcW w:w="120"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w:t>
            </w:r>
          </w:p>
        </w:tc>
        <w:tc>
          <w:tcPr>
            <w:tcW w:w="1270" w:type="dxa"/>
            <w:tcBorders/>
            <w:vAlign w:val="bottom"/>
          </w:tcPr>
          <w:p>
            <w:pPr>
              <w:pStyle w:val="TableContents"/>
              <w:bidi w:val="0"/>
              <w:spacing w:before="0" w:after="283"/>
              <w:jc w:val="right"/>
              <w:rPr/>
            </w:pPr>
            <w:r>
              <w:rPr/>
              <w:t>194.1</w:t>
            </w:r>
          </w:p>
        </w:tc>
        <w:tc>
          <w:tcPr>
            <w:tcW w:w="351"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w:t>
            </w:r>
          </w:p>
        </w:tc>
        <w:tc>
          <w:tcPr>
            <w:tcW w:w="1274" w:type="dxa"/>
            <w:tcBorders/>
            <w:vAlign w:val="bottom"/>
          </w:tcPr>
          <w:p>
            <w:pPr>
              <w:pStyle w:val="TableContents"/>
              <w:bidi w:val="0"/>
              <w:spacing w:before="0" w:after="283"/>
              <w:jc w:val="right"/>
              <w:rPr/>
            </w:pPr>
            <w:r>
              <w:rPr/>
              <w:t>151.4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63" w:type="dxa"/>
            <w:tcBorders/>
            <w:vAlign w:val="bottom"/>
          </w:tcPr>
          <w:p>
            <w:pPr>
              <w:pStyle w:val="TableContents"/>
              <w:bidi w:val="0"/>
              <w:spacing w:before="0" w:after="283"/>
              <w:jc w:val="right"/>
              <w:rPr/>
            </w:pPr>
            <w:r>
              <w:rPr/>
              <w:t>28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w:t>
            </w:r>
          </w:p>
        </w:tc>
        <w:tc>
          <w:tcPr>
            <w:tcW w:w="1224" w:type="dxa"/>
            <w:tcBorders/>
            <w:vAlign w:val="bottom"/>
          </w:tcPr>
          <w:p>
            <w:pPr>
              <w:pStyle w:val="TableContents"/>
              <w:bidi w:val="0"/>
              <w:spacing w:before="0" w:after="283"/>
              <w:jc w:val="right"/>
              <w:rPr/>
            </w:pPr>
            <w:r>
              <w:rPr/>
              <w:t>450.3</w:t>
            </w:r>
          </w:p>
        </w:tc>
        <w:tc>
          <w:tcPr>
            <w:tcW w:w="338"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w:t>
            </w:r>
          </w:p>
        </w:tc>
        <w:tc>
          <w:tcPr>
            <w:tcW w:w="1225" w:type="dxa"/>
            <w:tcBorders/>
            <w:vAlign w:val="bottom"/>
          </w:tcPr>
          <w:p>
            <w:pPr>
              <w:pStyle w:val="TableContents"/>
              <w:bidi w:val="0"/>
              <w:spacing w:before="0" w:after="283"/>
              <w:jc w:val="right"/>
              <w:rPr/>
            </w:pPr>
            <w:r>
              <w:rPr/>
              <w:t>361.5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63" w:type="dxa"/>
            <w:tcBorders/>
            <w:vAlign w:val="bottom"/>
          </w:tcPr>
          <w:p>
            <w:pPr>
              <w:pStyle w:val="TableContents"/>
              <w:bidi w:val="0"/>
              <w:spacing w:before="0" w:after="283"/>
              <w:jc w:val="right"/>
              <w:rPr/>
            </w:pPr>
            <w:r>
              <w:rPr/>
              <w:t>25</w:t>
            </w:r>
          </w:p>
        </w:tc>
        <w:tc>
          <w:tcPr>
            <w:tcW w:w="275" w:type="dxa"/>
            <w:tcBorders/>
            <w:vAlign w:val="bottom"/>
          </w:tcPr>
          <w:p>
            <w:pPr>
              <w:pStyle w:val="TableContents"/>
              <w:bidi w:val="0"/>
              <w:spacing w:before="0" w:after="283"/>
              <w:jc w:val="left"/>
              <w:rPr/>
            </w:pPr>
            <w:r>
              <w:rPr/>
              <w:t>% </w:t>
            </w:r>
          </w:p>
        </w:tc>
      </w:tr>
      <w:tr>
        <w:trPr/>
        <w:tc>
          <w:tcPr>
            <w:tcW w:w="9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Sertifi Revenue</w:t>
            </w:r>
          </w:p>
        </w:tc>
        <w:tc>
          <w:tcPr>
            <w:tcW w:w="120"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(12.9</w:t>
            </w:r>
          </w:p>
        </w:tc>
        <w:tc>
          <w:tcPr>
            <w:tcW w:w="351"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12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663"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(29.9</w:t>
            </w:r>
          </w:p>
        </w:tc>
        <w:tc>
          <w:tcPr>
            <w:tcW w:w="338"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663"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99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17" w:type="dxa"/>
            <w:tcBorders/>
            <w:vAlign w:val="bottom"/>
          </w:tcPr>
          <w:p>
            <w:pPr>
              <w:pStyle w:val="TableContents"/>
              <w:pBdr>
                <w:top w:val="single" w:sz="2" w:space="1" w:color="000000"/>
              </w:pBdr>
              <w:bidi w:val="0"/>
              <w:spacing w:before="0" w:after="0"/>
              <w:jc w:val="left"/>
              <w:rPr/>
            </w:pPr>
            <w:r>
              <w:rPr/>
              <w:t> </w:t>
            </w:r>
          </w:p>
        </w:tc>
        <w:tc>
          <w:tcPr>
            <w:tcW w:w="1270" w:type="dxa"/>
            <w:tcBorders/>
            <w:vAlign w:val="bottom"/>
          </w:tcPr>
          <w:p>
            <w:pPr>
              <w:pStyle w:val="TableContents"/>
              <w:pBdr>
                <w:top w:val="single" w:sz="2" w:space="1" w:color="000000"/>
              </w:pBdr>
              <w:bidi w:val="0"/>
              <w:spacing w:before="0" w:after="0"/>
              <w:jc w:val="left"/>
              <w:rPr/>
            </w:pPr>
            <w:r>
              <w:rPr/>
              <w:t> </w:t>
            </w:r>
          </w:p>
        </w:tc>
        <w:tc>
          <w:tcPr>
            <w:tcW w:w="351" w:type="dxa"/>
            <w:tcBorders/>
            <w:vAlign w:val="center"/>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317" w:type="dxa"/>
            <w:tcBorders/>
            <w:vAlign w:val="bottom"/>
          </w:tcPr>
          <w:p>
            <w:pPr>
              <w:pStyle w:val="TableContents"/>
              <w:pBdr>
                <w:top w:val="single" w:sz="2" w:space="1" w:color="000000"/>
              </w:pBdr>
              <w:bidi w:val="0"/>
              <w:spacing w:before="0" w:after="0"/>
              <w:jc w:val="left"/>
              <w:rPr/>
            </w:pPr>
            <w:r>
              <w:rPr/>
              <w:t> </w:t>
            </w:r>
          </w:p>
        </w:tc>
        <w:tc>
          <w:tcPr>
            <w:tcW w:w="12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663"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6"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338"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306"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663"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995" w:type="dxa"/>
            <w:tcBorders/>
          </w:tcPr>
          <w:p>
            <w:pPr>
              <w:pStyle w:val="TableContents"/>
              <w:bidi w:val="0"/>
              <w:spacing w:before="0" w:after="0"/>
              <w:jc w:val="left"/>
              <w:rPr>
                <w:rFonts w:ascii="Times New Roman" w:hAnsi="Times New Roman"/>
                <w:sz w:val="20"/>
              </w:rPr>
            </w:pPr>
            <w:r>
              <w:rPr>
                <w:rFonts w:ascii="Times New Roman" w:hAnsi="Times New Roman"/>
                <w:sz w:val="20"/>
              </w:rPr>
              <w:t>Revenue Less Ancillary Services excluding Sertifi</w:t>
            </w:r>
          </w:p>
        </w:tc>
        <w:tc>
          <w:tcPr>
            <w:tcW w:w="120"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w:t>
            </w:r>
          </w:p>
        </w:tc>
        <w:tc>
          <w:tcPr>
            <w:tcW w:w="1270" w:type="dxa"/>
            <w:tcBorders/>
            <w:vAlign w:val="bottom"/>
          </w:tcPr>
          <w:p>
            <w:pPr>
              <w:pStyle w:val="TableContents"/>
              <w:bidi w:val="0"/>
              <w:spacing w:before="0" w:after="283"/>
              <w:jc w:val="right"/>
              <w:rPr/>
            </w:pPr>
            <w:r>
              <w:rPr/>
              <w:t>181.2</w:t>
            </w:r>
          </w:p>
        </w:tc>
        <w:tc>
          <w:tcPr>
            <w:tcW w:w="351"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w:t>
            </w:r>
          </w:p>
        </w:tc>
        <w:tc>
          <w:tcPr>
            <w:tcW w:w="1274" w:type="dxa"/>
            <w:tcBorders/>
            <w:vAlign w:val="bottom"/>
          </w:tcPr>
          <w:p>
            <w:pPr>
              <w:pStyle w:val="TableContents"/>
              <w:bidi w:val="0"/>
              <w:spacing w:before="0" w:after="283"/>
              <w:jc w:val="right"/>
              <w:rPr/>
            </w:pPr>
            <w:r>
              <w:rPr/>
              <w:t>151.4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63" w:type="dxa"/>
            <w:tcBorders/>
            <w:vAlign w:val="bottom"/>
          </w:tcPr>
          <w:p>
            <w:pPr>
              <w:pStyle w:val="TableContents"/>
              <w:bidi w:val="0"/>
              <w:spacing w:before="0" w:after="283"/>
              <w:jc w:val="right"/>
              <w:rPr/>
            </w:pPr>
            <w:r>
              <w:rPr/>
              <w:t>20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w:t>
            </w:r>
          </w:p>
        </w:tc>
        <w:tc>
          <w:tcPr>
            <w:tcW w:w="1224" w:type="dxa"/>
            <w:tcBorders/>
            <w:vAlign w:val="bottom"/>
          </w:tcPr>
          <w:p>
            <w:pPr>
              <w:pStyle w:val="TableContents"/>
              <w:bidi w:val="0"/>
              <w:spacing w:before="0" w:after="283"/>
              <w:jc w:val="right"/>
              <w:rPr/>
            </w:pPr>
            <w:r>
              <w:rPr/>
              <w:t>420.4</w:t>
            </w:r>
          </w:p>
        </w:tc>
        <w:tc>
          <w:tcPr>
            <w:tcW w:w="338"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w:t>
            </w:r>
          </w:p>
        </w:tc>
        <w:tc>
          <w:tcPr>
            <w:tcW w:w="1225" w:type="dxa"/>
            <w:tcBorders/>
            <w:vAlign w:val="bottom"/>
          </w:tcPr>
          <w:p>
            <w:pPr>
              <w:pStyle w:val="TableContents"/>
              <w:bidi w:val="0"/>
              <w:spacing w:before="0" w:after="283"/>
              <w:jc w:val="right"/>
              <w:rPr/>
            </w:pPr>
            <w:r>
              <w:rPr/>
              <w:t>361.5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63" w:type="dxa"/>
            <w:tcBorders/>
            <w:vAlign w:val="bottom"/>
          </w:tcPr>
          <w:p>
            <w:pPr>
              <w:pStyle w:val="TableContents"/>
              <w:bidi w:val="0"/>
              <w:spacing w:before="0" w:after="283"/>
              <w:jc w:val="right"/>
              <w:rPr/>
            </w:pPr>
            <w:r>
              <w:rPr/>
              <w:t>16</w:t>
            </w:r>
          </w:p>
        </w:tc>
        <w:tc>
          <w:tcPr>
            <w:tcW w:w="275" w:type="dxa"/>
            <w:tcBorders/>
            <w:vAlign w:val="bottom"/>
          </w:tcPr>
          <w:p>
            <w:pPr>
              <w:pStyle w:val="TableContents"/>
              <w:bidi w:val="0"/>
              <w:spacing w:before="0" w:after="283"/>
              <w:jc w:val="left"/>
              <w:rPr/>
            </w:pPr>
            <w:r>
              <w:rPr/>
              <w:t>% </w:t>
            </w:r>
          </w:p>
        </w:tc>
      </w:tr>
      <w:tr>
        <w:trPr/>
        <w:tc>
          <w:tcPr>
            <w:tcW w:w="99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17" w:type="dxa"/>
            <w:tcBorders/>
            <w:vAlign w:val="bottom"/>
          </w:tcPr>
          <w:p>
            <w:pPr>
              <w:pStyle w:val="TableContents"/>
              <w:pBdr>
                <w:top w:val="double" w:sz="6" w:space="1" w:color="000000"/>
              </w:pBdr>
              <w:bidi w:val="0"/>
              <w:spacing w:before="0" w:after="0"/>
              <w:jc w:val="left"/>
              <w:rPr/>
            </w:pPr>
            <w:r>
              <w:rPr/>
              <w:t> </w:t>
            </w:r>
          </w:p>
        </w:tc>
        <w:tc>
          <w:tcPr>
            <w:tcW w:w="1270" w:type="dxa"/>
            <w:tcBorders/>
            <w:vAlign w:val="bottom"/>
          </w:tcPr>
          <w:p>
            <w:pPr>
              <w:pStyle w:val="TableContents"/>
              <w:pBdr>
                <w:top w:val="double" w:sz="6" w:space="1" w:color="000000"/>
              </w:pBdr>
              <w:bidi w:val="0"/>
              <w:spacing w:before="0" w:after="0"/>
              <w:jc w:val="left"/>
              <w:rPr/>
            </w:pPr>
            <w:r>
              <w:rPr/>
              <w:t> </w:t>
            </w:r>
          </w:p>
        </w:tc>
        <w:tc>
          <w:tcPr>
            <w:tcW w:w="351" w:type="dxa"/>
            <w:tcBorders/>
            <w:vAlign w:val="center"/>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317" w:type="dxa"/>
            <w:tcBorders/>
            <w:vAlign w:val="bottom"/>
          </w:tcPr>
          <w:p>
            <w:pPr>
              <w:pStyle w:val="TableContents"/>
              <w:pBdr>
                <w:top w:val="double" w:sz="6" w:space="1" w:color="000000"/>
              </w:pBdr>
              <w:bidi w:val="0"/>
              <w:spacing w:before="0" w:after="0"/>
              <w:jc w:val="left"/>
              <w:rPr/>
            </w:pPr>
            <w:r>
              <w:rPr/>
              <w:t> </w:t>
            </w:r>
          </w:p>
        </w:tc>
        <w:tc>
          <w:tcPr>
            <w:tcW w:w="127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663"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6" w:type="dxa"/>
            <w:tcBorders/>
            <w:vAlign w:val="bottom"/>
          </w:tcPr>
          <w:p>
            <w:pPr>
              <w:pStyle w:val="TableContents"/>
              <w:pBdr>
                <w:top w:val="double" w:sz="6" w:space="1" w:color="000000"/>
              </w:pBdr>
              <w:bidi w:val="0"/>
              <w:spacing w:before="0" w:after="0"/>
              <w:jc w:val="left"/>
              <w:rPr/>
            </w:pPr>
            <w:r>
              <w:rPr/>
              <w:t> </w:t>
            </w:r>
          </w:p>
        </w:tc>
        <w:tc>
          <w:tcPr>
            <w:tcW w:w="1224" w:type="dxa"/>
            <w:tcBorders/>
            <w:vAlign w:val="bottom"/>
          </w:tcPr>
          <w:p>
            <w:pPr>
              <w:pStyle w:val="TableContents"/>
              <w:pBdr>
                <w:top w:val="double" w:sz="6" w:space="1" w:color="000000"/>
              </w:pBdr>
              <w:bidi w:val="0"/>
              <w:spacing w:before="0" w:after="0"/>
              <w:jc w:val="left"/>
              <w:rPr/>
            </w:pPr>
            <w:r>
              <w:rPr/>
              <w:t> </w:t>
            </w:r>
          </w:p>
        </w:tc>
        <w:tc>
          <w:tcPr>
            <w:tcW w:w="338"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306" w:type="dxa"/>
            <w:tcBorders/>
            <w:vAlign w:val="bottom"/>
          </w:tcPr>
          <w:p>
            <w:pPr>
              <w:pStyle w:val="TableContents"/>
              <w:pBdr>
                <w:top w:val="double" w:sz="6" w:space="1" w:color="000000"/>
              </w:pBdr>
              <w:bidi w:val="0"/>
              <w:spacing w:before="0" w:after="0"/>
              <w:jc w:val="left"/>
              <w:rPr/>
            </w:pPr>
            <w:r>
              <w:rPr/>
              <w:t> </w:t>
            </w:r>
          </w:p>
        </w:tc>
        <w:tc>
          <w:tcPr>
            <w:tcW w:w="12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663"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Reconciliation of Non-GAAP Operating Expenses </w:t>
      </w:r>
    </w:p>
    <w:p>
      <w:pPr>
        <w:pStyle w:val="TextBody"/>
        <w:bidi w:val="0"/>
        <w:spacing w:before="0" w:after="0"/>
        <w:jc w:val="left"/>
        <w:rPr>
          <w:rFonts w:ascii="Times New Roman" w:hAnsi="Times New Roman"/>
          <w:b/>
          <w:sz w:val="20"/>
        </w:rPr>
      </w:pPr>
      <w:r>
        <w:rPr>
          <w:rFonts w:ascii="Times New Roman" w:hAnsi="Times New Roman"/>
          <w:b/>
          <w:sz w:val="20"/>
        </w:rPr>
        <w:t xml:space="preserve">(Unaudited) (in millions)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18"/>
        <w:gridCol w:w="192"/>
        <w:gridCol w:w="373"/>
        <w:gridCol w:w="1174"/>
        <w:gridCol w:w="413"/>
        <w:gridCol w:w="231"/>
        <w:gridCol w:w="373"/>
        <w:gridCol w:w="1177"/>
        <w:gridCol w:w="155"/>
        <w:gridCol w:w="134"/>
        <w:gridCol w:w="314"/>
        <w:gridCol w:w="1259"/>
        <w:gridCol w:w="348"/>
        <w:gridCol w:w="205"/>
        <w:gridCol w:w="314"/>
        <w:gridCol w:w="1163"/>
        <w:gridCol w:w="162"/>
      </w:tblGrid>
      <w:tr>
        <w:trPr/>
        <w:tc>
          <w:tcPr>
            <w:tcW w:w="2218" w:type="dxa"/>
            <w:tcBorders/>
            <w:vAlign w:val="center"/>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218"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374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September 30,</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360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 September 30,</w:t>
            </w:r>
          </w:p>
        </w:tc>
        <w:tc>
          <w:tcPr>
            <w:tcW w:w="162" w:type="dxa"/>
            <w:tcBorders/>
            <w:vAlign w:val="bottom"/>
          </w:tcPr>
          <w:p>
            <w:pPr>
              <w:pStyle w:val="TableContents"/>
              <w:bidi w:val="0"/>
              <w:spacing w:before="0" w:after="283"/>
              <w:jc w:val="left"/>
              <w:rPr/>
            </w:pPr>
            <w:r>
              <w:rPr/>
              <w:t> </w:t>
            </w:r>
          </w:p>
        </w:tc>
      </w:tr>
      <w:tr>
        <w:trPr/>
        <w:tc>
          <w:tcPr>
            <w:tcW w:w="2218"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5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413"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5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5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348"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4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2" w:type="dxa"/>
            <w:tcBorders/>
            <w:vAlign w:val="bottom"/>
          </w:tcPr>
          <w:p>
            <w:pPr>
              <w:pStyle w:val="TableContents"/>
              <w:bidi w:val="0"/>
              <w:spacing w:before="0" w:after="283"/>
              <w:jc w:val="left"/>
              <w:rPr/>
            </w:pPr>
            <w:r>
              <w:rPr/>
              <w:t> </w:t>
            </w:r>
          </w:p>
        </w:tc>
      </w:tr>
      <w:tr>
        <w:trPr/>
        <w:tc>
          <w:tcPr>
            <w:tcW w:w="22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GAAP Technology and development</w:t>
            </w:r>
          </w:p>
        </w:tc>
        <w:tc>
          <w:tcPr>
            <w:tcW w:w="192"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w:t>
            </w:r>
          </w:p>
        </w:tc>
        <w:tc>
          <w:tcPr>
            <w:tcW w:w="1174" w:type="dxa"/>
            <w:tcBorders/>
            <w:shd w:fill="CCEEFF" w:val="clear"/>
            <w:vAlign w:val="bottom"/>
          </w:tcPr>
          <w:p>
            <w:pPr>
              <w:pStyle w:val="TableContents"/>
              <w:bidi w:val="0"/>
              <w:spacing w:before="0" w:after="283"/>
              <w:jc w:val="right"/>
              <w:rPr/>
            </w:pPr>
            <w:r>
              <w:rPr/>
              <w:t>17.7</w:t>
            </w:r>
          </w:p>
        </w:tc>
        <w:tc>
          <w:tcPr>
            <w:tcW w:w="413"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w:t>
            </w:r>
          </w:p>
        </w:tc>
        <w:tc>
          <w:tcPr>
            <w:tcW w:w="1177" w:type="dxa"/>
            <w:tcBorders/>
            <w:shd w:fill="CCEEFF" w:val="clear"/>
            <w:vAlign w:val="bottom"/>
          </w:tcPr>
          <w:p>
            <w:pPr>
              <w:pStyle w:val="TableContents"/>
              <w:bidi w:val="0"/>
              <w:spacing w:before="0" w:after="283"/>
              <w:jc w:val="right"/>
              <w:rPr/>
            </w:pPr>
            <w:r>
              <w:rPr/>
              <w:t>16.7</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w:t>
            </w:r>
          </w:p>
        </w:tc>
        <w:tc>
          <w:tcPr>
            <w:tcW w:w="1259" w:type="dxa"/>
            <w:tcBorders/>
            <w:shd w:fill="CCEEFF" w:val="clear"/>
            <w:vAlign w:val="bottom"/>
          </w:tcPr>
          <w:p>
            <w:pPr>
              <w:pStyle w:val="TableContents"/>
              <w:bidi w:val="0"/>
              <w:spacing w:before="0" w:after="283"/>
              <w:jc w:val="right"/>
              <w:rPr/>
            </w:pPr>
            <w:r>
              <w:rPr/>
              <w:t>51.7</w:t>
            </w:r>
          </w:p>
        </w:tc>
        <w:tc>
          <w:tcPr>
            <w:tcW w:w="348"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w:t>
            </w:r>
          </w:p>
        </w:tc>
        <w:tc>
          <w:tcPr>
            <w:tcW w:w="1163" w:type="dxa"/>
            <w:tcBorders/>
            <w:shd w:fill="CCEEFF" w:val="clear"/>
            <w:vAlign w:val="bottom"/>
          </w:tcPr>
          <w:p>
            <w:pPr>
              <w:pStyle w:val="TableContents"/>
              <w:bidi w:val="0"/>
              <w:spacing w:before="0" w:after="283"/>
              <w:jc w:val="right"/>
              <w:rPr/>
            </w:pPr>
            <w:r>
              <w:rPr/>
              <w:t>49.3</w:t>
            </w:r>
          </w:p>
        </w:tc>
        <w:tc>
          <w:tcPr>
            <w:tcW w:w="162" w:type="dxa"/>
            <w:tcBorders/>
            <w:shd w:fill="CCEEFF" w:val="clear"/>
            <w:vAlign w:val="bottom"/>
          </w:tcPr>
          <w:p>
            <w:pPr>
              <w:pStyle w:val="TableContents"/>
              <w:bidi w:val="0"/>
              <w:spacing w:before="0" w:after="283"/>
              <w:jc w:val="left"/>
              <w:rPr/>
            </w:pPr>
            <w:r>
              <w:rPr/>
              <w:t> </w:t>
            </w:r>
          </w:p>
        </w:tc>
      </w:tr>
      <w:tr>
        <w:trPr/>
        <w:tc>
          <w:tcPr>
            <w:tcW w:w="2218" w:type="dxa"/>
            <w:tcBorders/>
          </w:tcPr>
          <w:p>
            <w:pPr>
              <w:pStyle w:val="TableContents"/>
              <w:bidi w:val="0"/>
              <w:spacing w:before="0" w:after="0"/>
              <w:jc w:val="left"/>
              <w:rPr>
                <w:rFonts w:ascii="Times New Roman" w:hAnsi="Times New Roman"/>
                <w:sz w:val="20"/>
              </w:rPr>
            </w:pPr>
            <w:r>
              <w:rPr>
                <w:rFonts w:ascii="Times New Roman" w:hAnsi="Times New Roman"/>
                <w:sz w:val="20"/>
              </w:rPr>
              <w:t>(-) Stock-based compensation expense and related taxes</w:t>
            </w:r>
          </w:p>
        </w:tc>
        <w:tc>
          <w:tcPr>
            <w:tcW w:w="192"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(3.5</w:t>
            </w:r>
          </w:p>
        </w:tc>
        <w:tc>
          <w:tcPr>
            <w:tcW w:w="413"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(3.1</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(9.8</w:t>
            </w:r>
          </w:p>
        </w:tc>
        <w:tc>
          <w:tcPr>
            <w:tcW w:w="348"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(8.6</w:t>
            </w:r>
          </w:p>
        </w:tc>
        <w:tc>
          <w:tcPr>
            <w:tcW w:w="162" w:type="dxa"/>
            <w:tcBorders/>
            <w:vAlign w:val="bottom"/>
          </w:tcPr>
          <w:p>
            <w:pPr>
              <w:pStyle w:val="TableContents"/>
              <w:bidi w:val="0"/>
              <w:spacing w:before="0" w:after="283"/>
              <w:jc w:val="left"/>
              <w:rPr/>
            </w:pPr>
            <w:r>
              <w:rPr/>
              <w:t>) </w:t>
            </w:r>
          </w:p>
        </w:tc>
      </w:tr>
      <w:tr>
        <w:trPr/>
        <w:tc>
          <w:tcPr>
            <w:tcW w:w="22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Depreciation and amortization</w:t>
            </w:r>
          </w:p>
        </w:tc>
        <w:tc>
          <w:tcPr>
            <w:tcW w:w="192"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(1.7</w:t>
            </w:r>
          </w:p>
        </w:tc>
        <w:tc>
          <w:tcPr>
            <w:tcW w:w="413"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(1.7</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(4.9</w:t>
            </w:r>
          </w:p>
        </w:tc>
        <w:tc>
          <w:tcPr>
            <w:tcW w:w="348"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(5.3</w:t>
            </w:r>
          </w:p>
        </w:tc>
        <w:tc>
          <w:tcPr>
            <w:tcW w:w="162" w:type="dxa"/>
            <w:tcBorders/>
            <w:shd w:fill="CCEEFF" w:val="clear"/>
            <w:vAlign w:val="bottom"/>
          </w:tcPr>
          <w:p>
            <w:pPr>
              <w:pStyle w:val="TableContents"/>
              <w:bidi w:val="0"/>
              <w:spacing w:before="0" w:after="283"/>
              <w:jc w:val="left"/>
              <w:rPr/>
            </w:pPr>
            <w:r>
              <w:rPr/>
              <w:t>) </w:t>
            </w:r>
          </w:p>
        </w:tc>
      </w:tr>
      <w:tr>
        <w:trPr/>
        <w:tc>
          <w:tcPr>
            <w:tcW w:w="2218" w:type="dxa"/>
            <w:tcBorders/>
          </w:tcPr>
          <w:p>
            <w:pPr>
              <w:pStyle w:val="TableContents"/>
              <w:bidi w:val="0"/>
              <w:spacing w:before="0" w:after="0"/>
              <w:jc w:val="left"/>
              <w:rPr>
                <w:rFonts w:ascii="Times New Roman" w:hAnsi="Times New Roman"/>
                <w:sz w:val="20"/>
              </w:rPr>
            </w:pPr>
            <w:r>
              <w:rPr>
                <w:rFonts w:ascii="Times New Roman" w:hAnsi="Times New Roman"/>
                <w:sz w:val="20"/>
              </w:rPr>
              <w:t>Non-GAAP Technology and development</w:t>
            </w:r>
          </w:p>
        </w:tc>
        <w:tc>
          <w:tcPr>
            <w:tcW w:w="192"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w:t>
            </w:r>
          </w:p>
        </w:tc>
        <w:tc>
          <w:tcPr>
            <w:tcW w:w="1174" w:type="dxa"/>
            <w:tcBorders/>
            <w:vAlign w:val="bottom"/>
          </w:tcPr>
          <w:p>
            <w:pPr>
              <w:pStyle w:val="TableContents"/>
              <w:bidi w:val="0"/>
              <w:spacing w:before="0" w:after="283"/>
              <w:jc w:val="right"/>
              <w:rPr/>
            </w:pPr>
            <w:r>
              <w:rPr/>
              <w:t>12.5</w:t>
            </w:r>
          </w:p>
        </w:tc>
        <w:tc>
          <w:tcPr>
            <w:tcW w:w="413"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w:t>
            </w:r>
          </w:p>
        </w:tc>
        <w:tc>
          <w:tcPr>
            <w:tcW w:w="1177" w:type="dxa"/>
            <w:tcBorders/>
            <w:vAlign w:val="bottom"/>
          </w:tcPr>
          <w:p>
            <w:pPr>
              <w:pStyle w:val="TableContents"/>
              <w:bidi w:val="0"/>
              <w:spacing w:before="0" w:after="283"/>
              <w:jc w:val="right"/>
              <w:rPr/>
            </w:pPr>
            <w:r>
              <w:rPr/>
              <w:t>11.9</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w:t>
            </w:r>
          </w:p>
        </w:tc>
        <w:tc>
          <w:tcPr>
            <w:tcW w:w="1259" w:type="dxa"/>
            <w:tcBorders/>
            <w:vAlign w:val="bottom"/>
          </w:tcPr>
          <w:p>
            <w:pPr>
              <w:pStyle w:val="TableContents"/>
              <w:bidi w:val="0"/>
              <w:spacing w:before="0" w:after="283"/>
              <w:jc w:val="right"/>
              <w:rPr/>
            </w:pPr>
            <w:r>
              <w:rPr/>
              <w:t>36.9</w:t>
            </w:r>
          </w:p>
        </w:tc>
        <w:tc>
          <w:tcPr>
            <w:tcW w:w="348"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w:t>
            </w:r>
          </w:p>
        </w:tc>
        <w:tc>
          <w:tcPr>
            <w:tcW w:w="1163" w:type="dxa"/>
            <w:tcBorders/>
            <w:vAlign w:val="bottom"/>
          </w:tcPr>
          <w:p>
            <w:pPr>
              <w:pStyle w:val="TableContents"/>
              <w:bidi w:val="0"/>
              <w:spacing w:before="0" w:after="283"/>
              <w:jc w:val="right"/>
              <w:rPr/>
            </w:pPr>
            <w:r>
              <w:rPr/>
              <w:t>35.4</w:t>
            </w:r>
          </w:p>
        </w:tc>
        <w:tc>
          <w:tcPr>
            <w:tcW w:w="162" w:type="dxa"/>
            <w:tcBorders/>
            <w:vAlign w:val="bottom"/>
          </w:tcPr>
          <w:p>
            <w:pPr>
              <w:pStyle w:val="TableContents"/>
              <w:bidi w:val="0"/>
              <w:spacing w:before="0" w:after="283"/>
              <w:jc w:val="left"/>
              <w:rPr/>
            </w:pPr>
            <w:r>
              <w:rPr/>
              <w:t> </w:t>
            </w:r>
          </w:p>
        </w:tc>
      </w:tr>
      <w:tr>
        <w:trPr/>
        <w:tc>
          <w:tcPr>
            <w:tcW w:w="2218" w:type="dxa"/>
            <w:tcBorders/>
            <w:vAlign w:val="bottom"/>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pPr>
            <w:r>
              <w:rPr/>
              <w:t>  </w:t>
            </w:r>
          </w:p>
        </w:tc>
        <w:tc>
          <w:tcPr>
            <w:tcW w:w="373" w:type="dxa"/>
            <w:tcBorders/>
            <w:vAlign w:val="bottom"/>
          </w:tcPr>
          <w:p>
            <w:pPr>
              <w:pStyle w:val="TableContents"/>
              <w:pBdr>
                <w:top w:val="double" w:sz="6" w:space="1" w:color="000000"/>
              </w:pBdr>
              <w:bidi w:val="0"/>
              <w:spacing w:before="0" w:after="0"/>
              <w:jc w:val="left"/>
              <w:rPr/>
            </w:pPr>
            <w:r>
              <w:rPr/>
              <w:t> </w:t>
            </w:r>
          </w:p>
        </w:tc>
        <w:tc>
          <w:tcPr>
            <w:tcW w:w="1174" w:type="dxa"/>
            <w:tcBorders/>
            <w:vAlign w:val="bottom"/>
          </w:tcPr>
          <w:p>
            <w:pPr>
              <w:pStyle w:val="TableContents"/>
              <w:pBdr>
                <w:top w:val="double" w:sz="6" w:space="1" w:color="000000"/>
              </w:pBdr>
              <w:bidi w:val="0"/>
              <w:spacing w:before="0" w:after="0"/>
              <w:jc w:val="left"/>
              <w:rPr/>
            </w:pPr>
            <w:r>
              <w:rPr/>
              <w:t> </w:t>
            </w:r>
          </w:p>
        </w:tc>
        <w:tc>
          <w:tcPr>
            <w:tcW w:w="413"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373" w:type="dxa"/>
            <w:tcBorders/>
            <w:vAlign w:val="bottom"/>
          </w:tcPr>
          <w:p>
            <w:pPr>
              <w:pStyle w:val="TableContents"/>
              <w:pBdr>
                <w:top w:val="double" w:sz="6" w:space="1" w:color="000000"/>
              </w:pBdr>
              <w:bidi w:val="0"/>
              <w:spacing w:before="0" w:after="0"/>
              <w:jc w:val="left"/>
              <w:rPr/>
            </w:pPr>
            <w:r>
              <w:rPr/>
              <w:t> </w:t>
            </w:r>
          </w:p>
        </w:tc>
        <w:tc>
          <w:tcPr>
            <w:tcW w:w="117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314" w:type="dxa"/>
            <w:tcBorders/>
            <w:vAlign w:val="bottom"/>
          </w:tcPr>
          <w:p>
            <w:pPr>
              <w:pStyle w:val="TableContents"/>
              <w:pBdr>
                <w:top w:val="double" w:sz="6" w:space="1" w:color="000000"/>
              </w:pBdr>
              <w:bidi w:val="0"/>
              <w:spacing w:before="0" w:after="0"/>
              <w:jc w:val="left"/>
              <w:rPr/>
            </w:pPr>
            <w:r>
              <w:rPr/>
              <w:t> </w:t>
            </w:r>
          </w:p>
        </w:tc>
        <w:tc>
          <w:tcPr>
            <w:tcW w:w="1259" w:type="dxa"/>
            <w:tcBorders/>
            <w:vAlign w:val="bottom"/>
          </w:tcPr>
          <w:p>
            <w:pPr>
              <w:pStyle w:val="TableContents"/>
              <w:pBdr>
                <w:top w:val="double" w:sz="6" w:space="1" w:color="000000"/>
              </w:pBdr>
              <w:bidi w:val="0"/>
              <w:spacing w:before="0" w:after="0"/>
              <w:jc w:val="left"/>
              <w:rPr/>
            </w:pPr>
            <w:r>
              <w:rPr/>
              <w:t> </w:t>
            </w:r>
          </w:p>
        </w:tc>
        <w:tc>
          <w:tcPr>
            <w:tcW w:w="348" w:type="dxa"/>
            <w:tcBorders/>
            <w:vAlign w:val="center"/>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314" w:type="dxa"/>
            <w:tcBorders/>
            <w:vAlign w:val="bottom"/>
          </w:tcPr>
          <w:p>
            <w:pPr>
              <w:pStyle w:val="TableContents"/>
              <w:pBdr>
                <w:top w:val="double" w:sz="6" w:space="1" w:color="000000"/>
              </w:pBdr>
              <w:bidi w:val="0"/>
              <w:spacing w:before="0" w:after="0"/>
              <w:jc w:val="left"/>
              <w:rPr/>
            </w:pPr>
            <w:r>
              <w:rPr/>
              <w:t> </w:t>
            </w:r>
          </w:p>
        </w:tc>
        <w:tc>
          <w:tcPr>
            <w:tcW w:w="1163"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218" w:type="dxa"/>
            <w:tcBorders/>
            <w:shd w:fill="CCEEFF" w:val="clear"/>
          </w:tcPr>
          <w:p>
            <w:pPr>
              <w:pStyle w:val="TableContents"/>
              <w:bidi w:val="0"/>
              <w:spacing w:before="0" w:after="283"/>
              <w:jc w:val="left"/>
              <w:rPr>
                <w:sz w:val="4"/>
                <w:szCs w:val="4"/>
              </w:rPr>
            </w:pPr>
            <w:r>
              <w:rPr>
                <w:sz w:val="4"/>
                <w:szCs w:val="4"/>
              </w:rPr>
            </w:r>
          </w:p>
        </w:tc>
        <w:tc>
          <w:tcPr>
            <w:tcW w:w="192"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sz w:val="4"/>
                <w:szCs w:val="4"/>
              </w:rPr>
            </w:pPr>
            <w:r>
              <w:rPr>
                <w:sz w:val="4"/>
                <w:szCs w:val="4"/>
              </w:rPr>
            </w:r>
          </w:p>
        </w:tc>
        <w:tc>
          <w:tcPr>
            <w:tcW w:w="1174"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231"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sz w:val="4"/>
                <w:szCs w:val="4"/>
              </w:rPr>
            </w:pPr>
            <w:r>
              <w:rPr>
                <w:sz w:val="4"/>
                <w:szCs w:val="4"/>
              </w:rPr>
            </w:r>
          </w:p>
        </w:tc>
        <w:tc>
          <w:tcPr>
            <w:tcW w:w="117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sz w:val="4"/>
                <w:szCs w:val="4"/>
              </w:rPr>
            </w:pPr>
            <w:r>
              <w:rPr>
                <w:sz w:val="4"/>
                <w:szCs w:val="4"/>
              </w:rPr>
            </w:r>
          </w:p>
        </w:tc>
        <w:tc>
          <w:tcPr>
            <w:tcW w:w="1259" w:type="dxa"/>
            <w:tcBorders/>
            <w:shd w:fill="CCEEFF" w:val="clear"/>
            <w:vAlign w:val="bottom"/>
          </w:tcPr>
          <w:p>
            <w:pPr>
              <w:pStyle w:val="TableContents"/>
              <w:bidi w:val="0"/>
              <w:spacing w:before="0" w:after="283"/>
              <w:jc w:val="left"/>
              <w:rPr>
                <w:sz w:val="4"/>
                <w:szCs w:val="4"/>
              </w:rPr>
            </w:pPr>
            <w:r>
              <w:rPr>
                <w:sz w:val="4"/>
                <w:szCs w:val="4"/>
              </w:rPr>
            </w:r>
          </w:p>
        </w:tc>
        <w:tc>
          <w:tcPr>
            <w:tcW w:w="348" w:type="dxa"/>
            <w:tcBorders/>
            <w:shd w:fill="CCEEFF" w:val="clear"/>
            <w:vAlign w:val="bottom"/>
          </w:tcPr>
          <w:p>
            <w:pPr>
              <w:pStyle w:val="TableContents"/>
              <w:bidi w:val="0"/>
              <w:spacing w:before="0" w:after="283"/>
              <w:jc w:val="left"/>
              <w:rPr>
                <w:sz w:val="4"/>
                <w:szCs w:val="4"/>
              </w:rPr>
            </w:pPr>
            <w:r>
              <w:rPr>
                <w:sz w:val="4"/>
                <w:szCs w:val="4"/>
              </w:rPr>
            </w:r>
          </w:p>
        </w:tc>
        <w:tc>
          <w:tcPr>
            <w:tcW w:w="205"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sz w:val="4"/>
                <w:szCs w:val="4"/>
              </w:rPr>
            </w:pPr>
            <w:r>
              <w:rPr>
                <w:sz w:val="4"/>
                <w:szCs w:val="4"/>
              </w:rPr>
            </w:r>
          </w:p>
        </w:tc>
        <w:tc>
          <w:tcPr>
            <w:tcW w:w="1163"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2218" w:type="dxa"/>
            <w:tcBorders/>
          </w:tcPr>
          <w:p>
            <w:pPr>
              <w:pStyle w:val="TableContents"/>
              <w:bidi w:val="0"/>
              <w:spacing w:before="0" w:after="0"/>
              <w:jc w:val="left"/>
              <w:rPr>
                <w:rFonts w:ascii="Times New Roman" w:hAnsi="Times New Roman"/>
                <w:sz w:val="20"/>
              </w:rPr>
            </w:pPr>
            <w:r>
              <w:rPr>
                <w:rFonts w:ascii="Times New Roman" w:hAnsi="Times New Roman"/>
                <w:sz w:val="20"/>
              </w:rPr>
              <w:t>GAAP Selling and marketing</w:t>
            </w:r>
          </w:p>
        </w:tc>
        <w:tc>
          <w:tcPr>
            <w:tcW w:w="192"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w:t>
            </w:r>
          </w:p>
        </w:tc>
        <w:tc>
          <w:tcPr>
            <w:tcW w:w="1174" w:type="dxa"/>
            <w:tcBorders/>
            <w:vAlign w:val="bottom"/>
          </w:tcPr>
          <w:p>
            <w:pPr>
              <w:pStyle w:val="TableContents"/>
              <w:bidi w:val="0"/>
              <w:spacing w:before="0" w:after="283"/>
              <w:jc w:val="right"/>
              <w:rPr/>
            </w:pPr>
            <w:r>
              <w:rPr/>
              <w:t>41.9</w:t>
            </w:r>
          </w:p>
        </w:tc>
        <w:tc>
          <w:tcPr>
            <w:tcW w:w="413"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w:t>
            </w:r>
          </w:p>
        </w:tc>
        <w:tc>
          <w:tcPr>
            <w:tcW w:w="1177" w:type="dxa"/>
            <w:tcBorders/>
            <w:vAlign w:val="bottom"/>
          </w:tcPr>
          <w:p>
            <w:pPr>
              <w:pStyle w:val="TableContents"/>
              <w:bidi w:val="0"/>
              <w:spacing w:before="0" w:after="283"/>
              <w:jc w:val="right"/>
              <w:rPr/>
            </w:pPr>
            <w:r>
              <w:rPr/>
              <w:t>34.2</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w:t>
            </w:r>
          </w:p>
        </w:tc>
        <w:tc>
          <w:tcPr>
            <w:tcW w:w="1259" w:type="dxa"/>
            <w:tcBorders/>
            <w:vAlign w:val="bottom"/>
          </w:tcPr>
          <w:p>
            <w:pPr>
              <w:pStyle w:val="TableContents"/>
              <w:bidi w:val="0"/>
              <w:spacing w:before="0" w:after="283"/>
              <w:jc w:val="right"/>
              <w:rPr/>
            </w:pPr>
            <w:r>
              <w:rPr/>
              <w:t>116.9</w:t>
            </w:r>
          </w:p>
        </w:tc>
        <w:tc>
          <w:tcPr>
            <w:tcW w:w="348"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w:t>
            </w:r>
          </w:p>
        </w:tc>
        <w:tc>
          <w:tcPr>
            <w:tcW w:w="1163" w:type="dxa"/>
            <w:tcBorders/>
            <w:vAlign w:val="bottom"/>
          </w:tcPr>
          <w:p>
            <w:pPr>
              <w:pStyle w:val="TableContents"/>
              <w:bidi w:val="0"/>
              <w:spacing w:before="0" w:after="283"/>
              <w:jc w:val="right"/>
              <w:rPr/>
            </w:pPr>
            <w:r>
              <w:rPr/>
              <w:t>96.1</w:t>
            </w:r>
          </w:p>
        </w:tc>
        <w:tc>
          <w:tcPr>
            <w:tcW w:w="162" w:type="dxa"/>
            <w:tcBorders/>
            <w:vAlign w:val="bottom"/>
          </w:tcPr>
          <w:p>
            <w:pPr>
              <w:pStyle w:val="TableContents"/>
              <w:bidi w:val="0"/>
              <w:spacing w:before="0" w:after="283"/>
              <w:jc w:val="left"/>
              <w:rPr/>
            </w:pPr>
            <w:r>
              <w:rPr/>
              <w:t> </w:t>
            </w:r>
          </w:p>
        </w:tc>
      </w:tr>
      <w:tr>
        <w:trPr/>
        <w:tc>
          <w:tcPr>
            <w:tcW w:w="22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Stock-based compensation expense and related taxes</w:t>
            </w:r>
          </w:p>
        </w:tc>
        <w:tc>
          <w:tcPr>
            <w:tcW w:w="192"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(5.2</w:t>
            </w:r>
          </w:p>
        </w:tc>
        <w:tc>
          <w:tcPr>
            <w:tcW w:w="413"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(4.6</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(14.5</w:t>
            </w:r>
          </w:p>
        </w:tc>
        <w:tc>
          <w:tcPr>
            <w:tcW w:w="348"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(13.6</w:t>
            </w:r>
          </w:p>
        </w:tc>
        <w:tc>
          <w:tcPr>
            <w:tcW w:w="162" w:type="dxa"/>
            <w:tcBorders/>
            <w:shd w:fill="CCEEFF" w:val="clear"/>
            <w:vAlign w:val="bottom"/>
          </w:tcPr>
          <w:p>
            <w:pPr>
              <w:pStyle w:val="TableContents"/>
              <w:bidi w:val="0"/>
              <w:spacing w:before="0" w:after="283"/>
              <w:jc w:val="left"/>
              <w:rPr/>
            </w:pPr>
            <w:r>
              <w:rPr/>
              <w:t>) </w:t>
            </w:r>
          </w:p>
        </w:tc>
      </w:tr>
      <w:tr>
        <w:trPr/>
        <w:tc>
          <w:tcPr>
            <w:tcW w:w="2218" w:type="dxa"/>
            <w:tcBorders/>
          </w:tcPr>
          <w:p>
            <w:pPr>
              <w:pStyle w:val="TableContents"/>
              <w:bidi w:val="0"/>
              <w:spacing w:before="0" w:after="0"/>
              <w:jc w:val="left"/>
              <w:rPr>
                <w:rFonts w:ascii="Times New Roman" w:hAnsi="Times New Roman"/>
                <w:sz w:val="20"/>
              </w:rPr>
            </w:pPr>
            <w:r>
              <w:rPr>
                <w:rFonts w:ascii="Times New Roman" w:hAnsi="Times New Roman"/>
                <w:sz w:val="20"/>
              </w:rPr>
              <w:t>(-) Depreciation and amortization</w:t>
            </w:r>
          </w:p>
        </w:tc>
        <w:tc>
          <w:tcPr>
            <w:tcW w:w="192"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(4.4</w:t>
            </w:r>
          </w:p>
        </w:tc>
        <w:tc>
          <w:tcPr>
            <w:tcW w:w="413"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(2.1</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(11.9</w:t>
            </w:r>
          </w:p>
        </w:tc>
        <w:tc>
          <w:tcPr>
            <w:tcW w:w="348"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(6.0</w:t>
            </w:r>
          </w:p>
        </w:tc>
        <w:tc>
          <w:tcPr>
            <w:tcW w:w="162" w:type="dxa"/>
            <w:tcBorders/>
            <w:vAlign w:val="bottom"/>
          </w:tcPr>
          <w:p>
            <w:pPr>
              <w:pStyle w:val="TableContents"/>
              <w:bidi w:val="0"/>
              <w:spacing w:before="0" w:after="283"/>
              <w:jc w:val="left"/>
              <w:rPr/>
            </w:pPr>
            <w:r>
              <w:rPr/>
              <w:t>) </w:t>
            </w:r>
          </w:p>
        </w:tc>
      </w:tr>
      <w:tr>
        <w:trPr/>
        <w:tc>
          <w:tcPr>
            <w:tcW w:w="22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Acquisition related employee retention costs</w:t>
            </w:r>
          </w:p>
        </w:tc>
        <w:tc>
          <w:tcPr>
            <w:tcW w:w="192"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— </w:t>
            </w:r>
          </w:p>
        </w:tc>
        <w:tc>
          <w:tcPr>
            <w:tcW w:w="413"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(0.5</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— </w:t>
            </w:r>
          </w:p>
        </w:tc>
        <w:tc>
          <w:tcPr>
            <w:tcW w:w="348"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(0.5</w:t>
            </w:r>
          </w:p>
        </w:tc>
        <w:tc>
          <w:tcPr>
            <w:tcW w:w="162" w:type="dxa"/>
            <w:tcBorders/>
            <w:shd w:fill="CCEEFF" w:val="clear"/>
            <w:vAlign w:val="bottom"/>
          </w:tcPr>
          <w:p>
            <w:pPr>
              <w:pStyle w:val="TableContents"/>
              <w:bidi w:val="0"/>
              <w:spacing w:before="0" w:after="283"/>
              <w:jc w:val="left"/>
              <w:rPr/>
            </w:pPr>
            <w:r>
              <w:rPr/>
              <w:t>) </w:t>
            </w:r>
          </w:p>
        </w:tc>
      </w:tr>
      <w:tr>
        <w:trPr/>
        <w:tc>
          <w:tcPr>
            <w:tcW w:w="2218" w:type="dxa"/>
            <w:tcBorders/>
            <w:vAlign w:val="bottom"/>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pPr>
            <w:r>
              <w:rPr/>
              <w:t>  </w:t>
            </w:r>
          </w:p>
        </w:tc>
        <w:tc>
          <w:tcPr>
            <w:tcW w:w="373" w:type="dxa"/>
            <w:tcBorders/>
            <w:vAlign w:val="bottom"/>
          </w:tcPr>
          <w:p>
            <w:pPr>
              <w:pStyle w:val="TableContents"/>
              <w:pBdr>
                <w:top w:val="single" w:sz="2" w:space="1" w:color="000000"/>
              </w:pBdr>
              <w:bidi w:val="0"/>
              <w:spacing w:before="0" w:after="0"/>
              <w:jc w:val="left"/>
              <w:rPr/>
            </w:pPr>
            <w:r>
              <w:rPr/>
              <w:t> </w:t>
            </w:r>
          </w:p>
        </w:tc>
        <w:tc>
          <w:tcPr>
            <w:tcW w:w="1174" w:type="dxa"/>
            <w:tcBorders/>
            <w:vAlign w:val="bottom"/>
          </w:tcPr>
          <w:p>
            <w:pPr>
              <w:pStyle w:val="TableContents"/>
              <w:pBdr>
                <w:top w:val="single" w:sz="2" w:space="1" w:color="000000"/>
              </w:pBdr>
              <w:bidi w:val="0"/>
              <w:spacing w:before="0" w:after="0"/>
              <w:jc w:val="left"/>
              <w:rPr/>
            </w:pPr>
            <w:r>
              <w:rPr/>
              <w:t> </w:t>
            </w:r>
          </w:p>
        </w:tc>
        <w:tc>
          <w:tcPr>
            <w:tcW w:w="413"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373" w:type="dxa"/>
            <w:tcBorders/>
            <w:vAlign w:val="bottom"/>
          </w:tcPr>
          <w:p>
            <w:pPr>
              <w:pStyle w:val="TableContents"/>
              <w:pBdr>
                <w:top w:val="single" w:sz="2" w:space="1" w:color="000000"/>
              </w:pBdr>
              <w:bidi w:val="0"/>
              <w:spacing w:before="0" w:after="0"/>
              <w:jc w:val="left"/>
              <w:rPr/>
            </w:pPr>
            <w:r>
              <w:rPr/>
              <w:t> </w:t>
            </w:r>
          </w:p>
        </w:tc>
        <w:tc>
          <w:tcPr>
            <w:tcW w:w="11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314" w:type="dxa"/>
            <w:tcBorders/>
            <w:vAlign w:val="bottom"/>
          </w:tcPr>
          <w:p>
            <w:pPr>
              <w:pStyle w:val="TableContents"/>
              <w:pBdr>
                <w:top w:val="single" w:sz="2" w:space="1" w:color="000000"/>
              </w:pBdr>
              <w:bidi w:val="0"/>
              <w:spacing w:before="0" w:after="0"/>
              <w:jc w:val="left"/>
              <w:rPr/>
            </w:pPr>
            <w:r>
              <w:rPr/>
              <w:t> </w:t>
            </w:r>
          </w:p>
        </w:tc>
        <w:tc>
          <w:tcPr>
            <w:tcW w:w="1259" w:type="dxa"/>
            <w:tcBorders/>
            <w:vAlign w:val="bottom"/>
          </w:tcPr>
          <w:p>
            <w:pPr>
              <w:pStyle w:val="TableContents"/>
              <w:pBdr>
                <w:top w:val="single" w:sz="2" w:space="1" w:color="000000"/>
              </w:pBdr>
              <w:bidi w:val="0"/>
              <w:spacing w:before="0" w:after="0"/>
              <w:jc w:val="left"/>
              <w:rPr/>
            </w:pPr>
            <w:r>
              <w:rPr/>
              <w:t> </w:t>
            </w:r>
          </w:p>
        </w:tc>
        <w:tc>
          <w:tcPr>
            <w:tcW w:w="348" w:type="dxa"/>
            <w:tcBorders/>
            <w:vAlign w:val="center"/>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314" w:type="dxa"/>
            <w:tcBorders/>
            <w:vAlign w:val="bottom"/>
          </w:tcPr>
          <w:p>
            <w:pPr>
              <w:pStyle w:val="TableContents"/>
              <w:pBdr>
                <w:top w:val="single" w:sz="2" w:space="1" w:color="000000"/>
              </w:pBdr>
              <w:bidi w:val="0"/>
              <w:spacing w:before="0" w:after="0"/>
              <w:jc w:val="left"/>
              <w:rPr/>
            </w:pPr>
            <w:r>
              <w:rPr/>
              <w:t> </w:t>
            </w:r>
          </w:p>
        </w:tc>
        <w:tc>
          <w:tcPr>
            <w:tcW w:w="1163"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218" w:type="dxa"/>
            <w:tcBorders/>
          </w:tcPr>
          <w:p>
            <w:pPr>
              <w:pStyle w:val="TableContents"/>
              <w:bidi w:val="0"/>
              <w:spacing w:before="0" w:after="0"/>
              <w:jc w:val="left"/>
              <w:rPr>
                <w:rFonts w:ascii="Times New Roman" w:hAnsi="Times New Roman"/>
                <w:sz w:val="20"/>
              </w:rPr>
            </w:pPr>
            <w:r>
              <w:rPr>
                <w:rFonts w:ascii="Times New Roman" w:hAnsi="Times New Roman"/>
                <w:sz w:val="20"/>
              </w:rPr>
              <w:t>Non-GAAP Selling and marketing</w:t>
            </w:r>
          </w:p>
        </w:tc>
        <w:tc>
          <w:tcPr>
            <w:tcW w:w="192"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w:t>
            </w:r>
          </w:p>
        </w:tc>
        <w:tc>
          <w:tcPr>
            <w:tcW w:w="1174" w:type="dxa"/>
            <w:tcBorders/>
            <w:vAlign w:val="bottom"/>
          </w:tcPr>
          <w:p>
            <w:pPr>
              <w:pStyle w:val="TableContents"/>
              <w:bidi w:val="0"/>
              <w:spacing w:before="0" w:after="283"/>
              <w:jc w:val="right"/>
              <w:rPr/>
            </w:pPr>
            <w:r>
              <w:rPr/>
              <w:t>32.3</w:t>
            </w:r>
          </w:p>
        </w:tc>
        <w:tc>
          <w:tcPr>
            <w:tcW w:w="413"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w:t>
            </w:r>
          </w:p>
        </w:tc>
        <w:tc>
          <w:tcPr>
            <w:tcW w:w="1177" w:type="dxa"/>
            <w:tcBorders/>
            <w:vAlign w:val="bottom"/>
          </w:tcPr>
          <w:p>
            <w:pPr>
              <w:pStyle w:val="TableContents"/>
              <w:bidi w:val="0"/>
              <w:spacing w:before="0" w:after="283"/>
              <w:jc w:val="right"/>
              <w:rPr/>
            </w:pPr>
            <w:r>
              <w:rPr/>
              <w:t>27.0</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w:t>
            </w:r>
          </w:p>
        </w:tc>
        <w:tc>
          <w:tcPr>
            <w:tcW w:w="1259" w:type="dxa"/>
            <w:tcBorders/>
            <w:vAlign w:val="bottom"/>
          </w:tcPr>
          <w:p>
            <w:pPr>
              <w:pStyle w:val="TableContents"/>
              <w:bidi w:val="0"/>
              <w:spacing w:before="0" w:after="283"/>
              <w:jc w:val="right"/>
              <w:rPr/>
            </w:pPr>
            <w:r>
              <w:rPr/>
              <w:t>90.5</w:t>
            </w:r>
          </w:p>
        </w:tc>
        <w:tc>
          <w:tcPr>
            <w:tcW w:w="348"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w:t>
            </w:r>
          </w:p>
        </w:tc>
        <w:tc>
          <w:tcPr>
            <w:tcW w:w="1163" w:type="dxa"/>
            <w:tcBorders/>
            <w:vAlign w:val="bottom"/>
          </w:tcPr>
          <w:p>
            <w:pPr>
              <w:pStyle w:val="TableContents"/>
              <w:bidi w:val="0"/>
              <w:spacing w:before="0" w:after="283"/>
              <w:jc w:val="right"/>
              <w:rPr/>
            </w:pPr>
            <w:r>
              <w:rPr/>
              <w:t>76.0</w:t>
            </w:r>
          </w:p>
        </w:tc>
        <w:tc>
          <w:tcPr>
            <w:tcW w:w="162" w:type="dxa"/>
            <w:tcBorders/>
            <w:vAlign w:val="bottom"/>
          </w:tcPr>
          <w:p>
            <w:pPr>
              <w:pStyle w:val="TableContents"/>
              <w:bidi w:val="0"/>
              <w:spacing w:before="0" w:after="283"/>
              <w:jc w:val="left"/>
              <w:rPr/>
            </w:pPr>
            <w:r>
              <w:rPr/>
              <w:t> </w:t>
            </w:r>
          </w:p>
        </w:tc>
      </w:tr>
      <w:tr>
        <w:trPr/>
        <w:tc>
          <w:tcPr>
            <w:tcW w:w="2218" w:type="dxa"/>
            <w:tcBorders/>
            <w:vAlign w:val="bottom"/>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pPr>
            <w:r>
              <w:rPr/>
              <w:t>  </w:t>
            </w:r>
          </w:p>
        </w:tc>
        <w:tc>
          <w:tcPr>
            <w:tcW w:w="373" w:type="dxa"/>
            <w:tcBorders/>
            <w:vAlign w:val="bottom"/>
          </w:tcPr>
          <w:p>
            <w:pPr>
              <w:pStyle w:val="TableContents"/>
              <w:pBdr>
                <w:top w:val="double" w:sz="6" w:space="1" w:color="000000"/>
              </w:pBdr>
              <w:bidi w:val="0"/>
              <w:spacing w:before="0" w:after="0"/>
              <w:jc w:val="left"/>
              <w:rPr/>
            </w:pPr>
            <w:r>
              <w:rPr/>
              <w:t> </w:t>
            </w:r>
          </w:p>
        </w:tc>
        <w:tc>
          <w:tcPr>
            <w:tcW w:w="1174" w:type="dxa"/>
            <w:tcBorders/>
            <w:vAlign w:val="bottom"/>
          </w:tcPr>
          <w:p>
            <w:pPr>
              <w:pStyle w:val="TableContents"/>
              <w:pBdr>
                <w:top w:val="double" w:sz="6" w:space="1" w:color="000000"/>
              </w:pBdr>
              <w:bidi w:val="0"/>
              <w:spacing w:before="0" w:after="0"/>
              <w:jc w:val="left"/>
              <w:rPr/>
            </w:pPr>
            <w:r>
              <w:rPr/>
              <w:t> </w:t>
            </w:r>
          </w:p>
        </w:tc>
        <w:tc>
          <w:tcPr>
            <w:tcW w:w="413"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373" w:type="dxa"/>
            <w:tcBorders/>
            <w:vAlign w:val="bottom"/>
          </w:tcPr>
          <w:p>
            <w:pPr>
              <w:pStyle w:val="TableContents"/>
              <w:pBdr>
                <w:top w:val="double" w:sz="6" w:space="1" w:color="000000"/>
              </w:pBdr>
              <w:bidi w:val="0"/>
              <w:spacing w:before="0" w:after="0"/>
              <w:jc w:val="left"/>
              <w:rPr/>
            </w:pPr>
            <w:r>
              <w:rPr/>
              <w:t> </w:t>
            </w:r>
          </w:p>
        </w:tc>
        <w:tc>
          <w:tcPr>
            <w:tcW w:w="117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314" w:type="dxa"/>
            <w:tcBorders/>
            <w:vAlign w:val="bottom"/>
          </w:tcPr>
          <w:p>
            <w:pPr>
              <w:pStyle w:val="TableContents"/>
              <w:pBdr>
                <w:top w:val="double" w:sz="6" w:space="1" w:color="000000"/>
              </w:pBdr>
              <w:bidi w:val="0"/>
              <w:spacing w:before="0" w:after="0"/>
              <w:jc w:val="left"/>
              <w:rPr/>
            </w:pPr>
            <w:r>
              <w:rPr/>
              <w:t> </w:t>
            </w:r>
          </w:p>
        </w:tc>
        <w:tc>
          <w:tcPr>
            <w:tcW w:w="1259" w:type="dxa"/>
            <w:tcBorders/>
            <w:vAlign w:val="bottom"/>
          </w:tcPr>
          <w:p>
            <w:pPr>
              <w:pStyle w:val="TableContents"/>
              <w:pBdr>
                <w:top w:val="double" w:sz="6" w:space="1" w:color="000000"/>
              </w:pBdr>
              <w:bidi w:val="0"/>
              <w:spacing w:before="0" w:after="0"/>
              <w:jc w:val="left"/>
              <w:rPr/>
            </w:pPr>
            <w:r>
              <w:rPr/>
              <w:t> </w:t>
            </w:r>
          </w:p>
        </w:tc>
        <w:tc>
          <w:tcPr>
            <w:tcW w:w="348" w:type="dxa"/>
            <w:tcBorders/>
            <w:vAlign w:val="center"/>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314" w:type="dxa"/>
            <w:tcBorders/>
            <w:vAlign w:val="bottom"/>
          </w:tcPr>
          <w:p>
            <w:pPr>
              <w:pStyle w:val="TableContents"/>
              <w:pBdr>
                <w:top w:val="double" w:sz="6" w:space="1" w:color="000000"/>
              </w:pBdr>
              <w:bidi w:val="0"/>
              <w:spacing w:before="0" w:after="0"/>
              <w:jc w:val="left"/>
              <w:rPr/>
            </w:pPr>
            <w:r>
              <w:rPr/>
              <w:t> </w:t>
            </w:r>
          </w:p>
        </w:tc>
        <w:tc>
          <w:tcPr>
            <w:tcW w:w="1163"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218" w:type="dxa"/>
            <w:tcBorders/>
            <w:shd w:fill="CCEEFF" w:val="clear"/>
          </w:tcPr>
          <w:p>
            <w:pPr>
              <w:pStyle w:val="TableContents"/>
              <w:bidi w:val="0"/>
              <w:spacing w:before="0" w:after="283"/>
              <w:jc w:val="left"/>
              <w:rPr>
                <w:sz w:val="4"/>
                <w:szCs w:val="4"/>
              </w:rPr>
            </w:pPr>
            <w:r>
              <w:rPr>
                <w:sz w:val="4"/>
                <w:szCs w:val="4"/>
              </w:rPr>
            </w:r>
          </w:p>
        </w:tc>
        <w:tc>
          <w:tcPr>
            <w:tcW w:w="192"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sz w:val="4"/>
                <w:szCs w:val="4"/>
              </w:rPr>
            </w:pPr>
            <w:r>
              <w:rPr>
                <w:sz w:val="4"/>
                <w:szCs w:val="4"/>
              </w:rPr>
            </w:r>
          </w:p>
        </w:tc>
        <w:tc>
          <w:tcPr>
            <w:tcW w:w="1174"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231"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sz w:val="4"/>
                <w:szCs w:val="4"/>
              </w:rPr>
            </w:pPr>
            <w:r>
              <w:rPr>
                <w:sz w:val="4"/>
                <w:szCs w:val="4"/>
              </w:rPr>
            </w:r>
          </w:p>
        </w:tc>
        <w:tc>
          <w:tcPr>
            <w:tcW w:w="117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sz w:val="4"/>
                <w:szCs w:val="4"/>
              </w:rPr>
            </w:pPr>
            <w:r>
              <w:rPr>
                <w:sz w:val="4"/>
                <w:szCs w:val="4"/>
              </w:rPr>
            </w:r>
          </w:p>
        </w:tc>
        <w:tc>
          <w:tcPr>
            <w:tcW w:w="1259" w:type="dxa"/>
            <w:tcBorders/>
            <w:shd w:fill="CCEEFF" w:val="clear"/>
            <w:vAlign w:val="bottom"/>
          </w:tcPr>
          <w:p>
            <w:pPr>
              <w:pStyle w:val="TableContents"/>
              <w:bidi w:val="0"/>
              <w:spacing w:before="0" w:after="283"/>
              <w:jc w:val="left"/>
              <w:rPr>
                <w:sz w:val="4"/>
                <w:szCs w:val="4"/>
              </w:rPr>
            </w:pPr>
            <w:r>
              <w:rPr>
                <w:sz w:val="4"/>
                <w:szCs w:val="4"/>
              </w:rPr>
            </w:r>
          </w:p>
        </w:tc>
        <w:tc>
          <w:tcPr>
            <w:tcW w:w="348" w:type="dxa"/>
            <w:tcBorders/>
            <w:shd w:fill="CCEEFF" w:val="clear"/>
            <w:vAlign w:val="bottom"/>
          </w:tcPr>
          <w:p>
            <w:pPr>
              <w:pStyle w:val="TableContents"/>
              <w:bidi w:val="0"/>
              <w:spacing w:before="0" w:after="283"/>
              <w:jc w:val="left"/>
              <w:rPr>
                <w:sz w:val="4"/>
                <w:szCs w:val="4"/>
              </w:rPr>
            </w:pPr>
            <w:r>
              <w:rPr>
                <w:sz w:val="4"/>
                <w:szCs w:val="4"/>
              </w:rPr>
            </w:r>
          </w:p>
        </w:tc>
        <w:tc>
          <w:tcPr>
            <w:tcW w:w="205"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sz w:val="4"/>
                <w:szCs w:val="4"/>
              </w:rPr>
            </w:pPr>
            <w:r>
              <w:rPr>
                <w:sz w:val="4"/>
                <w:szCs w:val="4"/>
              </w:rPr>
            </w:r>
          </w:p>
        </w:tc>
        <w:tc>
          <w:tcPr>
            <w:tcW w:w="1163"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2218" w:type="dxa"/>
            <w:tcBorders/>
          </w:tcPr>
          <w:p>
            <w:pPr>
              <w:pStyle w:val="TableContents"/>
              <w:bidi w:val="0"/>
              <w:spacing w:before="0" w:after="0"/>
              <w:jc w:val="left"/>
              <w:rPr>
                <w:rFonts w:ascii="Times New Roman" w:hAnsi="Times New Roman"/>
                <w:sz w:val="20"/>
              </w:rPr>
            </w:pPr>
            <w:r>
              <w:rPr>
                <w:rFonts w:ascii="Times New Roman" w:hAnsi="Times New Roman"/>
                <w:sz w:val="20"/>
              </w:rPr>
              <w:t>GAAP General and administrative</w:t>
            </w:r>
          </w:p>
        </w:tc>
        <w:tc>
          <w:tcPr>
            <w:tcW w:w="192"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w:t>
            </w:r>
          </w:p>
        </w:tc>
        <w:tc>
          <w:tcPr>
            <w:tcW w:w="1174" w:type="dxa"/>
            <w:tcBorders/>
            <w:vAlign w:val="bottom"/>
          </w:tcPr>
          <w:p>
            <w:pPr>
              <w:pStyle w:val="TableContents"/>
              <w:bidi w:val="0"/>
              <w:spacing w:before="0" w:after="283"/>
              <w:jc w:val="right"/>
              <w:rPr/>
            </w:pPr>
            <w:r>
              <w:rPr/>
              <w:t>36.0</w:t>
            </w:r>
          </w:p>
        </w:tc>
        <w:tc>
          <w:tcPr>
            <w:tcW w:w="413"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w:t>
            </w:r>
          </w:p>
        </w:tc>
        <w:tc>
          <w:tcPr>
            <w:tcW w:w="1177" w:type="dxa"/>
            <w:tcBorders/>
            <w:vAlign w:val="bottom"/>
          </w:tcPr>
          <w:p>
            <w:pPr>
              <w:pStyle w:val="TableContents"/>
              <w:bidi w:val="0"/>
              <w:spacing w:before="0" w:after="283"/>
              <w:jc w:val="right"/>
              <w:rPr/>
            </w:pPr>
            <w:r>
              <w:rPr/>
              <w:t>31.1</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w:t>
            </w:r>
          </w:p>
        </w:tc>
        <w:tc>
          <w:tcPr>
            <w:tcW w:w="1259" w:type="dxa"/>
            <w:tcBorders/>
            <w:vAlign w:val="bottom"/>
          </w:tcPr>
          <w:p>
            <w:pPr>
              <w:pStyle w:val="TableContents"/>
              <w:bidi w:val="0"/>
              <w:spacing w:before="0" w:after="283"/>
              <w:jc w:val="right"/>
              <w:rPr/>
            </w:pPr>
            <w:r>
              <w:rPr/>
              <w:t>99.2</w:t>
            </w:r>
          </w:p>
        </w:tc>
        <w:tc>
          <w:tcPr>
            <w:tcW w:w="348"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w:t>
            </w:r>
          </w:p>
        </w:tc>
        <w:tc>
          <w:tcPr>
            <w:tcW w:w="1163" w:type="dxa"/>
            <w:tcBorders/>
            <w:vAlign w:val="bottom"/>
          </w:tcPr>
          <w:p>
            <w:pPr>
              <w:pStyle w:val="TableContents"/>
              <w:bidi w:val="0"/>
              <w:spacing w:before="0" w:after="283"/>
              <w:jc w:val="right"/>
              <w:rPr/>
            </w:pPr>
            <w:r>
              <w:rPr/>
              <w:t>94.6</w:t>
            </w:r>
          </w:p>
        </w:tc>
        <w:tc>
          <w:tcPr>
            <w:tcW w:w="162" w:type="dxa"/>
            <w:tcBorders/>
            <w:vAlign w:val="bottom"/>
          </w:tcPr>
          <w:p>
            <w:pPr>
              <w:pStyle w:val="TableContents"/>
              <w:bidi w:val="0"/>
              <w:spacing w:before="0" w:after="283"/>
              <w:jc w:val="left"/>
              <w:rPr/>
            </w:pPr>
            <w:r>
              <w:rPr/>
              <w:t> </w:t>
            </w:r>
          </w:p>
        </w:tc>
      </w:tr>
      <w:tr>
        <w:trPr/>
        <w:tc>
          <w:tcPr>
            <w:tcW w:w="22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Stock-based compensation expense and related taxes</w:t>
            </w:r>
          </w:p>
        </w:tc>
        <w:tc>
          <w:tcPr>
            <w:tcW w:w="192"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(9.1</w:t>
            </w:r>
          </w:p>
        </w:tc>
        <w:tc>
          <w:tcPr>
            <w:tcW w:w="413"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(8.7</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(26.7</w:t>
            </w:r>
          </w:p>
        </w:tc>
        <w:tc>
          <w:tcPr>
            <w:tcW w:w="348"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(26.8</w:t>
            </w:r>
          </w:p>
        </w:tc>
        <w:tc>
          <w:tcPr>
            <w:tcW w:w="162" w:type="dxa"/>
            <w:tcBorders/>
            <w:shd w:fill="CCEEFF" w:val="clear"/>
            <w:vAlign w:val="bottom"/>
          </w:tcPr>
          <w:p>
            <w:pPr>
              <w:pStyle w:val="TableContents"/>
              <w:bidi w:val="0"/>
              <w:spacing w:before="0" w:after="283"/>
              <w:jc w:val="left"/>
              <w:rPr/>
            </w:pPr>
            <w:r>
              <w:rPr/>
              <w:t>) </w:t>
            </w:r>
          </w:p>
        </w:tc>
      </w:tr>
      <w:tr>
        <w:trPr/>
        <w:tc>
          <w:tcPr>
            <w:tcW w:w="2218" w:type="dxa"/>
            <w:tcBorders/>
          </w:tcPr>
          <w:p>
            <w:pPr>
              <w:pStyle w:val="TableContents"/>
              <w:bidi w:val="0"/>
              <w:spacing w:before="0" w:after="0"/>
              <w:jc w:val="left"/>
              <w:rPr>
                <w:rFonts w:ascii="Times New Roman" w:hAnsi="Times New Roman"/>
                <w:sz w:val="20"/>
              </w:rPr>
            </w:pPr>
            <w:r>
              <w:rPr>
                <w:rFonts w:ascii="Times New Roman" w:hAnsi="Times New Roman"/>
                <w:sz w:val="20"/>
              </w:rPr>
              <w:t>(-) Depreciation and amortization</w:t>
            </w:r>
          </w:p>
        </w:tc>
        <w:tc>
          <w:tcPr>
            <w:tcW w:w="192"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(0.7</w:t>
            </w:r>
          </w:p>
        </w:tc>
        <w:tc>
          <w:tcPr>
            <w:tcW w:w="413"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(0.7</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(2.1</w:t>
            </w:r>
          </w:p>
        </w:tc>
        <w:tc>
          <w:tcPr>
            <w:tcW w:w="348"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(2.2</w:t>
            </w:r>
          </w:p>
        </w:tc>
        <w:tc>
          <w:tcPr>
            <w:tcW w:w="162" w:type="dxa"/>
            <w:tcBorders/>
            <w:vAlign w:val="bottom"/>
          </w:tcPr>
          <w:p>
            <w:pPr>
              <w:pStyle w:val="TableContents"/>
              <w:bidi w:val="0"/>
              <w:spacing w:before="0" w:after="283"/>
              <w:jc w:val="left"/>
              <w:rPr/>
            </w:pPr>
            <w:r>
              <w:rPr/>
              <w:t>) </w:t>
            </w:r>
          </w:p>
        </w:tc>
      </w:tr>
      <w:tr>
        <w:trPr/>
        <w:tc>
          <w:tcPr>
            <w:tcW w:w="22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Acquisition related transaction costs</w:t>
            </w:r>
          </w:p>
        </w:tc>
        <w:tc>
          <w:tcPr>
            <w:tcW w:w="192"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— </w:t>
            </w:r>
          </w:p>
        </w:tc>
        <w:tc>
          <w:tcPr>
            <w:tcW w:w="413"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(0.5</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(2.6</w:t>
            </w:r>
          </w:p>
        </w:tc>
        <w:tc>
          <w:tcPr>
            <w:tcW w:w="348"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(0.5</w:t>
            </w:r>
          </w:p>
        </w:tc>
        <w:tc>
          <w:tcPr>
            <w:tcW w:w="162" w:type="dxa"/>
            <w:tcBorders/>
            <w:shd w:fill="CCEEFF" w:val="clear"/>
            <w:vAlign w:val="bottom"/>
          </w:tcPr>
          <w:p>
            <w:pPr>
              <w:pStyle w:val="TableContents"/>
              <w:bidi w:val="0"/>
              <w:spacing w:before="0" w:after="283"/>
              <w:jc w:val="left"/>
              <w:rPr/>
            </w:pPr>
            <w:r>
              <w:rPr/>
              <w:t>) </w:t>
            </w:r>
          </w:p>
        </w:tc>
      </w:tr>
      <w:tr>
        <w:trPr/>
        <w:tc>
          <w:tcPr>
            <w:tcW w:w="2218" w:type="dxa"/>
            <w:tcBorders/>
          </w:tcPr>
          <w:p>
            <w:pPr>
              <w:pStyle w:val="TableContents"/>
              <w:bidi w:val="0"/>
              <w:spacing w:before="0" w:after="0"/>
              <w:jc w:val="left"/>
              <w:rPr>
                <w:rFonts w:ascii="Times New Roman" w:hAnsi="Times New Roman"/>
                <w:sz w:val="20"/>
              </w:rPr>
            </w:pPr>
            <w:r>
              <w:rPr>
                <w:rFonts w:ascii="Times New Roman" w:hAnsi="Times New Roman"/>
                <w:sz w:val="20"/>
              </w:rPr>
              <w:t>(-) Change in fair value of contingent consideration</w:t>
            </w:r>
          </w:p>
        </w:tc>
        <w:tc>
          <w:tcPr>
            <w:tcW w:w="192"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0.7</w:t>
            </w:r>
          </w:p>
        </w:tc>
        <w:tc>
          <w:tcPr>
            <w:tcW w:w="413"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0.1</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1.2</w:t>
            </w:r>
          </w:p>
        </w:tc>
        <w:tc>
          <w:tcPr>
            <w:tcW w:w="348"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1.0</w:t>
            </w:r>
          </w:p>
        </w:tc>
        <w:tc>
          <w:tcPr>
            <w:tcW w:w="162" w:type="dxa"/>
            <w:tcBorders/>
            <w:vAlign w:val="bottom"/>
          </w:tcPr>
          <w:p>
            <w:pPr>
              <w:pStyle w:val="TableContents"/>
              <w:bidi w:val="0"/>
              <w:spacing w:before="0" w:after="283"/>
              <w:jc w:val="left"/>
              <w:rPr/>
            </w:pPr>
            <w:r>
              <w:rPr/>
              <w:t> </w:t>
            </w:r>
          </w:p>
        </w:tc>
      </w:tr>
      <w:tr>
        <w:trPr/>
        <w:tc>
          <w:tcPr>
            <w:tcW w:w="2218" w:type="dxa"/>
            <w:tcBorders/>
            <w:vAlign w:val="bottom"/>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pPr>
            <w:r>
              <w:rPr/>
              <w:t>  </w:t>
            </w:r>
          </w:p>
        </w:tc>
        <w:tc>
          <w:tcPr>
            <w:tcW w:w="373" w:type="dxa"/>
            <w:tcBorders/>
            <w:vAlign w:val="bottom"/>
          </w:tcPr>
          <w:p>
            <w:pPr>
              <w:pStyle w:val="TableContents"/>
              <w:pBdr>
                <w:top w:val="single" w:sz="2" w:space="1" w:color="000000"/>
              </w:pBdr>
              <w:bidi w:val="0"/>
              <w:spacing w:before="0" w:after="0"/>
              <w:jc w:val="left"/>
              <w:rPr/>
            </w:pPr>
            <w:r>
              <w:rPr/>
              <w:t> </w:t>
            </w:r>
          </w:p>
        </w:tc>
        <w:tc>
          <w:tcPr>
            <w:tcW w:w="1174" w:type="dxa"/>
            <w:tcBorders/>
            <w:vAlign w:val="bottom"/>
          </w:tcPr>
          <w:p>
            <w:pPr>
              <w:pStyle w:val="TableContents"/>
              <w:pBdr>
                <w:top w:val="single" w:sz="2" w:space="1" w:color="000000"/>
              </w:pBdr>
              <w:bidi w:val="0"/>
              <w:spacing w:before="0" w:after="0"/>
              <w:jc w:val="left"/>
              <w:rPr/>
            </w:pPr>
            <w:r>
              <w:rPr/>
              <w:t> </w:t>
            </w:r>
          </w:p>
        </w:tc>
        <w:tc>
          <w:tcPr>
            <w:tcW w:w="413"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373" w:type="dxa"/>
            <w:tcBorders/>
            <w:vAlign w:val="bottom"/>
          </w:tcPr>
          <w:p>
            <w:pPr>
              <w:pStyle w:val="TableContents"/>
              <w:pBdr>
                <w:top w:val="single" w:sz="2" w:space="1" w:color="000000"/>
              </w:pBdr>
              <w:bidi w:val="0"/>
              <w:spacing w:before="0" w:after="0"/>
              <w:jc w:val="left"/>
              <w:rPr/>
            </w:pPr>
            <w:r>
              <w:rPr/>
              <w:t> </w:t>
            </w:r>
          </w:p>
        </w:tc>
        <w:tc>
          <w:tcPr>
            <w:tcW w:w="11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314" w:type="dxa"/>
            <w:tcBorders/>
            <w:vAlign w:val="bottom"/>
          </w:tcPr>
          <w:p>
            <w:pPr>
              <w:pStyle w:val="TableContents"/>
              <w:pBdr>
                <w:top w:val="single" w:sz="2" w:space="1" w:color="000000"/>
              </w:pBdr>
              <w:bidi w:val="0"/>
              <w:spacing w:before="0" w:after="0"/>
              <w:jc w:val="left"/>
              <w:rPr/>
            </w:pPr>
            <w:r>
              <w:rPr/>
              <w:t> </w:t>
            </w:r>
          </w:p>
        </w:tc>
        <w:tc>
          <w:tcPr>
            <w:tcW w:w="1259" w:type="dxa"/>
            <w:tcBorders/>
            <w:vAlign w:val="bottom"/>
          </w:tcPr>
          <w:p>
            <w:pPr>
              <w:pStyle w:val="TableContents"/>
              <w:pBdr>
                <w:top w:val="single" w:sz="2" w:space="1" w:color="000000"/>
              </w:pBdr>
              <w:bidi w:val="0"/>
              <w:spacing w:before="0" w:after="0"/>
              <w:jc w:val="left"/>
              <w:rPr/>
            </w:pPr>
            <w:r>
              <w:rPr/>
              <w:t> </w:t>
            </w:r>
          </w:p>
        </w:tc>
        <w:tc>
          <w:tcPr>
            <w:tcW w:w="348" w:type="dxa"/>
            <w:tcBorders/>
            <w:vAlign w:val="center"/>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314" w:type="dxa"/>
            <w:tcBorders/>
            <w:vAlign w:val="bottom"/>
          </w:tcPr>
          <w:p>
            <w:pPr>
              <w:pStyle w:val="TableContents"/>
              <w:pBdr>
                <w:top w:val="single" w:sz="2" w:space="1" w:color="000000"/>
              </w:pBdr>
              <w:bidi w:val="0"/>
              <w:spacing w:before="0" w:after="0"/>
              <w:jc w:val="left"/>
              <w:rPr/>
            </w:pPr>
            <w:r>
              <w:rPr/>
              <w:t> </w:t>
            </w:r>
          </w:p>
        </w:tc>
        <w:tc>
          <w:tcPr>
            <w:tcW w:w="1163"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2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Non-GAAP General and administrative</w:t>
            </w:r>
          </w:p>
        </w:tc>
        <w:tc>
          <w:tcPr>
            <w:tcW w:w="192"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w:t>
            </w:r>
          </w:p>
        </w:tc>
        <w:tc>
          <w:tcPr>
            <w:tcW w:w="1174" w:type="dxa"/>
            <w:tcBorders/>
            <w:shd w:fill="CCEEFF" w:val="clear"/>
            <w:vAlign w:val="bottom"/>
          </w:tcPr>
          <w:p>
            <w:pPr>
              <w:pStyle w:val="TableContents"/>
              <w:bidi w:val="0"/>
              <w:spacing w:before="0" w:after="283"/>
              <w:jc w:val="right"/>
              <w:rPr/>
            </w:pPr>
            <w:r>
              <w:rPr/>
              <w:t>27.0</w:t>
            </w:r>
          </w:p>
        </w:tc>
        <w:tc>
          <w:tcPr>
            <w:tcW w:w="413"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w:t>
            </w:r>
          </w:p>
        </w:tc>
        <w:tc>
          <w:tcPr>
            <w:tcW w:w="1177" w:type="dxa"/>
            <w:tcBorders/>
            <w:shd w:fill="CCEEFF" w:val="clear"/>
            <w:vAlign w:val="bottom"/>
          </w:tcPr>
          <w:p>
            <w:pPr>
              <w:pStyle w:val="TableContents"/>
              <w:bidi w:val="0"/>
              <w:spacing w:before="0" w:after="283"/>
              <w:jc w:val="right"/>
              <w:rPr/>
            </w:pPr>
            <w:r>
              <w:rPr/>
              <w:t>21.3</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w:t>
            </w:r>
          </w:p>
        </w:tc>
        <w:tc>
          <w:tcPr>
            <w:tcW w:w="1259" w:type="dxa"/>
            <w:tcBorders/>
            <w:shd w:fill="CCEEFF" w:val="clear"/>
            <w:vAlign w:val="bottom"/>
          </w:tcPr>
          <w:p>
            <w:pPr>
              <w:pStyle w:val="TableContents"/>
              <w:bidi w:val="0"/>
              <w:spacing w:before="0" w:after="283"/>
              <w:jc w:val="right"/>
              <w:rPr/>
            </w:pPr>
            <w:r>
              <w:rPr/>
              <w:t>69.1</w:t>
            </w:r>
          </w:p>
        </w:tc>
        <w:tc>
          <w:tcPr>
            <w:tcW w:w="348"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w:t>
            </w:r>
          </w:p>
        </w:tc>
        <w:tc>
          <w:tcPr>
            <w:tcW w:w="1163" w:type="dxa"/>
            <w:tcBorders/>
            <w:shd w:fill="CCEEFF" w:val="clear"/>
            <w:vAlign w:val="bottom"/>
          </w:tcPr>
          <w:p>
            <w:pPr>
              <w:pStyle w:val="TableContents"/>
              <w:bidi w:val="0"/>
              <w:spacing w:before="0" w:after="283"/>
              <w:jc w:val="right"/>
              <w:rPr/>
            </w:pPr>
            <w:r>
              <w:rPr/>
              <w:t>66.1</w:t>
            </w:r>
          </w:p>
        </w:tc>
        <w:tc>
          <w:tcPr>
            <w:tcW w:w="162" w:type="dxa"/>
            <w:tcBorders/>
            <w:shd w:fill="CCEEFF" w:val="clear"/>
            <w:vAlign w:val="bottom"/>
          </w:tcPr>
          <w:p>
            <w:pPr>
              <w:pStyle w:val="TableContents"/>
              <w:bidi w:val="0"/>
              <w:spacing w:before="0" w:after="283"/>
              <w:jc w:val="left"/>
              <w:rPr/>
            </w:pPr>
            <w:r>
              <w:rPr/>
              <w:t> </w:t>
            </w:r>
          </w:p>
        </w:tc>
      </w:tr>
      <w:tr>
        <w:trPr/>
        <w:tc>
          <w:tcPr>
            <w:tcW w:w="2218" w:type="dxa"/>
            <w:tcBorders/>
            <w:vAlign w:val="bottom"/>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pPr>
            <w:r>
              <w:rPr/>
              <w:t>  </w:t>
            </w:r>
          </w:p>
        </w:tc>
        <w:tc>
          <w:tcPr>
            <w:tcW w:w="373" w:type="dxa"/>
            <w:tcBorders/>
            <w:vAlign w:val="bottom"/>
          </w:tcPr>
          <w:p>
            <w:pPr>
              <w:pStyle w:val="TableContents"/>
              <w:pBdr>
                <w:top w:val="double" w:sz="6" w:space="1" w:color="000000"/>
              </w:pBdr>
              <w:bidi w:val="0"/>
              <w:spacing w:before="0" w:after="0"/>
              <w:jc w:val="left"/>
              <w:rPr/>
            </w:pPr>
            <w:r>
              <w:rPr/>
              <w:t> </w:t>
            </w:r>
          </w:p>
        </w:tc>
        <w:tc>
          <w:tcPr>
            <w:tcW w:w="1174" w:type="dxa"/>
            <w:tcBorders/>
            <w:vAlign w:val="bottom"/>
          </w:tcPr>
          <w:p>
            <w:pPr>
              <w:pStyle w:val="TableContents"/>
              <w:pBdr>
                <w:top w:val="double" w:sz="6" w:space="1" w:color="000000"/>
              </w:pBdr>
              <w:bidi w:val="0"/>
              <w:spacing w:before="0" w:after="0"/>
              <w:jc w:val="left"/>
              <w:rPr/>
            </w:pPr>
            <w:r>
              <w:rPr/>
              <w:t> </w:t>
            </w:r>
          </w:p>
        </w:tc>
        <w:tc>
          <w:tcPr>
            <w:tcW w:w="413"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373" w:type="dxa"/>
            <w:tcBorders/>
            <w:vAlign w:val="bottom"/>
          </w:tcPr>
          <w:p>
            <w:pPr>
              <w:pStyle w:val="TableContents"/>
              <w:pBdr>
                <w:top w:val="double" w:sz="6" w:space="1" w:color="000000"/>
              </w:pBdr>
              <w:bidi w:val="0"/>
              <w:spacing w:before="0" w:after="0"/>
              <w:jc w:val="left"/>
              <w:rPr/>
            </w:pPr>
            <w:r>
              <w:rPr/>
              <w:t> </w:t>
            </w:r>
          </w:p>
        </w:tc>
        <w:tc>
          <w:tcPr>
            <w:tcW w:w="117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314" w:type="dxa"/>
            <w:tcBorders/>
            <w:vAlign w:val="bottom"/>
          </w:tcPr>
          <w:p>
            <w:pPr>
              <w:pStyle w:val="TableContents"/>
              <w:pBdr>
                <w:top w:val="double" w:sz="6" w:space="1" w:color="000000"/>
              </w:pBdr>
              <w:bidi w:val="0"/>
              <w:spacing w:before="0" w:after="0"/>
              <w:jc w:val="left"/>
              <w:rPr/>
            </w:pPr>
            <w:r>
              <w:rPr/>
              <w:t> </w:t>
            </w:r>
          </w:p>
        </w:tc>
        <w:tc>
          <w:tcPr>
            <w:tcW w:w="1259" w:type="dxa"/>
            <w:tcBorders/>
            <w:vAlign w:val="bottom"/>
          </w:tcPr>
          <w:p>
            <w:pPr>
              <w:pStyle w:val="TableContents"/>
              <w:pBdr>
                <w:top w:val="double" w:sz="6" w:space="1" w:color="000000"/>
              </w:pBdr>
              <w:bidi w:val="0"/>
              <w:spacing w:before="0" w:after="0"/>
              <w:jc w:val="left"/>
              <w:rPr/>
            </w:pPr>
            <w:r>
              <w:rPr/>
              <w:t> </w:t>
            </w:r>
          </w:p>
        </w:tc>
        <w:tc>
          <w:tcPr>
            <w:tcW w:w="348" w:type="dxa"/>
            <w:tcBorders/>
            <w:vAlign w:val="center"/>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314" w:type="dxa"/>
            <w:tcBorders/>
            <w:vAlign w:val="bottom"/>
          </w:tcPr>
          <w:p>
            <w:pPr>
              <w:pStyle w:val="TableContents"/>
              <w:pBdr>
                <w:top w:val="double" w:sz="6" w:space="1" w:color="000000"/>
              </w:pBdr>
              <w:bidi w:val="0"/>
              <w:spacing w:before="0" w:after="0"/>
              <w:jc w:val="left"/>
              <w:rPr/>
            </w:pPr>
            <w:r>
              <w:rPr/>
              <w:t> </w:t>
            </w:r>
          </w:p>
        </w:tc>
        <w:tc>
          <w:tcPr>
            <w:tcW w:w="1163"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EBITDA, Adjusted EBITDA, and Adjusted EBITDA Margin </w:t>
      </w:r>
    </w:p>
    <w:p>
      <w:pPr>
        <w:pStyle w:val="TextBody"/>
        <w:bidi w:val="0"/>
        <w:spacing w:before="0" w:after="0"/>
        <w:jc w:val="left"/>
        <w:rPr>
          <w:rFonts w:ascii="Times New Roman" w:hAnsi="Times New Roman"/>
          <w:b/>
          <w:sz w:val="20"/>
        </w:rPr>
      </w:pPr>
      <w:r>
        <w:rPr>
          <w:rFonts w:ascii="Times New Roman" w:hAnsi="Times New Roman"/>
          <w:b/>
          <w:sz w:val="20"/>
        </w:rPr>
        <w:t xml:space="preserve">(Unaudited) (in millions)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51"/>
        <w:gridCol w:w="184"/>
        <w:gridCol w:w="373"/>
        <w:gridCol w:w="1174"/>
        <w:gridCol w:w="413"/>
        <w:gridCol w:w="222"/>
        <w:gridCol w:w="373"/>
        <w:gridCol w:w="1177"/>
        <w:gridCol w:w="155"/>
        <w:gridCol w:w="125"/>
        <w:gridCol w:w="340"/>
        <w:gridCol w:w="1075"/>
        <w:gridCol w:w="377"/>
        <w:gridCol w:w="209"/>
        <w:gridCol w:w="340"/>
        <w:gridCol w:w="1255"/>
        <w:gridCol w:w="162"/>
      </w:tblGrid>
      <w:tr>
        <w:trPr/>
        <w:tc>
          <w:tcPr>
            <w:tcW w:w="2251" w:type="dxa"/>
            <w:tcBorders/>
            <w:vAlign w:val="center"/>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251"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373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September 30,</w:t>
            </w:r>
          </w:p>
        </w:tc>
        <w:tc>
          <w:tcPr>
            <w:tcW w:w="155"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359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 September 30,</w:t>
            </w:r>
          </w:p>
        </w:tc>
        <w:tc>
          <w:tcPr>
            <w:tcW w:w="162" w:type="dxa"/>
            <w:tcBorders/>
            <w:vAlign w:val="bottom"/>
          </w:tcPr>
          <w:p>
            <w:pPr>
              <w:pStyle w:val="TableContents"/>
              <w:bidi w:val="0"/>
              <w:spacing w:before="0" w:after="283"/>
              <w:jc w:val="left"/>
              <w:rPr/>
            </w:pPr>
            <w:r>
              <w:rPr/>
              <w:t> </w:t>
            </w:r>
          </w:p>
        </w:tc>
      </w:tr>
      <w:tr>
        <w:trPr/>
        <w:tc>
          <w:tcPr>
            <w:tcW w:w="2251"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5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413"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5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377"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2" w:type="dxa"/>
            <w:tcBorders/>
            <w:vAlign w:val="bottom"/>
          </w:tcPr>
          <w:p>
            <w:pPr>
              <w:pStyle w:val="TableContents"/>
              <w:bidi w:val="0"/>
              <w:spacing w:before="0" w:after="283"/>
              <w:jc w:val="left"/>
              <w:rPr/>
            </w:pPr>
            <w:r>
              <w:rPr/>
              <w:t> </w:t>
            </w:r>
          </w:p>
        </w:tc>
      </w:tr>
      <w:tr>
        <w:trPr/>
        <w:tc>
          <w:tcPr>
            <w:tcW w:w="22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84"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w:t>
            </w:r>
          </w:p>
        </w:tc>
        <w:tc>
          <w:tcPr>
            <w:tcW w:w="1174" w:type="dxa"/>
            <w:tcBorders/>
            <w:shd w:fill="CCEEFF" w:val="clear"/>
            <w:vAlign w:val="bottom"/>
          </w:tcPr>
          <w:p>
            <w:pPr>
              <w:pStyle w:val="TableContents"/>
              <w:bidi w:val="0"/>
              <w:spacing w:before="0" w:after="283"/>
              <w:jc w:val="right"/>
              <w:rPr/>
            </w:pPr>
            <w:r>
              <w:rPr/>
              <w:t>29.6</w:t>
            </w:r>
          </w:p>
        </w:tc>
        <w:tc>
          <w:tcPr>
            <w:tcW w:w="413"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w:t>
            </w:r>
          </w:p>
        </w:tc>
        <w:tc>
          <w:tcPr>
            <w:tcW w:w="1177" w:type="dxa"/>
            <w:tcBorders/>
            <w:shd w:fill="CCEEFF" w:val="clear"/>
            <w:vAlign w:val="bottom"/>
          </w:tcPr>
          <w:p>
            <w:pPr>
              <w:pStyle w:val="TableContents"/>
              <w:bidi w:val="0"/>
              <w:spacing w:before="0" w:after="283"/>
              <w:jc w:val="right"/>
              <w:rPr/>
            </w:pPr>
            <w:r>
              <w:rPr/>
              <w:t>38.9</w:t>
            </w:r>
          </w:p>
        </w:tc>
        <w:tc>
          <w:tcPr>
            <w:tcW w:w="155"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w:t>
            </w:r>
          </w:p>
        </w:tc>
        <w:tc>
          <w:tcPr>
            <w:tcW w:w="1075" w:type="dxa"/>
            <w:tcBorders/>
            <w:shd w:fill="CCEEFF" w:val="clear"/>
            <w:vAlign w:val="bottom"/>
          </w:tcPr>
          <w:p>
            <w:pPr>
              <w:pStyle w:val="TableContents"/>
              <w:bidi w:val="0"/>
              <w:spacing w:before="0" w:after="283"/>
              <w:jc w:val="right"/>
              <w:rPr/>
            </w:pPr>
            <w:r>
              <w:rPr/>
              <w:t>13.5</w:t>
            </w:r>
          </w:p>
        </w:tc>
        <w:tc>
          <w:tcPr>
            <w:tcW w:w="377"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w:t>
            </w:r>
          </w:p>
        </w:tc>
        <w:tc>
          <w:tcPr>
            <w:tcW w:w="1255" w:type="dxa"/>
            <w:tcBorders/>
            <w:shd w:fill="CCEEFF" w:val="clear"/>
            <w:vAlign w:val="bottom"/>
          </w:tcPr>
          <w:p>
            <w:pPr>
              <w:pStyle w:val="TableContents"/>
              <w:bidi w:val="0"/>
              <w:spacing w:before="0" w:after="283"/>
              <w:jc w:val="right"/>
              <w:rPr/>
            </w:pPr>
            <w:r>
              <w:rPr/>
              <w:t>18.8</w:t>
            </w:r>
          </w:p>
        </w:tc>
        <w:tc>
          <w:tcPr>
            <w:tcW w:w="162" w:type="dxa"/>
            <w:tcBorders/>
            <w:shd w:fill="CCEEFF" w:val="clear"/>
            <w:vAlign w:val="bottom"/>
          </w:tcPr>
          <w:p>
            <w:pPr>
              <w:pStyle w:val="TableContents"/>
              <w:bidi w:val="0"/>
              <w:spacing w:before="0" w:after="283"/>
              <w:jc w:val="left"/>
              <w:rPr/>
            </w:pPr>
            <w:r>
              <w:rPr/>
              <w:t> </w:t>
            </w:r>
          </w:p>
        </w:tc>
      </w:tr>
      <w:tr>
        <w:trPr/>
        <w:tc>
          <w:tcPr>
            <w:tcW w:w="2251"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84"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1.2</w:t>
            </w:r>
          </w:p>
        </w:tc>
        <w:tc>
          <w:tcPr>
            <w:tcW w:w="413"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0.1</w:t>
            </w:r>
          </w:p>
        </w:tc>
        <w:tc>
          <w:tcPr>
            <w:tcW w:w="155"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1075" w:type="dxa"/>
            <w:tcBorders/>
            <w:vAlign w:val="bottom"/>
          </w:tcPr>
          <w:p>
            <w:pPr>
              <w:pStyle w:val="TableContents"/>
              <w:bidi w:val="0"/>
              <w:spacing w:before="0" w:after="283"/>
              <w:jc w:val="right"/>
              <w:rPr/>
            </w:pPr>
            <w:r>
              <w:rPr/>
              <w:t>3.0</w:t>
            </w:r>
          </w:p>
        </w:tc>
        <w:tc>
          <w:tcPr>
            <w:tcW w:w="377"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1255" w:type="dxa"/>
            <w:tcBorders/>
            <w:vAlign w:val="bottom"/>
          </w:tcPr>
          <w:p>
            <w:pPr>
              <w:pStyle w:val="TableContents"/>
              <w:bidi w:val="0"/>
              <w:spacing w:before="0" w:after="283"/>
              <w:jc w:val="right"/>
              <w:rPr/>
            </w:pPr>
            <w:r>
              <w:rPr/>
              <w:t>0.4</w:t>
            </w:r>
          </w:p>
        </w:tc>
        <w:tc>
          <w:tcPr>
            <w:tcW w:w="162" w:type="dxa"/>
            <w:tcBorders/>
            <w:vAlign w:val="bottom"/>
          </w:tcPr>
          <w:p>
            <w:pPr>
              <w:pStyle w:val="TableContents"/>
              <w:bidi w:val="0"/>
              <w:spacing w:before="0" w:after="283"/>
              <w:jc w:val="left"/>
              <w:rPr/>
            </w:pPr>
            <w:r>
              <w:rPr/>
              <w:t> </w:t>
            </w:r>
          </w:p>
        </w:tc>
      </w:tr>
      <w:tr>
        <w:trPr/>
        <w:tc>
          <w:tcPr>
            <w:tcW w:w="22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84"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(0.8</w:t>
            </w:r>
          </w:p>
        </w:tc>
        <w:tc>
          <w:tcPr>
            <w:tcW w:w="413"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(5.0</w:t>
            </w:r>
          </w:p>
        </w:tc>
        <w:tc>
          <w:tcPr>
            <w:tcW w:w="155"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1075" w:type="dxa"/>
            <w:tcBorders/>
            <w:shd w:fill="CCEEFF" w:val="clear"/>
            <w:vAlign w:val="bottom"/>
          </w:tcPr>
          <w:p>
            <w:pPr>
              <w:pStyle w:val="TableContents"/>
              <w:bidi w:val="0"/>
              <w:spacing w:before="0" w:after="283"/>
              <w:jc w:val="right"/>
              <w:rPr/>
            </w:pPr>
            <w:r>
              <w:rPr/>
              <w:t>(4.8</w:t>
            </w:r>
          </w:p>
        </w:tc>
        <w:tc>
          <w:tcPr>
            <w:tcW w:w="377"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1255" w:type="dxa"/>
            <w:tcBorders/>
            <w:shd w:fill="CCEEFF" w:val="clear"/>
            <w:vAlign w:val="bottom"/>
          </w:tcPr>
          <w:p>
            <w:pPr>
              <w:pStyle w:val="TableContents"/>
              <w:bidi w:val="0"/>
              <w:spacing w:before="0" w:after="283"/>
              <w:jc w:val="right"/>
              <w:rPr/>
            </w:pPr>
            <w:r>
              <w:rPr/>
              <w:t>(16.6</w:t>
            </w:r>
          </w:p>
        </w:tc>
        <w:tc>
          <w:tcPr>
            <w:tcW w:w="162" w:type="dxa"/>
            <w:tcBorders/>
            <w:shd w:fill="CCEEFF" w:val="clear"/>
            <w:vAlign w:val="bottom"/>
          </w:tcPr>
          <w:p>
            <w:pPr>
              <w:pStyle w:val="TableContents"/>
              <w:bidi w:val="0"/>
              <w:spacing w:before="0" w:after="283"/>
              <w:jc w:val="left"/>
              <w:rPr/>
            </w:pPr>
            <w:r>
              <w:rPr/>
              <w:t>) </w:t>
            </w:r>
          </w:p>
        </w:tc>
      </w:tr>
      <w:tr>
        <w:trPr/>
        <w:tc>
          <w:tcPr>
            <w:tcW w:w="2251" w:type="dxa"/>
            <w:tcBorders/>
          </w:tcPr>
          <w:p>
            <w:pPr>
              <w:pStyle w:val="TableContents"/>
              <w:bidi w:val="0"/>
              <w:spacing w:before="0" w:after="0"/>
              <w:jc w:val="left"/>
              <w:rPr>
                <w:rFonts w:ascii="Times New Roman" w:hAnsi="Times New Roman"/>
                <w:sz w:val="20"/>
              </w:rPr>
            </w:pPr>
            <w:r>
              <w:rPr>
                <w:rFonts w:ascii="Times New Roman" w:hAnsi="Times New Roman"/>
                <w:sz w:val="20"/>
              </w:rPr>
              <w:t>Provision for (benefit from) income taxes</w:t>
            </w:r>
          </w:p>
        </w:tc>
        <w:tc>
          <w:tcPr>
            <w:tcW w:w="184"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1.6</w:t>
            </w:r>
          </w:p>
        </w:tc>
        <w:tc>
          <w:tcPr>
            <w:tcW w:w="413"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(8.3</w:t>
            </w:r>
          </w:p>
        </w:tc>
        <w:tc>
          <w:tcPr>
            <w:tcW w:w="155"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1075" w:type="dxa"/>
            <w:tcBorders/>
            <w:vAlign w:val="bottom"/>
          </w:tcPr>
          <w:p>
            <w:pPr>
              <w:pStyle w:val="TableContents"/>
              <w:bidi w:val="0"/>
              <w:spacing w:before="0" w:after="283"/>
              <w:jc w:val="right"/>
              <w:rPr/>
            </w:pPr>
            <w:r>
              <w:rPr/>
              <w:t>7.7</w:t>
            </w:r>
          </w:p>
        </w:tc>
        <w:tc>
          <w:tcPr>
            <w:tcW w:w="377"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1255" w:type="dxa"/>
            <w:tcBorders/>
            <w:vAlign w:val="bottom"/>
          </w:tcPr>
          <w:p>
            <w:pPr>
              <w:pStyle w:val="TableContents"/>
              <w:bidi w:val="0"/>
              <w:spacing w:before="0" w:after="283"/>
              <w:jc w:val="right"/>
              <w:rPr/>
            </w:pPr>
            <w:r>
              <w:rPr/>
              <w:t>(2.0</w:t>
            </w:r>
          </w:p>
        </w:tc>
        <w:tc>
          <w:tcPr>
            <w:tcW w:w="162" w:type="dxa"/>
            <w:tcBorders/>
            <w:vAlign w:val="bottom"/>
          </w:tcPr>
          <w:p>
            <w:pPr>
              <w:pStyle w:val="TableContents"/>
              <w:bidi w:val="0"/>
              <w:spacing w:before="0" w:after="283"/>
              <w:jc w:val="left"/>
              <w:rPr/>
            </w:pPr>
            <w:r>
              <w:rPr/>
              <w:t>) </w:t>
            </w:r>
          </w:p>
        </w:tc>
      </w:tr>
      <w:tr>
        <w:trPr/>
        <w:tc>
          <w:tcPr>
            <w:tcW w:w="22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 expense</w:t>
            </w:r>
          </w:p>
        </w:tc>
        <w:tc>
          <w:tcPr>
            <w:tcW w:w="184"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7.2</w:t>
            </w:r>
          </w:p>
        </w:tc>
        <w:tc>
          <w:tcPr>
            <w:tcW w:w="413"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4.6</w:t>
            </w:r>
          </w:p>
        </w:tc>
        <w:tc>
          <w:tcPr>
            <w:tcW w:w="155"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1075" w:type="dxa"/>
            <w:tcBorders/>
            <w:shd w:fill="CCEEFF" w:val="clear"/>
            <w:vAlign w:val="bottom"/>
          </w:tcPr>
          <w:p>
            <w:pPr>
              <w:pStyle w:val="TableContents"/>
              <w:bidi w:val="0"/>
              <w:spacing w:before="0" w:after="283"/>
              <w:jc w:val="right"/>
              <w:rPr/>
            </w:pPr>
            <w:r>
              <w:rPr/>
              <w:t>20.2</w:t>
            </w:r>
          </w:p>
        </w:tc>
        <w:tc>
          <w:tcPr>
            <w:tcW w:w="377"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1255" w:type="dxa"/>
            <w:tcBorders/>
            <w:shd w:fill="CCEEFF" w:val="clear"/>
            <w:vAlign w:val="bottom"/>
          </w:tcPr>
          <w:p>
            <w:pPr>
              <w:pStyle w:val="TableContents"/>
              <w:bidi w:val="0"/>
              <w:spacing w:before="0" w:after="283"/>
              <w:jc w:val="right"/>
              <w:rPr/>
            </w:pPr>
            <w:r>
              <w:rPr/>
              <w:t>13.5</w:t>
            </w:r>
          </w:p>
        </w:tc>
        <w:tc>
          <w:tcPr>
            <w:tcW w:w="162" w:type="dxa"/>
            <w:tcBorders/>
            <w:shd w:fill="CCEEFF" w:val="clear"/>
            <w:vAlign w:val="bottom"/>
          </w:tcPr>
          <w:p>
            <w:pPr>
              <w:pStyle w:val="TableContents"/>
              <w:bidi w:val="0"/>
              <w:spacing w:before="0" w:after="283"/>
              <w:jc w:val="left"/>
              <w:rPr/>
            </w:pPr>
            <w:r>
              <w:rPr/>
              <w:t> </w:t>
            </w:r>
          </w:p>
        </w:tc>
      </w:tr>
      <w:tr>
        <w:trPr/>
        <w:tc>
          <w:tcPr>
            <w:tcW w:w="2251"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373" w:type="dxa"/>
            <w:tcBorders/>
            <w:vAlign w:val="bottom"/>
          </w:tcPr>
          <w:p>
            <w:pPr>
              <w:pStyle w:val="TableContents"/>
              <w:pBdr>
                <w:top w:val="single" w:sz="2" w:space="1" w:color="000000"/>
              </w:pBdr>
              <w:bidi w:val="0"/>
              <w:spacing w:before="0" w:after="0"/>
              <w:jc w:val="left"/>
              <w:rPr/>
            </w:pPr>
            <w:r>
              <w:rPr/>
              <w:t> </w:t>
            </w:r>
          </w:p>
        </w:tc>
        <w:tc>
          <w:tcPr>
            <w:tcW w:w="1174" w:type="dxa"/>
            <w:tcBorders/>
            <w:vAlign w:val="bottom"/>
          </w:tcPr>
          <w:p>
            <w:pPr>
              <w:pStyle w:val="TableContents"/>
              <w:pBdr>
                <w:top w:val="single" w:sz="2" w:space="1" w:color="000000"/>
              </w:pBdr>
              <w:bidi w:val="0"/>
              <w:spacing w:before="0" w:after="0"/>
              <w:jc w:val="left"/>
              <w:rPr/>
            </w:pPr>
            <w:r>
              <w:rPr/>
              <w:t> </w:t>
            </w:r>
          </w:p>
        </w:tc>
        <w:tc>
          <w:tcPr>
            <w:tcW w:w="413" w:type="dxa"/>
            <w:tcBorders/>
            <w:vAlign w:val="center"/>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373" w:type="dxa"/>
            <w:tcBorders/>
            <w:vAlign w:val="bottom"/>
          </w:tcPr>
          <w:p>
            <w:pPr>
              <w:pStyle w:val="TableContents"/>
              <w:pBdr>
                <w:top w:val="single" w:sz="2" w:space="1" w:color="000000"/>
              </w:pBdr>
              <w:bidi w:val="0"/>
              <w:spacing w:before="0" w:after="0"/>
              <w:jc w:val="left"/>
              <w:rPr/>
            </w:pPr>
            <w:r>
              <w:rPr/>
              <w:t> </w:t>
            </w:r>
          </w:p>
        </w:tc>
        <w:tc>
          <w:tcPr>
            <w:tcW w:w="11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340" w:type="dxa"/>
            <w:tcBorders/>
            <w:vAlign w:val="bottom"/>
          </w:tcPr>
          <w:p>
            <w:pPr>
              <w:pStyle w:val="TableContents"/>
              <w:pBdr>
                <w:top w:val="single" w:sz="2" w:space="1" w:color="000000"/>
              </w:pBdr>
              <w:bidi w:val="0"/>
              <w:spacing w:before="0" w:after="0"/>
              <w:jc w:val="left"/>
              <w:rPr/>
            </w:pPr>
            <w:r>
              <w:rPr/>
              <w:t> </w:t>
            </w:r>
          </w:p>
        </w:tc>
        <w:tc>
          <w:tcPr>
            <w:tcW w:w="1075" w:type="dxa"/>
            <w:tcBorders/>
            <w:vAlign w:val="bottom"/>
          </w:tcPr>
          <w:p>
            <w:pPr>
              <w:pStyle w:val="TableContents"/>
              <w:pBdr>
                <w:top w:val="single" w:sz="2" w:space="1" w:color="000000"/>
              </w:pBdr>
              <w:bidi w:val="0"/>
              <w:spacing w:before="0" w:after="0"/>
              <w:jc w:val="left"/>
              <w:rPr/>
            </w:pPr>
            <w:r>
              <w:rPr/>
              <w:t> </w:t>
            </w:r>
          </w:p>
        </w:tc>
        <w:tc>
          <w:tcPr>
            <w:tcW w:w="377"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340" w:type="dxa"/>
            <w:tcBorders/>
            <w:vAlign w:val="bottom"/>
          </w:tcPr>
          <w:p>
            <w:pPr>
              <w:pStyle w:val="TableContents"/>
              <w:pBdr>
                <w:top w:val="single" w:sz="2" w:space="1" w:color="000000"/>
              </w:pBdr>
              <w:bidi w:val="0"/>
              <w:spacing w:before="0" w:after="0"/>
              <w:jc w:val="left"/>
              <w:rPr/>
            </w:pPr>
            <w:r>
              <w:rPr/>
              <w:t> </w:t>
            </w:r>
          </w:p>
        </w:tc>
        <w:tc>
          <w:tcPr>
            <w:tcW w:w="1255"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251" w:type="dxa"/>
            <w:tcBorders/>
          </w:tcPr>
          <w:p>
            <w:pPr>
              <w:pStyle w:val="TableContents"/>
              <w:bidi w:val="0"/>
              <w:spacing w:before="0" w:after="0"/>
              <w:jc w:val="left"/>
              <w:rPr>
                <w:rFonts w:ascii="Times New Roman" w:hAnsi="Times New Roman"/>
                <w:sz w:val="20"/>
              </w:rPr>
            </w:pPr>
            <w:r>
              <w:rPr>
                <w:rFonts w:ascii="Times New Roman" w:hAnsi="Times New Roman"/>
                <w:sz w:val="20"/>
              </w:rPr>
              <w:t>EBITDA</w:t>
            </w:r>
          </w:p>
        </w:tc>
        <w:tc>
          <w:tcPr>
            <w:tcW w:w="184"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38.8</w:t>
            </w:r>
          </w:p>
        </w:tc>
        <w:tc>
          <w:tcPr>
            <w:tcW w:w="413"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30.3</w:t>
            </w:r>
          </w:p>
        </w:tc>
        <w:tc>
          <w:tcPr>
            <w:tcW w:w="155"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1075" w:type="dxa"/>
            <w:tcBorders/>
            <w:vAlign w:val="bottom"/>
          </w:tcPr>
          <w:p>
            <w:pPr>
              <w:pStyle w:val="TableContents"/>
              <w:bidi w:val="0"/>
              <w:spacing w:before="0" w:after="283"/>
              <w:jc w:val="right"/>
              <w:rPr/>
            </w:pPr>
            <w:r>
              <w:rPr/>
              <w:t>39.5</w:t>
            </w:r>
          </w:p>
        </w:tc>
        <w:tc>
          <w:tcPr>
            <w:tcW w:w="377"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1255" w:type="dxa"/>
            <w:tcBorders/>
            <w:vAlign w:val="bottom"/>
          </w:tcPr>
          <w:p>
            <w:pPr>
              <w:pStyle w:val="TableContents"/>
              <w:bidi w:val="0"/>
              <w:spacing w:before="0" w:after="283"/>
              <w:jc w:val="right"/>
              <w:rPr/>
            </w:pPr>
            <w:r>
              <w:rPr/>
              <w:t>14.1</w:t>
            </w:r>
          </w:p>
        </w:tc>
        <w:tc>
          <w:tcPr>
            <w:tcW w:w="162" w:type="dxa"/>
            <w:tcBorders/>
            <w:vAlign w:val="bottom"/>
          </w:tcPr>
          <w:p>
            <w:pPr>
              <w:pStyle w:val="TableContents"/>
              <w:bidi w:val="0"/>
              <w:spacing w:before="0" w:after="283"/>
              <w:jc w:val="left"/>
              <w:rPr/>
            </w:pPr>
            <w:r>
              <w:rPr/>
              <w:t> </w:t>
            </w:r>
          </w:p>
        </w:tc>
      </w:tr>
      <w:tr>
        <w:trPr/>
        <w:tc>
          <w:tcPr>
            <w:tcW w:w="22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 and related taxes</w:t>
            </w:r>
          </w:p>
        </w:tc>
        <w:tc>
          <w:tcPr>
            <w:tcW w:w="184"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17.8</w:t>
            </w:r>
          </w:p>
        </w:tc>
        <w:tc>
          <w:tcPr>
            <w:tcW w:w="413"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16.4</w:t>
            </w:r>
          </w:p>
        </w:tc>
        <w:tc>
          <w:tcPr>
            <w:tcW w:w="155"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1075" w:type="dxa"/>
            <w:tcBorders/>
            <w:shd w:fill="CCEEFF" w:val="clear"/>
            <w:vAlign w:val="bottom"/>
          </w:tcPr>
          <w:p>
            <w:pPr>
              <w:pStyle w:val="TableContents"/>
              <w:bidi w:val="0"/>
              <w:spacing w:before="0" w:after="283"/>
              <w:jc w:val="right"/>
              <w:rPr/>
            </w:pPr>
            <w:r>
              <w:rPr/>
              <w:t>51.0</w:t>
            </w:r>
          </w:p>
        </w:tc>
        <w:tc>
          <w:tcPr>
            <w:tcW w:w="377"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1255" w:type="dxa"/>
            <w:tcBorders/>
            <w:shd w:fill="CCEEFF" w:val="clear"/>
            <w:vAlign w:val="bottom"/>
          </w:tcPr>
          <w:p>
            <w:pPr>
              <w:pStyle w:val="TableContents"/>
              <w:bidi w:val="0"/>
              <w:spacing w:before="0" w:after="283"/>
              <w:jc w:val="right"/>
              <w:rPr/>
            </w:pPr>
            <w:r>
              <w:rPr/>
              <w:t>49.0</w:t>
            </w:r>
          </w:p>
        </w:tc>
        <w:tc>
          <w:tcPr>
            <w:tcW w:w="162" w:type="dxa"/>
            <w:tcBorders/>
            <w:shd w:fill="CCEEFF" w:val="clear"/>
            <w:vAlign w:val="bottom"/>
          </w:tcPr>
          <w:p>
            <w:pPr>
              <w:pStyle w:val="TableContents"/>
              <w:bidi w:val="0"/>
              <w:spacing w:before="0" w:after="283"/>
              <w:jc w:val="left"/>
              <w:rPr/>
            </w:pPr>
            <w:r>
              <w:rPr/>
              <w:t> </w:t>
            </w:r>
          </w:p>
        </w:tc>
      </w:tr>
      <w:tr>
        <w:trPr/>
        <w:tc>
          <w:tcPr>
            <w:tcW w:w="2251"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contingent consideration</w:t>
            </w:r>
          </w:p>
        </w:tc>
        <w:tc>
          <w:tcPr>
            <w:tcW w:w="184"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(0.7</w:t>
            </w:r>
          </w:p>
        </w:tc>
        <w:tc>
          <w:tcPr>
            <w:tcW w:w="413"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(0.1</w:t>
            </w:r>
          </w:p>
        </w:tc>
        <w:tc>
          <w:tcPr>
            <w:tcW w:w="155"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1075" w:type="dxa"/>
            <w:tcBorders/>
            <w:vAlign w:val="bottom"/>
          </w:tcPr>
          <w:p>
            <w:pPr>
              <w:pStyle w:val="TableContents"/>
              <w:bidi w:val="0"/>
              <w:spacing w:before="0" w:after="283"/>
              <w:jc w:val="right"/>
              <w:rPr/>
            </w:pPr>
            <w:r>
              <w:rPr/>
              <w:t>(1.2</w:t>
            </w:r>
          </w:p>
        </w:tc>
        <w:tc>
          <w:tcPr>
            <w:tcW w:w="377"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1255" w:type="dxa"/>
            <w:tcBorders/>
            <w:vAlign w:val="bottom"/>
          </w:tcPr>
          <w:p>
            <w:pPr>
              <w:pStyle w:val="TableContents"/>
              <w:bidi w:val="0"/>
              <w:spacing w:before="0" w:after="283"/>
              <w:jc w:val="right"/>
              <w:rPr/>
            </w:pPr>
            <w:r>
              <w:rPr/>
              <w:t>(1.0</w:t>
            </w:r>
          </w:p>
        </w:tc>
        <w:tc>
          <w:tcPr>
            <w:tcW w:w="162" w:type="dxa"/>
            <w:tcBorders/>
            <w:vAlign w:val="bottom"/>
          </w:tcPr>
          <w:p>
            <w:pPr>
              <w:pStyle w:val="TableContents"/>
              <w:bidi w:val="0"/>
              <w:spacing w:before="0" w:after="283"/>
              <w:jc w:val="left"/>
              <w:rPr/>
            </w:pPr>
            <w:r>
              <w:rPr/>
              <w:t>) </w:t>
            </w:r>
          </w:p>
        </w:tc>
      </w:tr>
      <w:tr>
        <w:trPr/>
        <w:tc>
          <w:tcPr>
            <w:tcW w:w="22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(gain) from remeasurement of foreign currency</w:t>
            </w:r>
          </w:p>
        </w:tc>
        <w:tc>
          <w:tcPr>
            <w:tcW w:w="184"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0.6</w:t>
            </w:r>
          </w:p>
        </w:tc>
        <w:tc>
          <w:tcPr>
            <w:tcW w:w="413"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(5.5</w:t>
            </w:r>
          </w:p>
        </w:tc>
        <w:tc>
          <w:tcPr>
            <w:tcW w:w="155"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1075" w:type="dxa"/>
            <w:tcBorders/>
            <w:shd w:fill="CCEEFF" w:val="clear"/>
            <w:vAlign w:val="bottom"/>
          </w:tcPr>
          <w:p>
            <w:pPr>
              <w:pStyle w:val="TableContents"/>
              <w:bidi w:val="0"/>
              <w:spacing w:before="0" w:after="283"/>
              <w:jc w:val="right"/>
              <w:rPr/>
            </w:pPr>
            <w:r>
              <w:rPr/>
              <w:t>(6.9</w:t>
            </w:r>
          </w:p>
        </w:tc>
        <w:tc>
          <w:tcPr>
            <w:tcW w:w="377"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1255" w:type="dxa"/>
            <w:tcBorders/>
            <w:shd w:fill="CCEEFF" w:val="clear"/>
            <w:vAlign w:val="bottom"/>
          </w:tcPr>
          <w:p>
            <w:pPr>
              <w:pStyle w:val="TableContents"/>
              <w:bidi w:val="0"/>
              <w:spacing w:before="0" w:after="283"/>
              <w:jc w:val="right"/>
              <w:rPr/>
            </w:pPr>
            <w:r>
              <w:rPr/>
              <w:t>(2.1</w:t>
            </w:r>
          </w:p>
        </w:tc>
        <w:tc>
          <w:tcPr>
            <w:tcW w:w="162" w:type="dxa"/>
            <w:tcBorders/>
            <w:shd w:fill="CCEEFF" w:val="clear"/>
            <w:vAlign w:val="bottom"/>
          </w:tcPr>
          <w:p>
            <w:pPr>
              <w:pStyle w:val="TableContents"/>
              <w:bidi w:val="0"/>
              <w:spacing w:before="0" w:after="283"/>
              <w:jc w:val="left"/>
              <w:rPr/>
            </w:pPr>
            <w:r>
              <w:rPr/>
              <w:t>) </w:t>
            </w:r>
          </w:p>
        </w:tc>
      </w:tr>
      <w:tr>
        <w:trPr/>
        <w:tc>
          <w:tcPr>
            <w:tcW w:w="2251" w:type="dxa"/>
            <w:tcBorders/>
          </w:tcPr>
          <w:p>
            <w:pPr>
              <w:pStyle w:val="TableContents"/>
              <w:bidi w:val="0"/>
              <w:spacing w:before="0" w:after="0"/>
              <w:jc w:val="left"/>
              <w:rPr>
                <w:rFonts w:ascii="Times New Roman" w:hAnsi="Times New Roman"/>
                <w:sz w:val="20"/>
              </w:rPr>
            </w:pPr>
            <w:r>
              <w:rPr>
                <w:rFonts w:ascii="Times New Roman" w:hAnsi="Times New Roman"/>
                <w:sz w:val="20"/>
              </w:rPr>
              <w:t>Gain on available-for-sale debt securities</w:t>
            </w:r>
          </w:p>
        </w:tc>
        <w:tc>
          <w:tcPr>
            <w:tcW w:w="184"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— </w:t>
            </w:r>
          </w:p>
        </w:tc>
        <w:tc>
          <w:tcPr>
            <w:tcW w:w="413"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1075" w:type="dxa"/>
            <w:tcBorders/>
            <w:vAlign w:val="bottom"/>
          </w:tcPr>
          <w:p>
            <w:pPr>
              <w:pStyle w:val="TableContents"/>
              <w:bidi w:val="0"/>
              <w:spacing w:before="0" w:after="283"/>
              <w:jc w:val="right"/>
              <w:rPr/>
            </w:pPr>
            <w:r>
              <w:rPr/>
              <w:t>(0.2</w:t>
            </w:r>
          </w:p>
        </w:tc>
        <w:tc>
          <w:tcPr>
            <w:tcW w:w="377"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1255"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22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Indirect taxes related to intercompany activity</w:t>
            </w:r>
          </w:p>
        </w:tc>
        <w:tc>
          <w:tcPr>
            <w:tcW w:w="184"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0.6</w:t>
            </w:r>
          </w:p>
        </w:tc>
        <w:tc>
          <w:tcPr>
            <w:tcW w:w="413"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0.1</w:t>
            </w:r>
          </w:p>
        </w:tc>
        <w:tc>
          <w:tcPr>
            <w:tcW w:w="155"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1075" w:type="dxa"/>
            <w:tcBorders/>
            <w:shd w:fill="CCEEFF" w:val="clear"/>
            <w:vAlign w:val="bottom"/>
          </w:tcPr>
          <w:p>
            <w:pPr>
              <w:pStyle w:val="TableContents"/>
              <w:bidi w:val="0"/>
              <w:spacing w:before="0" w:after="283"/>
              <w:jc w:val="right"/>
              <w:rPr/>
            </w:pPr>
            <w:r>
              <w:rPr/>
              <w:t>1.6</w:t>
            </w:r>
          </w:p>
        </w:tc>
        <w:tc>
          <w:tcPr>
            <w:tcW w:w="377"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1255" w:type="dxa"/>
            <w:tcBorders/>
            <w:shd w:fill="CCEEFF" w:val="clear"/>
            <w:vAlign w:val="bottom"/>
          </w:tcPr>
          <w:p>
            <w:pPr>
              <w:pStyle w:val="TableContents"/>
              <w:bidi w:val="0"/>
              <w:spacing w:before="0" w:after="283"/>
              <w:jc w:val="right"/>
              <w:rPr/>
            </w:pPr>
            <w:r>
              <w:rPr/>
              <w:t>0.2</w:t>
            </w:r>
          </w:p>
        </w:tc>
        <w:tc>
          <w:tcPr>
            <w:tcW w:w="162" w:type="dxa"/>
            <w:tcBorders/>
            <w:shd w:fill="CCEEFF" w:val="clear"/>
            <w:vAlign w:val="bottom"/>
          </w:tcPr>
          <w:p>
            <w:pPr>
              <w:pStyle w:val="TableContents"/>
              <w:bidi w:val="0"/>
              <w:spacing w:before="0" w:after="283"/>
              <w:jc w:val="left"/>
              <w:rPr/>
            </w:pPr>
            <w:r>
              <w:rPr/>
              <w:t> </w:t>
            </w:r>
          </w:p>
        </w:tc>
      </w:tr>
      <w:tr>
        <w:trPr/>
        <w:tc>
          <w:tcPr>
            <w:tcW w:w="2251" w:type="dxa"/>
            <w:tcBorders/>
          </w:tcPr>
          <w:p>
            <w:pPr>
              <w:pStyle w:val="TableContents"/>
              <w:bidi w:val="0"/>
              <w:spacing w:before="0" w:after="0"/>
              <w:jc w:val="left"/>
              <w:rPr>
                <w:rFonts w:ascii="Times New Roman" w:hAnsi="Times New Roman"/>
                <w:sz w:val="20"/>
              </w:rPr>
            </w:pPr>
            <w:r>
              <w:rPr>
                <w:rFonts w:ascii="Times New Roman" w:hAnsi="Times New Roman"/>
                <w:sz w:val="20"/>
              </w:rPr>
              <w:t>Acquisition related transaction costs</w:t>
            </w:r>
          </w:p>
        </w:tc>
        <w:tc>
          <w:tcPr>
            <w:tcW w:w="184"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— </w:t>
            </w:r>
          </w:p>
        </w:tc>
        <w:tc>
          <w:tcPr>
            <w:tcW w:w="413"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0.5</w:t>
            </w:r>
          </w:p>
        </w:tc>
        <w:tc>
          <w:tcPr>
            <w:tcW w:w="155"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1075" w:type="dxa"/>
            <w:tcBorders/>
            <w:vAlign w:val="bottom"/>
          </w:tcPr>
          <w:p>
            <w:pPr>
              <w:pStyle w:val="TableContents"/>
              <w:bidi w:val="0"/>
              <w:spacing w:before="0" w:after="283"/>
              <w:jc w:val="right"/>
              <w:rPr/>
            </w:pPr>
            <w:r>
              <w:rPr/>
              <w:t>2.6</w:t>
            </w:r>
          </w:p>
        </w:tc>
        <w:tc>
          <w:tcPr>
            <w:tcW w:w="377"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1255" w:type="dxa"/>
            <w:tcBorders/>
            <w:vAlign w:val="bottom"/>
          </w:tcPr>
          <w:p>
            <w:pPr>
              <w:pStyle w:val="TableContents"/>
              <w:bidi w:val="0"/>
              <w:spacing w:before="0" w:after="283"/>
              <w:jc w:val="right"/>
              <w:rPr/>
            </w:pPr>
            <w:r>
              <w:rPr/>
              <w:t>0.5</w:t>
            </w:r>
          </w:p>
        </w:tc>
        <w:tc>
          <w:tcPr>
            <w:tcW w:w="162" w:type="dxa"/>
            <w:tcBorders/>
            <w:vAlign w:val="bottom"/>
          </w:tcPr>
          <w:p>
            <w:pPr>
              <w:pStyle w:val="TableContents"/>
              <w:bidi w:val="0"/>
              <w:spacing w:before="0" w:after="283"/>
              <w:jc w:val="left"/>
              <w:rPr/>
            </w:pPr>
            <w:r>
              <w:rPr/>
              <w:t> </w:t>
            </w:r>
          </w:p>
        </w:tc>
      </w:tr>
      <w:tr>
        <w:trPr/>
        <w:tc>
          <w:tcPr>
            <w:tcW w:w="22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Restructuring</w:t>
            </w:r>
          </w:p>
        </w:tc>
        <w:tc>
          <w:tcPr>
            <w:tcW w:w="184"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— </w:t>
            </w:r>
          </w:p>
        </w:tc>
        <w:tc>
          <w:tcPr>
            <w:tcW w:w="413"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1075" w:type="dxa"/>
            <w:tcBorders/>
            <w:shd w:fill="CCEEFF" w:val="clear"/>
            <w:vAlign w:val="bottom"/>
          </w:tcPr>
          <w:p>
            <w:pPr>
              <w:pStyle w:val="TableContents"/>
              <w:bidi w:val="0"/>
              <w:spacing w:before="0" w:after="283"/>
              <w:jc w:val="right"/>
              <w:rPr/>
            </w:pPr>
            <w:r>
              <w:rPr/>
              <w:t>8.7</w:t>
            </w:r>
          </w:p>
        </w:tc>
        <w:tc>
          <w:tcPr>
            <w:tcW w:w="377"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1255"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r>
      <w:tr>
        <w:trPr/>
        <w:tc>
          <w:tcPr>
            <w:tcW w:w="2251" w:type="dxa"/>
            <w:tcBorders/>
          </w:tcPr>
          <w:p>
            <w:pPr>
              <w:pStyle w:val="TableContents"/>
              <w:bidi w:val="0"/>
              <w:spacing w:before="0" w:after="0"/>
              <w:jc w:val="left"/>
              <w:rPr>
                <w:rFonts w:ascii="Times New Roman" w:hAnsi="Times New Roman"/>
                <w:sz w:val="20"/>
              </w:rPr>
            </w:pPr>
            <w:r>
              <w:rPr>
                <w:rFonts w:ascii="Times New Roman" w:hAnsi="Times New Roman"/>
                <w:sz w:val="20"/>
              </w:rPr>
              <w:t>Acquisition related employee retention costs</w:t>
            </w:r>
          </w:p>
        </w:tc>
        <w:tc>
          <w:tcPr>
            <w:tcW w:w="184"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— </w:t>
            </w:r>
          </w:p>
        </w:tc>
        <w:tc>
          <w:tcPr>
            <w:tcW w:w="413"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0.5</w:t>
            </w:r>
          </w:p>
        </w:tc>
        <w:tc>
          <w:tcPr>
            <w:tcW w:w="155"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1075" w:type="dxa"/>
            <w:tcBorders/>
            <w:vAlign w:val="bottom"/>
          </w:tcPr>
          <w:p>
            <w:pPr>
              <w:pStyle w:val="TableContents"/>
              <w:bidi w:val="0"/>
              <w:spacing w:before="0" w:after="283"/>
              <w:jc w:val="right"/>
              <w:rPr/>
            </w:pPr>
            <w:r>
              <w:rPr/>
              <w:t>— </w:t>
            </w:r>
          </w:p>
        </w:tc>
        <w:tc>
          <w:tcPr>
            <w:tcW w:w="377"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1255" w:type="dxa"/>
            <w:tcBorders/>
            <w:vAlign w:val="bottom"/>
          </w:tcPr>
          <w:p>
            <w:pPr>
              <w:pStyle w:val="TableContents"/>
              <w:bidi w:val="0"/>
              <w:spacing w:before="0" w:after="283"/>
              <w:jc w:val="right"/>
              <w:rPr/>
            </w:pPr>
            <w:r>
              <w:rPr/>
              <w:t>0.5</w:t>
            </w:r>
          </w:p>
        </w:tc>
        <w:tc>
          <w:tcPr>
            <w:tcW w:w="162" w:type="dxa"/>
            <w:tcBorders/>
            <w:vAlign w:val="bottom"/>
          </w:tcPr>
          <w:p>
            <w:pPr>
              <w:pStyle w:val="TableContents"/>
              <w:bidi w:val="0"/>
              <w:spacing w:before="0" w:after="283"/>
              <w:jc w:val="left"/>
              <w:rPr/>
            </w:pPr>
            <w:r>
              <w:rPr/>
              <w:t> </w:t>
            </w:r>
          </w:p>
        </w:tc>
      </w:tr>
      <w:tr>
        <w:trPr/>
        <w:tc>
          <w:tcPr>
            <w:tcW w:w="2251"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373" w:type="dxa"/>
            <w:tcBorders/>
            <w:vAlign w:val="bottom"/>
          </w:tcPr>
          <w:p>
            <w:pPr>
              <w:pStyle w:val="TableContents"/>
              <w:pBdr>
                <w:top w:val="single" w:sz="2" w:space="1" w:color="000000"/>
              </w:pBdr>
              <w:bidi w:val="0"/>
              <w:spacing w:before="0" w:after="0"/>
              <w:jc w:val="left"/>
              <w:rPr/>
            </w:pPr>
            <w:r>
              <w:rPr/>
              <w:t> </w:t>
            </w:r>
          </w:p>
        </w:tc>
        <w:tc>
          <w:tcPr>
            <w:tcW w:w="1174" w:type="dxa"/>
            <w:tcBorders/>
            <w:vAlign w:val="bottom"/>
          </w:tcPr>
          <w:p>
            <w:pPr>
              <w:pStyle w:val="TableContents"/>
              <w:pBdr>
                <w:top w:val="single" w:sz="2" w:space="1" w:color="000000"/>
              </w:pBdr>
              <w:bidi w:val="0"/>
              <w:spacing w:before="0" w:after="0"/>
              <w:jc w:val="left"/>
              <w:rPr/>
            </w:pPr>
            <w:r>
              <w:rPr/>
              <w:t> </w:t>
            </w:r>
          </w:p>
        </w:tc>
        <w:tc>
          <w:tcPr>
            <w:tcW w:w="413" w:type="dxa"/>
            <w:tcBorders/>
            <w:vAlign w:val="center"/>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373" w:type="dxa"/>
            <w:tcBorders/>
            <w:vAlign w:val="bottom"/>
          </w:tcPr>
          <w:p>
            <w:pPr>
              <w:pStyle w:val="TableContents"/>
              <w:pBdr>
                <w:top w:val="single" w:sz="2" w:space="1" w:color="000000"/>
              </w:pBdr>
              <w:bidi w:val="0"/>
              <w:spacing w:before="0" w:after="0"/>
              <w:jc w:val="left"/>
              <w:rPr/>
            </w:pPr>
            <w:r>
              <w:rPr/>
              <w:t> </w:t>
            </w:r>
          </w:p>
        </w:tc>
        <w:tc>
          <w:tcPr>
            <w:tcW w:w="11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340" w:type="dxa"/>
            <w:tcBorders/>
            <w:vAlign w:val="bottom"/>
          </w:tcPr>
          <w:p>
            <w:pPr>
              <w:pStyle w:val="TableContents"/>
              <w:pBdr>
                <w:top w:val="single" w:sz="2" w:space="1" w:color="000000"/>
              </w:pBdr>
              <w:bidi w:val="0"/>
              <w:spacing w:before="0" w:after="0"/>
              <w:jc w:val="left"/>
              <w:rPr/>
            </w:pPr>
            <w:r>
              <w:rPr/>
              <w:t> </w:t>
            </w:r>
          </w:p>
        </w:tc>
        <w:tc>
          <w:tcPr>
            <w:tcW w:w="1075" w:type="dxa"/>
            <w:tcBorders/>
            <w:vAlign w:val="bottom"/>
          </w:tcPr>
          <w:p>
            <w:pPr>
              <w:pStyle w:val="TableContents"/>
              <w:pBdr>
                <w:top w:val="single" w:sz="2" w:space="1" w:color="000000"/>
              </w:pBdr>
              <w:bidi w:val="0"/>
              <w:spacing w:before="0" w:after="0"/>
              <w:jc w:val="left"/>
              <w:rPr/>
            </w:pPr>
            <w:r>
              <w:rPr/>
              <w:t> </w:t>
            </w:r>
          </w:p>
        </w:tc>
        <w:tc>
          <w:tcPr>
            <w:tcW w:w="377"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340" w:type="dxa"/>
            <w:tcBorders/>
            <w:vAlign w:val="bottom"/>
          </w:tcPr>
          <w:p>
            <w:pPr>
              <w:pStyle w:val="TableContents"/>
              <w:pBdr>
                <w:top w:val="single" w:sz="2" w:space="1" w:color="000000"/>
              </w:pBdr>
              <w:bidi w:val="0"/>
              <w:spacing w:before="0" w:after="0"/>
              <w:jc w:val="left"/>
              <w:rPr/>
            </w:pPr>
            <w:r>
              <w:rPr/>
              <w:t> </w:t>
            </w:r>
          </w:p>
        </w:tc>
        <w:tc>
          <w:tcPr>
            <w:tcW w:w="1255"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2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184"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w:t>
            </w:r>
          </w:p>
        </w:tc>
        <w:tc>
          <w:tcPr>
            <w:tcW w:w="1174" w:type="dxa"/>
            <w:tcBorders/>
            <w:shd w:fill="CCEEFF" w:val="clear"/>
            <w:vAlign w:val="bottom"/>
          </w:tcPr>
          <w:p>
            <w:pPr>
              <w:pStyle w:val="TableContents"/>
              <w:bidi w:val="0"/>
              <w:spacing w:before="0" w:after="283"/>
              <w:jc w:val="right"/>
              <w:rPr/>
            </w:pPr>
            <w:r>
              <w:rPr/>
              <w:t>57.1</w:t>
            </w:r>
          </w:p>
        </w:tc>
        <w:tc>
          <w:tcPr>
            <w:tcW w:w="413"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w:t>
            </w:r>
          </w:p>
        </w:tc>
        <w:tc>
          <w:tcPr>
            <w:tcW w:w="1177" w:type="dxa"/>
            <w:tcBorders/>
            <w:shd w:fill="CCEEFF" w:val="clear"/>
            <w:vAlign w:val="bottom"/>
          </w:tcPr>
          <w:p>
            <w:pPr>
              <w:pStyle w:val="TableContents"/>
              <w:bidi w:val="0"/>
              <w:spacing w:before="0" w:after="283"/>
              <w:jc w:val="right"/>
              <w:rPr/>
            </w:pPr>
            <w:r>
              <w:rPr/>
              <w:t>42.2</w:t>
            </w:r>
          </w:p>
        </w:tc>
        <w:tc>
          <w:tcPr>
            <w:tcW w:w="155"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w:t>
            </w:r>
          </w:p>
        </w:tc>
        <w:tc>
          <w:tcPr>
            <w:tcW w:w="1075" w:type="dxa"/>
            <w:tcBorders/>
            <w:shd w:fill="CCEEFF" w:val="clear"/>
            <w:vAlign w:val="bottom"/>
          </w:tcPr>
          <w:p>
            <w:pPr>
              <w:pStyle w:val="TableContents"/>
              <w:bidi w:val="0"/>
              <w:spacing w:before="0" w:after="283"/>
              <w:jc w:val="right"/>
              <w:rPr/>
            </w:pPr>
            <w:r>
              <w:rPr/>
              <w:t>95.1</w:t>
            </w:r>
          </w:p>
        </w:tc>
        <w:tc>
          <w:tcPr>
            <w:tcW w:w="377"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w:t>
            </w:r>
          </w:p>
        </w:tc>
        <w:tc>
          <w:tcPr>
            <w:tcW w:w="1255" w:type="dxa"/>
            <w:tcBorders/>
            <w:shd w:fill="CCEEFF" w:val="clear"/>
            <w:vAlign w:val="bottom"/>
          </w:tcPr>
          <w:p>
            <w:pPr>
              <w:pStyle w:val="TableContents"/>
              <w:bidi w:val="0"/>
              <w:spacing w:before="0" w:after="283"/>
              <w:jc w:val="right"/>
              <w:rPr/>
            </w:pPr>
            <w:r>
              <w:rPr/>
              <w:t>61.2</w:t>
            </w:r>
          </w:p>
        </w:tc>
        <w:tc>
          <w:tcPr>
            <w:tcW w:w="162" w:type="dxa"/>
            <w:tcBorders/>
            <w:shd w:fill="CCEEFF" w:val="clear"/>
            <w:vAlign w:val="bottom"/>
          </w:tcPr>
          <w:p>
            <w:pPr>
              <w:pStyle w:val="TableContents"/>
              <w:bidi w:val="0"/>
              <w:spacing w:before="0" w:after="283"/>
              <w:jc w:val="left"/>
              <w:rPr/>
            </w:pPr>
            <w:r>
              <w:rPr/>
              <w:t> </w:t>
            </w:r>
          </w:p>
        </w:tc>
      </w:tr>
      <w:tr>
        <w:trPr/>
        <w:tc>
          <w:tcPr>
            <w:tcW w:w="2251"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373" w:type="dxa"/>
            <w:tcBorders/>
            <w:vAlign w:val="bottom"/>
          </w:tcPr>
          <w:p>
            <w:pPr>
              <w:pStyle w:val="TableContents"/>
              <w:pBdr>
                <w:top w:val="double" w:sz="6" w:space="1" w:color="000000"/>
              </w:pBdr>
              <w:bidi w:val="0"/>
              <w:spacing w:before="0" w:after="0"/>
              <w:jc w:val="left"/>
              <w:rPr/>
            </w:pPr>
            <w:r>
              <w:rPr/>
              <w:t> </w:t>
            </w:r>
          </w:p>
        </w:tc>
        <w:tc>
          <w:tcPr>
            <w:tcW w:w="1174" w:type="dxa"/>
            <w:tcBorders/>
            <w:vAlign w:val="bottom"/>
          </w:tcPr>
          <w:p>
            <w:pPr>
              <w:pStyle w:val="TableContents"/>
              <w:pBdr>
                <w:top w:val="double" w:sz="6" w:space="1" w:color="000000"/>
              </w:pBdr>
              <w:bidi w:val="0"/>
              <w:spacing w:before="0" w:after="0"/>
              <w:jc w:val="left"/>
              <w:rPr/>
            </w:pPr>
            <w:r>
              <w:rPr/>
              <w:t> </w:t>
            </w:r>
          </w:p>
        </w:tc>
        <w:tc>
          <w:tcPr>
            <w:tcW w:w="413" w:type="dxa"/>
            <w:tcBorders/>
            <w:vAlign w:val="center"/>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373" w:type="dxa"/>
            <w:tcBorders/>
            <w:vAlign w:val="bottom"/>
          </w:tcPr>
          <w:p>
            <w:pPr>
              <w:pStyle w:val="TableContents"/>
              <w:pBdr>
                <w:top w:val="double" w:sz="6" w:space="1" w:color="000000"/>
              </w:pBdr>
              <w:bidi w:val="0"/>
              <w:spacing w:before="0" w:after="0"/>
              <w:jc w:val="left"/>
              <w:rPr/>
            </w:pPr>
            <w:r>
              <w:rPr/>
              <w:t> </w:t>
            </w:r>
          </w:p>
        </w:tc>
        <w:tc>
          <w:tcPr>
            <w:tcW w:w="117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340" w:type="dxa"/>
            <w:tcBorders/>
            <w:vAlign w:val="bottom"/>
          </w:tcPr>
          <w:p>
            <w:pPr>
              <w:pStyle w:val="TableContents"/>
              <w:pBdr>
                <w:top w:val="double" w:sz="6" w:space="1" w:color="000000"/>
              </w:pBdr>
              <w:bidi w:val="0"/>
              <w:spacing w:before="0" w:after="0"/>
              <w:jc w:val="left"/>
              <w:rPr/>
            </w:pPr>
            <w:r>
              <w:rPr/>
              <w:t> </w:t>
            </w:r>
          </w:p>
        </w:tc>
        <w:tc>
          <w:tcPr>
            <w:tcW w:w="1075" w:type="dxa"/>
            <w:tcBorders/>
            <w:vAlign w:val="bottom"/>
          </w:tcPr>
          <w:p>
            <w:pPr>
              <w:pStyle w:val="TableContents"/>
              <w:pBdr>
                <w:top w:val="double" w:sz="6" w:space="1" w:color="000000"/>
              </w:pBdr>
              <w:bidi w:val="0"/>
              <w:spacing w:before="0" w:after="0"/>
              <w:jc w:val="left"/>
              <w:rPr/>
            </w:pPr>
            <w:r>
              <w:rPr/>
              <w:t> </w:t>
            </w:r>
          </w:p>
        </w:tc>
        <w:tc>
          <w:tcPr>
            <w:tcW w:w="377"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340" w:type="dxa"/>
            <w:tcBorders/>
            <w:vAlign w:val="bottom"/>
          </w:tcPr>
          <w:p>
            <w:pPr>
              <w:pStyle w:val="TableContents"/>
              <w:pBdr>
                <w:top w:val="double" w:sz="6" w:space="1" w:color="000000"/>
              </w:pBdr>
              <w:bidi w:val="0"/>
              <w:spacing w:before="0" w:after="0"/>
              <w:jc w:val="left"/>
              <w:rPr/>
            </w:pPr>
            <w:r>
              <w:rPr/>
              <w:t> </w:t>
            </w:r>
          </w:p>
        </w:tc>
        <w:tc>
          <w:tcPr>
            <w:tcW w:w="1255"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0" w:after="0"/>
        <w:jc w:val="right"/>
        <w:rPr>
          <w:rFonts w:ascii="Times New Roman" w:hAnsi="Times New Roman"/>
          <w:b/>
          <w:sz w:val="20"/>
        </w:rPr>
      </w:pPr>
      <w:bookmarkStart w:id="4" w:name="d63245dex992.htm"/>
      <w:bookmarkStart w:id="5" w:name="ksd63245dex992"/>
      <w:bookmarkEnd w:id="4"/>
      <w:bookmarkEnd w:id="5"/>
      <w:r>
        <w:rPr>
          <w:rFonts w:ascii="Times New Roman" w:hAnsi="Times New Roman"/>
          <w:b/>
          <w:sz w:val="20"/>
        </w:rPr>
        <w:t xml:space="preserve">Exhibit 99.2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8382000" cy="4714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382000" cy="47148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3Q 2025 Earnings Supplement November 4, 2025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382000" cy="4714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382000" cy="47148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Disclosures This presentation includes forward-looking statements within the meaning of the Private Securities Litigation Reform Act of 1995 and Section 21E of the Securities Exchange Act of 1934, as amended. All statements other than statements of historical facts contained in this presentation, including statements regarding the outcome of the operational and portfolio reviews, the costs, cash outlays, benefits, timing and financial impacts of the actions that may be taken or transactions entered into in connection with the operational and portfolio reviews, expected benefits and synergies of the acquisition of Sertifi LLC, the benefits of Sertifi’s platform, financial results and margins, Flywire’s ability to successfully implement Flywire’s business plan, future results of operations and financial position, business strategy and plans and Flywire’s objectives for future operations, are forward -looking statements. The words “believe,” “may,” “will,” “estimate,” “continue,” “anticipate,” “intend,” “expect,” “plans,” “potential,” “seeks,” “projects,” “should,” “could” and “would” and similar expressions are intended to identify forward -looking statements, although not all forward-looking statements contain these identifying words. Flywire has based these forward-looking statements largely on Flywire’s current expectations and projections about future events and financial trends that Flywire believes may affect Flywire’s financial condition, results of operations, business strategy, short-term and long-term business operations and objectives, and financial needs. These forward-looking statements are subject to a number of risks, uncertainties and assumptions that are described in the “Risk Factors” and “Management’s Discussion and Analysis of Financial Condition and Results of Operations” sections of Flywire’s Annual Report on Form 10-K for the year ended December 31, 2024 and Quarterly Report on Form 10-Q for the quarter ended June 30, 2025, which are on file with the Securities and Exchange Commission (SEC) and available on the SEC’s website at www.sec.gov. Additional factors may be described in those sections of Flywire’s Quarterly Report on Form 10-Q for the quarter ended September 30, 2025, expected to be filed with the SEC in the fourth quarter of 2025. In light of these risks, uncertainties and assumptions, the forward -looking events and circumstances discussed in this presentation may not occur and actual results could differ materially and adversely from those anticipated or implied in the forward-looking statements. You should not rely upon forward-looking statements as predictions of future events or performance. In addition, projections, assumptions and estimates of the future performance of the industries in which Flywire operates and the markets it serves are inherently imprecise and subject to a high degree of uncertainty and risk. All financial projections contained in this presentation are forward -looking statements and are based on Flywire’s management’s assessment of such matters. It is unlikely, however, that the assumptions on which Flywire has based its projections will prove to be fully correct or that the projected figures will be attained. Flywire’s actual future results may differ materially from Flywire’s projections, and it makes no express or implied representation or warranty as to attainability of the results reflected in these projections. Investments in Flywire’s securities involve a high degree of risk and should be regarded as speculative. The information in this presentation is provided only as of November 4, 2025, and Flywire undertakes no obligation to update any forward-looking statements contained in this presentation on account of new information, future events, or otherwise, except as required by law. This presentation contains certain non-GAAP financial measures as defined by SEC rules. Flywire has provided a reconciliation of those measures to the most directly comparable GAAP measures, which is available in the Appendix. The company has not provided a quantitative reconciliation of forecasted FX-Neutral Revenue Less Ancillary Services Growth to forecasted GAAP Revenue Growth or forecasted Adjusted EBITDA Margin Growth to forecasted GAAP Net Income Margin Growth or to forecasted GAAP net income (loss) before income taxes within this presentation because Flywire is unable, without making unreasonable efforts, to calculate certain reconciling items with confidence. These items include but are not limited to income taxes which are directly impacted by unpredictable fluctuations in the market price of the company’s stock and in foreign exchange rates.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382000" cy="4714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8382000" cy="47148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Powerful Differentiated Business Model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382000" cy="4714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8382000" cy="47148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Q3 2025 Performance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382000" cy="4714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8382000" cy="47148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GAAP Financial Highlights Q3 2025 $200.1M Revenue 62.3 % Gross Margin $29.6M* Net Income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382000" cy="4714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8382000" cy="47148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Key Operating Metrics (Non-GAAP) Q3 2025 $13.9B +26.4%1 $194.1M +28.2%1$127.5M 65.7%2 $57.1M 29.4%2 Total paymentvolume Revenue Less Ancillary Services Adjusted Gross Profit Adjusted EBITDA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382000" cy="4714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8382000" cy="47148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Q3 Actual Performance vs. Guidance: Strong Beat Across the Board Actual Guide2 Beat RLAS variance to Guide 3Q 2025 3Q 2025 Mid-Point: ✓ Beat FxN Revenue growth by ~930bps Total RLAS1 $194.1 $181.1 +$13.0 primarily due to better than expected macro, along with new client ramp in Y /Y RLAS Spot Growth (%) 28.2% 19.6% +860 bps HC and B2B ✓ Sertifi Revenue of $12.9M, stronger Y /Y RLAS FxN Growth (%) 26.3% 17.0% +930 bps performance by ~$2.4M Sertifi Revenue1 $12.9 $10.5 +$2.4 ✓ Reported $ Spot revenue beat by $13M with ~$2M coming from Sertifi RLAS—ex Sertifi1 $181.2 $170.6 +$10.6 revenue beat and $10.6M from operational outperformance Y /Y RLAS FxN Growth ex Sertifi (%) 17.8% 10.0% +780 bps Adjusted EBITDA Variance Mid-Point: aEBITDA1 $57.1 $52.3 +$4.8 ✓ Adjusted EBITDA margin was well ahead of the guide driven by top line beat and operational discipline aEBITDA Margin expansion—YoY +155 bps +100 bps +55 bps 1. In US dollars millions 2.Refers to mid-point of guidance ranges, where applicable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382000" cy="4714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8382000" cy="47148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Driving Productivity/Leverage Across All Opex Lines Sales &amp; Marketing1 Technology &amp; Development1 General &amp; Admin1 2122.6% n 4% ,U6% . 2O^o — ;  I I a7.9% ¦ 9-5%’ H 9.6%: I 16.5&lt; I 16.4%; Illi : 11I L11 Q124 Q125 Q224 Q225 Q324 Q325 Q124 Q125 Q224 Q225 Q324 Q325 Q124 Q125 Q224 Q225 Q324 Q325 1. Measures non-GAAP operating expenses as % of revenue less ancillary services (RLAS) Opportunities to scale  Leaning more into digital marketing for Travel  Coding with AI... Increase  Data architecture investments to drive insights and  Efficient upsells through customer education tools feature velocity and predictive/ML/AI capabilities  Faster Relationship Managers (RM) ramp up/ engineering productivity  Highly scalable support, compliance and legal knowledge assistants/chatbots for internal use shortening development functions thanks to automation initiatives timelines  Procurement—vendor consolidation of systems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382000" cy="4714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8382000" cy="47148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Spotlight: SFS Strategy ¥ $H£ R ^ ¥ $H£i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382000" cy="4714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8382000" cy="47148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Students fear confusing bills, inflexible deadlines &amp; payment completion Staff overwhelmed by manual payment reconciliation &amp; student inquiries Collections feel punitive, damaging student credit &amp; relationships IT teams daunted, juggling multiple disconnected systems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382000" cy="4714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8382000" cy="47148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Helps domestic and international students pay tuition on time with flexible options Finance teams are able to automate reconciliation &amp; better assist students CFOs have complete visibility into cash flow &amp; improved collections IT leaders enjoy one technical partner and ease of management &amp; upgrades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382000" cy="4714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8382000" cy="47148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The Journey Ahead, Together Our mission to support your institution’s goals Unify &amp; support the entire student journey Simplify all domestic &amp; international payments Drive student enrollment &amp; retention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382000" cy="4714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8382000" cy="47148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UK SFS Client Example Anglia Ruskin University: Before &amp; After SFS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382000" cy="4714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8382000" cy="47148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Online payment portal UK open ranking Welcome to Anglia Ruskin University’s secure online payment service. This section R C m R P ir^ti^^^ &lt;-’—; *” method of paying your tuition and ocoomodoHcn fee. It BEFORE. scams and fraud scams and frauds V V J I A Frequently asked questions yOU-re a uk student you can defer your tuition fee payments by taking out a student loan. W V 1 I Terms and conditions Many part-time students can also apply fora loan, and you won’t start paying it back until after you graduate. Find cut more about loans ~for undergraduate arc postgraduate students. Paying tuition and accommodotion fees Anglia Ruskin University no longer accepts payments directly into our bank account. Tuition and accommodation fees can both be paid directly using the methods below. If you have any questions or need help, please contact the Fees Team on 44 (0) 1245 683190 B.lLN«VVS b balance Details of how to pay your deposit will be included with your offer Letter You can Log_into your applicant portal on eVision to make your deposit payment JS^Emipi^^^H I If you have any questions regarding your deposit payment, please contact your admissions set-up Bank transfer from a UK bank account v X No secure authentication International bank transfer v X Payer entered an amount Debit or credit card v with no validation against their account balance Scams and fraud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382000" cy="4714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8382000" cy="47148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AFTER. ARU &amp; SFS Account Summary ✓ Users single sign-on through ARU Student Portal ✓ Account Summary pulls information in real-time showing them their balance ✓ Ability to setup Authorized Users ✓ ARU can configure “Quick Links” to provide more information to the the student such as setting up “Accomodations” Account Summary Account Activity Payment Plans Payer Actions Welcome to the new Anglia Ruskin University finance portal for making payments and generating statements. Account Summary Quick links Account Balance© £4.650.00 Authorised Users Set Up Now Less Expected Funding O £0.00 Less Balance On Payment Plan -£4,650.00 Ask ARU Click Here Balance Due £0.00 Home student Due by 17/10/2025 information International students Click Here info A Tuition 25/26 payment of £1,550.00 is due by 15/11/2025 . ... Accommodation _ Click Here information View Payment Plans flywire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382000" cy="4714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8382000" cy="47148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AFTER. ARU &amp; SFS Account Activity ✓ Account Activity shows the user the details of all Charges, Payments, and Credits in a clear and concise fashion so they know what makes up their student balance ✓ This is all updated in real-time Tuition 25/26 Collapse All | Expand All &gt; Charges Hide details £20.200.00 DATE DESCRIPTION AMOUNT 21/08/2025 Tuition Fee Invoice—Invoiced to Student £16.200.00 21/08/2025 Tuition Fee Invoice -Invoiced to MBA SCHOLARSHIP £4.000.00 Payments &amp; Credits Hide details -£15,550.00 DATE DESCRIPTION AMOUNT 15/05/2025 Flywire receipts -£4,000.00 21/08/2025 Flywire receipts -£6.000.00 03/10/2025 Student Fee Waiver Adjustment -£4.000.00 13/10/2025 Flywire receipts -£1,550.00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382000" cy="4714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8382000" cy="47148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AFTER. ARU &amp; SFS “Paper Statement” Users can print a statement of their account activity ✓ Statement includes Charges, Payments, and Credits ✓ Additionally important messages can be added to the statement Anglia Ruskin University Enquiries at: https://arul.ink/contact-finance +44(0)1245 683190 O.r.U. https://www.aru.ac.uk/ Important Notes: PLEASE QUOTE ACCOUNT NUMBER AND INVOICE NUMBER(S) ON ALL CORRESPONDENCE  Please see our website for information about the services we provide and answers to your most frequently asked questions, https://www.aru.ac.uk/web-payments  If you have a query regarding your account, please get in touch immediately so we can discuss and resolve ‘ any issues, https://arul.ink/contact-finance Account Number: Statement for: Tuition 25/26  If you require financial advice, please contact the Student Money Advice Team, https://arul.ink/money- Total Balance Due. £0.00 Date as of. 17/10/2025  Your welfare is of the utmost importance to us. We have plenty of wellbeing and mental health support available to our students, so please take advantage of these if needed. You can find information about all This report is for single term as of the Print Term date above. This is a statement of your account with us our support services on https://myaru.sharepoint.com/sites/student-home information below with your records. If there should be any discrepancies, please contact our office. Charges Term Date Description Amount Tuition 25/26 21/08/2025 Tuition Fee Invoice—Invoiced to Student £16,200.00 Tuition 25/26 21/08/2025 Tuition Fee Invoice—Invoiced to MBA £4,000.00 SCHOLARSHIP Payments &amp; Credits Term Date Description Amount Tuition 25/26 13/10/2025 Flywire receipts -£1,550.00 Tuition 25/26 03/10/2025 Student Fee Waiver Adjustment -£4,000.00 Tuition 25/26 21/08/2025 Flywire receipts £6,000.00 Tuition 25/26 15/05/2025 Flywire receipts -£4,000.00 Statement Balance: £4,650.00 Less Balance in Payment Plan(s): -£4,650.00 Balance from Other Terms/Dates: £0.00 Total Balance Due: £0.00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382000" cy="4714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8382000" cy="47148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AFTER. ARU &amp; SFS Payment Plan ✓ Students and authorized users can now enroll in a payment plan ✓ Payment plans are updated in real-time with the finance system Account Summary Account Activity Payment Plans Tuition 25/26—Anglia Ruskin University Payer’s active plan Payment Due by 15/11/2025 Balance Balance 3 Paid Remaining Remaining £1,550.00 £1.550.00 £4,650.00 View Schedule A payment of £1,550.00 is due by 15/11/2025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382000" cy="4714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8382000" cy="47148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UK: Multiple Paths to Move all the Money Objective: Work with each school’s systems &amp; processes to enable Flywire payment experiences across domestic &amp; international students Tailored Implementation Strategies for Major Core Systems I Ellucian/Banner Oracle Student Agresso/Unit 4 Tribal Oracle / Peoplesoft Cloud / Fusion Popular Core Finance System Popular Global Student Information Systems* Popular SIS and Finance System in UK Higher Ed in UK Higher Ed SFS Integration for UK Deep Partnership / Integration SFS Integration available SFS Integration for US and UK with FLYW Delivers SFS-like Introduced 2025 in US and UK expected in 2026 experience for some clients Deploy SFS to Create Payment Portal Deploy SFS or Integrate to Create Payment Portal Both Full SFS Deployment and Tribal Integration Enable Flywire Objective to Move all the Money *Note: Flywire also integrates with other core UK education systems like SAP, Thesis, etc. flywire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382000" cy="4714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8382000" cy="47148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flywire US &amp; UK SFS Illustrative Unit Economics ~2-3x GP1 uplift Notes:  US unit economics—Illustrative based on typical clients that have moved from XB (cross-border)-only to full SFS suite and gone live.  For the UK, in particular, these are our expectations based on the sample of 4 SFS clients  Bar sizes are illustrative, not drawn to scale  Refers to fully ramped clients 1. GP is defined as non-GAAP Gross Profit in $ terms FullCredit/debit card &amp; ACH processing fees SaaS fees &amp;/or Payment Plan fees Increased XB utilization based on improved user experience &amp; positions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382000" cy="4714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8382000" cy="47148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Many Ways to Win Clients &amp; Expand with Them in the US Most Common Path  From XB—XB + software—then to full SFS—SMU, Central Washington Examples of Leapfrogging Normal Sales Cycle:  From 0 to SFS—UConn, Blinn College  From XB to full SFS—UVA, Stanford # Number of Flywire clients Full Suite SFS o ^ ~110 XB + Software Module ~1000 CD / / XB Upsell motion.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382000" cy="4714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8382000" cy="47148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Spotlight: B2B &amp; Invoiced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382000" cy="4714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8382000" cy="47148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Invoiced Synergies via Existing Client Payments Upsell is a Revenue &amp; Gross Profit Multiplier CASE STUDIES Healthcare Workforce Solutions 39x 14x 10x 6x 5x 3x LEGEND ¦ ARR expansion from Payments Upsell Gross profit expansion from Payments Upsell National Food Distributor Software Platform for Nonprofits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382000" cy="4714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8382000" cy="47148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When We Land with AR Software &amp; Payments, We Integrate Critical Workflows for Customers AR Software What delights the finance AR Software Workflows Payment Execution Workflows leads we sell to? Cards Banks ✓ Best-in-class payment capabilities: 140+ currencies METHODS METHODS H M ○ APMs ○ Surcharging 5b6c Visa ‘4242 o i m 1 Bank of America 8-14 Days 1 SEPA Direct Debit Vlsa 4242 H Embedded in industry leading AR software ^^TAiternatiVe MethOds Automation tools In-app integration ✓ Deep ERP integrations Stitch Avalara legalzoom ^ 3 Pay I LQb zapTer + man/morej ✓ Payer-friendly interface Invoiced by Flywire is the last mile that connects businesses’ ERP to their AR billing and payments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382000" cy="4714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8382000" cy="47148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AI Expands Flywire’s Advantage in B2B AI is Redefining Our Competitive Transforming A/R Finance Operations Edge into a Growth Driver  60% faster settlements  Early-to-market AI invoice-to-cash  Scales without added headcount  70% fewer manual tasks  Proven enterprise adoption  Strengthens customer relationships  Industry-leading automation  Transforming B2B payments at scale platform  Predictive, data-driven cash  Trusted leader in AI-driven finance flow  AI is transforming how finance works  Smarter, faster finance operations Invoiced Proven Market Impact. 14 70% 23% 45% Days Faster Faster Reconciliation Higher Collections Faster Setup Avg cash collection Dramatic efficiency gains Improved recovery rates Workflow acceleration 3 months post implementation speed onboarding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382000" cy="4714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8382000" cy="47148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2025 &amp; Q4 Financial Outlook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382000" cy="4714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8382000" cy="47148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Guidance Context and Assumptions FY 2025 Guidance Context: Revenue and Margins  Canada and Australia. Expect revenues from Canada and Australia to decline by approximately -10% YoY driven by Canada demand weakness.  US Edu: Guidance assumes low single digit revenue growth for FY 2025, driven by declines in first year students expected to be offset by new wins and market share gains, with strength in domestic business.  Visa declines in our Big 4 Education markets (primarily Canada, Australia, and the U.S.) are expected to create approximately a mid-single-digit percentage headwind to organic revenue growth.  The Healthcare business: Low teens expected growth YoY, mostly from key client ramp.  Travel &amp; B2B + UK and non-Big 4 EDU: continued strong expected growth above organic company average, though decelerating from prior year.  China holiday dynamics in October factored into 4Q guide, best to look at H2 YoY growth, to normalize across quarters.  Adjusted EBITDA margin expansion higher in H1 vs H2 given timing of restructuring and investments, while managing opex and hiring in a data dependent manner.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382000" cy="4714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8382000" cy="47148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Q4 2025 Outlook FX-Neutral Revenue Adjusted EBITDA1 Margin Less Ancillary Services Growth Expansion (YoY) Tota23-27% YoY FXN 50-200 bps (including Sertifi2) (including Sertifi) 13-15% $12-14M Estimated FX Sertifi impact on RLAS ~ 3%3 ex Sertifi revenue RLAS contribution 1. Flywire has not provided a quantitative reconciliation of forecasted FX Neutral revenue to GAAP revenue and Adjusted EBITDA margin to forecasted GAAP Net Income margin within this presentation because Flywire is unable, without making unreasonable efforts, to calculate certain reconciling items with confidence. These items include, but are not limited to income taxes which are directly impacted by unpredictable fluctuations in the market price of Flywire’s stock and in foreign exchange rates. 3. As of 09/30/2025 exchange rates. At the time of 3Q earnings report FX changes vs 09/30/2025 rates were relatively immaterial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382000" cy="4714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8382000" cy="47148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FY 2025 Outlook FX-Neutral Revenue Adjusted EBITDA1 Margin Less Ancillary Services Growth Expansion (YoY) Tota23-25% YoY FXN 330-370 bps (including Sertifi2) (including Sertifi) SBSB Guidance Raised to: RI +75 bps increase at midpoint ~ 3 14-16%YoY $42-44M2 vs. previous guidance ~ 1.5% FXN ex Sertifi Sertifi revenue RLAS contribution 1. Flywire has not provided a quantitative reconciliation of forecasted Adjusted EBITDA margin to forecasted GAAP Net Income margin within this presentation because Flywire is unable, without making unreasonable efforts, to calculate certain reconciling items with confidence. These items include, but are not limited to income taxes which are directly impacted by unpredictable fluctuations in the market price of Flywire’s stock and in foreign exchange rates. 2. Sertifi acquisition closed on 02.24.2025 3. As of 09/30/2025 exchange rates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382000" cy="4714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8382000" cy="47148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Capital Allocation and Structure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382000" cy="4714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8382000" cy="47148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Capital Allocation Strategy Overview Sr1 1I u 2 l3 Organic Growth Strategic Share Investments Acquisitions Buybacks Geographic expansion Accelerate within existing Share Repurchase Program industry and / or geographies enables purchasing when GTM enhancement projected return exceeds our New product capability for cost of equity Deeper software integrations cross-sells &amp; upsells Prudent approach in Ecosystem expansions with Enter new geographies or maintaining operational Strategic Payables &amp; International regions liquidity and financial flexibility Agent solutions for organic investments &amp; strategic M&amp;A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382000" cy="4714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8382000" cy="47148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3Q25 YTD Cash Walk (US$M) 1 $48M FCF 2 4 3 Cash represents corporate cash, cash equivalents, and investments (i.e. excludes client cash) Cash primarily driven by Sertifi acquisition, net of cash acquired and post acquisition payments Other includes debt issuance costs, proceeds from option exercises, issuance of ESPP stock, and FX 1. FCF: Free Cash Flow; 2. CFFO: Cash Flow From Operations, excluding client cash flows; 3. IDSW: Internally Developed Software; 4. SBB: Share Buyback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382000" cy="4714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8382000" cy="47148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3Q25 Share Buyback Update (US$M) Authorized $300M (-) Purchases through $(108M) 09/30/25 Remaining $192M  Share repurchase program started in Q3’24 with $150M authorization, in Q2’25 increased to $300M  Approximately $64M spent on share repurchases through Q3’25 and $108M since program inception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382000" cy="4714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8382000" cy="47148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Appendix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382000" cy="4714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8382000" cy="47148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FX Neutral Revenue Less Ancillary Services* Three Months Ended September 30, Growth Nine Months Ended September 30, Growth 2025 2024 Rate 2025 2024 Rate Revenue $ 200.1I $ 156.8 28% $ 465.5 $ 374.6 24% Ancillary services (6.0) (5.4) (15.2) (13.1) Revenue Less Ancillary Services 194.1 151.4 28% 450.3 361.5 25% Effects of foreign currency rate fluctuations (2.9) — (3.5) — FX Neutral Revenue Less Ancillary Services $191.2 $151.4 26% $446.8 $361.5 24% Revenue Less Ancillary Services $ 194.1 $ 151.4 28% $ 450.3 $ 361.5 25% Sertifi Revenue (12.9) — (29.9) — Revenue Less Ancillary Services excluding Sertifi $181.2 $ 151.4 20% $420.4 $361.5 16% *FX Neutral Revenue Less Ancillary Services: FX neutral revenue less ancillary services is adjusted for the impact of foreign currency rate fluctuations. This measure helps provide insight on comparable revenue growth by removing the effect of changes in foreign currency exchange rates year-over-year. Foreign currency exchange impact in the current period is calculated using prior period monthly average exchange rates applied to the current period foreign currency amounts.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382000" cy="4714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8382000" cy="47148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Revenue Less Ancillary Services &amp; Adjusted Gross Margin Reconciliations Three Months Ended September 30, Nine Months Ended September 30, (dollars in millions) 2025 2024 2025 2024 Revenue $ 200.1 $ 156.8 $ 465.5 $ 374.6 Adjusted to exclude gross up for: Pass-through cost for printing and mailing (4.6) (4.2) (13.3) (11.4) Marketing fees (1.4) (1.2) (1.9) (1.7) Revenue Less Ancillary Services $ 194.1 $151.4 $450.3 $361.5 Payment processing services costs 72.3 54.6 176.8 136.1 Hosting and amortization costs within technology and , , 9 8 development expenses Cost of Revenue $ 75.4 $56.5 $185.1 $141.9 Adjusted to: Exclude printing and mailing costs (4.6) (4.2) (13.3) (11.4) Offset marketing fees against related costs (1.4) (1.2) (1.9) (1.7) Exclude depreciation and amortization (2.8) (1.6) (7.5) (4.6) Adjusted Cost of Revenue $ 66.6 $ 49.5 $ 162.4 $ 124.2 Gross Profit $ 124.7 $ 100.3 $ 280.4 $ 232.7 Gross Margin 62.3% 64.0% 60.2% 62.1% Adjusted Gross Profit $ 127.5 $ 101.9 $ 287.9 $ 237.3 Adjusted Gross Margin $USD in Millions (unaudited) 67.3% 63.9% 65.6% ^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382000" cy="4714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8382000" cy="47148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Revenue Disaggregation by Revenue Type Three Months Ended September 30, 2025 Three Months Ended September 30, 2024 T . Platform and n . Platform and n Transaction , Revenue Transaction L Revenue other revenues other revenues Revenue 1 167.2 1 IT 1 200.1 $ 134.4 $ 22.4 $ 156.8 Adjusted to exclude gross up for: Pass-through cost for printing and mailing — (4.6) (4.6) — (4.2) (4.2) Marketing fees (1.4) — (1.4) (1.2) (1-2) Revenue Less Ancillary Services $ 165.7 5 28.4 $ 194,1 $ 133.2 $18.2 $1514 Percentage of Revenue 83.5% 16.5% 100.0% 857% 14.3% 100.0% Percentage of Revenue Less Ancillary Services 85.4% 14.6% 100.0% 88.0% 12.0% 100.0% Nine Months Ended September 30, 2025 Nine Months Ended September 30, 2024 T . Platform and n Platform and n Transaction , Revenue Transaction L Revenue other revenues other revenues Revenue 1 376.2 1 89T $ 465.5 $ 314.9 $ 59.6 $ 374.6 Adjusted to exclude gross up for: Pass-through cost for printing and mailing — (13.3) (13.3) — (11.4) (11.4) Marketing fees (1.9) — (1.9) (17) —_ (17) Revenue Less Ancillary Sen/ices $ 374.3 $ 76.0 $ 450.3 $ 313.2 $48.2 $ 361,5 Percentage of Revenue 80.8% 19.2% 100.0% 84.1% 15.9% 100.0% Percentage of Revenue Less Ancillary Seivices 83.1% 16.9% 100.0% 867% 13.3% 100.0%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382000" cy="4714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8382000" cy="47148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Net Loss to Adjusted EBITDA Reconciliation Three Months Ended September 30, Nine Months Ended September 30, (in millions} 2025 2024 2025 2024 Net income $ 29.6 $ 3-3.9 $ 13.5 $ 13.3 Interest expense 1.2 0.1 3.0 0.4 Interest income (0.3} (5.0) (4.3) (16.6) Provision for (benefit from) income taxes 1.6 (3.3) 7.7 (2.0) Depreciation and amortization expense 7.2 4.6 20.2 13.5 EBITDA 33.3 30.3 39.5 14.1 Stock-based compensation expense and related taxes 17.3 16.4 51.0 49.0 Change in fair value of contingent consideration (0.7) (0.1) (1.2) (1.0) Loss (gain)from remeasurement of foreign currency 0.6 (5.5) (6.9) (2.1) Gain on available-for-sale debt securities — — (0.2) — Indirect taxes related to intercompany activity 0.6 0.1 1.6 0.2 Acquisition related transaction costs — 0.5 2.6 0.5 Restructuring — — 8.7 — Acquisition related employee retention costs — 0.5 — 0.5 Adjusted EBITDA $57.1 $42.2 $95.1 $61.2 $USD in Millions (unaudited)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382000" cy="4714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8382000" cy="4714875"/>
                    </a:xfrm>
                    <a:prstGeom prst="rect">
                      <a:avLst/>
                    </a:prstGeom>
                  </pic:spPr>
                </pic:pic>
              </a:graphicData>
            </a:graphic>
          </wp:inline>
        </w:drawing>
      </w:r>
      <w:r>
        <w:rPr/>
        <w:t xml:space="preserve">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Net Margin, EBITDA Margin, and Adjusted EBITDA Margin Three Months Ended September 30, Nine Months Ended September 30, 2025 2024 Change 2025 2024 Change Revenue (A) $ 200.1 $ 156.8 $ 43.3 $ 465.5 $ 374.6 $ 90.9 Revenue less ancillary services (B) $ 194.1 $ 151.4 $ 42.7 $ 450.3 $ 361.5 $ 88.8 Net income (C) $ 29.6 $ 38.9 $ (9.3) $ 13.5 $ 18.8 $ (5.3) EBITDA (D) S 38.8 $ 30.3 $ 8.5 $ 39.5 $ 14.1 $ 25.4 Adjusted EBITDA (E) $ 57.1 $ 42.2 $ 14.9 $ 95.1 $ 61.2 $ 33.9 Net margin (C/A) 14.8% 24.8% -10.0% 2.9% 5.0% -2.1% Net margin using RLAS (C/B) 15.3% 25.7% -10.4% 3 0% 5.2% -2.2% EBITDA Margin (D/A) 19.4% 19.3% 0.1% 8.5% 3.8% 4.7% Adjusted EBITDA Margin (BA) 28.5% 26.9% 1.6% 20.4% 16.3% 4.1% EBITDA Margin using RLAS (D/B) 20.0% 20.0% 0.0% 8.8% 3.9% 4.9% Adjusted EBITDA Margin using RLAS (BB) 29.4% 27.9% 1.5% 21.1% 16.9% 4.2% *Q3 2025 includes a $0.6M FX loss 1. Represents Y-o-Y Growth as compared to Q324 2. Represents Margins as % of RLAS (Revenue Less Ancillary Services) See Appendix for reconciliation to GAAP amounts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fontTable" Target="fontTable.xml"/><Relationship Id="rId4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59</Pages>
  <Words>10669</Words>
  <Characters>60026</Characters>
  <CharactersWithSpaces>72380</CharactersWithSpaces>
  <Paragraphs>3685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