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6996430"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6225540"/>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53"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Natauri Jo</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920"/>
        <w:spacing w:after="0" w:line="361" w:lineRule="auto"/>
        <w:rPr>
          <w:sz w:val="20"/>
          <w:szCs w:val="20"/>
          <w:color w:val="auto"/>
        </w:rPr>
      </w:pPr>
      <w:r>
        <w:rPr>
          <w:rFonts w:ascii="Arial" w:cs="Arial" w:eastAsia="Arial" w:hAnsi="Arial"/>
          <w:sz w:val="16"/>
          <w:szCs w:val="16"/>
          <w:color w:val="0000FF"/>
        </w:rPr>
        <w:t>C/O GOLDMAN SACHS GROUP INC., 200 WEST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1620" w:type="dxa"/>
            <w:vAlign w:val="bottom"/>
          </w:tcPr>
          <w:p>
            <w:pPr>
              <w:ind w:left="420"/>
              <w:spacing w:after="0"/>
              <w:rPr>
                <w:sz w:val="20"/>
                <w:szCs w:val="20"/>
                <w:color w:val="auto"/>
              </w:rPr>
            </w:pPr>
            <w:r>
              <w:rPr>
                <w:rFonts w:ascii="Arial" w:cs="Arial" w:eastAsia="Arial" w:hAnsi="Arial"/>
                <w:sz w:val="16"/>
                <w:szCs w:val="16"/>
                <w:color w:val="0000FF"/>
              </w:rPr>
              <w:t>10282</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1160" w:type="dxa"/>
            <w:vAlign w:val="bottom"/>
            <w:gridSpan w:val="3"/>
          </w:tcPr>
          <w:p>
            <w:pPr>
              <w:ind w:left="60"/>
              <w:spacing w:after="0"/>
              <w:rPr>
                <w:sz w:val="20"/>
                <w:szCs w:val="20"/>
                <w:color w:val="auto"/>
              </w:rPr>
            </w:pPr>
            <w:r>
              <w:rPr>
                <w:rFonts w:ascii="Arial" w:cs="Arial" w:eastAsia="Arial" w:hAnsi="Arial"/>
                <w:sz w:val="16"/>
                <w:szCs w:val="16"/>
                <w:color w:val="0000FF"/>
              </w:rPr>
              <w:t>11/23/2022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53" w:lineRule="exact"/>
        <w:rPr>
          <w:sz w:val="24"/>
          <w:szCs w:val="24"/>
          <w:color w:val="auto"/>
        </w:rPr>
      </w:pPr>
    </w:p>
    <w:p>
      <w:pPr>
        <w:sectPr>
          <w:pgSz w:w="11900" w:h="16838" w:orient="portrait"/>
          <w:cols w:equalWidth="0" w:num="2">
            <w:col w:w="3760" w:space="80"/>
            <w:col w:w="7240"/>
          </w:cols>
          <w:pgMar w:left="460" w:top="219" w:right="359" w:bottom="5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55"/>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Arial" w:cs="Arial" w:eastAsia="Arial" w:hAnsi="Arial"/>
                <w:sz w:val="16"/>
                <w:szCs w:val="16"/>
                <w:color w:val="0000FF"/>
                <w:w w:val="92"/>
              </w:rPr>
              <w:t>11/23/2022</w:t>
            </w:r>
          </w:p>
        </w:tc>
        <w:tc>
          <w:tcPr>
            <w:tcW w:w="100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3"/>
              </w:rPr>
              <w:t>129,985</w:t>
            </w:r>
          </w:p>
        </w:tc>
        <w:tc>
          <w:tcPr>
            <w:tcW w:w="620" w:type="dxa"/>
            <w:vAlign w:val="bottom"/>
            <w:vMerge w:val="restart"/>
          </w:tcPr>
          <w:p>
            <w:pPr>
              <w:jc w:val="right"/>
              <w:ind w:right="115"/>
              <w:spacing w:after="0"/>
              <w:rPr>
                <w:sz w:val="20"/>
                <w:szCs w:val="20"/>
                <w:color w:val="auto"/>
              </w:rPr>
            </w:pPr>
            <w:r>
              <w:rPr>
                <w:rFonts w:ascii="Arial" w:cs="Arial" w:eastAsia="Arial" w:hAnsi="Arial"/>
                <w:sz w:val="16"/>
                <w:szCs w:val="16"/>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20" w:type="dxa"/>
            <w:vAlign w:val="bottom"/>
          </w:tcPr>
          <w:p>
            <w:pPr>
              <w:spacing w:after="0"/>
              <w:rPr>
                <w:sz w:val="21"/>
                <w:szCs w:val="21"/>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color w:val="0000FF"/>
              </w:rPr>
              <w:t>1,334,964</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(3)(4)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Arial" w:cs="Arial" w:eastAsia="Arial" w:hAnsi="Arial"/>
                <w:sz w:val="16"/>
                <w:szCs w:val="16"/>
                <w:color w:val="0000FF"/>
                <w:w w:val="92"/>
              </w:rPr>
              <w:t>11/23/2022</w:t>
            </w:r>
          </w:p>
        </w:tc>
        <w:tc>
          <w:tcPr>
            <w:tcW w:w="100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3"/>
              </w:rPr>
              <w:t>129,985</w:t>
            </w:r>
          </w:p>
        </w:tc>
        <w:tc>
          <w:tcPr>
            <w:tcW w:w="620" w:type="dxa"/>
            <w:vAlign w:val="bottom"/>
            <w:vMerge w:val="restart"/>
          </w:tcPr>
          <w:p>
            <w:pPr>
              <w:jc w:val="right"/>
              <w:ind w:right="115"/>
              <w:spacing w:after="0"/>
              <w:rPr>
                <w:sz w:val="20"/>
                <w:szCs w:val="20"/>
                <w:color w:val="auto"/>
              </w:rPr>
            </w:pPr>
            <w:r>
              <w:rPr>
                <w:rFonts w:ascii="Arial" w:cs="Arial" w:eastAsia="Arial" w:hAnsi="Arial"/>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20.72</w:t>
            </w:r>
          </w:p>
        </w:tc>
        <w:tc>
          <w:tcPr>
            <w:tcW w:w="20" w:type="dxa"/>
            <w:vAlign w:val="bottom"/>
          </w:tcPr>
          <w:p>
            <w:pPr>
              <w:spacing w:after="0"/>
              <w:rPr>
                <w:sz w:val="21"/>
                <w:szCs w:val="21"/>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color w:val="0000FF"/>
              </w:rPr>
              <w:t>1,204,979</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(3)(4)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Arial" w:cs="Arial" w:eastAsia="Arial" w:hAnsi="Arial"/>
                <w:sz w:val="16"/>
                <w:szCs w:val="16"/>
                <w:color w:val="0000FF"/>
                <w:w w:val="92"/>
              </w:rPr>
              <w:t>11/25/2022</w:t>
            </w:r>
          </w:p>
        </w:tc>
        <w:tc>
          <w:tcPr>
            <w:tcW w:w="100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3"/>
              </w:rPr>
              <w:t>26,883</w:t>
            </w:r>
          </w:p>
        </w:tc>
        <w:tc>
          <w:tcPr>
            <w:tcW w:w="620" w:type="dxa"/>
            <w:vAlign w:val="bottom"/>
            <w:vMerge w:val="restart"/>
          </w:tcPr>
          <w:p>
            <w:pPr>
              <w:jc w:val="right"/>
              <w:ind w:right="115"/>
              <w:spacing w:after="0"/>
              <w:rPr>
                <w:sz w:val="20"/>
                <w:szCs w:val="20"/>
                <w:color w:val="auto"/>
              </w:rPr>
            </w:pPr>
            <w:r>
              <w:rPr>
                <w:rFonts w:ascii="Arial" w:cs="Arial" w:eastAsia="Arial" w:hAnsi="Arial"/>
                <w:sz w:val="16"/>
                <w:szCs w:val="16"/>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20" w:type="dxa"/>
            <w:vAlign w:val="bottom"/>
          </w:tcPr>
          <w:p>
            <w:pPr>
              <w:spacing w:after="0"/>
              <w:rPr>
                <w:sz w:val="21"/>
                <w:szCs w:val="21"/>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color w:val="0000FF"/>
              </w:rPr>
              <w:t>1,304,388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(3)(4)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Arial" w:cs="Arial" w:eastAsia="Arial" w:hAnsi="Arial"/>
                <w:sz w:val="16"/>
                <w:szCs w:val="16"/>
                <w:color w:val="0000FF"/>
                <w:w w:val="92"/>
              </w:rPr>
              <w:t>11/25/2022</w:t>
            </w:r>
          </w:p>
        </w:tc>
        <w:tc>
          <w:tcPr>
            <w:tcW w:w="100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3"/>
              </w:rPr>
              <w:t>26,883</w:t>
            </w:r>
          </w:p>
        </w:tc>
        <w:tc>
          <w:tcPr>
            <w:tcW w:w="620" w:type="dxa"/>
            <w:vAlign w:val="bottom"/>
            <w:vMerge w:val="restart"/>
          </w:tcPr>
          <w:p>
            <w:pPr>
              <w:jc w:val="right"/>
              <w:ind w:right="115"/>
              <w:spacing w:after="0"/>
              <w:rPr>
                <w:sz w:val="20"/>
                <w:szCs w:val="20"/>
                <w:color w:val="auto"/>
              </w:rPr>
            </w:pPr>
            <w:r>
              <w:rPr>
                <w:rFonts w:ascii="Arial" w:cs="Arial" w:eastAsia="Arial" w:hAnsi="Arial"/>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20.92</w:t>
            </w:r>
          </w:p>
        </w:tc>
        <w:tc>
          <w:tcPr>
            <w:tcW w:w="20" w:type="dxa"/>
            <w:vAlign w:val="bottom"/>
          </w:tcPr>
          <w:p>
            <w:pPr>
              <w:spacing w:after="0"/>
              <w:rPr>
                <w:sz w:val="21"/>
                <w:szCs w:val="21"/>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color w:val="0000FF"/>
              </w:rPr>
              <w:t>1,277,505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(3)(4)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6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5"/>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3"/>
                <w:szCs w:val="13"/>
                <w:color w:val="0000FF"/>
              </w:rPr>
              <w:t>Voting</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ind w:right="15"/>
              <w:spacing w:after="0"/>
              <w:rPr>
                <w:sz w:val="20"/>
                <w:szCs w:val="20"/>
                <w:color w:val="auto"/>
              </w:rPr>
            </w:pPr>
            <w:r>
              <w:rPr>
                <w:rFonts w:ascii="Arial" w:cs="Arial" w:eastAsia="Arial" w:hAnsi="Arial"/>
                <w:sz w:val="11"/>
                <w:szCs w:val="11"/>
                <w:color w:val="008000"/>
              </w:rPr>
              <w:t>(2)</w:t>
            </w:r>
          </w:p>
        </w:tc>
        <w:tc>
          <w:tcPr>
            <w:tcW w:w="620" w:type="dxa"/>
            <w:vAlign w:val="bottom"/>
            <w:vMerge w:val="continue"/>
          </w:tcPr>
          <w:p>
            <w:pPr>
              <w:spacing w:after="0"/>
              <w:rPr>
                <w:sz w:val="6"/>
                <w:szCs w:val="6"/>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16"/>
                <w:szCs w:val="16"/>
                <w:color w:val="0000FF"/>
                <w:w w:val="89"/>
              </w:rPr>
              <w:t>129,985</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35"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11/23/2022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C</w:t>
            </w:r>
          </w:p>
        </w:tc>
        <w:tc>
          <w:tcPr>
            <w:tcW w:w="1000" w:type="dxa"/>
            <w:vAlign w:val="bottom"/>
            <w:vMerge w:val="restart"/>
          </w:tcPr>
          <w:p>
            <w:pPr>
              <w:jc w:val="right"/>
              <w:ind w:right="82"/>
              <w:spacing w:after="0" w:line="139" w:lineRule="exact"/>
              <w:rPr>
                <w:sz w:val="20"/>
                <w:szCs w:val="20"/>
                <w:color w:val="auto"/>
              </w:rPr>
            </w:pPr>
            <w:r>
              <w:rPr>
                <w:rFonts w:ascii="Arial" w:cs="Arial" w:eastAsia="Arial" w:hAnsi="Arial"/>
                <w:sz w:val="13"/>
                <w:szCs w:val="13"/>
                <w:color w:val="0000FF"/>
              </w:rPr>
              <w:t>129,985</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Arial" w:cs="Arial" w:eastAsia="Arial" w:hAnsi="Arial"/>
                <w:sz w:val="13"/>
                <w:szCs w:val="13"/>
                <w:color w:val="0000FF"/>
              </w:rPr>
              <w:t>1,480,815</w:t>
            </w:r>
          </w:p>
        </w:tc>
        <w:tc>
          <w:tcPr>
            <w:tcW w:w="500" w:type="dxa"/>
            <w:vAlign w:val="bottom"/>
            <w:vMerge w:val="restart"/>
          </w:tcPr>
          <w:p>
            <w:pPr>
              <w:ind w:left="360"/>
              <w:spacing w:after="0" w:line="139"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64" w:lineRule="exact"/>
              <w:rPr>
                <w:sz w:val="20"/>
                <w:szCs w:val="20"/>
                <w:color w:val="auto"/>
              </w:rPr>
            </w:pPr>
            <w:r>
              <w:rPr>
                <w:rFonts w:ascii="Arial" w:cs="Arial" w:eastAsia="Arial" w:hAnsi="Arial"/>
                <w:sz w:val="7"/>
                <w:szCs w:val="7"/>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tcPr>
          <w:p>
            <w:pPr>
              <w:ind w:left="80"/>
              <w:spacing w:after="0" w:line="64"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(3)(4)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ind w:right="35"/>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3"/>
                <w:szCs w:val="13"/>
                <w:color w:val="0000FF"/>
              </w:rPr>
              <w:t>Voting</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15"/>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6"/>
                <w:szCs w:val="6"/>
                <w:color w:val="auto"/>
              </w:rPr>
            </w:pPr>
          </w:p>
        </w:tc>
        <w:tc>
          <w:tcPr>
            <w:tcW w:w="620" w:type="dxa"/>
            <w:vAlign w:val="bottom"/>
            <w:vMerge w:val="restart"/>
          </w:tcPr>
          <w:p>
            <w:pPr>
              <w:jc w:val="right"/>
              <w:ind w:right="55"/>
              <w:spacing w:after="0"/>
              <w:rPr>
                <w:sz w:val="20"/>
                <w:szCs w:val="20"/>
                <w:color w:val="auto"/>
              </w:rPr>
            </w:pPr>
            <w:r>
              <w:rPr>
                <w:rFonts w:ascii="Arial" w:cs="Arial" w:eastAsia="Arial" w:hAnsi="Arial"/>
                <w:sz w:val="16"/>
                <w:szCs w:val="16"/>
                <w:color w:val="0000FF"/>
                <w:w w:val="98"/>
              </w:rPr>
              <w:t>26,883</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35"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11/25/2022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C</w:t>
            </w:r>
          </w:p>
        </w:tc>
        <w:tc>
          <w:tcPr>
            <w:tcW w:w="1000" w:type="dxa"/>
            <w:vAlign w:val="bottom"/>
            <w:vMerge w:val="restart"/>
          </w:tcPr>
          <w:p>
            <w:pPr>
              <w:jc w:val="right"/>
              <w:ind w:right="102"/>
              <w:spacing w:after="0" w:line="139" w:lineRule="exact"/>
              <w:rPr>
                <w:sz w:val="20"/>
                <w:szCs w:val="20"/>
                <w:color w:val="auto"/>
              </w:rPr>
            </w:pPr>
            <w:r>
              <w:rPr>
                <w:rFonts w:ascii="Arial" w:cs="Arial" w:eastAsia="Arial" w:hAnsi="Arial"/>
                <w:sz w:val="13"/>
                <w:szCs w:val="13"/>
                <w:color w:val="0000FF"/>
              </w:rPr>
              <w:t>26,883</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Arial" w:cs="Arial" w:eastAsia="Arial" w:hAnsi="Arial"/>
                <w:sz w:val="13"/>
                <w:szCs w:val="13"/>
                <w:color w:val="0000FF"/>
              </w:rPr>
              <w:t>1,453,932</w:t>
            </w:r>
          </w:p>
        </w:tc>
        <w:tc>
          <w:tcPr>
            <w:tcW w:w="500" w:type="dxa"/>
            <w:vAlign w:val="bottom"/>
            <w:vMerge w:val="restart"/>
          </w:tcPr>
          <w:p>
            <w:pPr>
              <w:ind w:left="360"/>
              <w:spacing w:after="0" w:line="139"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3"/>
                <w:szCs w:val="13"/>
                <w:color w:val="0000FF"/>
                <w:w w:val="85"/>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5"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-2284730</wp:posOffset>
            </wp:positionV>
            <wp:extent cx="28575" cy="228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8981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4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30" w:lineRule="exact"/>
        <w:rPr>
          <w:rFonts w:ascii="Arial" w:cs="Arial" w:eastAsia="Arial" w:hAnsi="Arial"/>
          <w:sz w:val="13"/>
          <w:szCs w:val="13"/>
          <w:color w:val="008000"/>
        </w:rPr>
      </w:pPr>
    </w:p>
    <w:p>
      <w:pPr>
        <w:jc w:val="both"/>
        <w:ind w:left="40" w:right="16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November 23, 2022, the reporting person consummated the sale of all 129,985 shares of Non-Voting Common Stock, resulting in the automatic conversion of such shares into Voting Common Stock upon the execution of the sale of such shares as reported in Table I.</w:t>
      </w:r>
    </w:p>
    <w:p>
      <w:pPr>
        <w:spacing w:after="0" w:line="30" w:lineRule="exact"/>
        <w:rPr>
          <w:rFonts w:ascii="Arial" w:cs="Arial" w:eastAsia="Arial" w:hAnsi="Arial"/>
          <w:sz w:val="13"/>
          <w:szCs w:val="13"/>
          <w:color w:val="008000"/>
        </w:rPr>
      </w:pPr>
    </w:p>
    <w:p>
      <w:pPr>
        <w:ind w:left="40" w:right="220" w:hanging="1"/>
        <w:spacing w:after="0" w:line="23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31" w:lineRule="exact"/>
        <w:rPr>
          <w:rFonts w:ascii="Arial" w:cs="Arial" w:eastAsia="Arial" w:hAnsi="Arial"/>
          <w:sz w:val="13"/>
          <w:szCs w:val="13"/>
          <w:color w:val="008000"/>
        </w:rPr>
      </w:pPr>
    </w:p>
    <w:p>
      <w:pPr>
        <w:ind w:left="40" w:right="22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30" w:lineRule="exact"/>
        <w:rPr>
          <w:rFonts w:ascii="Arial" w:cs="Arial" w:eastAsia="Arial" w:hAnsi="Arial"/>
          <w:sz w:val="13"/>
          <w:szCs w:val="13"/>
          <w:color w:val="008000"/>
        </w:rPr>
      </w:pPr>
    </w:p>
    <w:p>
      <w:pPr>
        <w:ind w:left="40" w:right="16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November 25, 2022, the reporting person consummated the sale of all 26,883 shares of Non-Voting Common Stock, resulting in the automatic conversion of such shares into Voting Common Stock upon the execution of the sale of such shares as reported in Table I.</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Jamison Yardley, Attorney-</w:t>
            </w:r>
          </w:p>
        </w:tc>
        <w:tc>
          <w:tcPr>
            <w:tcW w:w="10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11/28/2022</w:t>
            </w:r>
          </w:p>
        </w:tc>
        <w:tc>
          <w:tcPr>
            <w:tcW w:w="0" w:type="dxa"/>
            <w:vAlign w:val="bottom"/>
          </w:tcPr>
          <w:p>
            <w:pPr>
              <w:spacing w:after="0"/>
              <w:rPr>
                <w:sz w:val="1"/>
                <w:szCs w:val="1"/>
                <w:color w:val="auto"/>
              </w:rPr>
            </w:pPr>
          </w:p>
        </w:tc>
      </w:tr>
      <w:tr>
        <w:trPr>
          <w:trHeight w:val="81"/>
        </w:trPr>
        <w:tc>
          <w:tcPr>
            <w:tcW w:w="420" w:type="dxa"/>
            <w:vAlign w:val="bottom"/>
            <w:vMerge w:val="restart"/>
          </w:tcPr>
          <w:p>
            <w:pPr>
              <w:spacing w:after="0" w:line="182" w:lineRule="exact"/>
              <w:rPr>
                <w:sz w:val="20"/>
                <w:szCs w:val="20"/>
                <w:color w:val="auto"/>
              </w:rPr>
            </w:pPr>
            <w:r>
              <w:rPr>
                <w:rFonts w:ascii="Arial" w:cs="Arial" w:eastAsia="Arial" w:hAnsi="Arial"/>
                <w:sz w:val="16"/>
                <w:szCs w:val="16"/>
                <w:color w:val="0000FF"/>
                <w:w w:val="91"/>
              </w:rPr>
              <w:t>in-fact</w:t>
            </w:r>
          </w:p>
        </w:tc>
        <w:tc>
          <w:tcPr>
            <w:tcW w:w="16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2022-11-28T12:34:58Z</dcterms:created>
  <dcterms:modified xsi:type="dcterms:W3CDTF">2022-11-28T12:34:58Z</dcterms:modified>
</cp:coreProperties>
</file>