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GOLDMAN SACHS GROUP INC</w:t>
        </w:r>
      </w:hyperlink>
    </w:p>
    <w:p>
      <w:pPr>
        <w:spacing w:after="0" w:line="33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200 WEST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Flywire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FLYW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12/13/2021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76" w:lineRule="exact"/>
        <w:rPr>
          <w:sz w:val="24"/>
          <w:szCs w:val="24"/>
          <w:color w:val="auto"/>
        </w:rPr>
      </w:pPr>
    </w:p>
    <w:p>
      <w:pPr>
        <w:sectPr>
          <w:pgSz w:w="11900" w:h="16838" w:orient="portrait"/>
          <w:cols w:equalWidth="0" w:num="3">
            <w:col w:w="3200" w:space="720"/>
            <w:col w:w="3095" w:space="720"/>
            <w:col w:w="3345"/>
          </w:cols>
          <w:pgMar w:left="460" w:top="225" w:right="359" w:bottom="0" w:gutter="0" w:footer="0" w:header="0"/>
          <w:type w:val="continuous"/>
        </w:sectPr>
      </w:pPr>
    </w:p>
    <w:p>
      <w:pPr>
        <w:spacing w:after="0" w:line="187"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10282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280" w:hanging="3823"/>
        <w:spacing w:after="0" w:line="253"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8" w:lineRule="exact"/>
        <w:rPr>
          <w:sz w:val="24"/>
          <w:szCs w:val="24"/>
          <w:color w:val="auto"/>
        </w:rPr>
      </w:pPr>
    </w:p>
    <w:tbl>
      <w:tblPr>
        <w:tblLayout w:type="fixed"/>
        <w:tblInd w:w="2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4" w:lineRule="exact"/>
        <w:rPr>
          <w:sz w:val="24"/>
          <w:szCs w:val="24"/>
          <w:color w:val="auto"/>
        </w:rPr>
      </w:pPr>
    </w:p>
    <w:p>
      <w:pPr>
        <w:sectPr>
          <w:pgSz w:w="11900" w:h="16838" w:orient="portrait"/>
          <w:cols w:equalWidth="0" w:num="2">
            <w:col w:w="7020" w:space="720"/>
            <w:col w:w="33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2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124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260" w:type="dxa"/>
            <w:vAlign w:val="bottom"/>
          </w:tcPr>
          <w:p>
            <w:pPr>
              <w:spacing w:after="0"/>
              <w:rPr>
                <w:sz w:val="11"/>
                <w:szCs w:val="11"/>
                <w:color w:val="auto"/>
              </w:rPr>
            </w:pPr>
          </w:p>
        </w:tc>
        <w:tc>
          <w:tcPr>
            <w:tcW w:w="1540" w:type="dxa"/>
            <w:vAlign w:val="bottom"/>
          </w:tcPr>
          <w:p>
            <w:pPr>
              <w:ind w:left="48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0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Form: Direct</w:t>
            </w:r>
          </w:p>
        </w:tc>
        <w:tc>
          <w:tcPr>
            <w:tcW w:w="12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260" w:type="dxa"/>
            <w:vAlign w:val="bottom"/>
          </w:tcPr>
          <w:p>
            <w:pPr>
              <w:spacing w:after="0"/>
              <w:rPr>
                <w:sz w:val="11"/>
                <w:szCs w:val="11"/>
                <w:color w:val="auto"/>
              </w:rPr>
            </w:pPr>
          </w:p>
        </w:tc>
        <w:tc>
          <w:tcPr>
            <w:tcW w:w="154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12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2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12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168"/>
        </w:trPr>
        <w:tc>
          <w:tcPr>
            <w:tcW w:w="2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26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68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760" w:type="dxa"/>
            <w:vAlign w:val="bottom"/>
            <w:tcBorders>
              <w:top w:val="single" w:sz="8" w:color="2C2C2C"/>
            </w:tcBorders>
          </w:tcPr>
          <w:p>
            <w:pPr>
              <w:spacing w:after="0"/>
              <w:rPr>
                <w:sz w:val="7"/>
                <w:szCs w:val="7"/>
                <w:color w:val="auto"/>
              </w:rPr>
            </w:pPr>
          </w:p>
        </w:tc>
        <w:tc>
          <w:tcPr>
            <w:tcW w:w="1040" w:type="dxa"/>
            <w:vAlign w:val="bottom"/>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9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2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26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6"/>
                <w:szCs w:val="6"/>
                <w:color w:val="auto"/>
              </w:rPr>
            </w:pPr>
          </w:p>
        </w:tc>
        <w:tc>
          <w:tcPr>
            <w:tcW w:w="10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2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2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7"/>
                <w:szCs w:val="17"/>
                <w:color w:val="0000FF"/>
              </w:rPr>
              <w:t>Voting Common Stock</w:t>
            </w:r>
          </w:p>
        </w:tc>
        <w:tc>
          <w:tcPr>
            <w:tcW w:w="1100" w:type="dxa"/>
            <w:vAlign w:val="bottom"/>
            <w:gridSpan w:val="3"/>
          </w:tcPr>
          <w:p>
            <w:pPr>
              <w:jc w:val="right"/>
              <w:ind w:right="33"/>
              <w:spacing w:after="0"/>
              <w:rPr>
                <w:sz w:val="20"/>
                <w:szCs w:val="20"/>
                <w:color w:val="auto"/>
              </w:rPr>
            </w:pPr>
            <w:r>
              <w:rPr>
                <w:rFonts w:ascii="Arial" w:cs="Arial" w:eastAsia="Arial" w:hAnsi="Arial"/>
                <w:sz w:val="17"/>
                <w:szCs w:val="17"/>
                <w:color w:val="0000FF"/>
              </w:rPr>
              <w:t>12/13/2021</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ind w:left="520"/>
              <w:spacing w:after="0"/>
              <w:rPr>
                <w:sz w:val="20"/>
                <w:szCs w:val="20"/>
                <w:color w:val="auto"/>
              </w:rPr>
            </w:pPr>
            <w:r>
              <w:rPr>
                <w:rFonts w:ascii="Arial" w:cs="Arial" w:eastAsia="Arial" w:hAnsi="Arial"/>
                <w:sz w:val="13"/>
                <w:szCs w:val="13"/>
                <w:color w:val="0000FF"/>
              </w:rPr>
              <w:t>S</w:t>
            </w:r>
          </w:p>
        </w:tc>
        <w:tc>
          <w:tcPr>
            <w:tcW w:w="1240" w:type="dxa"/>
            <w:vAlign w:val="bottom"/>
            <w:gridSpan w:val="2"/>
          </w:tcPr>
          <w:p>
            <w:pPr>
              <w:jc w:val="center"/>
              <w:ind w:left="247"/>
              <w:spacing w:after="0"/>
              <w:rPr>
                <w:sz w:val="20"/>
                <w:szCs w:val="20"/>
                <w:color w:val="auto"/>
              </w:rPr>
            </w:pPr>
            <w:r>
              <w:rPr>
                <w:rFonts w:ascii="Arial" w:cs="Arial" w:eastAsia="Arial" w:hAnsi="Arial"/>
                <w:sz w:val="17"/>
                <w:szCs w:val="17"/>
                <w:color w:val="0000FF"/>
                <w:w w:val="92"/>
              </w:rPr>
              <w:t>53,224</w:t>
            </w:r>
          </w:p>
        </w:tc>
        <w:tc>
          <w:tcPr>
            <w:tcW w:w="300" w:type="dxa"/>
            <w:vAlign w:val="bottom"/>
          </w:tcPr>
          <w:p>
            <w:pPr>
              <w:jc w:val="right"/>
              <w:spacing w:after="0"/>
              <w:rPr>
                <w:sz w:val="20"/>
                <w:szCs w:val="20"/>
                <w:color w:val="auto"/>
              </w:rPr>
            </w:pPr>
            <w:r>
              <w:rPr>
                <w:rFonts w:ascii="Arial" w:cs="Arial" w:eastAsia="Arial" w:hAnsi="Arial"/>
                <w:sz w:val="17"/>
                <w:szCs w:val="17"/>
                <w:color w:val="0000FF"/>
              </w:rPr>
              <w:t>D</w:t>
            </w:r>
          </w:p>
        </w:tc>
        <w:tc>
          <w:tcPr>
            <w:tcW w:w="980" w:type="dxa"/>
            <w:vAlign w:val="bottom"/>
          </w:tcPr>
          <w:p>
            <w:pPr>
              <w:ind w:left="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37.66</w:t>
            </w:r>
            <w:r>
              <w:rPr>
                <w:rFonts w:ascii="Arial" w:cs="Arial" w:eastAsia="Arial" w:hAnsi="Arial"/>
                <w:sz w:val="22"/>
                <w:szCs w:val="22"/>
                <w:color w:val="008000"/>
                <w:vertAlign w:val="superscript"/>
              </w:rPr>
              <w:t>(1)</w:t>
            </w:r>
          </w:p>
        </w:tc>
        <w:tc>
          <w:tcPr>
            <w:tcW w:w="780" w:type="dxa"/>
            <w:vAlign w:val="bottom"/>
          </w:tcPr>
          <w:p>
            <w:pPr>
              <w:ind w:left="60"/>
              <w:spacing w:after="0"/>
              <w:rPr>
                <w:sz w:val="20"/>
                <w:szCs w:val="20"/>
                <w:color w:val="auto"/>
              </w:rPr>
            </w:pPr>
            <w:r>
              <w:rPr>
                <w:rFonts w:ascii="Arial" w:cs="Arial" w:eastAsia="Arial" w:hAnsi="Arial"/>
                <w:sz w:val="17"/>
                <w:szCs w:val="17"/>
                <w:color w:val="0000FF"/>
                <w:w w:val="92"/>
              </w:rPr>
              <w:t>2,985,241</w:t>
            </w:r>
          </w:p>
        </w:tc>
        <w:tc>
          <w:tcPr>
            <w:tcW w:w="900" w:type="dxa"/>
            <w:vAlign w:val="bottom"/>
          </w:tcPr>
          <w:p>
            <w:pPr>
              <w:ind w:left="600"/>
              <w:spacing w:after="0"/>
              <w:rPr>
                <w:sz w:val="20"/>
                <w:szCs w:val="20"/>
                <w:color w:val="auto"/>
              </w:rPr>
            </w:pPr>
            <w:r>
              <w:rPr>
                <w:rFonts w:ascii="Arial" w:cs="Arial" w:eastAsia="Arial" w:hAnsi="Arial"/>
                <w:sz w:val="17"/>
                <w:szCs w:val="17"/>
                <w:color w:val="0000FF"/>
              </w:rPr>
              <w:t>I</w:t>
            </w:r>
          </w:p>
        </w:tc>
        <w:tc>
          <w:tcPr>
            <w:tcW w:w="1540" w:type="dxa"/>
            <w:vAlign w:val="bottom"/>
            <w:gridSpan w:val="4"/>
          </w:tcPr>
          <w:p>
            <w:pPr>
              <w:ind w:left="240"/>
              <w:spacing w:after="0"/>
              <w:rPr>
                <w:sz w:val="20"/>
                <w:szCs w:val="20"/>
                <w:color w:val="auto"/>
              </w:rPr>
            </w:pPr>
            <w:r>
              <w:rPr>
                <w:rFonts w:ascii="Arial" w:cs="Arial" w:eastAsia="Arial" w:hAnsi="Arial"/>
                <w:sz w:val="17"/>
                <w:szCs w:val="17"/>
                <w:color w:val="0000FF"/>
              </w:rPr>
              <w:t>See footnote</w:t>
            </w:r>
            <w:r>
              <w:rPr>
                <w:rFonts w:ascii="Arial" w:cs="Arial" w:eastAsia="Arial" w:hAnsi="Arial"/>
                <w:sz w:val="22"/>
                <w:szCs w:val="22"/>
                <w:color w:val="008000"/>
                <w:vertAlign w:val="superscript"/>
              </w:rPr>
              <w:t>(2)</w:t>
            </w: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ind w:left="240"/>
              <w:spacing w:after="0"/>
              <w:rPr>
                <w:sz w:val="20"/>
                <w:szCs w:val="20"/>
                <w:color w:val="auto"/>
              </w:rPr>
            </w:pPr>
            <w:r>
              <w:rPr>
                <w:rFonts w:ascii="Arial" w:cs="Arial" w:eastAsia="Arial" w:hAnsi="Arial"/>
                <w:sz w:val="11"/>
                <w:szCs w:val="11"/>
                <w:color w:val="008000"/>
              </w:rPr>
              <w:t>(3)(4)(5)</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54"/>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6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r>
      <w:tr>
        <w:trPr>
          <w:trHeight w:val="280"/>
        </w:trPr>
        <w:tc>
          <w:tcPr>
            <w:tcW w:w="20" w:type="dxa"/>
            <w:vAlign w:val="bottom"/>
          </w:tcPr>
          <w:p>
            <w:pPr>
              <w:spacing w:after="0"/>
              <w:rPr>
                <w:sz w:val="24"/>
                <w:szCs w:val="24"/>
                <w:color w:val="auto"/>
              </w:rPr>
            </w:pPr>
          </w:p>
        </w:tc>
        <w:tc>
          <w:tcPr>
            <w:tcW w:w="2660" w:type="dxa"/>
            <w:vAlign w:val="bottom"/>
            <w:gridSpan w:val="4"/>
          </w:tcPr>
          <w:p>
            <w:pPr>
              <w:ind w:left="60"/>
              <w:spacing w:after="0"/>
              <w:rPr>
                <w:sz w:val="20"/>
                <w:szCs w:val="20"/>
                <w:color w:val="auto"/>
              </w:rPr>
            </w:pPr>
            <w:r>
              <w:rPr>
                <w:rFonts w:ascii="Arial" w:cs="Arial" w:eastAsia="Arial" w:hAnsi="Arial"/>
                <w:sz w:val="17"/>
                <w:szCs w:val="17"/>
                <w:color w:val="0000FF"/>
              </w:rPr>
              <w:t>Voting Common Stock</w:t>
            </w:r>
          </w:p>
        </w:tc>
        <w:tc>
          <w:tcPr>
            <w:tcW w:w="1100" w:type="dxa"/>
            <w:vAlign w:val="bottom"/>
            <w:gridSpan w:val="3"/>
          </w:tcPr>
          <w:p>
            <w:pPr>
              <w:jc w:val="right"/>
              <w:ind w:right="33"/>
              <w:spacing w:after="0"/>
              <w:rPr>
                <w:sz w:val="20"/>
                <w:szCs w:val="20"/>
                <w:color w:val="auto"/>
              </w:rPr>
            </w:pPr>
            <w:r>
              <w:rPr>
                <w:rFonts w:ascii="Arial" w:cs="Arial" w:eastAsia="Arial" w:hAnsi="Arial"/>
                <w:sz w:val="17"/>
                <w:szCs w:val="17"/>
                <w:color w:val="0000FF"/>
              </w:rPr>
              <w:t>12/13/2021</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ind w:left="520"/>
              <w:spacing w:after="0"/>
              <w:rPr>
                <w:sz w:val="20"/>
                <w:szCs w:val="20"/>
                <w:color w:val="auto"/>
              </w:rPr>
            </w:pPr>
            <w:r>
              <w:rPr>
                <w:rFonts w:ascii="Arial" w:cs="Arial" w:eastAsia="Arial" w:hAnsi="Arial"/>
                <w:sz w:val="13"/>
                <w:szCs w:val="13"/>
                <w:color w:val="0000FF"/>
              </w:rPr>
              <w:t>S</w:t>
            </w:r>
          </w:p>
        </w:tc>
        <w:tc>
          <w:tcPr>
            <w:tcW w:w="1240" w:type="dxa"/>
            <w:vAlign w:val="bottom"/>
            <w:gridSpan w:val="2"/>
          </w:tcPr>
          <w:p>
            <w:pPr>
              <w:jc w:val="center"/>
              <w:ind w:left="247"/>
              <w:spacing w:after="0"/>
              <w:rPr>
                <w:sz w:val="20"/>
                <w:szCs w:val="20"/>
                <w:color w:val="auto"/>
              </w:rPr>
            </w:pPr>
            <w:r>
              <w:rPr>
                <w:rFonts w:ascii="Arial" w:cs="Arial" w:eastAsia="Arial" w:hAnsi="Arial"/>
                <w:sz w:val="17"/>
                <w:szCs w:val="17"/>
                <w:color w:val="0000FF"/>
                <w:w w:val="92"/>
              </w:rPr>
              <w:t>37,785</w:t>
            </w:r>
          </w:p>
        </w:tc>
        <w:tc>
          <w:tcPr>
            <w:tcW w:w="300" w:type="dxa"/>
            <w:vAlign w:val="bottom"/>
          </w:tcPr>
          <w:p>
            <w:pPr>
              <w:jc w:val="right"/>
              <w:spacing w:after="0"/>
              <w:rPr>
                <w:sz w:val="20"/>
                <w:szCs w:val="20"/>
                <w:color w:val="auto"/>
              </w:rPr>
            </w:pPr>
            <w:r>
              <w:rPr>
                <w:rFonts w:ascii="Arial" w:cs="Arial" w:eastAsia="Arial" w:hAnsi="Arial"/>
                <w:sz w:val="17"/>
                <w:szCs w:val="17"/>
                <w:color w:val="0000FF"/>
              </w:rPr>
              <w:t>D</w:t>
            </w:r>
          </w:p>
        </w:tc>
        <w:tc>
          <w:tcPr>
            <w:tcW w:w="980" w:type="dxa"/>
            <w:vAlign w:val="bottom"/>
          </w:tcPr>
          <w:p>
            <w:pPr>
              <w:ind w:left="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38.79</w:t>
            </w:r>
            <w:r>
              <w:rPr>
                <w:rFonts w:ascii="Arial" w:cs="Arial" w:eastAsia="Arial" w:hAnsi="Arial"/>
                <w:sz w:val="22"/>
                <w:szCs w:val="22"/>
                <w:color w:val="008000"/>
                <w:vertAlign w:val="superscript"/>
              </w:rPr>
              <w:t>(6)</w:t>
            </w:r>
          </w:p>
        </w:tc>
        <w:tc>
          <w:tcPr>
            <w:tcW w:w="780" w:type="dxa"/>
            <w:vAlign w:val="bottom"/>
          </w:tcPr>
          <w:p>
            <w:pPr>
              <w:ind w:left="60"/>
              <w:spacing w:after="0"/>
              <w:rPr>
                <w:sz w:val="20"/>
                <w:szCs w:val="20"/>
                <w:color w:val="auto"/>
              </w:rPr>
            </w:pPr>
            <w:r>
              <w:rPr>
                <w:rFonts w:ascii="Arial" w:cs="Arial" w:eastAsia="Arial" w:hAnsi="Arial"/>
                <w:sz w:val="17"/>
                <w:szCs w:val="17"/>
                <w:color w:val="0000FF"/>
                <w:w w:val="92"/>
              </w:rPr>
              <w:t>2,947,456</w:t>
            </w:r>
          </w:p>
        </w:tc>
        <w:tc>
          <w:tcPr>
            <w:tcW w:w="900" w:type="dxa"/>
            <w:vAlign w:val="bottom"/>
          </w:tcPr>
          <w:p>
            <w:pPr>
              <w:ind w:left="600"/>
              <w:spacing w:after="0"/>
              <w:rPr>
                <w:sz w:val="20"/>
                <w:szCs w:val="20"/>
                <w:color w:val="auto"/>
              </w:rPr>
            </w:pPr>
            <w:r>
              <w:rPr>
                <w:rFonts w:ascii="Arial" w:cs="Arial" w:eastAsia="Arial" w:hAnsi="Arial"/>
                <w:sz w:val="17"/>
                <w:szCs w:val="17"/>
                <w:color w:val="0000FF"/>
              </w:rPr>
              <w:t>I</w:t>
            </w:r>
          </w:p>
        </w:tc>
        <w:tc>
          <w:tcPr>
            <w:tcW w:w="1540" w:type="dxa"/>
            <w:vAlign w:val="bottom"/>
            <w:gridSpan w:val="4"/>
          </w:tcPr>
          <w:p>
            <w:pPr>
              <w:ind w:left="240"/>
              <w:spacing w:after="0"/>
              <w:rPr>
                <w:sz w:val="20"/>
                <w:szCs w:val="20"/>
                <w:color w:val="auto"/>
              </w:rPr>
            </w:pPr>
            <w:r>
              <w:rPr>
                <w:rFonts w:ascii="Arial" w:cs="Arial" w:eastAsia="Arial" w:hAnsi="Arial"/>
                <w:sz w:val="17"/>
                <w:szCs w:val="17"/>
                <w:color w:val="0000FF"/>
              </w:rPr>
              <w:t>See footnote</w:t>
            </w:r>
            <w:r>
              <w:rPr>
                <w:rFonts w:ascii="Arial" w:cs="Arial" w:eastAsia="Arial" w:hAnsi="Arial"/>
                <w:sz w:val="22"/>
                <w:szCs w:val="22"/>
                <w:color w:val="008000"/>
                <w:vertAlign w:val="superscript"/>
              </w:rPr>
              <w:t>(2)</w:t>
            </w: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ind w:left="240"/>
              <w:spacing w:after="0"/>
              <w:rPr>
                <w:sz w:val="20"/>
                <w:szCs w:val="20"/>
                <w:color w:val="auto"/>
              </w:rPr>
            </w:pPr>
            <w:r>
              <w:rPr>
                <w:rFonts w:ascii="Arial" w:cs="Arial" w:eastAsia="Arial" w:hAnsi="Arial"/>
                <w:sz w:val="11"/>
                <w:szCs w:val="11"/>
                <w:color w:val="008000"/>
              </w:rPr>
              <w:t>(3)(4)(5)</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54"/>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6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r>
      <w:tr>
        <w:trPr>
          <w:trHeight w:val="280"/>
        </w:trPr>
        <w:tc>
          <w:tcPr>
            <w:tcW w:w="20" w:type="dxa"/>
            <w:vAlign w:val="bottom"/>
          </w:tcPr>
          <w:p>
            <w:pPr>
              <w:spacing w:after="0"/>
              <w:rPr>
                <w:sz w:val="24"/>
                <w:szCs w:val="24"/>
                <w:color w:val="auto"/>
              </w:rPr>
            </w:pPr>
          </w:p>
        </w:tc>
        <w:tc>
          <w:tcPr>
            <w:tcW w:w="2660" w:type="dxa"/>
            <w:vAlign w:val="bottom"/>
            <w:gridSpan w:val="4"/>
          </w:tcPr>
          <w:p>
            <w:pPr>
              <w:ind w:left="60"/>
              <w:spacing w:after="0"/>
              <w:rPr>
                <w:sz w:val="20"/>
                <w:szCs w:val="20"/>
                <w:color w:val="auto"/>
              </w:rPr>
            </w:pPr>
            <w:r>
              <w:rPr>
                <w:rFonts w:ascii="Arial" w:cs="Arial" w:eastAsia="Arial" w:hAnsi="Arial"/>
                <w:sz w:val="17"/>
                <w:szCs w:val="17"/>
                <w:color w:val="0000FF"/>
              </w:rPr>
              <w:t>Voting Common Stock</w:t>
            </w:r>
          </w:p>
        </w:tc>
        <w:tc>
          <w:tcPr>
            <w:tcW w:w="1100" w:type="dxa"/>
            <w:vAlign w:val="bottom"/>
            <w:gridSpan w:val="3"/>
          </w:tcPr>
          <w:p>
            <w:pPr>
              <w:jc w:val="right"/>
              <w:ind w:right="33"/>
              <w:spacing w:after="0"/>
              <w:rPr>
                <w:sz w:val="20"/>
                <w:szCs w:val="20"/>
                <w:color w:val="auto"/>
              </w:rPr>
            </w:pPr>
            <w:r>
              <w:rPr>
                <w:rFonts w:ascii="Arial" w:cs="Arial" w:eastAsia="Arial" w:hAnsi="Arial"/>
                <w:sz w:val="17"/>
                <w:szCs w:val="17"/>
                <w:color w:val="0000FF"/>
              </w:rPr>
              <w:t>12/13/2021</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ind w:left="520"/>
              <w:spacing w:after="0"/>
              <w:rPr>
                <w:sz w:val="20"/>
                <w:szCs w:val="20"/>
                <w:color w:val="auto"/>
              </w:rPr>
            </w:pPr>
            <w:r>
              <w:rPr>
                <w:rFonts w:ascii="Arial" w:cs="Arial" w:eastAsia="Arial" w:hAnsi="Arial"/>
                <w:sz w:val="13"/>
                <w:szCs w:val="13"/>
                <w:color w:val="0000FF"/>
              </w:rPr>
              <w:t>S</w:t>
            </w:r>
          </w:p>
        </w:tc>
        <w:tc>
          <w:tcPr>
            <w:tcW w:w="1240" w:type="dxa"/>
            <w:vAlign w:val="bottom"/>
            <w:gridSpan w:val="2"/>
          </w:tcPr>
          <w:p>
            <w:pPr>
              <w:jc w:val="center"/>
              <w:ind w:left="247"/>
              <w:spacing w:after="0"/>
              <w:rPr>
                <w:sz w:val="20"/>
                <w:szCs w:val="20"/>
                <w:color w:val="auto"/>
              </w:rPr>
            </w:pPr>
            <w:r>
              <w:rPr>
                <w:rFonts w:ascii="Arial" w:cs="Arial" w:eastAsia="Arial" w:hAnsi="Arial"/>
                <w:sz w:val="17"/>
                <w:szCs w:val="17"/>
                <w:color w:val="0000FF"/>
                <w:w w:val="93"/>
              </w:rPr>
              <w:t>8,991</w:t>
            </w:r>
          </w:p>
        </w:tc>
        <w:tc>
          <w:tcPr>
            <w:tcW w:w="300" w:type="dxa"/>
            <w:vAlign w:val="bottom"/>
          </w:tcPr>
          <w:p>
            <w:pPr>
              <w:jc w:val="right"/>
              <w:spacing w:after="0"/>
              <w:rPr>
                <w:sz w:val="20"/>
                <w:szCs w:val="20"/>
                <w:color w:val="auto"/>
              </w:rPr>
            </w:pPr>
            <w:r>
              <w:rPr>
                <w:rFonts w:ascii="Arial" w:cs="Arial" w:eastAsia="Arial" w:hAnsi="Arial"/>
                <w:sz w:val="17"/>
                <w:szCs w:val="17"/>
                <w:color w:val="0000FF"/>
              </w:rPr>
              <w:t>D</w:t>
            </w:r>
          </w:p>
        </w:tc>
        <w:tc>
          <w:tcPr>
            <w:tcW w:w="980" w:type="dxa"/>
            <w:vAlign w:val="bottom"/>
          </w:tcPr>
          <w:p>
            <w:pPr>
              <w:ind w:left="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39.96</w:t>
            </w:r>
            <w:r>
              <w:rPr>
                <w:rFonts w:ascii="Arial" w:cs="Arial" w:eastAsia="Arial" w:hAnsi="Arial"/>
                <w:sz w:val="22"/>
                <w:szCs w:val="22"/>
                <w:color w:val="008000"/>
                <w:vertAlign w:val="superscript"/>
              </w:rPr>
              <w:t>(7)</w:t>
            </w:r>
          </w:p>
        </w:tc>
        <w:tc>
          <w:tcPr>
            <w:tcW w:w="780" w:type="dxa"/>
            <w:vAlign w:val="bottom"/>
          </w:tcPr>
          <w:p>
            <w:pPr>
              <w:ind w:left="60"/>
              <w:spacing w:after="0"/>
              <w:rPr>
                <w:sz w:val="20"/>
                <w:szCs w:val="20"/>
                <w:color w:val="auto"/>
              </w:rPr>
            </w:pPr>
            <w:r>
              <w:rPr>
                <w:rFonts w:ascii="Arial" w:cs="Arial" w:eastAsia="Arial" w:hAnsi="Arial"/>
                <w:sz w:val="17"/>
                <w:szCs w:val="17"/>
                <w:color w:val="0000FF"/>
                <w:w w:val="92"/>
              </w:rPr>
              <w:t>2,938,465</w:t>
            </w:r>
          </w:p>
        </w:tc>
        <w:tc>
          <w:tcPr>
            <w:tcW w:w="900" w:type="dxa"/>
            <w:vAlign w:val="bottom"/>
          </w:tcPr>
          <w:p>
            <w:pPr>
              <w:ind w:left="600"/>
              <w:spacing w:after="0"/>
              <w:rPr>
                <w:sz w:val="20"/>
                <w:szCs w:val="20"/>
                <w:color w:val="auto"/>
              </w:rPr>
            </w:pPr>
            <w:r>
              <w:rPr>
                <w:rFonts w:ascii="Arial" w:cs="Arial" w:eastAsia="Arial" w:hAnsi="Arial"/>
                <w:sz w:val="17"/>
                <w:szCs w:val="17"/>
                <w:color w:val="0000FF"/>
              </w:rPr>
              <w:t>I</w:t>
            </w:r>
          </w:p>
        </w:tc>
        <w:tc>
          <w:tcPr>
            <w:tcW w:w="1540" w:type="dxa"/>
            <w:vAlign w:val="bottom"/>
            <w:gridSpan w:val="4"/>
          </w:tcPr>
          <w:p>
            <w:pPr>
              <w:ind w:left="240"/>
              <w:spacing w:after="0"/>
              <w:rPr>
                <w:sz w:val="20"/>
                <w:szCs w:val="20"/>
                <w:color w:val="auto"/>
              </w:rPr>
            </w:pPr>
            <w:r>
              <w:rPr>
                <w:rFonts w:ascii="Arial" w:cs="Arial" w:eastAsia="Arial" w:hAnsi="Arial"/>
                <w:sz w:val="17"/>
                <w:szCs w:val="17"/>
                <w:color w:val="0000FF"/>
              </w:rPr>
              <w:t>See footnote</w:t>
            </w:r>
            <w:r>
              <w:rPr>
                <w:rFonts w:ascii="Arial" w:cs="Arial" w:eastAsia="Arial" w:hAnsi="Arial"/>
                <w:sz w:val="22"/>
                <w:szCs w:val="22"/>
                <w:color w:val="008000"/>
                <w:vertAlign w:val="superscript"/>
              </w:rPr>
              <w:t>(2)</w:t>
            </w: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ind w:left="240"/>
              <w:spacing w:after="0"/>
              <w:rPr>
                <w:sz w:val="20"/>
                <w:szCs w:val="20"/>
                <w:color w:val="auto"/>
              </w:rPr>
            </w:pPr>
            <w:r>
              <w:rPr>
                <w:rFonts w:ascii="Arial" w:cs="Arial" w:eastAsia="Arial" w:hAnsi="Arial"/>
                <w:sz w:val="11"/>
                <w:szCs w:val="11"/>
                <w:color w:val="008000"/>
              </w:rPr>
              <w:t>(3)(4)(5)</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54"/>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6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r>
      <w:tr>
        <w:trPr>
          <w:trHeight w:val="280"/>
        </w:trPr>
        <w:tc>
          <w:tcPr>
            <w:tcW w:w="20" w:type="dxa"/>
            <w:vAlign w:val="bottom"/>
          </w:tcPr>
          <w:p>
            <w:pPr>
              <w:spacing w:after="0"/>
              <w:rPr>
                <w:sz w:val="24"/>
                <w:szCs w:val="24"/>
                <w:color w:val="auto"/>
              </w:rPr>
            </w:pPr>
          </w:p>
        </w:tc>
        <w:tc>
          <w:tcPr>
            <w:tcW w:w="2660" w:type="dxa"/>
            <w:vAlign w:val="bottom"/>
            <w:gridSpan w:val="4"/>
          </w:tcPr>
          <w:p>
            <w:pPr>
              <w:ind w:left="60"/>
              <w:spacing w:after="0"/>
              <w:rPr>
                <w:sz w:val="20"/>
                <w:szCs w:val="20"/>
                <w:color w:val="auto"/>
              </w:rPr>
            </w:pPr>
            <w:r>
              <w:rPr>
                <w:rFonts w:ascii="Arial" w:cs="Arial" w:eastAsia="Arial" w:hAnsi="Arial"/>
                <w:sz w:val="17"/>
                <w:szCs w:val="17"/>
                <w:color w:val="0000FF"/>
              </w:rPr>
              <w:t>Voting Common Stock</w:t>
            </w:r>
          </w:p>
        </w:tc>
        <w:tc>
          <w:tcPr>
            <w:tcW w:w="1100" w:type="dxa"/>
            <w:vAlign w:val="bottom"/>
            <w:gridSpan w:val="3"/>
          </w:tcPr>
          <w:p>
            <w:pPr>
              <w:jc w:val="right"/>
              <w:ind w:right="33"/>
              <w:spacing w:after="0"/>
              <w:rPr>
                <w:sz w:val="20"/>
                <w:szCs w:val="20"/>
                <w:color w:val="auto"/>
              </w:rPr>
            </w:pPr>
            <w:r>
              <w:rPr>
                <w:rFonts w:ascii="Arial" w:cs="Arial" w:eastAsia="Arial" w:hAnsi="Arial"/>
                <w:sz w:val="17"/>
                <w:szCs w:val="17"/>
                <w:color w:val="0000FF"/>
              </w:rPr>
              <w:t>12/14/2021</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ind w:left="520"/>
              <w:spacing w:after="0"/>
              <w:rPr>
                <w:sz w:val="20"/>
                <w:szCs w:val="20"/>
                <w:color w:val="auto"/>
              </w:rPr>
            </w:pPr>
            <w:r>
              <w:rPr>
                <w:rFonts w:ascii="Arial" w:cs="Arial" w:eastAsia="Arial" w:hAnsi="Arial"/>
                <w:sz w:val="13"/>
                <w:szCs w:val="13"/>
                <w:color w:val="0000FF"/>
              </w:rPr>
              <w:t>S</w:t>
            </w:r>
          </w:p>
        </w:tc>
        <w:tc>
          <w:tcPr>
            <w:tcW w:w="1240" w:type="dxa"/>
            <w:vAlign w:val="bottom"/>
            <w:gridSpan w:val="2"/>
          </w:tcPr>
          <w:p>
            <w:pPr>
              <w:jc w:val="center"/>
              <w:ind w:left="247"/>
              <w:spacing w:after="0"/>
              <w:rPr>
                <w:sz w:val="20"/>
                <w:szCs w:val="20"/>
                <w:color w:val="auto"/>
              </w:rPr>
            </w:pPr>
            <w:r>
              <w:rPr>
                <w:rFonts w:ascii="Arial" w:cs="Arial" w:eastAsia="Arial" w:hAnsi="Arial"/>
                <w:sz w:val="17"/>
                <w:szCs w:val="17"/>
                <w:color w:val="0000FF"/>
                <w:w w:val="92"/>
              </w:rPr>
              <w:t>52,452</w:t>
            </w:r>
          </w:p>
        </w:tc>
        <w:tc>
          <w:tcPr>
            <w:tcW w:w="300" w:type="dxa"/>
            <w:vAlign w:val="bottom"/>
          </w:tcPr>
          <w:p>
            <w:pPr>
              <w:jc w:val="right"/>
              <w:spacing w:after="0"/>
              <w:rPr>
                <w:sz w:val="20"/>
                <w:szCs w:val="20"/>
                <w:color w:val="auto"/>
              </w:rPr>
            </w:pPr>
            <w:r>
              <w:rPr>
                <w:rFonts w:ascii="Arial" w:cs="Arial" w:eastAsia="Arial" w:hAnsi="Arial"/>
                <w:sz w:val="17"/>
                <w:szCs w:val="17"/>
                <w:color w:val="0000FF"/>
              </w:rPr>
              <w:t>D</w:t>
            </w:r>
          </w:p>
        </w:tc>
        <w:tc>
          <w:tcPr>
            <w:tcW w:w="980" w:type="dxa"/>
            <w:vAlign w:val="bottom"/>
          </w:tcPr>
          <w:p>
            <w:pPr>
              <w:ind w:left="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36.21</w:t>
            </w:r>
            <w:r>
              <w:rPr>
                <w:rFonts w:ascii="Arial" w:cs="Arial" w:eastAsia="Arial" w:hAnsi="Arial"/>
                <w:sz w:val="22"/>
                <w:szCs w:val="22"/>
                <w:color w:val="008000"/>
                <w:vertAlign w:val="superscript"/>
              </w:rPr>
              <w:t>(8)</w:t>
            </w:r>
          </w:p>
        </w:tc>
        <w:tc>
          <w:tcPr>
            <w:tcW w:w="780" w:type="dxa"/>
            <w:vAlign w:val="bottom"/>
          </w:tcPr>
          <w:p>
            <w:pPr>
              <w:ind w:left="60"/>
              <w:spacing w:after="0"/>
              <w:rPr>
                <w:sz w:val="20"/>
                <w:szCs w:val="20"/>
                <w:color w:val="auto"/>
              </w:rPr>
            </w:pPr>
            <w:r>
              <w:rPr>
                <w:rFonts w:ascii="Arial" w:cs="Arial" w:eastAsia="Arial" w:hAnsi="Arial"/>
                <w:sz w:val="17"/>
                <w:szCs w:val="17"/>
                <w:color w:val="0000FF"/>
                <w:w w:val="92"/>
              </w:rPr>
              <w:t>2,904,208</w:t>
            </w:r>
          </w:p>
        </w:tc>
        <w:tc>
          <w:tcPr>
            <w:tcW w:w="900" w:type="dxa"/>
            <w:vAlign w:val="bottom"/>
          </w:tcPr>
          <w:p>
            <w:pPr>
              <w:ind w:left="600"/>
              <w:spacing w:after="0"/>
              <w:rPr>
                <w:sz w:val="20"/>
                <w:szCs w:val="20"/>
                <w:color w:val="auto"/>
              </w:rPr>
            </w:pPr>
            <w:r>
              <w:rPr>
                <w:rFonts w:ascii="Arial" w:cs="Arial" w:eastAsia="Arial" w:hAnsi="Arial"/>
                <w:sz w:val="17"/>
                <w:szCs w:val="17"/>
                <w:color w:val="0000FF"/>
              </w:rPr>
              <w:t>I</w:t>
            </w:r>
          </w:p>
        </w:tc>
        <w:tc>
          <w:tcPr>
            <w:tcW w:w="1540" w:type="dxa"/>
            <w:vAlign w:val="bottom"/>
            <w:gridSpan w:val="4"/>
          </w:tcPr>
          <w:p>
            <w:pPr>
              <w:ind w:left="240"/>
              <w:spacing w:after="0"/>
              <w:rPr>
                <w:sz w:val="20"/>
                <w:szCs w:val="20"/>
                <w:color w:val="auto"/>
              </w:rPr>
            </w:pPr>
            <w:r>
              <w:rPr>
                <w:rFonts w:ascii="Arial" w:cs="Arial" w:eastAsia="Arial" w:hAnsi="Arial"/>
                <w:sz w:val="17"/>
                <w:szCs w:val="17"/>
                <w:color w:val="0000FF"/>
              </w:rPr>
              <w:t>See footnote</w:t>
            </w:r>
            <w:r>
              <w:rPr>
                <w:rFonts w:ascii="Arial" w:cs="Arial" w:eastAsia="Arial" w:hAnsi="Arial"/>
                <w:sz w:val="22"/>
                <w:szCs w:val="22"/>
                <w:color w:val="008000"/>
                <w:vertAlign w:val="superscript"/>
              </w:rPr>
              <w:t>(2)</w:t>
            </w: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ind w:left="240"/>
              <w:spacing w:after="0"/>
              <w:rPr>
                <w:sz w:val="20"/>
                <w:szCs w:val="20"/>
                <w:color w:val="auto"/>
              </w:rPr>
            </w:pPr>
            <w:r>
              <w:rPr>
                <w:rFonts w:ascii="Arial" w:cs="Arial" w:eastAsia="Arial" w:hAnsi="Arial"/>
                <w:sz w:val="11"/>
                <w:szCs w:val="11"/>
                <w:color w:val="008000"/>
              </w:rPr>
              <w:t>(3)(4)(5)</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54"/>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6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r>
      <w:tr>
        <w:trPr>
          <w:trHeight w:val="280"/>
        </w:trPr>
        <w:tc>
          <w:tcPr>
            <w:tcW w:w="20" w:type="dxa"/>
            <w:vAlign w:val="bottom"/>
          </w:tcPr>
          <w:p>
            <w:pPr>
              <w:spacing w:after="0"/>
              <w:rPr>
                <w:sz w:val="24"/>
                <w:szCs w:val="24"/>
                <w:color w:val="auto"/>
              </w:rPr>
            </w:pPr>
          </w:p>
        </w:tc>
        <w:tc>
          <w:tcPr>
            <w:tcW w:w="2660" w:type="dxa"/>
            <w:vAlign w:val="bottom"/>
            <w:gridSpan w:val="4"/>
          </w:tcPr>
          <w:p>
            <w:pPr>
              <w:ind w:left="60"/>
              <w:spacing w:after="0"/>
              <w:rPr>
                <w:sz w:val="20"/>
                <w:szCs w:val="20"/>
                <w:color w:val="auto"/>
              </w:rPr>
            </w:pPr>
            <w:r>
              <w:rPr>
                <w:rFonts w:ascii="Arial" w:cs="Arial" w:eastAsia="Arial" w:hAnsi="Arial"/>
                <w:sz w:val="17"/>
                <w:szCs w:val="17"/>
                <w:color w:val="0000FF"/>
              </w:rPr>
              <w:t>Voting Common Stock</w:t>
            </w:r>
          </w:p>
        </w:tc>
        <w:tc>
          <w:tcPr>
            <w:tcW w:w="1100" w:type="dxa"/>
            <w:vAlign w:val="bottom"/>
            <w:gridSpan w:val="3"/>
          </w:tcPr>
          <w:p>
            <w:pPr>
              <w:jc w:val="right"/>
              <w:ind w:right="33"/>
              <w:spacing w:after="0"/>
              <w:rPr>
                <w:sz w:val="20"/>
                <w:szCs w:val="20"/>
                <w:color w:val="auto"/>
              </w:rPr>
            </w:pPr>
            <w:r>
              <w:rPr>
                <w:rFonts w:ascii="Arial" w:cs="Arial" w:eastAsia="Arial" w:hAnsi="Arial"/>
                <w:sz w:val="17"/>
                <w:szCs w:val="17"/>
                <w:color w:val="0000FF"/>
              </w:rPr>
              <w:t>12/14/2021</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ind w:left="520"/>
              <w:spacing w:after="0"/>
              <w:rPr>
                <w:sz w:val="20"/>
                <w:szCs w:val="20"/>
                <w:color w:val="auto"/>
              </w:rPr>
            </w:pPr>
            <w:r>
              <w:rPr>
                <w:rFonts w:ascii="Arial" w:cs="Arial" w:eastAsia="Arial" w:hAnsi="Arial"/>
                <w:sz w:val="13"/>
                <w:szCs w:val="13"/>
                <w:color w:val="0000FF"/>
              </w:rPr>
              <w:t>S</w:t>
            </w:r>
          </w:p>
        </w:tc>
        <w:tc>
          <w:tcPr>
            <w:tcW w:w="1240" w:type="dxa"/>
            <w:vAlign w:val="bottom"/>
            <w:gridSpan w:val="2"/>
          </w:tcPr>
          <w:p>
            <w:pPr>
              <w:jc w:val="center"/>
              <w:ind w:left="247"/>
              <w:spacing w:after="0"/>
              <w:rPr>
                <w:sz w:val="20"/>
                <w:szCs w:val="20"/>
                <w:color w:val="auto"/>
              </w:rPr>
            </w:pPr>
            <w:r>
              <w:rPr>
                <w:rFonts w:ascii="Arial" w:cs="Arial" w:eastAsia="Arial" w:hAnsi="Arial"/>
                <w:sz w:val="17"/>
                <w:szCs w:val="17"/>
                <w:color w:val="0000FF"/>
                <w:w w:val="93"/>
              </w:rPr>
              <w:t>1,300</w:t>
            </w:r>
          </w:p>
        </w:tc>
        <w:tc>
          <w:tcPr>
            <w:tcW w:w="300" w:type="dxa"/>
            <w:vAlign w:val="bottom"/>
          </w:tcPr>
          <w:p>
            <w:pPr>
              <w:jc w:val="right"/>
              <w:spacing w:after="0"/>
              <w:rPr>
                <w:sz w:val="20"/>
                <w:szCs w:val="20"/>
                <w:color w:val="auto"/>
              </w:rPr>
            </w:pPr>
            <w:r>
              <w:rPr>
                <w:rFonts w:ascii="Arial" w:cs="Arial" w:eastAsia="Arial" w:hAnsi="Arial"/>
                <w:sz w:val="17"/>
                <w:szCs w:val="17"/>
                <w:color w:val="0000FF"/>
              </w:rPr>
              <w:t>D</w:t>
            </w:r>
          </w:p>
        </w:tc>
        <w:tc>
          <w:tcPr>
            <w:tcW w:w="980" w:type="dxa"/>
            <w:vAlign w:val="bottom"/>
          </w:tcPr>
          <w:p>
            <w:pPr>
              <w:ind w:left="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37.07</w:t>
            </w:r>
            <w:r>
              <w:rPr>
                <w:rFonts w:ascii="Arial" w:cs="Arial" w:eastAsia="Arial" w:hAnsi="Arial"/>
                <w:sz w:val="22"/>
                <w:szCs w:val="22"/>
                <w:color w:val="008000"/>
                <w:vertAlign w:val="superscript"/>
              </w:rPr>
              <w:t>(9)</w:t>
            </w:r>
          </w:p>
        </w:tc>
        <w:tc>
          <w:tcPr>
            <w:tcW w:w="780" w:type="dxa"/>
            <w:vAlign w:val="bottom"/>
          </w:tcPr>
          <w:p>
            <w:pPr>
              <w:ind w:left="60"/>
              <w:spacing w:after="0"/>
              <w:rPr>
                <w:sz w:val="20"/>
                <w:szCs w:val="20"/>
                <w:color w:val="auto"/>
              </w:rPr>
            </w:pPr>
            <w:r>
              <w:rPr>
                <w:rFonts w:ascii="Arial" w:cs="Arial" w:eastAsia="Arial" w:hAnsi="Arial"/>
                <w:sz w:val="17"/>
                <w:szCs w:val="17"/>
                <w:color w:val="0000FF"/>
                <w:w w:val="92"/>
              </w:rPr>
              <w:t>2,902,908</w:t>
            </w:r>
          </w:p>
        </w:tc>
        <w:tc>
          <w:tcPr>
            <w:tcW w:w="900" w:type="dxa"/>
            <w:vAlign w:val="bottom"/>
          </w:tcPr>
          <w:p>
            <w:pPr>
              <w:ind w:left="600"/>
              <w:spacing w:after="0"/>
              <w:rPr>
                <w:sz w:val="20"/>
                <w:szCs w:val="20"/>
                <w:color w:val="auto"/>
              </w:rPr>
            </w:pPr>
            <w:r>
              <w:rPr>
                <w:rFonts w:ascii="Arial" w:cs="Arial" w:eastAsia="Arial" w:hAnsi="Arial"/>
                <w:sz w:val="17"/>
                <w:szCs w:val="17"/>
                <w:color w:val="0000FF"/>
              </w:rPr>
              <w:t>I</w:t>
            </w:r>
          </w:p>
        </w:tc>
        <w:tc>
          <w:tcPr>
            <w:tcW w:w="1540" w:type="dxa"/>
            <w:vAlign w:val="bottom"/>
            <w:gridSpan w:val="4"/>
          </w:tcPr>
          <w:p>
            <w:pPr>
              <w:ind w:left="240"/>
              <w:spacing w:after="0"/>
              <w:rPr>
                <w:sz w:val="20"/>
                <w:szCs w:val="20"/>
                <w:color w:val="auto"/>
              </w:rPr>
            </w:pPr>
            <w:r>
              <w:rPr>
                <w:rFonts w:ascii="Arial" w:cs="Arial" w:eastAsia="Arial" w:hAnsi="Arial"/>
                <w:sz w:val="17"/>
                <w:szCs w:val="17"/>
                <w:color w:val="0000FF"/>
              </w:rPr>
              <w:t>See footnote</w:t>
            </w:r>
            <w:r>
              <w:rPr>
                <w:rFonts w:ascii="Arial" w:cs="Arial" w:eastAsia="Arial" w:hAnsi="Arial"/>
                <w:sz w:val="22"/>
                <w:szCs w:val="22"/>
                <w:color w:val="008000"/>
                <w:vertAlign w:val="superscript"/>
              </w:rPr>
              <w:t>(2)</w:t>
            </w: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ind w:left="240"/>
              <w:spacing w:after="0"/>
              <w:rPr>
                <w:sz w:val="20"/>
                <w:szCs w:val="20"/>
                <w:color w:val="auto"/>
              </w:rPr>
            </w:pPr>
            <w:r>
              <w:rPr>
                <w:rFonts w:ascii="Arial" w:cs="Arial" w:eastAsia="Arial" w:hAnsi="Arial"/>
                <w:sz w:val="11"/>
                <w:szCs w:val="11"/>
                <w:color w:val="008000"/>
              </w:rPr>
              <w:t>(3)(4)(5)</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94"/>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140" w:type="dxa"/>
            <w:vAlign w:val="bottom"/>
            <w:tcBorders>
              <w:bottom w:val="single" w:sz="8" w:color="2C2C2C"/>
            </w:tcBorders>
            <w:gridSpan w:val="8"/>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8040" w:type="dxa"/>
            <w:vAlign w:val="bottom"/>
            <w:tcBorders>
              <w:top w:val="single" w:sz="8" w:color="2C2C2C"/>
            </w:tcBorders>
            <w:gridSpan w:val="15"/>
          </w:tcPr>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80" w:type="dxa"/>
            <w:vAlign w:val="bottom"/>
            <w:gridSpan w:val="11"/>
          </w:tcPr>
          <w:p>
            <w:pPr>
              <w:jc w:val="center"/>
              <w:ind w:right="62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30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80" w:type="dxa"/>
            <w:vAlign w:val="bottom"/>
          </w:tcPr>
          <w:p>
            <w:pPr>
              <w:spacing w:after="0"/>
              <w:rPr>
                <w:sz w:val="11"/>
                <w:szCs w:val="11"/>
                <w:color w:val="auto"/>
              </w:rPr>
            </w:pP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80" w:type="dxa"/>
            <w:vAlign w:val="bottom"/>
          </w:tcPr>
          <w:p>
            <w:pPr>
              <w:spacing w:after="0"/>
              <w:rPr>
                <w:sz w:val="11"/>
                <w:szCs w:val="11"/>
                <w:color w:val="auto"/>
              </w:rPr>
            </w:pP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9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jc w:val="right"/>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3"/>
                <w:szCs w:val="13"/>
                <w:color w:val="auto"/>
              </w:rPr>
            </w:pP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GOLDMAN SACHS GROUP INC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200 WEST STREET</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3"/>
          </w:tcPr>
          <w:p>
            <w:pPr>
              <w:ind w:left="240"/>
              <w:spacing w:after="0"/>
              <w:rPr>
                <w:sz w:val="20"/>
                <w:szCs w:val="20"/>
                <w:color w:val="auto"/>
              </w:rPr>
            </w:pPr>
            <w:r>
              <w:rPr>
                <w:rFonts w:ascii="Arial" w:cs="Arial" w:eastAsia="Arial" w:hAnsi="Arial"/>
                <w:sz w:val="17"/>
                <w:szCs w:val="17"/>
                <w:color w:val="0000FF"/>
              </w:rPr>
              <w:t>10282</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GOLDMAN SACHS &amp; CO. LLC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200 WEST STREET</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3"/>
          </w:tcPr>
          <w:p>
            <w:pPr>
              <w:ind w:left="240"/>
              <w:spacing w:after="0"/>
              <w:rPr>
                <w:sz w:val="20"/>
                <w:szCs w:val="20"/>
                <w:color w:val="auto"/>
              </w:rPr>
            </w:pPr>
            <w:r>
              <w:rPr>
                <w:rFonts w:ascii="Arial" w:cs="Arial" w:eastAsia="Arial" w:hAnsi="Arial"/>
                <w:sz w:val="17"/>
                <w:szCs w:val="17"/>
                <w:color w:val="0000FF"/>
              </w:rPr>
              <w:t>10282</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-4741545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p>
      <w:pPr>
        <w:spacing w:after="0" w:line="320"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8" w:orient="portrait"/>
          <w:cols w:equalWidth="0" w:num="1">
            <w:col w:w="11080"/>
          </w:cols>
          <w:pgMar w:left="460" w:top="225" w:right="35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65957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6595745"/>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7">
        <w:r>
          <w:rPr>
            <w:rFonts w:ascii="Arial" w:cs="Arial" w:eastAsia="Arial" w:hAnsi="Arial"/>
            <w:sz w:val="21"/>
            <w:szCs w:val="21"/>
            <w:u w:val="single" w:color="auto"/>
            <w:color w:val="0000EE"/>
          </w:rPr>
          <w:t>Goldman Sachs PSI Global Holdings, LLC</w:t>
        </w:r>
      </w:hyperlink>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17"/>
                <w:szCs w:val="17"/>
                <w:color w:val="0000FF"/>
              </w:rPr>
              <w:t>200 WEST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480" w:type="dxa"/>
            <w:vAlign w:val="bottom"/>
            <w:gridSpan w:val="2"/>
          </w:tcPr>
          <w:p>
            <w:pPr>
              <w:ind w:left="22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10282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StoneBridge 2020,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17"/>
                <w:szCs w:val="17"/>
                <w:color w:val="0000FF"/>
              </w:rPr>
              <w:t>200 WEST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480" w:type="dxa"/>
            <w:vAlign w:val="bottom"/>
            <w:gridSpan w:val="2"/>
          </w:tcPr>
          <w:p>
            <w:pPr>
              <w:ind w:left="22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10282-2198</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Stonebridge 2020 Offshore Holdings II, L.P.</w:t>
        </w:r>
      </w:hyperlink>
    </w:p>
    <w:p>
      <w:pPr>
        <w:spacing w:after="0" w:line="32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120" w:type="dxa"/>
            <w:vAlign w:val="bottom"/>
          </w:tcPr>
          <w:p>
            <w:pPr>
              <w:ind w:left="22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7"/>
                <w:szCs w:val="17"/>
                <w:color w:val="0000FF"/>
              </w:rPr>
              <w:t>200 WEST STREET</w:t>
            </w:r>
          </w:p>
        </w:tc>
        <w:tc>
          <w:tcPr>
            <w:tcW w:w="18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860" w:type="dxa"/>
            <w:vAlign w:val="bottom"/>
            <w:tcBorders>
              <w:bottom w:val="single" w:sz="8" w:color="9A9A9A"/>
            </w:tcBorders>
          </w:tcPr>
          <w:p>
            <w:pPr>
              <w:spacing w:after="0"/>
              <w:rPr>
                <w:sz w:val="18"/>
                <w:szCs w:val="18"/>
                <w:color w:val="auto"/>
              </w:rPr>
            </w:pPr>
          </w:p>
        </w:tc>
      </w:tr>
      <w:tr>
        <w:trPr>
          <w:trHeight w:val="267"/>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22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10282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20">
        <w:r>
          <w:rPr>
            <w:rFonts w:ascii="Arial" w:cs="Arial" w:eastAsia="Arial" w:hAnsi="Arial"/>
            <w:sz w:val="21"/>
            <w:szCs w:val="21"/>
            <w:u w:val="single" w:color="auto"/>
            <w:color w:val="0000EE"/>
          </w:rPr>
          <w:t>Bridge Street Opportunity Advisors, L.L.C.</w:t>
        </w:r>
      </w:hyperlink>
    </w:p>
    <w:p>
      <w:pPr>
        <w:spacing w:after="0" w:line="32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120" w:type="dxa"/>
            <w:vAlign w:val="bottom"/>
          </w:tcPr>
          <w:p>
            <w:pPr>
              <w:ind w:left="22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7"/>
                <w:szCs w:val="17"/>
                <w:color w:val="0000FF"/>
              </w:rPr>
              <w:t>200 WEST STREET</w:t>
            </w:r>
          </w:p>
        </w:tc>
        <w:tc>
          <w:tcPr>
            <w:tcW w:w="18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860" w:type="dxa"/>
            <w:vAlign w:val="bottom"/>
            <w:tcBorders>
              <w:bottom w:val="single" w:sz="8" w:color="9A9A9A"/>
            </w:tcBorders>
          </w:tcPr>
          <w:p>
            <w:pPr>
              <w:spacing w:after="0"/>
              <w:rPr>
                <w:sz w:val="18"/>
                <w:szCs w:val="18"/>
                <w:color w:val="auto"/>
              </w:rPr>
            </w:pPr>
          </w:p>
        </w:tc>
      </w:tr>
      <w:tr>
        <w:trPr>
          <w:trHeight w:val="267"/>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22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10282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14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$37.07 to $38.06, inclusive. The Reporting Persons (as defined below) undertake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25" w:lineRule="exact"/>
        <w:rPr>
          <w:rFonts w:ascii="Arial" w:cs="Arial" w:eastAsia="Arial" w:hAnsi="Arial"/>
          <w:sz w:val="13"/>
          <w:szCs w:val="13"/>
          <w:color w:val="008000"/>
        </w:rPr>
      </w:pPr>
    </w:p>
    <w:p>
      <w:pPr>
        <w:ind w:left="20" w:right="20" w:firstLine="7"/>
        <w:spacing w:after="0" w:line="243"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statement is being filed by The Goldman Sachs Group, Inc. ("GS Group"), Goldman Sachs &amp; Co. LLC ("Goldman Sachs"), Goldman Sachs PSI Global Holdings, LLC ("GSPSI"), StoneBridge 2020, L.P. ("SB Fund"), StoneBridge 2020 Offshore Holdings II, L.P. ("SB Fund Offshore" and, together with SB Fund, the "SB Funds") and Bridge Street Opportunity Advisors, L.L.C. ("Bridge Street"). Ms. Jo Natauri serves as a member of the Board of Directors of the Issuer and is an employee of GS Group. Each of GS Group, Goldman Sachs, GSPSI, the SB Funds and Bridge Street is a director by deputization of the Issuer for purposes of Section 16 of the Securities Exchange Act of 1934, as amended. Each Reporting Person disclaims beneficial ownership of the securities reported herein except to the extent of its pecuniary interest therein, if any. (Continued in Footnote 3 below)</w:t>
      </w:r>
    </w:p>
    <w:p>
      <w:pPr>
        <w:spacing w:after="0" w:line="29" w:lineRule="exact"/>
        <w:rPr>
          <w:rFonts w:ascii="Arial" w:cs="Arial" w:eastAsia="Arial" w:hAnsi="Arial"/>
          <w:sz w:val="13"/>
          <w:szCs w:val="13"/>
          <w:color w:val="008000"/>
        </w:rPr>
      </w:pPr>
    </w:p>
    <w:p>
      <w:pPr>
        <w:ind w:left="20" w:firstLine="7"/>
        <w:spacing w:after="0" w:line="266"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(Continued from Footnote 2 above). This report shall not be deemed an admission that any of the Reporting Persons are a member of a group or the beneficial owner of any securities not directly owned by the Reporting Person.</w:t>
      </w:r>
    </w:p>
    <w:p>
      <w:pPr>
        <w:spacing w:after="0" w:line="15" w:lineRule="exact"/>
        <w:rPr>
          <w:rFonts w:ascii="Arial" w:cs="Arial" w:eastAsia="Arial" w:hAnsi="Arial"/>
          <w:sz w:val="13"/>
          <w:szCs w:val="13"/>
          <w:color w:val="008000"/>
        </w:rPr>
      </w:pPr>
    </w:p>
    <w:p>
      <w:pPr>
        <w:ind w:left="20" w:right="140" w:firstLine="7"/>
        <w:spacing w:after="0" w:line="266"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Goldman Sachs is a subsidiary of GS Group. Goldman Sachs is the investment manager of the SB Funds, and Bridge Street is the general partner of the SB Funds. Each of Bridge Street and GSPSI is wholly owned by GS Group.</w:t>
      </w:r>
    </w:p>
    <w:p>
      <w:pPr>
        <w:spacing w:after="0" w:line="15" w:lineRule="exact"/>
        <w:rPr>
          <w:rFonts w:ascii="Arial" w:cs="Arial" w:eastAsia="Arial" w:hAnsi="Arial"/>
          <w:sz w:val="13"/>
          <w:szCs w:val="13"/>
          <w:color w:val="008000"/>
        </w:rPr>
      </w:pPr>
    </w:p>
    <w:p>
      <w:pPr>
        <w:ind w:left="20" w:right="320" w:firstLine="7"/>
        <w:spacing w:after="0" w:line="30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Because of the relationships among GS Group, Goldman Sachs, Bridge Street, the SB Funds and GSPSI, each of GS Group and Goldman Sachs may be deemed a beneficial owner of the shares of Voting Common Stock held by GSPSI and the SB Funds, and Bridge Street may be deemed a beneficial owner of the shares of Voting Common Stock held by the SB Funds.</w:t>
      </w:r>
    </w:p>
    <w:p>
      <w:pPr>
        <w:ind w:left="20" w:right="20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$38.535 to $39.47, inclusive. The Reporting Persons undertake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25" w:lineRule="exact"/>
        <w:rPr>
          <w:rFonts w:ascii="Arial" w:cs="Arial" w:eastAsia="Arial" w:hAnsi="Arial"/>
          <w:sz w:val="13"/>
          <w:szCs w:val="13"/>
          <w:color w:val="008000"/>
        </w:rPr>
      </w:pPr>
    </w:p>
    <w:p>
      <w:pPr>
        <w:ind w:left="20" w:right="20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$39.68 to $40.075, inclusive. The Reporting Persons undertake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25" w:lineRule="exact"/>
        <w:rPr>
          <w:rFonts w:ascii="Arial" w:cs="Arial" w:eastAsia="Arial" w:hAnsi="Arial"/>
          <w:sz w:val="13"/>
          <w:szCs w:val="13"/>
          <w:color w:val="008000"/>
        </w:rPr>
      </w:pPr>
    </w:p>
    <w:p>
      <w:pPr>
        <w:ind w:left="20" w:right="20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$36.00 to $36.99, inclusive. The Reporting Persons undertake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25" w:lineRule="exact"/>
        <w:rPr>
          <w:rFonts w:ascii="Arial" w:cs="Arial" w:eastAsia="Arial" w:hAnsi="Arial"/>
          <w:sz w:val="13"/>
          <w:szCs w:val="13"/>
          <w:color w:val="008000"/>
        </w:rPr>
      </w:pPr>
    </w:p>
    <w:p>
      <w:pPr>
        <w:ind w:left="20" w:right="20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$37.07 to $37.095, inclusive. The Reporting Persons undertake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ind w:left="6560"/>
        <w:spacing w:after="0" w:line="230" w:lineRule="auto"/>
        <w:rPr>
          <w:sz w:val="20"/>
          <w:szCs w:val="20"/>
          <w:color w:val="auto"/>
        </w:rPr>
      </w:pPr>
      <w:r>
        <w:rPr>
          <w:rFonts w:ascii="Arial" w:cs="Arial" w:eastAsia="Arial" w:hAnsi="Arial"/>
          <w:sz w:val="17"/>
          <w:szCs w:val="17"/>
          <w:color w:val="0000FF"/>
        </w:rPr>
        <w:t xml:space="preserve">/s/ Crystal Orgill, Attorney-in- </w:t>
      </w:r>
      <w:r>
        <w:rPr>
          <w:rFonts w:ascii="Arial" w:cs="Arial" w:eastAsia="Arial" w:hAnsi="Arial"/>
          <w:sz w:val="34"/>
          <w:szCs w:val="34"/>
          <w:color w:val="0000FF"/>
          <w:vertAlign w:val="subscript"/>
        </w:rPr>
        <w:t>12/15/2021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423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64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line="185" w:lineRule="auto"/>
        <w:rPr>
          <w:sz w:val="20"/>
          <w:szCs w:val="20"/>
          <w:color w:val="auto"/>
        </w:rPr>
      </w:pPr>
      <w:r>
        <w:rPr>
          <w:rFonts w:ascii="Arial" w:cs="Arial" w:eastAsia="Arial" w:hAnsi="Arial"/>
          <w:sz w:val="17"/>
          <w:szCs w:val="17"/>
          <w:color w:val="0000FF"/>
        </w:rPr>
        <w:t xml:space="preserve">/s/ Crystal Orgill, Attorney-in- </w:t>
      </w:r>
      <w:r>
        <w:rPr>
          <w:rFonts w:ascii="Arial" w:cs="Arial" w:eastAsia="Arial" w:hAnsi="Arial"/>
          <w:sz w:val="32"/>
          <w:szCs w:val="32"/>
          <w:color w:val="0000FF"/>
          <w:vertAlign w:val="subscript"/>
        </w:rPr>
        <w:t>12/15/2021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423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64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Crystal Orgill, Attorney-in- 12/15/2021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8973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ectPr>
          <w:pgSz w:w="11900" w:h="16838" w:orient="portrait"/>
          <w:cols w:equalWidth="0" w:num="1">
            <w:col w:w="10900"/>
          </w:cols>
          <w:pgMar w:left="480" w:top="136" w:right="519" w:bottom="0" w:gutter="0" w:footer="0" w:header="0"/>
        </w:sectPr>
      </w:pPr>
    </w:p>
    <w:bookmarkStart w:id="2" w:name="page3"/>
    <w:bookmarkEnd w:id="2"/>
    <w:p>
      <w:pPr>
        <w:ind w:left="654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644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64465" cy="8255"/>
                    </a:xfrm>
                    <a:prstGeom prst="rect">
                      <a:avLst/>
                    </a:prstGeom>
                    <a:noFill/>
                  </pic:spPr>
                </pic:pic>
              </a:graphicData>
            </a:graphic>
          </wp:anchor>
        </w:drawing>
      </w:r>
    </w:p>
    <w:p>
      <w:pPr>
        <w:ind w:left="6540"/>
        <w:spacing w:after="0" w:line="183" w:lineRule="auto"/>
        <w:rPr>
          <w:sz w:val="20"/>
          <w:szCs w:val="20"/>
          <w:color w:val="auto"/>
        </w:rPr>
      </w:pPr>
      <w:r>
        <w:rPr>
          <w:rFonts w:ascii="Arial" w:cs="Arial" w:eastAsia="Arial" w:hAnsi="Arial"/>
          <w:sz w:val="17"/>
          <w:szCs w:val="17"/>
          <w:color w:val="0000FF"/>
        </w:rPr>
        <w:t xml:space="preserve">/s/ Crystal Orgill, Attorney-in- </w:t>
      </w:r>
      <w:r>
        <w:rPr>
          <w:rFonts w:ascii="Arial" w:cs="Arial" w:eastAsia="Arial" w:hAnsi="Arial"/>
          <w:sz w:val="34"/>
          <w:szCs w:val="34"/>
          <w:color w:val="0000FF"/>
          <w:vertAlign w:val="subscript"/>
        </w:rPr>
        <w:t>12/15/2021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13423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644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40"/>
        <w:spacing w:after="0" w:line="185" w:lineRule="auto"/>
        <w:rPr>
          <w:sz w:val="20"/>
          <w:szCs w:val="20"/>
          <w:color w:val="auto"/>
        </w:rPr>
      </w:pPr>
      <w:r>
        <w:rPr>
          <w:rFonts w:ascii="Arial" w:cs="Arial" w:eastAsia="Arial" w:hAnsi="Arial"/>
          <w:sz w:val="17"/>
          <w:szCs w:val="17"/>
          <w:color w:val="0000FF"/>
        </w:rPr>
        <w:t xml:space="preserve">/s/ Crystal Orgill, Attorney-in- </w:t>
      </w:r>
      <w:r>
        <w:rPr>
          <w:rFonts w:ascii="Arial" w:cs="Arial" w:eastAsia="Arial" w:hAnsi="Arial"/>
          <w:sz w:val="32"/>
          <w:szCs w:val="32"/>
          <w:color w:val="0000FF"/>
          <w:vertAlign w:val="subscript"/>
        </w:rPr>
        <w:t>12/15/2021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13423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644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40"/>
        <w:spacing w:after="0" w:line="185" w:lineRule="auto"/>
        <w:rPr>
          <w:sz w:val="20"/>
          <w:szCs w:val="20"/>
          <w:color w:val="auto"/>
        </w:rPr>
      </w:pPr>
      <w:r>
        <w:rPr>
          <w:rFonts w:ascii="Arial" w:cs="Arial" w:eastAsia="Arial" w:hAnsi="Arial"/>
          <w:sz w:val="17"/>
          <w:szCs w:val="17"/>
          <w:color w:val="0000FF"/>
        </w:rPr>
        <w:t xml:space="preserve">/s/ Crystal Orgill, Attorney-in- </w:t>
      </w:r>
      <w:r>
        <w:rPr>
          <w:rFonts w:ascii="Arial" w:cs="Arial" w:eastAsia="Arial" w:hAnsi="Arial"/>
          <w:sz w:val="32"/>
          <w:szCs w:val="32"/>
          <w:color w:val="0000FF"/>
          <w:vertAlign w:val="subscript"/>
        </w:rPr>
        <w:t>12/15/2021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13423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644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12" Type="http://schemas.openxmlformats.org/officeDocument/2006/relationships/hyperlink" Target="http://www.sec.gov/cgi-bin/browse-edgar?action=getcompany&amp;CIK=0000886982" TargetMode="External"/><Relationship Id="rId13" Type="http://schemas.openxmlformats.org/officeDocument/2006/relationships/hyperlink" Target="http://www.sec.gov/cgi-bin/browse-edgar?action=getcompany&amp;CIK=0001580560" TargetMode="External"/><Relationship Id="rId14" Type="http://schemas.openxmlformats.org/officeDocument/2006/relationships/hyperlink" Target="http://www.sec.gov/cgi-bin/browse-edgar?action=getcompany&amp;CIK=0000769993" TargetMode="External"/><Relationship Id="rId17" Type="http://schemas.openxmlformats.org/officeDocument/2006/relationships/hyperlink" Target="http://www.sec.gov/cgi-bin/browse-edgar?action=getcompany&amp;CIK=0001865223" TargetMode="External"/><Relationship Id="rId18" Type="http://schemas.openxmlformats.org/officeDocument/2006/relationships/hyperlink" Target="http://www.sec.gov/cgi-bin/browse-edgar?action=getcompany&amp;CIK=0001802332" TargetMode="External"/><Relationship Id="rId19" Type="http://schemas.openxmlformats.org/officeDocument/2006/relationships/hyperlink" Target="http://www.sec.gov/cgi-bin/browse-edgar?action=getcompany&amp;CIK=0001864626" TargetMode="External"/><Relationship Id="rId20" Type="http://schemas.openxmlformats.org/officeDocument/2006/relationships/hyperlink" Target="http://www.sec.gov/cgi-bin/browse-edgar?action=getcompany&amp;CIK=00016156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2021-12-15T18:42:56Z</dcterms:created>
  <dcterms:modified xsi:type="dcterms:W3CDTF">2021-12-15T18:42:56Z</dcterms:modified>
</cp:coreProperties>
</file>