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-603250</wp:posOffset>
            </wp:positionV>
            <wp:extent cx="5715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335"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443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Ossa Investments Pte. Ltd.</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160"/>
        <w:spacing w:after="0" w:line="352" w:lineRule="auto"/>
        <w:rPr>
          <w:sz w:val="20"/>
          <w:szCs w:val="20"/>
          <w:color w:val="auto"/>
        </w:rPr>
      </w:pPr>
      <w:r>
        <w:rPr>
          <w:rFonts w:ascii="Arial" w:cs="Arial" w:eastAsia="Arial" w:hAnsi="Arial"/>
          <w:sz w:val="16"/>
          <w:szCs w:val="16"/>
          <w:color w:val="0000FF"/>
        </w:rPr>
        <w:t>60B ORCHARD ROAD, #06-18 TOWER 2, THE ATRIUM@ORCHARD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05/28/2021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 w:right="720" w:firstLine="2"/>
        <w:spacing w:after="0" w:line="255"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18"/>
        <w:spacing w:after="0"/>
        <w:tabs>
          <w:tab w:leader="none" w:pos="1757" w:val="left"/>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3" w:lineRule="exact"/>
        <w:rPr>
          <w:sz w:val="24"/>
          <w:szCs w:val="24"/>
          <w:color w:val="auto"/>
        </w:rPr>
      </w:pPr>
    </w:p>
    <w:p>
      <w:pPr>
        <w:sectPr>
          <w:pgSz w:w="11900" w:h="16838" w:orient="portrait"/>
          <w:cols w:equalWidth="0" w:num="3">
            <w:col w:w="3180" w:space="720"/>
            <w:col w:w="3122" w:space="720"/>
            <w:col w:w="3338"/>
          </w:cols>
          <w:pgMar w:left="460" w:top="220" w:right="359" w:bottom="0" w:gutter="0" w:footer="0" w:header="0"/>
          <w:type w:val="continuous"/>
        </w:sectPr>
      </w:pPr>
    </w:p>
    <w:tbl>
      <w:tblPr>
        <w:tblLayout w:type="fixed"/>
        <w:tblInd w:w="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4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2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SINGAPORE</w:t>
            </w:r>
          </w:p>
        </w:tc>
        <w:tc>
          <w:tcPr>
            <w:tcW w:w="1120" w:type="dxa"/>
            <w:vAlign w:val="bottom"/>
            <w:gridSpan w:val="3"/>
          </w:tcPr>
          <w:p>
            <w:pPr>
              <w:ind w:left="40"/>
              <w:spacing w:after="0"/>
              <w:rPr>
                <w:sz w:val="20"/>
                <w:szCs w:val="20"/>
                <w:color w:val="auto"/>
              </w:rPr>
            </w:pPr>
            <w:r>
              <w:rPr>
                <w:rFonts w:ascii="Arial" w:cs="Arial" w:eastAsia="Arial" w:hAnsi="Arial"/>
                <w:sz w:val="16"/>
                <w:szCs w:val="16"/>
                <w:color w:val="0000FF"/>
              </w:rPr>
              <w:t>U0</w:t>
            </w:r>
          </w:p>
        </w:tc>
        <w:tc>
          <w:tcPr>
            <w:tcW w:w="1020" w:type="dxa"/>
            <w:vAlign w:val="bottom"/>
          </w:tcPr>
          <w:p>
            <w:pPr>
              <w:ind w:left="140"/>
              <w:spacing w:after="0"/>
              <w:rPr>
                <w:sz w:val="20"/>
                <w:szCs w:val="20"/>
                <w:color w:val="auto"/>
              </w:rPr>
            </w:pPr>
            <w:r>
              <w:rPr>
                <w:rFonts w:ascii="Arial" w:cs="Arial" w:eastAsia="Arial" w:hAnsi="Arial"/>
                <w:sz w:val="16"/>
                <w:szCs w:val="16"/>
                <w:color w:val="0000FF"/>
              </w:rPr>
              <w:t>238891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9"/>
            <w:vMerge w:val="restart"/>
          </w:tcPr>
          <w:p>
            <w:pPr>
              <w:ind w:left="2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gridSpan w:val="2"/>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14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8"/>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8"/>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4"/>
          </w:tcPr>
          <w:p>
            <w:pPr>
              <w:ind w:left="94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4"/>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4"/>
          </w:tcPr>
          <w:p>
            <w:pPr>
              <w:jc w:val="center"/>
              <w:ind w:left="855"/>
              <w:spacing w:after="0" w:line="124" w:lineRule="exact"/>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  8)</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3"/>
          </w:tcPr>
          <w:p>
            <w:pPr>
              <w:ind w:left="42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C</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9,514,293</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93"/>
              </w:rPr>
              <w:t>A</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10,635,573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B common stock</w:t>
            </w: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C</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1,873,320</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93"/>
              </w:rPr>
              <w:t>A</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1,873,320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10,635,573</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86"/>
              </w:rPr>
              <w:t>D</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439"/>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w w:val="90"/>
              </w:rPr>
              <w:t>Voting common stock</w:t>
            </w:r>
          </w:p>
        </w:tc>
        <w:tc>
          <w:tcPr>
            <w:tcW w:w="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10,635,573</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93"/>
              </w:rPr>
              <w:t>A</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10,635,573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B common stock</w:t>
            </w: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1,873,320</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86"/>
              </w:rPr>
              <w:t>D</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439"/>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Non-voting common stock</w:t>
            </w:r>
          </w:p>
        </w:tc>
        <w:tc>
          <w:tcPr>
            <w:tcW w:w="10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6"/>
                <w:szCs w:val="16"/>
                <w:color w:val="0000FF"/>
                <w:w w:val="89"/>
              </w:rPr>
              <w:t>05/28/2021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6"/>
                <w:szCs w:val="16"/>
                <w:color w:val="0000FF"/>
                <w:w w:val="89"/>
              </w:rPr>
              <w:t>1,873,320</w:t>
            </w: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w w:val="93"/>
              </w:rPr>
              <w:t>A</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144"/>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1,873,320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8"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8"/>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00" w:type="dxa"/>
            <w:vAlign w:val="bottom"/>
            <w:gridSpan w:val="17"/>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32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60" w:type="dxa"/>
            <w:vAlign w:val="bottom"/>
          </w:tcPr>
          <w:p>
            <w:pPr>
              <w:spacing w:after="0"/>
              <w:rPr>
                <w:sz w:val="15"/>
                <w:szCs w:val="15"/>
                <w:color w:val="auto"/>
              </w:rPr>
            </w:pPr>
          </w:p>
        </w:tc>
        <w:tc>
          <w:tcPr>
            <w:tcW w:w="760" w:type="dxa"/>
            <w:vAlign w:val="bottom"/>
            <w:gridSpan w:val="3"/>
            <w:vMerge w:val="restart"/>
          </w:tcPr>
          <w:p>
            <w:pPr>
              <w:jc w:val="center"/>
              <w:ind w:right="64"/>
              <w:spacing w:after="0"/>
              <w:rPr>
                <w:sz w:val="20"/>
                <w:szCs w:val="20"/>
                <w:color w:val="auto"/>
              </w:rPr>
            </w:pPr>
            <w:r>
              <w:rPr>
                <w:rFonts w:ascii="Arial" w:cs="Arial" w:eastAsia="Arial" w:hAnsi="Arial"/>
                <w:sz w:val="16"/>
                <w:szCs w:val="16"/>
                <w:color w:val="0000FF"/>
                <w:w w:val="85"/>
              </w:rPr>
              <w:t>97,173</w:t>
            </w:r>
            <w:r>
              <w:rPr>
                <w:rFonts w:ascii="Arial" w:cs="Arial" w:eastAsia="Arial" w:hAnsi="Arial"/>
                <w:sz w:val="20"/>
                <w:szCs w:val="20"/>
                <w:color w:val="008000"/>
                <w:w w:val="85"/>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62"/>
              <w:spacing w:after="0" w:line="137" w:lineRule="exact"/>
              <w:rPr>
                <w:sz w:val="20"/>
                <w:szCs w:val="20"/>
                <w:color w:val="auto"/>
              </w:rPr>
            </w:pPr>
            <w:r>
              <w:rPr>
                <w:rFonts w:ascii="Arial" w:cs="Arial" w:eastAsia="Arial" w:hAnsi="Arial"/>
                <w:sz w:val="12"/>
                <w:szCs w:val="12"/>
                <w:color w:val="0000FF"/>
                <w:w w:val="92"/>
              </w:rPr>
              <w:t>97,173</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92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6"/>
              </w:rPr>
              <w:t>2,100,129</w:t>
            </w:r>
            <w:r>
              <w:rPr>
                <w:rFonts w:ascii="Arial" w:cs="Arial" w:eastAsia="Arial" w:hAnsi="Arial"/>
                <w:sz w:val="20"/>
                <w:szCs w:val="20"/>
                <w:color w:val="008000"/>
                <w:w w:val="86"/>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62"/>
              <w:spacing w:after="0" w:line="137" w:lineRule="exact"/>
              <w:rPr>
                <w:sz w:val="20"/>
                <w:szCs w:val="20"/>
                <w:color w:val="auto"/>
              </w:rPr>
            </w:pPr>
            <w:r>
              <w:rPr>
                <w:rFonts w:ascii="Arial" w:cs="Arial" w:eastAsia="Arial" w:hAnsi="Arial"/>
                <w:sz w:val="12"/>
                <w:szCs w:val="12"/>
                <w:color w:val="0000FF"/>
                <w:w w:val="93"/>
              </w:rPr>
              <w:t>2,100,129</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9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60" w:type="dxa"/>
            <w:vAlign w:val="bottom"/>
          </w:tcPr>
          <w:p>
            <w:pPr>
              <w:spacing w:after="0"/>
              <w:rPr>
                <w:sz w:val="15"/>
                <w:szCs w:val="15"/>
                <w:color w:val="auto"/>
              </w:rPr>
            </w:pPr>
          </w:p>
        </w:tc>
        <w:tc>
          <w:tcPr>
            <w:tcW w:w="760" w:type="dxa"/>
            <w:vAlign w:val="bottom"/>
            <w:gridSpan w:val="3"/>
            <w:vMerge w:val="restart"/>
          </w:tcPr>
          <w:p>
            <w:pPr>
              <w:jc w:val="center"/>
              <w:ind w:right="64"/>
              <w:spacing w:after="0"/>
              <w:rPr>
                <w:sz w:val="20"/>
                <w:szCs w:val="20"/>
                <w:color w:val="auto"/>
              </w:rPr>
            </w:pPr>
            <w:r>
              <w:rPr>
                <w:rFonts w:ascii="Arial" w:cs="Arial" w:eastAsia="Arial" w:hAnsi="Arial"/>
                <w:sz w:val="16"/>
                <w:szCs w:val="16"/>
                <w:color w:val="0000FF"/>
                <w:w w:val="86"/>
              </w:rPr>
              <w:t>547,008</w:t>
            </w:r>
            <w:r>
              <w:rPr>
                <w:rFonts w:ascii="Arial" w:cs="Arial" w:eastAsia="Arial" w:hAnsi="Arial"/>
                <w:sz w:val="20"/>
                <w:szCs w:val="20"/>
                <w:color w:val="008000"/>
                <w:w w:val="86"/>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42"/>
              <w:spacing w:after="0" w:line="137" w:lineRule="exact"/>
              <w:rPr>
                <w:sz w:val="20"/>
                <w:szCs w:val="20"/>
                <w:color w:val="auto"/>
              </w:rPr>
            </w:pPr>
            <w:r>
              <w:rPr>
                <w:rFonts w:ascii="Arial" w:cs="Arial" w:eastAsia="Arial" w:hAnsi="Arial"/>
                <w:sz w:val="12"/>
                <w:szCs w:val="12"/>
                <w:color w:val="0000FF"/>
                <w:w w:val="92"/>
              </w:rPr>
              <w:t>547,008</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92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6"/>
              </w:rPr>
              <w:t>6,625,002</w:t>
            </w:r>
            <w:r>
              <w:rPr>
                <w:rFonts w:ascii="Arial" w:cs="Arial" w:eastAsia="Arial" w:hAnsi="Arial"/>
                <w:sz w:val="20"/>
                <w:szCs w:val="20"/>
                <w:color w:val="008000"/>
                <w:w w:val="86"/>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62"/>
              <w:spacing w:after="0" w:line="137" w:lineRule="exact"/>
              <w:rPr>
                <w:sz w:val="20"/>
                <w:szCs w:val="20"/>
                <w:color w:val="auto"/>
              </w:rPr>
            </w:pPr>
            <w:r>
              <w:rPr>
                <w:rFonts w:ascii="Arial" w:cs="Arial" w:eastAsia="Arial" w:hAnsi="Arial"/>
                <w:sz w:val="12"/>
                <w:szCs w:val="12"/>
                <w:color w:val="0000FF"/>
                <w:w w:val="93"/>
              </w:rPr>
              <w:t>6,625,002</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9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E-2</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92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6"/>
              </w:rPr>
              <w:t>1,873,320</w:t>
            </w:r>
            <w:r>
              <w:rPr>
                <w:rFonts w:ascii="Arial" w:cs="Arial" w:eastAsia="Arial" w:hAnsi="Arial"/>
                <w:sz w:val="20"/>
                <w:szCs w:val="20"/>
                <w:color w:val="008000"/>
                <w:w w:val="86"/>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62"/>
              <w:spacing w:after="0" w:line="137" w:lineRule="exact"/>
              <w:rPr>
                <w:sz w:val="20"/>
                <w:szCs w:val="20"/>
                <w:color w:val="auto"/>
              </w:rPr>
            </w:pPr>
            <w:r>
              <w:rPr>
                <w:rFonts w:ascii="Arial" w:cs="Arial" w:eastAsia="Arial" w:hAnsi="Arial"/>
                <w:sz w:val="12"/>
                <w:szCs w:val="12"/>
                <w:color w:val="0000FF"/>
                <w:w w:val="93"/>
              </w:rPr>
              <w:t>1,873,320</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9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F</w:t>
            </w: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5"/>
                <w:szCs w:val="15"/>
                <w:color w:val="auto"/>
              </w:rPr>
            </w:pPr>
          </w:p>
        </w:tc>
        <w:tc>
          <w:tcPr>
            <w:tcW w:w="480" w:type="dxa"/>
            <w:vAlign w:val="bottom"/>
            <w:vMerge w:val="restart"/>
          </w:tcPr>
          <w:p>
            <w:pPr>
              <w:jc w:val="center"/>
              <w:ind w:right="176"/>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60" w:type="dxa"/>
            <w:vAlign w:val="bottom"/>
          </w:tcPr>
          <w:p>
            <w:pPr>
              <w:spacing w:after="0"/>
              <w:rPr>
                <w:sz w:val="15"/>
                <w:szCs w:val="15"/>
                <w:color w:val="auto"/>
              </w:rPr>
            </w:pPr>
          </w:p>
        </w:tc>
        <w:tc>
          <w:tcPr>
            <w:tcW w:w="760" w:type="dxa"/>
            <w:vAlign w:val="bottom"/>
            <w:gridSpan w:val="3"/>
            <w:vMerge w:val="restart"/>
          </w:tcPr>
          <w:p>
            <w:pPr>
              <w:jc w:val="center"/>
              <w:ind w:right="64"/>
              <w:spacing w:after="0"/>
              <w:rPr>
                <w:sz w:val="20"/>
                <w:szCs w:val="20"/>
                <w:color w:val="auto"/>
              </w:rPr>
            </w:pPr>
            <w:r>
              <w:rPr>
                <w:rFonts w:ascii="Arial" w:cs="Arial" w:eastAsia="Arial" w:hAnsi="Arial"/>
                <w:sz w:val="16"/>
                <w:szCs w:val="16"/>
                <w:color w:val="0000FF"/>
                <w:w w:val="86"/>
              </w:rPr>
              <w:t>144,981</w:t>
            </w:r>
            <w:r>
              <w:rPr>
                <w:rFonts w:ascii="Arial" w:cs="Arial" w:eastAsia="Arial" w:hAnsi="Arial"/>
                <w:sz w:val="20"/>
                <w:szCs w:val="20"/>
                <w:color w:val="008000"/>
                <w:w w:val="86"/>
                <w:vertAlign w:val="superscript"/>
              </w:rPr>
              <w:t>(1)</w:t>
            </w:r>
          </w:p>
        </w:tc>
        <w:tc>
          <w:tcPr>
            <w:tcW w:w="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118"/>
              <w:spacing w:after="0" w:line="137" w:lineRule="exact"/>
              <w:rPr>
                <w:sz w:val="20"/>
                <w:szCs w:val="20"/>
                <w:color w:val="auto"/>
              </w:rPr>
            </w:pPr>
            <w:r>
              <w:rPr>
                <w:rFonts w:ascii="Arial" w:cs="Arial" w:eastAsia="Arial" w:hAnsi="Arial"/>
                <w:sz w:val="12"/>
                <w:szCs w:val="12"/>
                <w:color w:val="0000FF"/>
                <w:w w:val="96"/>
              </w:rPr>
              <w:t>05/28/2021</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60"/>
              <w:spacing w:after="0" w:line="137"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142"/>
              <w:spacing w:after="0" w:line="137" w:lineRule="exact"/>
              <w:rPr>
                <w:sz w:val="20"/>
                <w:szCs w:val="20"/>
                <w:color w:val="auto"/>
              </w:rPr>
            </w:pPr>
            <w:r>
              <w:rPr>
                <w:rFonts w:ascii="Arial" w:cs="Arial" w:eastAsia="Arial" w:hAnsi="Arial"/>
                <w:sz w:val="12"/>
                <w:szCs w:val="12"/>
                <w:color w:val="0000FF"/>
                <w:w w:val="92"/>
              </w:rPr>
              <w:t>144,981</w:t>
            </w:r>
          </w:p>
        </w:tc>
        <w:tc>
          <w:tcPr>
            <w:tcW w:w="6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00" w:type="dxa"/>
            <w:vAlign w:val="bottom"/>
          </w:tcPr>
          <w:p>
            <w:pPr>
              <w:jc w:val="center"/>
              <w:spacing w:after="0" w:line="137" w:lineRule="exact"/>
              <w:rPr>
                <w:sz w:val="20"/>
                <w:szCs w:val="20"/>
                <w:color w:val="auto"/>
              </w:rPr>
            </w:pPr>
            <w:r>
              <w:rPr>
                <w:rFonts w:ascii="Arial" w:cs="Arial" w:eastAsia="Arial" w:hAnsi="Arial"/>
                <w:sz w:val="12"/>
                <w:szCs w:val="12"/>
                <w:color w:val="0000FF"/>
                <w:w w:val="95"/>
              </w:rPr>
              <w:t>common</w:t>
            </w: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7" w:lineRule="exact"/>
              <w:rPr>
                <w:sz w:val="20"/>
                <w:szCs w:val="20"/>
                <w:color w:val="auto"/>
              </w:rPr>
            </w:pPr>
            <w:r>
              <w:rPr>
                <w:rFonts w:ascii="Arial" w:cs="Arial" w:eastAsia="Arial" w:hAnsi="Arial"/>
                <w:sz w:val="12"/>
                <w:szCs w:val="12"/>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00FF"/>
                <w:w w:val="92"/>
              </w:rPr>
              <w:t>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3420" w:type="dxa"/>
            <w:vAlign w:val="bottom"/>
            <w:tcBorders>
              <w:top w:val="single" w:sz="8" w:color="2C2C2C"/>
            </w:tcBorders>
            <w:gridSpan w:val="8"/>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5"/>
          </w:tcPr>
          <w:p>
            <w:pPr>
              <w:spacing w:after="0" w:line="206" w:lineRule="exact"/>
              <w:rPr>
                <w:rFonts w:ascii="Arial" w:cs="Arial" w:eastAsia="Arial" w:hAnsi="Arial"/>
                <w:sz w:val="20"/>
                <w:szCs w:val="20"/>
                <w:color w:val="0000EE"/>
                <w:w w:val="94"/>
              </w:rPr>
            </w:pPr>
            <w:hyperlink r:id="rId12">
              <w:r>
                <w:rPr>
                  <w:rFonts w:ascii="Arial" w:cs="Arial" w:eastAsia="Arial" w:hAnsi="Arial"/>
                  <w:sz w:val="20"/>
                  <w:szCs w:val="20"/>
                  <w:color w:val="0000EE"/>
                  <w:w w:val="94"/>
                </w:rPr>
                <w:t>Ossa Investments Pte. Ltd.</w:t>
              </w:r>
            </w:hyperlink>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tcPr>
          <w:p>
            <w:pPr>
              <w:ind w:left="50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20" w:type="dxa"/>
            <w:vAlign w:val="bottom"/>
            <w:gridSpan w:val="6"/>
          </w:tcPr>
          <w:p>
            <w:pPr>
              <w:spacing w:after="0"/>
              <w:rPr>
                <w:sz w:val="20"/>
                <w:szCs w:val="20"/>
                <w:color w:val="auto"/>
              </w:rPr>
            </w:pPr>
            <w:r>
              <w:rPr>
                <w:rFonts w:ascii="Arial" w:cs="Arial" w:eastAsia="Arial" w:hAnsi="Arial"/>
                <w:sz w:val="16"/>
                <w:szCs w:val="16"/>
                <w:color w:val="0000FF"/>
              </w:rPr>
              <w:t>60B ORCHARD ROAD, #06-18 TOWER 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Arial" w:cs="Arial" w:eastAsia="Arial" w:hAnsi="Arial"/>
                <w:sz w:val="16"/>
                <w:szCs w:val="16"/>
                <w:color w:val="0000FF"/>
              </w:rPr>
              <w:t>THE ATRIUM@ORCHARD</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SINGAPORE</w:t>
            </w:r>
          </w:p>
        </w:tc>
        <w:tc>
          <w:tcPr>
            <w:tcW w:w="18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0000FF"/>
              </w:rPr>
              <w:t>U0</w:t>
            </w:r>
          </w:p>
        </w:tc>
        <w:tc>
          <w:tcPr>
            <w:tcW w:w="1020" w:type="dxa"/>
            <w:vAlign w:val="bottom"/>
          </w:tcPr>
          <w:p>
            <w:pPr>
              <w:ind w:left="500"/>
              <w:spacing w:after="0"/>
              <w:rPr>
                <w:sz w:val="20"/>
                <w:szCs w:val="20"/>
                <w:color w:val="auto"/>
              </w:rPr>
            </w:pPr>
            <w:r>
              <w:rPr>
                <w:rFonts w:ascii="Arial" w:cs="Arial" w:eastAsia="Arial" w:hAnsi="Arial"/>
                <w:sz w:val="16"/>
                <w:szCs w:val="16"/>
                <w:color w:val="0000FF"/>
                <w:w w:val="93"/>
              </w:rPr>
              <w:t>238891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50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-4928235</wp:posOffset>
            </wp:positionV>
            <wp:extent cx="28575" cy="3319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19145"/>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Hotham Investments Pte. Ltd.</w:t>
        </w:r>
      </w:hyperlink>
    </w:p>
    <w:p>
      <w:pPr>
        <w:sectPr>
          <w:pgSz w:w="11900" w:h="16838" w:orient="portrait"/>
          <w:cols w:equalWidth="0" w:num="1">
            <w:col w:w="11080"/>
          </w:cols>
          <w:pgMar w:left="460" w:top="220" w:right="359" w:bottom="0" w:gutter="0" w:footer="0" w:header="0"/>
          <w:type w:val="continuous"/>
        </w:sectPr>
      </w:pPr>
    </w:p>
    <w:p>
      <w:pPr>
        <w:spacing w:after="0" w:line="294"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60B ORCHARD ROAD, #06-18 TOWER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-110490</wp:posOffset>
            </wp:positionV>
            <wp:extent cx="2814955" cy="4370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4955" cy="4370070"/>
                    </a:xfrm>
                    <a:prstGeom prst="rect">
                      <a:avLst/>
                    </a:prstGeom>
                    <a:noFill/>
                  </pic:spPr>
                </pic:pic>
              </a:graphicData>
            </a:graphic>
          </wp:anchor>
        </w:drawing>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THE ATRIUM@ORCHARD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SINGAPORE</w:t>
            </w:r>
          </w:p>
        </w:tc>
        <w:tc>
          <w:tcPr>
            <w:tcW w:w="1520" w:type="dxa"/>
            <w:vAlign w:val="bottom"/>
            <w:gridSpan w:val="3"/>
          </w:tcPr>
          <w:p>
            <w:pPr>
              <w:ind w:left="260"/>
              <w:spacing w:after="0"/>
              <w:rPr>
                <w:sz w:val="20"/>
                <w:szCs w:val="20"/>
                <w:color w:val="auto"/>
              </w:rPr>
            </w:pPr>
            <w:r>
              <w:rPr>
                <w:rFonts w:ascii="Arial" w:cs="Arial" w:eastAsia="Arial" w:hAnsi="Arial"/>
                <w:sz w:val="16"/>
                <w:szCs w:val="16"/>
                <w:color w:val="0000FF"/>
              </w:rPr>
              <w:t>U0</w:t>
            </w:r>
          </w:p>
        </w:tc>
        <w:tc>
          <w:tcPr>
            <w:tcW w:w="1520" w:type="dxa"/>
            <w:vAlign w:val="bottom"/>
          </w:tcPr>
          <w:p>
            <w:pPr>
              <w:ind w:left="140"/>
              <w:spacing w:after="0"/>
              <w:rPr>
                <w:sz w:val="20"/>
                <w:szCs w:val="20"/>
                <w:color w:val="auto"/>
              </w:rPr>
            </w:pPr>
            <w:r>
              <w:rPr>
                <w:rFonts w:ascii="Arial" w:cs="Arial" w:eastAsia="Arial" w:hAnsi="Arial"/>
                <w:sz w:val="16"/>
                <w:szCs w:val="16"/>
                <w:color w:val="0000FF"/>
              </w:rPr>
              <w:t>238891</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gridSpan w:val="4"/>
          </w:tcPr>
          <w:p>
            <w:pPr>
              <w:spacing w:after="0" w:line="206" w:lineRule="exact"/>
              <w:rPr>
                <w:rFonts w:ascii="Arial" w:cs="Arial" w:eastAsia="Arial" w:hAnsi="Arial"/>
                <w:sz w:val="20"/>
                <w:szCs w:val="20"/>
                <w:color w:val="0000EE"/>
                <w:w w:val="98"/>
              </w:rPr>
            </w:pPr>
            <w:hyperlink r:id="rId17">
              <w:r>
                <w:rPr>
                  <w:rFonts w:ascii="Arial" w:cs="Arial" w:eastAsia="Arial" w:hAnsi="Arial"/>
                  <w:sz w:val="20"/>
                  <w:szCs w:val="20"/>
                  <w:color w:val="0000EE"/>
                  <w:w w:val="98"/>
                </w:rPr>
                <w:t>Fullerton Management Pte Ltd</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30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52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Arial" w:cs="Arial" w:eastAsia="Arial" w:hAnsi="Arial"/>
                <w:sz w:val="16"/>
                <w:szCs w:val="16"/>
                <w:color w:val="0000FF"/>
              </w:rPr>
              <w:t>60B ORCHARD ROAD, #06-18 TOWER 2,</w:t>
            </w: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Arial" w:cs="Arial" w:eastAsia="Arial" w:hAnsi="Arial"/>
                <w:sz w:val="16"/>
                <w:szCs w:val="16"/>
                <w:color w:val="0000FF"/>
              </w:rPr>
              <w:t>THE ATRIUM@ORCHARD</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SINGAPORE</w:t>
            </w:r>
          </w:p>
        </w:tc>
        <w:tc>
          <w:tcPr>
            <w:tcW w:w="1520" w:type="dxa"/>
            <w:vAlign w:val="bottom"/>
            <w:gridSpan w:val="3"/>
          </w:tcPr>
          <w:p>
            <w:pPr>
              <w:ind w:left="260"/>
              <w:spacing w:after="0"/>
              <w:rPr>
                <w:sz w:val="20"/>
                <w:szCs w:val="20"/>
                <w:color w:val="auto"/>
              </w:rPr>
            </w:pPr>
            <w:r>
              <w:rPr>
                <w:rFonts w:ascii="Arial" w:cs="Arial" w:eastAsia="Arial" w:hAnsi="Arial"/>
                <w:sz w:val="16"/>
                <w:szCs w:val="16"/>
                <w:color w:val="0000FF"/>
              </w:rPr>
              <w:t>U0</w:t>
            </w:r>
          </w:p>
        </w:tc>
        <w:tc>
          <w:tcPr>
            <w:tcW w:w="1520" w:type="dxa"/>
            <w:vAlign w:val="bottom"/>
          </w:tcPr>
          <w:p>
            <w:pPr>
              <w:ind w:left="140"/>
              <w:spacing w:after="0"/>
              <w:rPr>
                <w:sz w:val="20"/>
                <w:szCs w:val="20"/>
                <w:color w:val="auto"/>
              </w:rPr>
            </w:pPr>
            <w:r>
              <w:rPr>
                <w:rFonts w:ascii="Arial" w:cs="Arial" w:eastAsia="Arial" w:hAnsi="Arial"/>
                <w:sz w:val="16"/>
                <w:szCs w:val="16"/>
                <w:color w:val="0000FF"/>
              </w:rPr>
              <w:t>238891</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gridSpan w:val="4"/>
          </w:tcPr>
          <w:p>
            <w:pPr>
              <w:spacing w:after="0" w:line="206" w:lineRule="exact"/>
              <w:rPr>
                <w:rFonts w:ascii="Arial" w:cs="Arial" w:eastAsia="Arial" w:hAnsi="Arial"/>
                <w:sz w:val="20"/>
                <w:szCs w:val="20"/>
                <w:color w:val="0000EE"/>
                <w:w w:val="94"/>
              </w:rPr>
            </w:pPr>
            <w:hyperlink r:id="rId18">
              <w:r>
                <w:rPr>
                  <w:rFonts w:ascii="Arial" w:cs="Arial" w:eastAsia="Arial" w:hAnsi="Arial"/>
                  <w:sz w:val="20"/>
                  <w:szCs w:val="20"/>
                  <w:color w:val="0000EE"/>
                  <w:w w:val="94"/>
                </w:rPr>
                <w:t>Temasek Holdings (Private) Ltd</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30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52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Arial" w:cs="Arial" w:eastAsia="Arial" w:hAnsi="Arial"/>
                <w:sz w:val="16"/>
                <w:szCs w:val="16"/>
                <w:color w:val="0000FF"/>
              </w:rPr>
              <w:t>60B ORCHARD ROAD, #06-18 TOWER 2,</w:t>
            </w: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Arial" w:cs="Arial" w:eastAsia="Arial" w:hAnsi="Arial"/>
                <w:sz w:val="16"/>
                <w:szCs w:val="16"/>
                <w:color w:val="0000FF"/>
              </w:rPr>
              <w:t>THE ATRIUM@ORCHARD</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SINGAPORE</w:t>
            </w:r>
          </w:p>
        </w:tc>
        <w:tc>
          <w:tcPr>
            <w:tcW w:w="1520" w:type="dxa"/>
            <w:vAlign w:val="bottom"/>
            <w:gridSpan w:val="3"/>
          </w:tcPr>
          <w:p>
            <w:pPr>
              <w:ind w:left="260"/>
              <w:spacing w:after="0"/>
              <w:rPr>
                <w:sz w:val="20"/>
                <w:szCs w:val="20"/>
                <w:color w:val="auto"/>
              </w:rPr>
            </w:pPr>
            <w:r>
              <w:rPr>
                <w:rFonts w:ascii="Arial" w:cs="Arial" w:eastAsia="Arial" w:hAnsi="Arial"/>
                <w:sz w:val="16"/>
                <w:szCs w:val="16"/>
                <w:color w:val="0000FF"/>
              </w:rPr>
              <w:t>U0</w:t>
            </w:r>
          </w:p>
        </w:tc>
        <w:tc>
          <w:tcPr>
            <w:tcW w:w="1520" w:type="dxa"/>
            <w:vAlign w:val="bottom"/>
          </w:tcPr>
          <w:p>
            <w:pPr>
              <w:ind w:left="140"/>
              <w:spacing w:after="0"/>
              <w:rPr>
                <w:sz w:val="20"/>
                <w:szCs w:val="20"/>
                <w:color w:val="auto"/>
              </w:rPr>
            </w:pPr>
            <w:r>
              <w:rPr>
                <w:rFonts w:ascii="Arial" w:cs="Arial" w:eastAsia="Arial" w:hAnsi="Arial"/>
                <w:sz w:val="16"/>
                <w:szCs w:val="16"/>
                <w:color w:val="0000FF"/>
              </w:rPr>
              <w:t>238891</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hanging="4"/>
        <w:spacing w:after="0" w:line="24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Immediately prior to the completion of the Issuer's initial public offering of its voting common stock on May 28, 2021, each share of Series A preferred stock, Series B preferred stock, Series C preferred stock, Series D preferred stock and Series F preferred stock automatically converted into one share of Class A common stock and each share of Series E-2 preferred stock automatically converted into one share of Class B common stock, in each case without payment or further consideration. The preferred stock had no expiration date. Immediately thereafter, but still prior to the completion of the initial public offering, the Class A common stock and Class B common stock were reclassified into voting common stock and non-voting common stock, respectively, in exempt transactions under Rule 16b-7.</w:t>
      </w:r>
    </w:p>
    <w:p>
      <w:pPr>
        <w:spacing w:after="0" w:line="25" w:lineRule="exact"/>
        <w:rPr>
          <w:rFonts w:ascii="Arial" w:cs="Arial" w:eastAsia="Arial" w:hAnsi="Arial"/>
          <w:sz w:val="12"/>
          <w:szCs w:val="12"/>
          <w:color w:val="008000"/>
        </w:rPr>
      </w:pPr>
    </w:p>
    <w:p>
      <w:pPr>
        <w:ind w:left="20" w:right="160" w:hanging="4"/>
        <w:spacing w:after="0" w:line="253"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reported herein are held of record by Ossa Investments Pte. Ltd. ("Ossa Investments"), which is a direct wholly-owned subsidiary of Hotham Investments Pte. Ltd. ("Hotham"). Hotham is a direct wholly-owned subsidiary of Fullerton Management Pte Ltd ("FMPL"), which in turn is a direct wholly-owned subsidiary of Temasek Holdings (Private) Limited ("Temasek Holdings"). Hotham, FMPL and Temasek Holdings may therefore be deemed to have or share beneficial ownership of the securities held by Ossa Investments.</w:t>
      </w:r>
    </w:p>
    <w:p>
      <w:pPr>
        <w:sectPr>
          <w:pgSz w:w="11900" w:h="16838" w:orient="portrait"/>
          <w:cols w:equalWidth="0" w:num="1">
            <w:col w:w="10840"/>
          </w:cols>
          <w:pgMar w:left="480" w:top="131" w:right="57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4"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Ossa Investments Pte.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12941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94130" cy="762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Han Sack Teng,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1391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3919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Hotham Investments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wp:posOffset>
            </wp:positionV>
            <wp:extent cx="12515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By: /s/ Han Sack Teng,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wp:posOffset>
            </wp:positionV>
            <wp:extent cx="13125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60"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Fullerton Management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-635</wp:posOffset>
            </wp:positionV>
            <wp:extent cx="12858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By: /s/ Gregory Tan,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2071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Temasek Holdings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-8255</wp:posOffset>
            </wp:positionV>
            <wp:extent cx="11474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4744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Limited, By: /s/ Jason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12604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Lee,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0890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640" w:space="140"/>
            <w:col w:w="2060"/>
          </w:cols>
          <w:pgMar w:left="480" w:top="131" w:right="57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660" w:hanging="4"/>
        <w:spacing w:after="0" w:line="321"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810133"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810114" TargetMode="External"/><Relationship Id="rId17" Type="http://schemas.openxmlformats.org/officeDocument/2006/relationships/hyperlink" Target="http://www.sec.gov/cgi-bin/browse-edgar?action=getcompany&amp;CIK=0001379348" TargetMode="External"/><Relationship Id="rId18" Type="http://schemas.openxmlformats.org/officeDocument/2006/relationships/hyperlink" Target="http://www.sec.gov/cgi-bin/browse-edgar?action=getcompany&amp;CIK=0001021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2021-06-01T05:36:31Z</dcterms:created>
  <dcterms:modified xsi:type="dcterms:W3CDTF">2021-06-01T05:36:31Z</dcterms:modified>
</cp:coreProperties>
</file>