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w w:val="95"/>
              </w:rPr>
            </w:pPr>
            <w:hyperlink r:id="rId10">
              <w:r>
                <w:rPr>
                  <w:rFonts w:ascii="Arial" w:cs="Arial" w:eastAsia="Arial" w:hAnsi="Arial"/>
                  <w:sz w:val="24"/>
                  <w:szCs w:val="24"/>
                  <w:color w:val="0000EE"/>
                  <w:w w:val="95"/>
                </w:rPr>
                <w:t>Ossa Investments Pte. Ltd.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60B ORCHARD ROAD, #06-18 TOWER 2,</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THE ATRIUM@ORCHARD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SINGAPORE U0</w:t>
            </w:r>
          </w:p>
        </w:tc>
        <w:tc>
          <w:tcPr>
            <w:tcW w:w="940" w:type="dxa"/>
            <w:vAlign w:val="bottom"/>
          </w:tcPr>
          <w:p>
            <w:pPr>
              <w:jc w:val="right"/>
              <w:spacing w:after="0"/>
              <w:rPr>
                <w:sz w:val="20"/>
                <w:szCs w:val="20"/>
                <w:color w:val="auto"/>
              </w:rPr>
            </w:pPr>
            <w:r>
              <w:rPr>
                <w:rFonts w:ascii="Arial" w:cs="Arial" w:eastAsia="Arial" w:hAnsi="Arial"/>
                <w:sz w:val="20"/>
                <w:szCs w:val="20"/>
                <w:color w:val="0000FF"/>
              </w:rPr>
              <w:t>238891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Class A 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60"/>
              <w:spacing w:after="0"/>
              <w:rPr>
                <w:sz w:val="20"/>
                <w:szCs w:val="20"/>
                <w:color w:val="auto"/>
              </w:rPr>
            </w:pPr>
            <w:r>
              <w:rPr>
                <w:rFonts w:ascii="Arial" w:cs="Arial" w:eastAsia="Arial" w:hAnsi="Arial"/>
                <w:sz w:val="20"/>
                <w:szCs w:val="20"/>
                <w:color w:val="0000FF"/>
              </w:rPr>
              <w:t>1,121,280</w:t>
            </w:r>
          </w:p>
        </w:tc>
        <w:tc>
          <w:tcPr>
            <w:tcW w:w="1000" w:type="dxa"/>
            <w:vAlign w:val="bottom"/>
            <w:tcBorders>
              <w:bottom w:val="single" w:sz="8" w:color="2C2C2C"/>
            </w:tcBorders>
            <w:gridSpan w:val="2"/>
          </w:tcPr>
          <w:p>
            <w:pPr>
              <w:ind w:left="720"/>
              <w:spacing w:after="0" w:line="359" w:lineRule="exact"/>
              <w:rPr>
                <w:sz w:val="20"/>
                <w:szCs w:val="20"/>
                <w:color w:val="auto"/>
              </w:rPr>
            </w:pPr>
            <w:r>
              <w:rPr>
                <w:rFonts w:ascii="Arial" w:cs="Arial" w:eastAsia="Arial" w:hAnsi="Arial"/>
                <w:sz w:val="39"/>
                <w:szCs w:val="39"/>
                <w:color w:val="0000FF"/>
                <w:w w:val="74"/>
                <w:vertAlign w:val="subscript"/>
              </w:rPr>
              <w:t>D</w:t>
            </w:r>
            <w:r>
              <w:rPr>
                <w:rFonts w:ascii="Arial" w:cs="Arial" w:eastAsia="Arial" w:hAnsi="Arial"/>
                <w:sz w:val="13"/>
                <w:szCs w:val="13"/>
                <w:color w:val="008000"/>
                <w:w w:val="74"/>
              </w:rPr>
              <w:t>(1)</w:t>
            </w: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8"/>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7"/>
                <w:szCs w:val="17"/>
                <w:color w:val="auto"/>
              </w:rPr>
            </w:pPr>
          </w:p>
        </w:tc>
        <w:tc>
          <w:tcPr>
            <w:tcW w:w="186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0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6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94"/>
              </w:rPr>
              <w:t>(2)(3)</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84"/>
              </w:rPr>
              <w:t>97,173</w:t>
            </w:r>
          </w:p>
        </w:tc>
        <w:tc>
          <w:tcPr>
            <w:tcW w:w="80" w:type="dxa"/>
            <w:vAlign w:val="bottom"/>
          </w:tcPr>
          <w:p>
            <w:pPr>
              <w:spacing w:after="0"/>
              <w:rPr>
                <w:sz w:val="24"/>
                <w:szCs w:val="24"/>
                <w:color w:val="auto"/>
              </w:rPr>
            </w:pPr>
          </w:p>
        </w:tc>
        <w:tc>
          <w:tcPr>
            <w:tcW w:w="900" w:type="dxa"/>
            <w:vAlign w:val="bottom"/>
            <w:gridSpan w:val="2"/>
            <w:vMerge w:val="restart"/>
          </w:tcPr>
          <w:p>
            <w:pPr>
              <w:jc w:val="right"/>
              <w:ind w:right="265"/>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4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9"/>
              </w:rPr>
              <w:t>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116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94"/>
              </w:rPr>
              <w:t>(2)(3)</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87"/>
              </w:rPr>
              <w:t>2,100,129</w:t>
            </w:r>
          </w:p>
        </w:tc>
        <w:tc>
          <w:tcPr>
            <w:tcW w:w="80" w:type="dxa"/>
            <w:vAlign w:val="bottom"/>
          </w:tcPr>
          <w:p>
            <w:pPr>
              <w:spacing w:after="0"/>
              <w:rPr>
                <w:sz w:val="24"/>
                <w:szCs w:val="24"/>
                <w:color w:val="auto"/>
              </w:rPr>
            </w:pPr>
          </w:p>
        </w:tc>
        <w:tc>
          <w:tcPr>
            <w:tcW w:w="900" w:type="dxa"/>
            <w:vAlign w:val="bottom"/>
            <w:gridSpan w:val="2"/>
            <w:vMerge w:val="restart"/>
          </w:tcPr>
          <w:p>
            <w:pPr>
              <w:jc w:val="right"/>
              <w:ind w:right="265"/>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4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9"/>
              </w:rPr>
              <w:t>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6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94"/>
              </w:rPr>
              <w:t>(2)(3)</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88"/>
              </w:rPr>
              <w:t>547,008</w:t>
            </w:r>
          </w:p>
        </w:tc>
        <w:tc>
          <w:tcPr>
            <w:tcW w:w="80" w:type="dxa"/>
            <w:vAlign w:val="bottom"/>
          </w:tcPr>
          <w:p>
            <w:pPr>
              <w:spacing w:after="0"/>
              <w:rPr>
                <w:sz w:val="24"/>
                <w:szCs w:val="24"/>
                <w:color w:val="auto"/>
              </w:rPr>
            </w:pPr>
          </w:p>
        </w:tc>
        <w:tc>
          <w:tcPr>
            <w:tcW w:w="900" w:type="dxa"/>
            <w:vAlign w:val="bottom"/>
            <w:gridSpan w:val="2"/>
            <w:vMerge w:val="restart"/>
          </w:tcPr>
          <w:p>
            <w:pPr>
              <w:jc w:val="right"/>
              <w:ind w:right="265"/>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4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9"/>
              </w:rPr>
              <w:t>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D preferred stock</w:t>
            </w:r>
          </w:p>
        </w:tc>
        <w:tc>
          <w:tcPr>
            <w:tcW w:w="116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94"/>
              </w:rPr>
              <w:t>(2)(3)</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87"/>
              </w:rPr>
              <w:t>6,625,002</w:t>
            </w:r>
          </w:p>
        </w:tc>
        <w:tc>
          <w:tcPr>
            <w:tcW w:w="80" w:type="dxa"/>
            <w:vAlign w:val="bottom"/>
          </w:tcPr>
          <w:p>
            <w:pPr>
              <w:spacing w:after="0"/>
              <w:rPr>
                <w:sz w:val="24"/>
                <w:szCs w:val="24"/>
                <w:color w:val="auto"/>
              </w:rPr>
            </w:pPr>
          </w:p>
        </w:tc>
        <w:tc>
          <w:tcPr>
            <w:tcW w:w="900" w:type="dxa"/>
            <w:vAlign w:val="bottom"/>
            <w:gridSpan w:val="2"/>
            <w:vMerge w:val="restart"/>
          </w:tcPr>
          <w:p>
            <w:pPr>
              <w:jc w:val="right"/>
              <w:ind w:right="265"/>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4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9"/>
              </w:rPr>
              <w:t>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E-2 preferred stock</w:t>
            </w:r>
          </w:p>
        </w:tc>
        <w:tc>
          <w:tcPr>
            <w:tcW w:w="116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94"/>
              </w:rPr>
              <w:t>(2)(3)</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B common</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87"/>
              </w:rPr>
              <w:t>1,873,320</w:t>
            </w:r>
          </w:p>
        </w:tc>
        <w:tc>
          <w:tcPr>
            <w:tcW w:w="80" w:type="dxa"/>
            <w:vAlign w:val="bottom"/>
          </w:tcPr>
          <w:p>
            <w:pPr>
              <w:spacing w:after="0"/>
              <w:rPr>
                <w:sz w:val="24"/>
                <w:szCs w:val="24"/>
                <w:color w:val="auto"/>
              </w:rPr>
            </w:pPr>
          </w:p>
        </w:tc>
        <w:tc>
          <w:tcPr>
            <w:tcW w:w="900" w:type="dxa"/>
            <w:vAlign w:val="bottom"/>
            <w:gridSpan w:val="2"/>
            <w:vMerge w:val="restart"/>
          </w:tcPr>
          <w:p>
            <w:pPr>
              <w:jc w:val="right"/>
              <w:ind w:right="265"/>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4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9"/>
              </w:rPr>
              <w:t>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F preferred stock</w:t>
            </w:r>
          </w:p>
        </w:tc>
        <w:tc>
          <w:tcPr>
            <w:tcW w:w="116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94"/>
              </w:rPr>
              <w:t>(2)(3)</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88"/>
              </w:rPr>
              <w:t>144,981</w:t>
            </w:r>
          </w:p>
        </w:tc>
        <w:tc>
          <w:tcPr>
            <w:tcW w:w="80" w:type="dxa"/>
            <w:vAlign w:val="bottom"/>
          </w:tcPr>
          <w:p>
            <w:pPr>
              <w:spacing w:after="0"/>
              <w:rPr>
                <w:sz w:val="24"/>
                <w:szCs w:val="24"/>
                <w:color w:val="auto"/>
              </w:rPr>
            </w:pPr>
          </w:p>
        </w:tc>
        <w:tc>
          <w:tcPr>
            <w:tcW w:w="900" w:type="dxa"/>
            <w:vAlign w:val="bottom"/>
            <w:gridSpan w:val="2"/>
            <w:vMerge w:val="restart"/>
          </w:tcPr>
          <w:p>
            <w:pPr>
              <w:jc w:val="right"/>
              <w:ind w:right="265"/>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34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9"/>
              </w:rPr>
              <w:t>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gridSpan w:val="2"/>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2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line="249" w:lineRule="exact"/>
              <w:rPr>
                <w:rFonts w:ascii="Arial" w:cs="Arial" w:eastAsia="Arial" w:hAnsi="Arial"/>
                <w:sz w:val="24"/>
                <w:szCs w:val="24"/>
                <w:color w:val="0000EE"/>
                <w:w w:val="90"/>
              </w:rPr>
            </w:pPr>
            <w:hyperlink r:id="rId10">
              <w:r>
                <w:rPr>
                  <w:rFonts w:ascii="Arial" w:cs="Arial" w:eastAsia="Arial" w:hAnsi="Arial"/>
                  <w:sz w:val="24"/>
                  <w:szCs w:val="24"/>
                  <w:color w:val="0000EE"/>
                  <w:w w:val="90"/>
                </w:rPr>
                <w:t>Ossa Investments Pte. Ltd.</w:t>
              </w:r>
            </w:hyperlink>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20"/>
                <w:szCs w:val="20"/>
                <w:color w:val="0000FF"/>
                <w:w w:val="99"/>
              </w:rPr>
              <w:t>60B ORCHARD ROAD, #06-18 TOWER 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20"/>
                <w:szCs w:val="20"/>
                <w:color w:val="0000FF"/>
              </w:rPr>
              <w:t>THE ATRIUM@ORCHARD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20"/>
                <w:szCs w:val="20"/>
                <w:color w:val="0000FF"/>
              </w:rPr>
              <w:t>SINGAPORE</w:t>
            </w:r>
          </w:p>
        </w:tc>
        <w:tc>
          <w:tcPr>
            <w:tcW w:w="1400" w:type="dxa"/>
            <w:vAlign w:val="bottom"/>
            <w:gridSpan w:val="2"/>
          </w:tcPr>
          <w:p>
            <w:pPr>
              <w:ind w:left="140"/>
              <w:spacing w:after="0"/>
              <w:rPr>
                <w:sz w:val="20"/>
                <w:szCs w:val="20"/>
                <w:color w:val="auto"/>
              </w:rPr>
            </w:pPr>
            <w:r>
              <w:rPr>
                <w:rFonts w:ascii="Arial" w:cs="Arial" w:eastAsia="Arial" w:hAnsi="Arial"/>
                <w:sz w:val="20"/>
                <w:szCs w:val="20"/>
                <w:color w:val="0000FF"/>
              </w:rPr>
              <w:t>U0</w:t>
            </w:r>
          </w:p>
        </w:tc>
        <w:tc>
          <w:tcPr>
            <w:tcW w:w="1160" w:type="dxa"/>
            <w:vAlign w:val="bottom"/>
            <w:gridSpan w:val="2"/>
          </w:tcPr>
          <w:p>
            <w:pPr>
              <w:ind w:left="120"/>
              <w:spacing w:after="0"/>
              <w:rPr>
                <w:sz w:val="20"/>
                <w:szCs w:val="20"/>
                <w:color w:val="auto"/>
              </w:rPr>
            </w:pPr>
            <w:r>
              <w:rPr>
                <w:rFonts w:ascii="Arial" w:cs="Arial" w:eastAsia="Arial" w:hAnsi="Arial"/>
                <w:sz w:val="20"/>
                <w:szCs w:val="20"/>
                <w:color w:val="0000FF"/>
              </w:rPr>
              <w:t>238891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0940"/>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044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6044565"/>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Hotham Investments Pte. Ltd.</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60B ORCHARD ROAD, #06-18 TOWER 2,</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THE ATRIUM@ORCHARD</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20"/>
                <w:szCs w:val="20"/>
                <w:color w:val="0000FF"/>
              </w:rPr>
              <w:t>SINGAPORE</w:t>
            </w:r>
          </w:p>
        </w:tc>
        <w:tc>
          <w:tcPr>
            <w:tcW w:w="1060" w:type="dxa"/>
            <w:vAlign w:val="bottom"/>
          </w:tcPr>
          <w:p>
            <w:pPr>
              <w:ind w:left="140"/>
              <w:spacing w:after="0"/>
              <w:rPr>
                <w:sz w:val="20"/>
                <w:szCs w:val="20"/>
                <w:color w:val="auto"/>
              </w:rPr>
            </w:pPr>
            <w:r>
              <w:rPr>
                <w:rFonts w:ascii="Arial" w:cs="Arial" w:eastAsia="Arial" w:hAnsi="Arial"/>
                <w:sz w:val="20"/>
                <w:szCs w:val="20"/>
                <w:color w:val="0000FF"/>
              </w:rPr>
              <w:t>U0</w:t>
            </w:r>
          </w:p>
        </w:tc>
        <w:tc>
          <w:tcPr>
            <w:tcW w:w="1800" w:type="dxa"/>
            <w:vAlign w:val="bottom"/>
          </w:tcPr>
          <w:p>
            <w:pPr>
              <w:ind w:left="460"/>
              <w:spacing w:after="0"/>
              <w:rPr>
                <w:sz w:val="20"/>
                <w:szCs w:val="20"/>
                <w:color w:val="auto"/>
              </w:rPr>
            </w:pPr>
            <w:r>
              <w:rPr>
                <w:rFonts w:ascii="Arial" w:cs="Arial" w:eastAsia="Arial" w:hAnsi="Arial"/>
                <w:sz w:val="20"/>
                <w:szCs w:val="20"/>
                <w:color w:val="0000FF"/>
              </w:rPr>
              <w:t>238891</w:t>
            </w: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060" w:type="dxa"/>
            <w:vAlign w:val="bottom"/>
          </w:tcPr>
          <w:p>
            <w:pPr>
              <w:ind w:left="1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Fullerton Management Pte Ltd</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60B ORCHARD ROAD, #06-18 TOWER 2,</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THE ATRIUM@ORCHARD</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20"/>
                <w:szCs w:val="20"/>
                <w:color w:val="0000FF"/>
              </w:rPr>
              <w:t>SINGAPORE</w:t>
            </w:r>
          </w:p>
        </w:tc>
        <w:tc>
          <w:tcPr>
            <w:tcW w:w="1060" w:type="dxa"/>
            <w:vAlign w:val="bottom"/>
          </w:tcPr>
          <w:p>
            <w:pPr>
              <w:ind w:left="140"/>
              <w:spacing w:after="0"/>
              <w:rPr>
                <w:sz w:val="20"/>
                <w:szCs w:val="20"/>
                <w:color w:val="auto"/>
              </w:rPr>
            </w:pPr>
            <w:r>
              <w:rPr>
                <w:rFonts w:ascii="Arial" w:cs="Arial" w:eastAsia="Arial" w:hAnsi="Arial"/>
                <w:sz w:val="20"/>
                <w:szCs w:val="20"/>
                <w:color w:val="0000FF"/>
              </w:rPr>
              <w:t>U0</w:t>
            </w:r>
          </w:p>
        </w:tc>
        <w:tc>
          <w:tcPr>
            <w:tcW w:w="1800" w:type="dxa"/>
            <w:vAlign w:val="bottom"/>
          </w:tcPr>
          <w:p>
            <w:pPr>
              <w:ind w:left="460"/>
              <w:spacing w:after="0"/>
              <w:rPr>
                <w:sz w:val="20"/>
                <w:szCs w:val="20"/>
                <w:color w:val="auto"/>
              </w:rPr>
            </w:pPr>
            <w:r>
              <w:rPr>
                <w:rFonts w:ascii="Arial" w:cs="Arial" w:eastAsia="Arial" w:hAnsi="Arial"/>
                <w:sz w:val="20"/>
                <w:szCs w:val="20"/>
                <w:color w:val="0000FF"/>
              </w:rPr>
              <w:t>238891</w:t>
            </w: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060" w:type="dxa"/>
            <w:vAlign w:val="bottom"/>
          </w:tcPr>
          <w:p>
            <w:pPr>
              <w:ind w:left="1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Temasek Holdings (Private) Ltd</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60B ORCHARD ROAD, #06-18 TOWER 2,</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THE ATRIUM@ORCHARD</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20"/>
                <w:szCs w:val="20"/>
                <w:color w:val="0000FF"/>
              </w:rPr>
              <w:t>SINGAPORE</w:t>
            </w:r>
          </w:p>
        </w:tc>
        <w:tc>
          <w:tcPr>
            <w:tcW w:w="1060" w:type="dxa"/>
            <w:vAlign w:val="bottom"/>
          </w:tcPr>
          <w:p>
            <w:pPr>
              <w:ind w:left="140"/>
              <w:spacing w:after="0"/>
              <w:rPr>
                <w:sz w:val="20"/>
                <w:szCs w:val="20"/>
                <w:color w:val="auto"/>
              </w:rPr>
            </w:pPr>
            <w:r>
              <w:rPr>
                <w:rFonts w:ascii="Arial" w:cs="Arial" w:eastAsia="Arial" w:hAnsi="Arial"/>
                <w:sz w:val="20"/>
                <w:szCs w:val="20"/>
                <w:color w:val="0000FF"/>
              </w:rPr>
              <w:t>U0</w:t>
            </w:r>
          </w:p>
        </w:tc>
        <w:tc>
          <w:tcPr>
            <w:tcW w:w="1800" w:type="dxa"/>
            <w:vAlign w:val="bottom"/>
          </w:tcPr>
          <w:p>
            <w:pPr>
              <w:ind w:left="460"/>
              <w:spacing w:after="0"/>
              <w:rPr>
                <w:sz w:val="20"/>
                <w:szCs w:val="20"/>
                <w:color w:val="auto"/>
              </w:rPr>
            </w:pPr>
            <w:r>
              <w:rPr>
                <w:rFonts w:ascii="Arial" w:cs="Arial" w:eastAsia="Arial" w:hAnsi="Arial"/>
                <w:sz w:val="20"/>
                <w:szCs w:val="20"/>
                <w:color w:val="0000FF"/>
              </w:rPr>
              <w:t>238891</w:t>
            </w: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060" w:type="dxa"/>
            <w:vAlign w:val="bottom"/>
          </w:tcPr>
          <w:p>
            <w:pPr>
              <w:ind w:left="1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2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reported herein are held of record by Ossa Investments Pte. Ltd. ("Ossa Investments"), which is a direct wholly-owned subsidiary of Hotham Investments Pte. Ltd. ("Hotham"). Hotham is a direct wholly-owned subsidiary of Fullerton Management Pte Ltd ("FMPL"), which in turn is a direct wholly-owned subsidiary of Temasek Holdings (Private) Limited ("Temasek Holdings"). Hotham, FMPL and Temasek Holdings may therefore be deemed to have or share beneficial ownership of the securities held by Ossa Investments.</w:t>
      </w:r>
    </w:p>
    <w:p>
      <w:pPr>
        <w:spacing w:after="0" w:line="36" w:lineRule="exact"/>
        <w:rPr>
          <w:rFonts w:ascii="Arial" w:cs="Arial" w:eastAsia="Arial" w:hAnsi="Arial"/>
          <w:sz w:val="15"/>
          <w:szCs w:val="15"/>
          <w:color w:val="008000"/>
        </w:rPr>
      </w:pPr>
    </w:p>
    <w:p>
      <w:pPr>
        <w:ind w:firstLine="5"/>
        <w:spacing w:after="0" w:line="235"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Series C preferred stock, Series D preferred stock and Series F preferred stock is convertible, at the option of the holder, into one share of Class A common stock and each share of Series E-2 preferred stock is convertible, at the option of the holder, into one share of Class B common stock, in each case without payment or further consideration and has no expiration date. Immediately prior to the completion of the Issuer's initial public offering, each share of Series A preferred stock, Series B preferred stock, Series C preferred stock, Series D preferred stock and Series F preferred stock will automatically convert into one share of Class A common stock and each share of Series E-2 preferred stock will automatically convert into one share of Class B common stock, in each case without payment or further consideration.</w:t>
      </w:r>
    </w:p>
    <w:p>
      <w:pPr>
        <w:spacing w:after="0" w:line="37" w:lineRule="exact"/>
        <w:rPr>
          <w:rFonts w:ascii="Arial" w:cs="Arial" w:eastAsia="Arial" w:hAnsi="Arial"/>
          <w:sz w:val="15"/>
          <w:szCs w:val="15"/>
          <w:color w:val="008000"/>
        </w:rPr>
      </w:pPr>
    </w:p>
    <w:p>
      <w:pPr>
        <w:ind w:right="10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(Continued from footnote 2) Immediately thereafter, but still prior to the completion of the initial public offering, the Class A common stock and Class B common stock will be reclassified into voting common stock and non-voting common stock, respectively.</w:t>
      </w:r>
    </w:p>
    <w:p>
      <w:pPr>
        <w:sectPr>
          <w:pgSz w:w="11900" w:h="16838" w:orient="portrait"/>
          <w:cols w:equalWidth="0" w:num="1">
            <w:col w:w="10820"/>
          </w:cols>
          <w:pgMar w:left="520" w:top="163" w:right="559" w:bottom="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Ossa Investments Pte.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093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Ltd., By: /s/ Han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Teng,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207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2072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Hotham Investments Pte.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490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Ltd., By: /s/ Han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Teng,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207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2072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Fullerton Management Pte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Ltd, By: /s/ Gregory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03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503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Temasek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2329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232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(Private) Limited,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23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Jason Norman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948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594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620" w:space="100"/>
            <w:col w:w="2100"/>
          </w:cols>
          <w:pgMar w:left="520" w:top="163" w:right="559" w:bottom="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20" w:top="163" w:right="559" w:bottom="0" w:gutter="0" w:footer="0" w:header="0"/>
          <w:type w:val="continuous"/>
        </w:sectPr>
      </w:pPr>
    </w:p>
    <w:bookmarkStart w:id="2" w:name="page3"/>
    <w:bookmarkEnd w:id="2"/>
    <w:p>
      <w:pPr>
        <w:jc w:val="both"/>
        <w:ind w:right="2160" w:firstLine="5"/>
        <w:spacing w:after="0" w:line="333"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0" Type="http://schemas.openxmlformats.org/officeDocument/2006/relationships/hyperlink" Target="http://www.sec.gov/cgi-bin/browse-edgar?action=getcompany&amp;CIK=0001810133" TargetMode="External"/><Relationship Id="rId11" Type="http://schemas.openxmlformats.org/officeDocument/2006/relationships/hyperlink" Target="http://www.sec.gov/cgi-bin/browse-edgar?action=getcompany&amp;CIK=0001580560" TargetMode="External"/><Relationship Id="rId13" Type="http://schemas.openxmlformats.org/officeDocument/2006/relationships/hyperlink" Target="http://www.sec.gov/cgi-bin/browse-edgar?action=getcompany&amp;CIK=0001810114" TargetMode="External"/><Relationship Id="rId14" Type="http://schemas.openxmlformats.org/officeDocument/2006/relationships/hyperlink" Target="http://www.sec.gov/cgi-bin/browse-edgar?action=getcompany&amp;CIK=0001379348" TargetMode="External"/><Relationship Id="rId15" Type="http://schemas.openxmlformats.org/officeDocument/2006/relationships/hyperlink" Target="http://www.sec.gov/cgi-bin/browse-edgar?action=getcompany&amp;CIK=00010219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2021-05-25T20:34:22Z</dcterms:created>
  <dcterms:modified xsi:type="dcterms:W3CDTF">2021-05-25T20:34:22Z</dcterms:modified>
</cp:coreProperties>
</file>