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FLYWIRE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27-0690799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4" w:space="720"/>
            <w:col w:w="2740" w:space="720"/>
            <w:col w:w="2340"/>
          </w:cols>
          <w:pgMar w:left="436" w:top="376" w:right="439" w:bottom="1440" w:gutter="0" w:footer="0" w:header="0"/>
          <w:type w:val="continuous"/>
        </w:sectPr>
      </w:pPr>
    </w:p>
    <w:p>
      <w:pPr>
        <w:spacing w:after="0" w:line="28" w:lineRule="exact"/>
        <w:rPr>
          <w:sz w:val="24"/>
          <w:szCs w:val="24"/>
          <w:color w:val="auto"/>
        </w:rPr>
      </w:pPr>
    </w:p>
    <w:p>
      <w:pPr>
        <w:ind w:left="4764"/>
        <w:spacing w:after="0"/>
        <w:rPr>
          <w:sz w:val="20"/>
          <w:szCs w:val="20"/>
          <w:color w:val="auto"/>
        </w:rPr>
      </w:pPr>
      <w:r>
        <w:rPr>
          <w:rFonts w:ascii="Times New Roman" w:cs="Times New Roman" w:eastAsia="Times New Roman" w:hAnsi="Times New Roman"/>
          <w:sz w:val="18"/>
          <w:szCs w:val="18"/>
          <w:b w:val="1"/>
          <w:bCs w:val="1"/>
          <w:color w:val="auto"/>
        </w:rPr>
        <w:t>141 Tremont St #10</w:t>
      </w:r>
    </w:p>
    <w:p>
      <w:pPr>
        <w:spacing w:after="0" w:line="31" w:lineRule="exact"/>
        <w:rPr>
          <w:sz w:val="24"/>
          <w:szCs w:val="24"/>
          <w:color w:val="auto"/>
        </w:rPr>
      </w:pPr>
    </w:p>
    <w:p>
      <w:pPr>
        <w:ind w:left="4804"/>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(617) 329-4524</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Voting 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FLYW</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4" w:space="440"/>
            <w:col w:w="9800"/>
          </w:cols>
          <w:pgMar w:left="436" w:top="293" w:right="459" w:bottom="1440" w:gutter="0" w:footer="0" w:header="0"/>
        </w:sectPr>
      </w:pPr>
    </w:p>
    <w:p>
      <w:pPr>
        <w:ind w:left="4" w:right="100" w:hanging="4"/>
        <w:spacing w:after="0" w:line="255"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2026, based upon the recommendation of the Nominating and Corporate Governance Committee of the Board of Directors (the “Board”) of Flywire Corporation (“Flywire”), the Board appointed Christine Katziff (“Ms. Katziff”) to the Board as a Class I director, with her initial term expiring at Flywire’s 2028 annual meeting of stockholders. In connection with Ms. Katziff’s appointment, and pursuant to Flywire’s bylaws and certificate of incorporation, the Board has increased the number of directors from eight to nine. In addition, the Board appointed Ms. Katziff to serve as a member of the Audit Committee of the Board (the “Audit Committee”). The Board has determined that Ms. Katziff is an independent director and eligible to serve on the Audit Committee in accordance with applicable rules of the U.S. Securities and Exchange Commission (the “SEC”) and the Nasdaq Stock Market.</w:t>
      </w:r>
    </w:p>
    <w:p>
      <w:pPr>
        <w:spacing w:after="0" w:line="18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As provided for in Flywire’s non-employee director compensation plan (the “Compensation Policy”), Ms. Katziff will receive an annual cash retainer of $35,000 per year for her service on the Board and an additional annual retainer of $10,000 for her service on the Audit Committee as more fully described in Flywire’s Proxy Statement for its 2025 annual meeting of stockholders filed with the SEC on April 22, 2025 pursuant to Section 14(a) of the Securities Exchange Act of 1934, as amended (the “Proxy Statement”). Pursuant to the Compensation Policy, upon the effectiveness of her appointment, Ms. Katziff was automatically granted a restricted stock unit award (the “Initial RSU”) with a fair market value of $350,000. The Initial RSU will vest in three equal annual installments on each anniversary of the date of grant provided that Ms. Katziff is providing service as a member of the Board through such vesting date. Under the Compensation Policy, on the date of each Flywire annual meeting of stockholders, Ms. Katziff will also be entitled to receive an annual restricted stock unit award with a fair market value of $175,000 (the “Annual RSU”). The Annual RSU will vest on the earlier of the one-year anniversary from the date of grant or Flywire’s next annual meeting of stockholders provided that Ms. Katziff is providing service as a member of the Board through such vesting date. In addition, each of the Initial RSU and Annual RSU will accelerate and fully vest upon a change in control or Ms. Katziff’s earlier death or disability. The Compensation Policy is described in further detail in the Proxy Statement.</w:t>
      </w:r>
    </w:p>
    <w:p>
      <w:pPr>
        <w:spacing w:after="0" w:line="192"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Ms. Katziff and Flywire also entered an indemnification agreement requiring Flywire to indemnify Ms. Katziff to the fullest extent permitted under Delaware law with respect to her service as a director. Flywire’s form of indemnification agreement was filed with the SEC on May 18, 2021 as Exhibit 10.1 to Flywire’s Amended Registration Statement on Form S-1 and is incorporated herein by reference.</w:t>
      </w:r>
    </w:p>
    <w:p>
      <w:pPr>
        <w:spacing w:after="0" w:line="176"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Ms. Katziff and any of Flywire’s directors or executive officers and Ms. Katziff does not have any direct or indirect material interest in any transaction required to be disclosed pursuant to Item 404(a) of Regulation S-K.</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On March 26, 2026, Flywire issued a press release in connection with Ms. Katziff’s appointment to the Board as reported under Item 5.02 above. A copy of this press release is furnished as Exhibit 99.1 to this Current Report on Form 8-K and incorporated herein by reference.</w:t>
      </w:r>
    </w:p>
    <w:p>
      <w:pPr>
        <w:spacing w:after="0" w:line="162"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w:t>
      </w:r>
    </w:p>
    <w:p>
      <w:pPr>
        <w:sectPr>
          <w:pgSz w:w="11900" w:h="16838" w:orient="portrait"/>
          <w:cols w:equalWidth="0" w:num="1">
            <w:col w:w="11004"/>
          </w:cols>
          <w:pgMar w:left="436" w:top="293" w:right="459" w:bottom="1440" w:gutter="0" w:footer="0" w:header="0"/>
          <w:type w:val="continuous"/>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Flywire Corporation Press Release dated March 26,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019"/>
          </w:cols>
          <w:pgMar w:left="440" w:top="293" w:right="1440" w:bottom="1440" w:gutter="0" w:footer="0" w:header="0"/>
        </w:sectPr>
      </w:pPr>
    </w:p>
    <w:bookmarkStart w:id="3" w:name="page4"/>
    <w:bookmarkEnd w:id="3"/>
    <w:p>
      <w:pPr>
        <w:ind w:left="5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FLYWIRE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Cosmin Pitigoi</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Cosmin Pitigoi</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26, 2026</w:t>
      </w:r>
    </w:p>
    <w:p>
      <w:pPr>
        <w:sectPr>
          <w:pgSz w:w="11900" w:h="16838" w:orient="portrait"/>
          <w:cols w:equalWidth="0" w:num="1">
            <w:col w:w="10260"/>
          </w:cols>
          <w:pgMar w:left="440" w:top="297"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Flywire Appoints Christine Katziff to its Board of Directors</w:t>
      </w:r>
    </w:p>
    <w:p>
      <w:pPr>
        <w:spacing w:after="0" w:line="227"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Former Bank of America Chief Audit Executive brings more than three decades of financial services leadership, risk expertise, and a proven record of innovation to Flywire’s Board of Directors</w:t>
      </w:r>
    </w:p>
    <w:p>
      <w:pPr>
        <w:spacing w:after="0" w:line="15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BOSTON, MA — March 26,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Flywire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(Flywire) (Nasdaq: FLYW), a global payments enablement and software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the appointment of Christine Katziff to its Board of Directors. In connection with her appointment, Ms. Katziff will also join the Audit Committee of the Board of Directors.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Ms. Katziff retired from Bank of America following a 38-year career in which she most recently served as Chief Audit Executive, leading a global team of professionals across audit and credit review. She reported directly to the chief executive officer and the audit committee of Bank of America’s board of directors for more than a decade, overseeing activities that assessed risk, cybersecurity, capital planning, business transformation, and compliance across one of the world’s largest financial institutions. Under her leadership, Ms. Katziff and the Corporate Audit and Credit Review organization of Bank of America were recognized for using innovation, automation, AI and other technologies to manage risk and develop best-in-class control environments in support of the company’s responsible growth strategy. Internally, Ms. Katziff was a member of key governance committees and led initiatives to engage and serve communities, clients and employees.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“Christine brings exactly the kind of seasoned, global leadership that will strengthen our Board as we scale,” said Mike Massaro, CEO of Flywire. “Her career sits at the intersection of financial rigor, digital transformation, AI, and disciplined growth, which are critical to how Flywire operates and how we serve our clients. We are confident her leadership and deep expertise will be a tremendous asset as we continue to expand our reach and goal of delivering exceptional value to clients around the world.”</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Beyond her executive career, Ms. Katziff is active in governance and community leadership. She currently serves as chair of the board of directors of Novant Health, a Southeast regional healthcare system, and chairs the finance and facilities committee of the board of trustees at Bryant University. Her advocacy for wellness, mental health, and higher education has spanned board service at UNC Charlotte, Central Piedmont Community College, and the American Heart Association’s national Go Red for Women Leadership Council. Ms. Katziff holds a B.S. in business administration from Bryant University and an MBA from the University of Hartford.</w:t>
      </w:r>
    </w:p>
    <w:p>
      <w:pPr>
        <w:sectPr>
          <w:pgSz w:w="11900" w:h="16838" w:orient="portrait"/>
          <w:cols w:equalWidth="0" w:num="1">
            <w:col w:w="11020"/>
          </w:cols>
          <w:pgMar w:left="440" w:top="117" w:right="439" w:bottom="1440" w:gutter="0" w:footer="0" w:header="0"/>
        </w:sectPr>
      </w:pPr>
    </w:p>
    <w:bookmarkStart w:id="5" w:name="page6"/>
    <w:bookmarkEnd w:id="5"/>
    <w:p>
      <w:pPr>
        <w:jc w:val="both"/>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“Flywire is an exceptional organization, unique in its ability to deliver complex, high-value payments across highly regulated industries at scale,” said Ms. Katziff. “Flywire has delivered rigorous oversight, strong controls, and disciplined growth that I’ve spent my career focused on, and I’m looking forward to contributing to their next phase of growth.”</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Flywire</w:t>
      </w:r>
    </w:p>
    <w:p>
      <w:pPr>
        <w:spacing w:after="0" w:line="121"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Flywire is a global payments enablement and software company. We combine our proprietary global payments network, next-gen payments platform and vertical-specific software to deliver the most important and complex payments for our clients and their customers.</w:t>
      </w:r>
    </w:p>
    <w:p>
      <w:pPr>
        <w:spacing w:after="0" w:line="162"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such as NetSuite, so organizations can optimize the payment experience for their customers while eliminating operational challenges.</w:t>
      </w:r>
    </w:p>
    <w:p>
      <w:pPr>
        <w:spacing w:after="0" w:line="176"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 xml:space="preserve">Flywire supports approximately 5,000** clients with diverse payment methods in more than 140 currencies across more than 240 countries and territories around the world. Flywire is headquartered in Boston, MA, USA, with global offices. For more information, visit </w:t>
      </w:r>
      <w:r>
        <w:rPr>
          <w:rFonts w:ascii="Times New Roman" w:cs="Times New Roman" w:eastAsia="Times New Roman" w:hAnsi="Times New Roman"/>
          <w:sz w:val="18"/>
          <w:szCs w:val="18"/>
          <w:b w:val="1"/>
          <w:bCs w:val="1"/>
          <w:u w:val="single" w:color="auto"/>
          <w:color w:val="auto"/>
        </w:rPr>
        <w:t>www.flywire.com</w:t>
      </w:r>
      <w:r>
        <w:rPr>
          <w:rFonts w:ascii="Times New Roman" w:cs="Times New Roman" w:eastAsia="Times New Roman" w:hAnsi="Times New Roman"/>
          <w:sz w:val="18"/>
          <w:szCs w:val="18"/>
          <w:color w:val="auto"/>
        </w:rPr>
        <w:t xml:space="preserve">. Follow Flywire on </w:t>
      </w: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color w:val="auto"/>
        </w:rPr>
        <w:t xml:space="preserve"> (formerly known as Twitter), </w:t>
      </w:r>
      <w:r>
        <w:rPr>
          <w:rFonts w:ascii="Times New Roman" w:cs="Times New Roman" w:eastAsia="Times New Roman" w:hAnsi="Times New Roman"/>
          <w:sz w:val="18"/>
          <w:szCs w:val="18"/>
          <w:b w:val="1"/>
          <w:bCs w:val="1"/>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u w:val="single" w:color="auto"/>
          <w:color w:val="auto"/>
        </w:rPr>
        <w:t>Facebook</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clients from Flywire’s Invoiced and Sertifi acquisitions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This release contains forward-looking statements within the meaning of the Private Securities Litigation Reform Act of 1995, including, but not limited to, statements regarding Flywire’s business strategy, expectations and plans, market growth and trends.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the factors that are described in the “Risk Factors” and “Management’s Discussion and Analysis of Financial Condition and Results of Operations” sections of Flywire’s Annual Report on Form 10-K for the year ended December 31, 2025, which is on file with the Securities and Exchange Commission (SEC) and available on the SEC’s website at </w:t>
      </w:r>
      <w:r>
        <w:rPr>
          <w:rFonts w:ascii="Times New Roman" w:cs="Times New Roman" w:eastAsia="Times New Roman" w:hAnsi="Times New Roman"/>
          <w:sz w:val="18"/>
          <w:szCs w:val="18"/>
          <w:b w:val="1"/>
          <w:bCs w:val="1"/>
          <w:u w:val="single" w:color="auto"/>
          <w:color w:val="auto"/>
        </w:rPr>
        <w:t>https://www.sec.gov/</w:t>
      </w:r>
      <w:r>
        <w:rPr>
          <w:rFonts w:ascii="Times New Roman" w:cs="Times New Roman" w:eastAsia="Times New Roman" w:hAnsi="Times New Roman"/>
          <w:sz w:val="18"/>
          <w:szCs w:val="18"/>
          <w:color w:val="auto"/>
        </w:rPr>
        <w:t>. The information in this release is provided only as of the date of this release, and Flywire undertakes no obligation to update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forward-looking statements contained in this release on account of new information, future events, or otherwise, except as required by law.</w:t>
      </w:r>
    </w:p>
    <w:p>
      <w:pPr>
        <w:sectPr>
          <w:pgSz w:w="11900" w:h="16838" w:orient="portrait"/>
          <w:cols w:equalWidth="0" w:num="1">
            <w:col w:w="10984"/>
          </w:cols>
          <w:pgMar w:left="436"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Media@Flywire.com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Masha Kahn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ir@flywire.com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2026-03-26T08:16:10Z</dcterms:created>
  <dcterms:modified xsi:type="dcterms:W3CDTF">2026-03-26T08:16:10Z</dcterms:modified>
</cp:coreProperties>
</file>