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178435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August 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169545</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FLYWIRE CORPORATION</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156845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p>
      <w:pPr>
        <w:spacing w:after="0" w:line="200" w:lineRule="exact"/>
        <w:rPr>
          <w:sz w:val="24"/>
          <w:szCs w:val="24"/>
          <w:color w:val="auto"/>
        </w:rPr>
      </w:pPr>
    </w:p>
    <w:p>
      <w:pPr>
        <w:spacing w:after="0" w:line="241"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jc w:val="center"/>
        <w:ind w:right="1240"/>
        <w:spacing w:after="0"/>
        <w:rPr>
          <w:sz w:val="20"/>
          <w:szCs w:val="20"/>
          <w:color w:val="auto"/>
        </w:rPr>
      </w:pPr>
      <w:r>
        <w:rPr>
          <w:rFonts w:ascii="Times New Roman" w:cs="Times New Roman" w:eastAsia="Times New Roman" w:hAnsi="Times New Roman"/>
          <w:sz w:val="12"/>
          <w:szCs w:val="12"/>
          <w:b w:val="1"/>
          <w:bCs w:val="1"/>
          <w:color w:val="auto"/>
        </w:rPr>
        <w:t>001-40430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27-0690799</w:t>
      </w:r>
    </w:p>
    <w:p>
      <w:pPr>
        <w:spacing w:after="0" w:line="13" w:lineRule="exact"/>
        <w:rPr>
          <w:sz w:val="24"/>
          <w:szCs w:val="24"/>
          <w:color w:val="auto"/>
        </w:rPr>
      </w:pPr>
    </w:p>
    <w:p>
      <w:pPr>
        <w:sectPr>
          <w:pgSz w:w="11900" w:h="16838" w:orient="portrait"/>
          <w:cols w:equalWidth="0" w:num="3">
            <w:col w:w="3600" w:space="720"/>
            <w:col w:w="1780" w:space="720"/>
            <w:col w:w="2199"/>
          </w:cols>
          <w:pgMar w:left="1440" w:top="352" w:right="1440" w:bottom="1440" w:gutter="0" w:footer="0" w:header="0"/>
          <w:type w:val="continuous"/>
        </w:sectPr>
      </w:pPr>
    </w:p>
    <w:p>
      <w:pPr>
        <w:spacing w:after="0" w:line="12" w:lineRule="exact"/>
        <w:rPr>
          <w:sz w:val="24"/>
          <w:szCs w:val="24"/>
          <w:color w:val="auto"/>
        </w:rPr>
      </w:pPr>
    </w:p>
    <w:p>
      <w:pPr>
        <w:jc w:val="center"/>
        <w:ind w:left="320"/>
        <w:spacing w:after="0"/>
        <w:rPr>
          <w:sz w:val="20"/>
          <w:szCs w:val="20"/>
          <w:color w:val="auto"/>
        </w:rPr>
      </w:pPr>
      <w:r>
        <w:rPr>
          <w:rFonts w:ascii="Times New Roman" w:cs="Times New Roman" w:eastAsia="Times New Roman" w:hAnsi="Times New Roman"/>
          <w:sz w:val="9"/>
          <w:szCs w:val="9"/>
          <w:b w:val="1"/>
          <w:bCs w:val="1"/>
          <w:color w:val="auto"/>
        </w:rPr>
        <w:t>(State or other jurisdiction</w:t>
      </w:r>
    </w:p>
    <w:p>
      <w:pPr>
        <w:jc w:val="center"/>
        <w:ind w:left="32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Times New Roman" w:cs="Times New Roman" w:eastAsia="Times New Roman" w:hAnsi="Times New Roman"/>
          <w:sz w:val="9"/>
          <w:szCs w:val="9"/>
          <w:b w:val="1"/>
          <w:bCs w:val="1"/>
          <w:color w:val="auto"/>
        </w:rPr>
        <w:t>(Commission</w:t>
      </w:r>
    </w:p>
    <w:p>
      <w:pPr>
        <w:jc w:val="center"/>
        <w:ind w:right="1160"/>
        <w:spacing w:after="0"/>
        <w:rPr>
          <w:sz w:val="20"/>
          <w:szCs w:val="20"/>
          <w:color w:val="auto"/>
        </w:rPr>
      </w:pPr>
      <w:r>
        <w:rPr>
          <w:rFonts w:ascii="Times New Roman" w:cs="Times New Roman" w:eastAsia="Times New Roman" w:hAnsi="Times New Roman"/>
          <w:sz w:val="10"/>
          <w:szCs w:val="10"/>
          <w:b w:val="1"/>
          <w:bCs w:val="1"/>
          <w:color w:val="auto"/>
        </w:rPr>
        <w:t>File No.)</w:t>
      </w:r>
    </w:p>
    <w:p>
      <w:pPr>
        <w:spacing w:after="0" w:line="20" w:lineRule="exact"/>
        <w:rPr>
          <w:sz w:val="24"/>
          <w:szCs w:val="24"/>
          <w:color w:val="auto"/>
        </w:rPr>
      </w:pPr>
      <w:r>
        <w:rPr>
          <w:sz w:val="24"/>
          <w:szCs w:val="24"/>
          <w:color w:val="auto"/>
        </w:rPr>
        <w:br w:type="column"/>
      </w:r>
    </w:p>
    <w:p>
      <w:pPr>
        <w:jc w:val="center"/>
        <w:ind w:right="1499"/>
        <w:spacing w:after="0"/>
        <w:rPr>
          <w:sz w:val="20"/>
          <w:szCs w:val="20"/>
          <w:color w:val="auto"/>
        </w:rPr>
      </w:pPr>
      <w:r>
        <w:rPr>
          <w:rFonts w:ascii="Times New Roman" w:cs="Times New Roman" w:eastAsia="Times New Roman" w:hAnsi="Times New Roman"/>
          <w:sz w:val="10"/>
          <w:szCs w:val="10"/>
          <w:b w:val="1"/>
          <w:bCs w:val="1"/>
          <w:color w:val="auto"/>
        </w:rPr>
        <w:t>(IRS Employer</w:t>
      </w:r>
    </w:p>
    <w:p>
      <w:pPr>
        <w:jc w:val="center"/>
        <w:ind w:right="1499"/>
        <w:spacing w:after="0"/>
        <w:rPr>
          <w:sz w:val="20"/>
          <w:szCs w:val="20"/>
          <w:color w:val="auto"/>
        </w:rPr>
      </w:pPr>
      <w:r>
        <w:rPr>
          <w:rFonts w:ascii="Times New Roman" w:cs="Times New Roman" w:eastAsia="Times New Roman" w:hAnsi="Times New Roman"/>
          <w:sz w:val="9"/>
          <w:szCs w:val="9"/>
          <w:b w:val="1"/>
          <w:bCs w:val="1"/>
          <w:color w:val="auto"/>
        </w:rPr>
        <w:t>Identification No.)</w:t>
      </w:r>
    </w:p>
    <w:p>
      <w:pPr>
        <w:spacing w:after="0" w:line="161" w:lineRule="exact"/>
        <w:rPr>
          <w:sz w:val="24"/>
          <w:szCs w:val="24"/>
          <w:color w:val="auto"/>
        </w:rPr>
      </w:pPr>
    </w:p>
    <w:p>
      <w:pPr>
        <w:sectPr>
          <w:pgSz w:w="11900" w:h="16838" w:orient="portrait"/>
          <w:cols w:equalWidth="0" w:num="3">
            <w:col w:w="3580" w:space="720"/>
            <w:col w:w="1720" w:space="720"/>
            <w:col w:w="2279"/>
          </w:cols>
          <w:pgMar w:left="1440" w:top="352" w:right="1440" w:bottom="1440" w:gutter="0" w:footer="0" w:header="0"/>
          <w:type w:val="continuous"/>
        </w:sectPr>
      </w:pPr>
    </w:p>
    <w:p>
      <w:pPr>
        <w:ind w:left="3980"/>
        <w:spacing w:after="0"/>
        <w:rPr>
          <w:sz w:val="20"/>
          <w:szCs w:val="20"/>
          <w:color w:val="auto"/>
        </w:rPr>
      </w:pPr>
      <w:r>
        <w:rPr>
          <w:rFonts w:ascii="Times New Roman" w:cs="Times New Roman" w:eastAsia="Times New Roman" w:hAnsi="Times New Roman"/>
          <w:sz w:val="13"/>
          <w:szCs w:val="13"/>
          <w:b w:val="1"/>
          <w:bCs w:val="1"/>
          <w:color w:val="auto"/>
        </w:rPr>
        <w:t>141 Tremont St #10</w:t>
      </w:r>
    </w:p>
    <w:p>
      <w:pPr>
        <w:spacing w:after="0" w:line="14"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3"/>
          <w:szCs w:val="13"/>
          <w:b w:val="1"/>
          <w:bCs w:val="1"/>
          <w:color w:val="auto"/>
        </w:rPr>
        <w:t>Boston, MA 02111</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and zip code)</w:t>
      </w:r>
    </w:p>
    <w:p>
      <w:pPr>
        <w:sectPr>
          <w:pgSz w:w="11900" w:h="16838" w:orient="portrait"/>
          <w:cols w:equalWidth="0" w:num="1">
            <w:col w:w="9019"/>
          </w:cols>
          <w:pgMar w:left="1440" w:top="352" w:right="1440" w:bottom="1440" w:gutter="0" w:footer="0" w:header="0"/>
          <w:type w:val="continuous"/>
        </w:sectPr>
      </w:pPr>
    </w:p>
    <w:p>
      <w:pPr>
        <w:spacing w:after="0" w:line="1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(617) 329-4524</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152400</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369"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w:t>
      </w:r>
    </w:p>
    <w:p>
      <w:pPr>
        <w:spacing w:after="0" w:line="154"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58" w:lineRule="exact"/>
        <w:rPr>
          <w:sz w:val="24"/>
          <w:szCs w:val="24"/>
          <w:color w:val="auto"/>
        </w:rPr>
      </w:pPr>
    </w:p>
    <w:tbl>
      <w:tblPr>
        <w:tblLayout w:type="fixed"/>
        <w:tblInd w:w="640" w:type="dxa"/>
        <w:tblCellMar>
          <w:top w:w="0" w:type="dxa"/>
          <w:left w:w="0" w:type="dxa"/>
          <w:bottom w:w="0" w:type="dxa"/>
          <w:right w:w="0" w:type="dxa"/>
        </w:tblCellMar>
      </w:tblPr>
      <w:tr>
        <w:trPr>
          <w:trHeight w:val="11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26"/>
        </w:trPr>
        <w:tc>
          <w:tcPr>
            <w:tcW w:w="262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7"/>
              </w:rPr>
              <w:t>Voting Common Stock, $0.0001 par value per</w:t>
            </w:r>
          </w:p>
        </w:tc>
        <w:tc>
          <w:tcPr>
            <w:tcW w:w="80" w:type="dxa"/>
            <w:vAlign w:val="bottom"/>
          </w:tcPr>
          <w:p>
            <w:pPr>
              <w:spacing w:after="0"/>
              <w:rPr>
                <w:sz w:val="10"/>
                <w:szCs w:val="10"/>
                <w:color w:val="auto"/>
              </w:rPr>
            </w:pPr>
          </w:p>
        </w:tc>
        <w:tc>
          <w:tcPr>
            <w:tcW w:w="24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2"/>
              </w:rPr>
              <w:t>FLYW</w:t>
            </w:r>
          </w:p>
        </w:tc>
        <w:tc>
          <w:tcPr>
            <w:tcW w:w="80" w:type="dxa"/>
            <w:vAlign w:val="bottom"/>
          </w:tcPr>
          <w:p>
            <w:pPr>
              <w:spacing w:after="0"/>
              <w:rPr>
                <w:sz w:val="10"/>
                <w:szCs w:val="10"/>
                <w:color w:val="auto"/>
              </w:rPr>
            </w:pPr>
          </w:p>
        </w:tc>
        <w:tc>
          <w:tcPr>
            <w:tcW w:w="2480" w:type="dxa"/>
            <w:vAlign w:val="bottom"/>
            <w:tcBorders>
              <w:top w:val="single" w:sz="8" w:color="auto"/>
            </w:tcBorders>
          </w:tcPr>
          <w:p>
            <w:pPr>
              <w:jc w:val="center"/>
              <w:spacing w:after="0" w:line="126" w:lineRule="exact"/>
              <w:rPr>
                <w:sz w:val="20"/>
                <w:szCs w:val="20"/>
                <w:color w:val="auto"/>
              </w:rPr>
            </w:pPr>
            <w:r>
              <w:rPr>
                <w:rFonts w:ascii="Times New Roman" w:cs="Times New Roman" w:eastAsia="Times New Roman" w:hAnsi="Times New Roman"/>
                <w:sz w:val="13"/>
                <w:szCs w:val="13"/>
                <w:b w:val="1"/>
                <w:bCs w:val="1"/>
                <w:color w:val="auto"/>
                <w:w w:val="97"/>
              </w:rPr>
              <w:t>The Nasdaq Stock Market LLC</w:t>
            </w:r>
          </w:p>
        </w:tc>
        <w:tc>
          <w:tcPr>
            <w:tcW w:w="0" w:type="dxa"/>
            <w:vAlign w:val="bottom"/>
          </w:tcPr>
          <w:p>
            <w:pPr>
              <w:spacing w:after="0"/>
              <w:rPr>
                <w:sz w:val="1"/>
                <w:szCs w:val="1"/>
                <w:color w:val="auto"/>
              </w:rPr>
            </w:pPr>
          </w:p>
        </w:tc>
      </w:tr>
      <w:tr>
        <w:trPr>
          <w:trHeight w:val="167"/>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share</w:t>
            </w: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(Nasdaq Global Select Market)</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2"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74" w:lineRule="exact"/>
        <w:rPr>
          <w:sz w:val="24"/>
          <w:szCs w:val="24"/>
          <w:color w:val="auto"/>
        </w:rPr>
      </w:pPr>
    </w:p>
    <w:p>
      <w:pPr>
        <w:ind w:left="640" w:right="859"/>
        <w:spacing w:after="0" w:line="166"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99695</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129540</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type w:val="continuous"/>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2.02.</w:t>
      </w:r>
      <w:r>
        <w:rPr>
          <w:sz w:val="20"/>
          <w:szCs w:val="20"/>
          <w:color w:val="auto"/>
        </w:rPr>
        <w:tab/>
      </w:r>
      <w:r>
        <w:rPr>
          <w:rFonts w:ascii="Times New Roman" w:cs="Times New Roman" w:eastAsia="Times New Roman" w:hAnsi="Times New Roman"/>
          <w:sz w:val="12"/>
          <w:szCs w:val="12"/>
          <w:b w:val="1"/>
          <w:bCs w:val="1"/>
          <w:color w:val="auto"/>
        </w:rPr>
        <w:t>Results of Operations and Financial Condition.</w:t>
      </w:r>
    </w:p>
    <w:p>
      <w:pPr>
        <w:spacing w:after="0" w:line="80" w:lineRule="exact"/>
        <w:rPr>
          <w:sz w:val="20"/>
          <w:szCs w:val="20"/>
          <w:color w:val="auto"/>
        </w:rPr>
      </w:pPr>
    </w:p>
    <w:p>
      <w:pPr>
        <w:jc w:val="both"/>
        <w:ind w:left="640" w:right="859"/>
        <w:spacing w:after="0" w:line="255" w:lineRule="auto"/>
        <w:rPr>
          <w:sz w:val="20"/>
          <w:szCs w:val="20"/>
          <w:color w:val="auto"/>
        </w:rPr>
      </w:pPr>
      <w:r>
        <w:rPr>
          <w:rFonts w:ascii="Times New Roman" w:cs="Times New Roman" w:eastAsia="Times New Roman" w:hAnsi="Times New Roman"/>
          <w:sz w:val="13"/>
          <w:szCs w:val="13"/>
          <w:color w:val="auto"/>
        </w:rPr>
        <w:t>On August 9, 2022, Flywire Corporation (“Flywire” or the “Company”) issued a press release (the “Press Release”) and is holding a conference call regarding its financial results for the quarter ended June 30, 2022. The Press Release is furnished as Exhibit 99.1 to this Current Report on Form 8-K and is incorporated by reference herein.</w:t>
      </w:r>
    </w:p>
    <w:p>
      <w:pPr>
        <w:spacing w:after="0" w:line="13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2"/>
          <w:szCs w:val="12"/>
          <w:color w:val="auto"/>
        </w:rPr>
        <w:t>Various statements to be made during the conference call are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 “would,”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and Adjusted EBITDA. Risks that may cause actual results to differ materially from these forward looking statements include, but are not limited to: political, economic, legal, social and health risks, including the COVID-19 pandemic and subsequent public health measures that may affect Flywire’s business or the global economy;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strategic partners; the effects of increased competition in Flywire’s markets and its ability to compete effectively; future acquisitions or investments in complementary companies, products, services, or technologies; Flywire’s ability to enter new client verticals, including its relatively new B2B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attract and retain qualified employees; Flywire’s ability to maintain, protect, and enhance its intellectual property; Flywire’s ability to maintain the security and availability of its solutions; the future market price of Flywire’s common stock; and other factors that are described in the “Risk Factors” and “Management’s Discussion and Analysis of Financial Condition and Results of Operations” sections of Flywire’s Annual Report on Form 10-K for the year ended December 31, 2021, and Quarterly Report on Form 10-Q for the quarter ended March 31, 2022, which are on file with the Securities and Exchange Commission (SEC) and available on the SEC’s website at https://www.sec.gov/. Additional factors may be described in those sections of Flywire’s Quarterly Report on Form</w:t>
      </w:r>
    </w:p>
    <w:p>
      <w:pPr>
        <w:spacing w:after="0" w:line="146" w:lineRule="exact"/>
        <w:rPr>
          <w:sz w:val="20"/>
          <w:szCs w:val="20"/>
          <w:color w:val="auto"/>
        </w:rPr>
      </w:pPr>
    </w:p>
    <w:p>
      <w:pPr>
        <w:jc w:val="both"/>
        <w:ind w:left="640" w:right="759"/>
        <w:spacing w:after="0" w:line="245" w:lineRule="auto"/>
        <w:rPr>
          <w:sz w:val="20"/>
          <w:szCs w:val="20"/>
          <w:color w:val="auto"/>
        </w:rPr>
      </w:pPr>
      <w:r>
        <w:rPr>
          <w:rFonts w:ascii="Times New Roman" w:cs="Times New Roman" w:eastAsia="Times New Roman" w:hAnsi="Times New Roman"/>
          <w:sz w:val="13"/>
          <w:szCs w:val="13"/>
          <w:color w:val="auto"/>
        </w:rPr>
        <w:t>10-Q for the quarter ended June 30, 2022, expected to be filed with the SEC in the third quarter of 2022. The information conveyed on the conference call is provided only as of the date of the conference call, and Flywire undertakes no obligation to update any forward-looking statements presented on the conference call on account of new information, future events, or otherwise, except as required by law.</w:t>
      </w:r>
    </w:p>
    <w:p>
      <w:pPr>
        <w:sectPr>
          <w:pgSz w:w="11900" w:h="16838" w:orient="portrait"/>
          <w:cols w:equalWidth="0" w:num="1">
            <w:col w:w="9019"/>
          </w:cols>
          <w:pgMar w:left="1440" w:top="248" w:right="1440" w:bottom="1440" w:gutter="0" w:footer="0" w:header="0"/>
        </w:sectPr>
      </w:pPr>
    </w:p>
    <w:bookmarkStart w:id="2" w:name="page3"/>
    <w:bookmarkEnd w:id="2"/>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2"/>
          <w:szCs w:val="12"/>
          <w:b w:val="1"/>
          <w:bCs w:val="1"/>
          <w:color w:val="auto"/>
        </w:rPr>
        <w:t>Regulation FD Disclosure.</w:t>
      </w:r>
    </w:p>
    <w:p>
      <w:pPr>
        <w:spacing w:after="0" w:line="80" w:lineRule="exact"/>
        <w:rPr>
          <w:sz w:val="20"/>
          <w:szCs w:val="20"/>
          <w:color w:val="auto"/>
        </w:rPr>
      </w:pPr>
    </w:p>
    <w:p>
      <w:pPr>
        <w:jc w:val="both"/>
        <w:ind w:left="640" w:right="999"/>
        <w:spacing w:after="0" w:line="255" w:lineRule="auto"/>
        <w:rPr>
          <w:sz w:val="20"/>
          <w:szCs w:val="20"/>
          <w:color w:val="auto"/>
        </w:rPr>
      </w:pPr>
      <w:r>
        <w:rPr>
          <w:rFonts w:ascii="Times New Roman" w:cs="Times New Roman" w:eastAsia="Times New Roman" w:hAnsi="Times New Roman"/>
          <w:sz w:val="13"/>
          <w:szCs w:val="13"/>
          <w:color w:val="auto"/>
        </w:rPr>
        <w:t>On August 9, 2022, the Company provided an investor presentation that will be made available on the investor relations section of the Company’s website at https://ir.flywire.com/. The investor presentation is furnished as Exhibit 99.2 to this Current Report on Form 8-K and is incorporated by reference herein.</w:t>
      </w:r>
    </w:p>
    <w:p>
      <w:pPr>
        <w:spacing w:after="0" w:line="130" w:lineRule="exact"/>
        <w:rPr>
          <w:sz w:val="20"/>
          <w:szCs w:val="20"/>
          <w:color w:val="auto"/>
        </w:rPr>
      </w:pPr>
    </w:p>
    <w:p>
      <w:pPr>
        <w:jc w:val="both"/>
        <w:ind w:left="640" w:right="679"/>
        <w:spacing w:after="0" w:line="286" w:lineRule="auto"/>
        <w:rPr>
          <w:sz w:val="20"/>
          <w:szCs w:val="20"/>
          <w:color w:val="auto"/>
        </w:rPr>
      </w:pPr>
      <w:r>
        <w:rPr>
          <w:rFonts w:ascii="Times New Roman" w:cs="Times New Roman" w:eastAsia="Times New Roman" w:hAnsi="Times New Roman"/>
          <w:sz w:val="12"/>
          <w:szCs w:val="12"/>
          <w:color w:val="auto"/>
        </w:rPr>
        <w:t>This information in this Item 7.01 of this Current Report on Form 8-K shall not be deemed “filed” for purposes of Section 18 of the Securities Exchange Act of 1934, as amended (the “Exchange Act”), or otherwise subject to the liabilities of that Section, or incorporated by reference in any filing under the Securities Act of 1933, as amended, or the Exchange Act, except as shall be expressly set forth by specific reference in any such filing.</w:t>
      </w:r>
    </w:p>
    <w:p>
      <w:pPr>
        <w:spacing w:after="0" w:line="21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2"/>
          <w:szCs w:val="12"/>
          <w:b w:val="1"/>
          <w:bCs w:val="1"/>
          <w:color w:val="auto"/>
        </w:rPr>
        <w:t>Financial Statements and Exhibits.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 Exhibits</w:t>
      </w:r>
    </w:p>
    <w:p>
      <w:pPr>
        <w:spacing w:after="0" w:line="1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0"/>
          <w:szCs w:val="10"/>
          <w:b w:val="1"/>
          <w:bCs w:val="1"/>
          <w:color w:val="auto"/>
        </w:rPr>
        <w:t>Exhibit</w:t>
      </w:r>
    </w:p>
    <w:p>
      <w:pPr>
        <w:spacing w:after="0" w:line="1" w:lineRule="exact"/>
        <w:rPr>
          <w:sz w:val="20"/>
          <w:szCs w:val="20"/>
          <w:color w:val="auto"/>
        </w:rPr>
      </w:pPr>
    </w:p>
    <w:p>
      <w:pPr>
        <w:ind w:left="720"/>
        <w:spacing w:after="0"/>
        <w:tabs>
          <w:tab w:leader="none" w:pos="1240" w:val="left"/>
        </w:tabs>
        <w:rPr>
          <w:sz w:val="20"/>
          <w:szCs w:val="20"/>
          <w:color w:val="auto"/>
        </w:rPr>
      </w:pPr>
      <w:r>
        <w:rPr>
          <w:rFonts w:ascii="Times New Roman" w:cs="Times New Roman" w:eastAsia="Times New Roman" w:hAnsi="Times New Roman"/>
          <w:sz w:val="10"/>
          <w:szCs w:val="10"/>
          <w:b w:val="1"/>
          <w:bCs w:val="1"/>
          <w:color w:val="auto"/>
        </w:rPr>
        <w:t>No.</w:t>
      </w:r>
      <w:r>
        <w:rPr>
          <w:sz w:val="20"/>
          <w:szCs w:val="20"/>
          <w:color w:val="auto"/>
        </w:rPr>
        <w:tab/>
      </w:r>
      <w:r>
        <w:rPr>
          <w:rFonts w:ascii="Times New Roman" w:cs="Times New Roman" w:eastAsia="Times New Roman" w:hAnsi="Times New Roman"/>
          <w:sz w:val="10"/>
          <w:szCs w:val="10"/>
          <w:b w:val="1"/>
          <w:bCs w:val="1"/>
          <w:color w:val="auto"/>
        </w:rPr>
        <w:t>Description</w:t>
      </w:r>
    </w:p>
    <w:p>
      <w:pPr>
        <w:spacing w:after="0" w:line="66"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Flywire Corporation Press Release dated August 9, 2022.</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99.2</w:t>
      </w:r>
      <w:r>
        <w:rPr>
          <w:sz w:val="20"/>
          <w:szCs w:val="20"/>
          <w:color w:val="auto"/>
        </w:rPr>
        <w:tab/>
      </w:r>
      <w:r>
        <w:rPr>
          <w:rFonts w:ascii="Times New Roman" w:cs="Times New Roman" w:eastAsia="Times New Roman" w:hAnsi="Times New Roman"/>
          <w:sz w:val="12"/>
          <w:szCs w:val="12"/>
          <w:u w:val="single" w:color="auto"/>
          <w:color w:val="0000EE"/>
        </w:rPr>
        <w:t>Flywire Corporation Investor Presentation dated August 9, 2022.</w:t>
      </w:r>
    </w:p>
    <w:p>
      <w:pPr>
        <w:spacing w:after="0" w:line="78" w:lineRule="exact"/>
        <w:rPr>
          <w:sz w:val="20"/>
          <w:szCs w:val="20"/>
          <w:color w:val="auto"/>
        </w:rPr>
      </w:pPr>
    </w:p>
    <w:p>
      <w:pPr>
        <w:ind w:left="640"/>
        <w:spacing w:after="0"/>
        <w:tabs>
          <w:tab w:leader="none" w:pos="124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the Inline XBRL document)</w:t>
      </w:r>
    </w:p>
    <w:p>
      <w:pPr>
        <w:sectPr>
          <w:pgSz w:w="11900" w:h="16838" w:orient="portrait"/>
          <w:cols w:equalWidth="0" w:num="1">
            <w:col w:w="9019"/>
          </w:cols>
          <w:pgMar w:left="1440" w:top="248" w:right="1440"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w:t>
      </w:r>
    </w:p>
    <w:p>
      <w:pPr>
        <w:spacing w:after="0" w:line="154" w:lineRule="exact"/>
        <w:rPr>
          <w:sz w:val="20"/>
          <w:szCs w:val="20"/>
          <w:color w:val="auto"/>
        </w:rPr>
      </w:pPr>
    </w:p>
    <w:p>
      <w:pPr>
        <w:ind w:left="640" w:right="117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FLYWIRE CORPORATION</w:t>
      </w:r>
    </w:p>
    <w:p>
      <w:pPr>
        <w:spacing w:after="0" w:line="154" w:lineRule="exact"/>
        <w:rPr>
          <w:sz w:val="20"/>
          <w:szCs w:val="20"/>
          <w:color w:val="auto"/>
        </w:rPr>
      </w:pPr>
    </w:p>
    <w:tbl>
      <w:tblPr>
        <w:tblLayout w:type="fixed"/>
        <w:tblInd w:w="640" w:type="dxa"/>
        <w:tblCellMar>
          <w:top w:w="0" w:type="dxa"/>
          <w:left w:w="0" w:type="dxa"/>
          <w:bottom w:w="0" w:type="dxa"/>
          <w:right w:w="0" w:type="dxa"/>
        </w:tblCellMar>
      </w:tblPr>
      <w:tr>
        <w:trPr>
          <w:trHeight w:val="164"/>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By:</w:t>
            </w:r>
          </w:p>
        </w:tc>
        <w:tc>
          <w:tcPr>
            <w:tcW w:w="2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Michael Ellis</w:t>
            </w:r>
          </w:p>
        </w:tc>
      </w:tr>
      <w:tr>
        <w:trPr>
          <w:trHeight w:val="138"/>
        </w:trPr>
        <w:tc>
          <w:tcPr>
            <w:tcW w:w="4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264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Michael Ellis</w:t>
            </w:r>
          </w:p>
        </w:tc>
      </w:tr>
      <w:tr>
        <w:trPr>
          <w:trHeight w:val="165"/>
        </w:trPr>
        <w:tc>
          <w:tcPr>
            <w:tcW w:w="440" w:type="dxa"/>
            <w:vAlign w:val="bottom"/>
          </w:tcPr>
          <w:p>
            <w:pPr>
              <w:spacing w:after="0"/>
              <w:rPr>
                <w:sz w:val="20"/>
                <w:szCs w:val="20"/>
                <w:color w:val="auto"/>
              </w:rPr>
            </w:pPr>
            <w:r>
              <w:rPr>
                <w:rFonts w:ascii="Times New Roman" w:cs="Times New Roman" w:eastAsia="Times New Roman" w:hAnsi="Times New Roman"/>
                <w:sz w:val="13"/>
                <w:szCs w:val="13"/>
                <w:color w:val="auto"/>
              </w:rPr>
              <w:t>Title:</w:t>
            </w:r>
          </w:p>
        </w:tc>
        <w:tc>
          <w:tcPr>
            <w:tcW w:w="2640" w:type="dxa"/>
            <w:vAlign w:val="bottom"/>
          </w:tcPr>
          <w:p>
            <w:pPr>
              <w:spacing w:after="0"/>
              <w:rPr>
                <w:sz w:val="20"/>
                <w:szCs w:val="20"/>
                <w:color w:val="auto"/>
              </w:rPr>
            </w:pPr>
            <w:r>
              <w:rPr>
                <w:rFonts w:ascii="Times New Roman" w:cs="Times New Roman" w:eastAsia="Times New Roman" w:hAnsi="Times New Roman"/>
                <w:sz w:val="13"/>
                <w:szCs w:val="13"/>
                <w:color w:val="auto"/>
              </w:rPr>
              <w:t>Chief Financial Officer</w:t>
            </w:r>
          </w:p>
        </w:tc>
      </w:tr>
    </w:tbl>
    <w:p>
      <w:pPr>
        <w:spacing w:after="0" w:line="1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Dated August 9, 2022</w:t>
      </w:r>
    </w:p>
    <w:p>
      <w:pPr>
        <w:sectPr>
          <w:pgSz w:w="11900" w:h="16838" w:orient="portrait"/>
          <w:cols w:equalWidth="0" w:num="1">
            <w:col w:w="9019"/>
          </w:cols>
          <w:pgMar w:left="1440" w:top="250" w:right="1440" w:bottom="1440" w:gutter="0" w:footer="0" w:header="0"/>
        </w:sectPr>
      </w:pPr>
    </w:p>
    <w:bookmarkStart w:id="4" w:name="page5"/>
    <w:bookmarkEnd w:id="4"/>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Flywire Reports Second Quarter 2022 Financial Results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Second Quarter Revenue Increased 53% Year-over-Year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Second Quarter Revenue Less Ancillary Services Increased 56% Year-over-Year</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i w:val="1"/>
          <w:iCs w:val="1"/>
          <w:color w:val="auto"/>
        </w:rPr>
        <w:t>Second Quarter Total Payment Volume Increased 49% Year-over-Year</w:t>
      </w:r>
    </w:p>
    <w:p>
      <w:pPr>
        <w:spacing w:after="0" w:line="154" w:lineRule="exact"/>
        <w:rPr>
          <w:sz w:val="20"/>
          <w:szCs w:val="20"/>
          <w:color w:val="auto"/>
        </w:rPr>
      </w:pPr>
    </w:p>
    <w:p>
      <w:pPr>
        <w:ind w:left="640" w:right="979"/>
        <w:spacing w:after="0" w:line="270" w:lineRule="auto"/>
        <w:rPr>
          <w:sz w:val="20"/>
          <w:szCs w:val="20"/>
          <w:color w:val="auto"/>
        </w:rPr>
      </w:pPr>
      <w:r>
        <w:rPr>
          <w:rFonts w:ascii="Times New Roman" w:cs="Times New Roman" w:eastAsia="Times New Roman" w:hAnsi="Times New Roman"/>
          <w:sz w:val="13"/>
          <w:szCs w:val="13"/>
          <w:b w:val="1"/>
          <w:bCs w:val="1"/>
          <w:color w:val="auto"/>
        </w:rPr>
        <w:t xml:space="preserve">Boston, MA – August 9, 2022: </w:t>
      </w:r>
      <w:r>
        <w:rPr>
          <w:rFonts w:ascii="Times New Roman" w:cs="Times New Roman" w:eastAsia="Times New Roman" w:hAnsi="Times New Roman"/>
          <w:sz w:val="13"/>
          <w:szCs w:val="13"/>
          <w:u w:val="single" w:color="auto"/>
          <w:color w:val="auto"/>
        </w:rPr>
        <w:t>Flywire Corporation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(Nasdaq: FLYW) (“Flywire” or the “Company”) a global payments enablement and software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company, today reported financial results for its second quarter ended June 30, 2022.</w:t>
      </w:r>
    </w:p>
    <w:p>
      <w:pPr>
        <w:spacing w:after="0" w:line="121" w:lineRule="exact"/>
        <w:rPr>
          <w:sz w:val="20"/>
          <w:szCs w:val="20"/>
          <w:color w:val="auto"/>
        </w:rPr>
      </w:pPr>
    </w:p>
    <w:p>
      <w:pPr>
        <w:ind w:left="640" w:right="679"/>
        <w:spacing w:after="0" w:line="272" w:lineRule="auto"/>
        <w:rPr>
          <w:sz w:val="20"/>
          <w:szCs w:val="20"/>
          <w:color w:val="auto"/>
        </w:rPr>
      </w:pPr>
      <w:r>
        <w:rPr>
          <w:rFonts w:ascii="Times New Roman" w:cs="Times New Roman" w:eastAsia="Times New Roman" w:hAnsi="Times New Roman"/>
          <w:sz w:val="12"/>
          <w:szCs w:val="12"/>
          <w:color w:val="auto"/>
        </w:rPr>
        <w:t>“I’m really pleased to report another strong quarter for Flywire, where we delivered strong revenue, adjusted gross profit and better than expected adjusted EBITDA, which is a reflection of our continued execution of our growth strategies,” said Mike Massaro, CEO of Flywire. “Our second quarter results are a testament to our team of global FlyMates, who continue to perform at the highest level to better support our clients and payers in the education, healthcare, travel and B2B industries. Despite uncertainties in the global economy, I’m pleased to see our strategy working as expected as we continued to efficiently win new clients and cross-sell existing clients across all verticals. Grounded by our successful track record, we plan to continue to make targeted investments in go-to-market, geographic expansion, and product and payment innovation, positioning us well for future growth.”</w:t>
      </w:r>
    </w:p>
    <w:p>
      <w:pPr>
        <w:spacing w:after="0" w:line="19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Second Quarter 2022 Financial Highlights:</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GAAP Results</w:t>
      </w:r>
    </w:p>
    <w:p>
      <w:pPr>
        <w:spacing w:after="0" w:line="87" w:lineRule="exact"/>
        <w:rPr>
          <w:sz w:val="20"/>
          <w:szCs w:val="20"/>
          <w:color w:val="auto"/>
        </w:rPr>
      </w:pPr>
    </w:p>
    <w:p>
      <w:pPr>
        <w:ind w:left="1320" w:hanging="303"/>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increased 53% to $56.5 million in the second quarter of 2022, compared to $37.0 million in the second quarter of 2021.</w:t>
      </w:r>
    </w:p>
    <w:p>
      <w:pPr>
        <w:spacing w:after="0" w:line="87" w:lineRule="exact"/>
        <w:rPr>
          <w:rFonts w:ascii="Times New Roman" w:cs="Times New Roman" w:eastAsia="Times New Roman" w:hAnsi="Times New Roman"/>
          <w:sz w:val="13"/>
          <w:szCs w:val="13"/>
          <w:color w:val="auto"/>
        </w:rPr>
      </w:pPr>
    </w:p>
    <w:p>
      <w:pPr>
        <w:ind w:left="1320" w:right="659" w:hanging="303"/>
        <w:spacing w:after="0" w:line="267"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Gross Profit of $33.2 million, resulting in Gross Margin of 58.8% in the second quarter of 2022, compared to Gross Profit of $22.5 million, resulting in Gross Margin of 60.8% in the second quarter of 2021.</w:t>
      </w:r>
    </w:p>
    <w:p>
      <w:pPr>
        <w:spacing w:after="0" w:line="55" w:lineRule="exact"/>
        <w:rPr>
          <w:rFonts w:ascii="Times New Roman" w:cs="Times New Roman" w:eastAsia="Times New Roman" w:hAnsi="Times New Roman"/>
          <w:sz w:val="13"/>
          <w:szCs w:val="13"/>
          <w:color w:val="auto"/>
        </w:rPr>
      </w:pPr>
    </w:p>
    <w:p>
      <w:pPr>
        <w:ind w:left="1320" w:right="659" w:hanging="303"/>
        <w:spacing w:after="0" w:line="267" w:lineRule="auto"/>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Net income (loss) was $(23.8) million in the second quarter of 2022, compared to net income (loss) of $(18.1) million in the second quarter of 2021.</w:t>
      </w:r>
    </w:p>
    <w:p>
      <w:pPr>
        <w:spacing w:after="0" w:line="1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Key Operating Metrics and Non-GAAP Results</w:t>
      </w:r>
    </w:p>
    <w:p>
      <w:pPr>
        <w:spacing w:after="0" w:line="87" w:lineRule="exact"/>
        <w:rPr>
          <w:sz w:val="20"/>
          <w:szCs w:val="20"/>
          <w:color w:val="auto"/>
        </w:rPr>
      </w:pPr>
    </w:p>
    <w:p>
      <w:pPr>
        <w:ind w:left="1320" w:hanging="303"/>
        <w:spacing w:after="0"/>
        <w:tabs>
          <w:tab w:leader="none" w:pos="13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Payment Volume increased 49% to $2.9 billion in the second quarter of 2022, compared to $1.9 billion in the second quarter of 2021.</w:t>
      </w:r>
    </w:p>
    <w:p>
      <w:pPr>
        <w:spacing w:after="0" w:line="98" w:lineRule="exact"/>
        <w:rPr>
          <w:rFonts w:ascii="Times New Roman" w:cs="Times New Roman" w:eastAsia="Times New Roman" w:hAnsi="Times New Roman"/>
          <w:sz w:val="12"/>
          <w:szCs w:val="12"/>
          <w:color w:val="auto"/>
        </w:rPr>
      </w:pPr>
    </w:p>
    <w:p>
      <w:pPr>
        <w:ind w:left="1320" w:right="799" w:hanging="303"/>
        <w:spacing w:after="0" w:line="267" w:lineRule="auto"/>
        <w:tabs>
          <w:tab w:leader="none" w:pos="1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Less Ancillary Services increased 56% to $51.5 million in the second quarter of 2022, compared to $33.0 million in the second quarter of 2021.</w:t>
      </w:r>
    </w:p>
    <w:p>
      <w:pPr>
        <w:sectPr>
          <w:pgSz w:w="11900" w:h="16838" w:orient="portrait"/>
          <w:cols w:equalWidth="0" w:num="1">
            <w:col w:w="9019"/>
          </w:cols>
          <w:pgMar w:left="1440" w:top="125" w:right="1440" w:bottom="1440" w:gutter="0" w:footer="0" w:header="0"/>
        </w:sectPr>
      </w:pPr>
    </w:p>
    <w:bookmarkStart w:id="5" w:name="page6"/>
    <w:bookmarkEnd w:id="5"/>
    <w:p>
      <w:pPr>
        <w:ind w:left="1320" w:right="719" w:hanging="303"/>
        <w:spacing w:after="0" w:line="267" w:lineRule="auto"/>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Adjusted Gross Profit of $33.2 million, resulting in Adjusted Gross Margin of 64.5% in the second quarter of 2022, compared to Adjusted Gross Profit of $22.5 million and Adjusted Gross Margin of 68.2% in the second quarter of 2021.</w:t>
      </w:r>
    </w:p>
    <w:p>
      <w:pPr>
        <w:spacing w:after="0" w:line="55" w:lineRule="exact"/>
        <w:rPr>
          <w:rFonts w:ascii="Times New Roman" w:cs="Times New Roman" w:eastAsia="Times New Roman" w:hAnsi="Times New Roman"/>
          <w:sz w:val="13"/>
          <w:szCs w:val="13"/>
          <w:color w:val="auto"/>
        </w:rPr>
      </w:pPr>
    </w:p>
    <w:p>
      <w:pPr>
        <w:ind w:left="1320" w:hanging="303"/>
        <w:spacing w:after="0"/>
        <w:tabs>
          <w:tab w:leader="none" w:pos="1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was $(6.1) million in the second quarter of 2022, compared to $(0.1) million in the second quarter of 2021.</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Business Highlights:</w:t>
      </w:r>
    </w:p>
    <w:p>
      <w:pPr>
        <w:spacing w:after="0" w:line="89" w:lineRule="exact"/>
        <w:rPr>
          <w:sz w:val="20"/>
          <w:szCs w:val="20"/>
          <w:color w:val="auto"/>
        </w:rPr>
      </w:pPr>
    </w:p>
    <w:p>
      <w:pPr>
        <w:ind w:left="1320" w:right="1079" w:hanging="303"/>
        <w:spacing w:after="0" w:line="309" w:lineRule="auto"/>
        <w:tabs>
          <w:tab w:leader="none" w:pos="1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On July 13, the Company announced the acquisition of Cohort Go to accelerate growth with international education agents, deepen commitment to product and payment innovation, and further invest in the Asia-Pacific region, a key geographic focus for Flywire.</w:t>
      </w:r>
    </w:p>
    <w:p>
      <w:pPr>
        <w:spacing w:after="0" w:line="33" w:lineRule="exact"/>
        <w:rPr>
          <w:rFonts w:ascii="Times New Roman" w:cs="Times New Roman" w:eastAsia="Times New Roman" w:hAnsi="Times New Roman"/>
          <w:sz w:val="12"/>
          <w:szCs w:val="12"/>
          <w:color w:val="auto"/>
        </w:rPr>
      </w:pPr>
    </w:p>
    <w:p>
      <w:pPr>
        <w:ind w:left="1320" w:hanging="303"/>
        <w:spacing w:after="0"/>
        <w:tabs>
          <w:tab w:leader="none" w:pos="13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Total Economic Impact study revealed Flywire’s healthcare clients can achieve up to 269% ROI on Flywire’s solutions over three years.</w:t>
      </w:r>
    </w:p>
    <w:p>
      <w:pPr>
        <w:spacing w:after="0" w:line="98" w:lineRule="exact"/>
        <w:rPr>
          <w:rFonts w:ascii="Times New Roman" w:cs="Times New Roman" w:eastAsia="Times New Roman" w:hAnsi="Times New Roman"/>
          <w:sz w:val="12"/>
          <w:szCs w:val="12"/>
          <w:color w:val="auto"/>
        </w:rPr>
      </w:pPr>
    </w:p>
    <w:p>
      <w:pPr>
        <w:ind w:left="1320" w:right="759" w:hanging="303"/>
        <w:spacing w:after="0" w:line="267"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Flywire survey revealed 92% of business to business (B2B) finance professionals surveyed believe they could increase their Earnings per Share if their company had a better solution for Accounts Receivable.</w:t>
      </w:r>
    </w:p>
    <w:p>
      <w:pPr>
        <w:spacing w:after="0" w:line="55" w:lineRule="exact"/>
        <w:rPr>
          <w:rFonts w:ascii="Times New Roman" w:cs="Times New Roman" w:eastAsia="Times New Roman" w:hAnsi="Times New Roman"/>
          <w:sz w:val="13"/>
          <w:szCs w:val="13"/>
          <w:color w:val="auto"/>
        </w:rPr>
      </w:pPr>
    </w:p>
    <w:p>
      <w:pPr>
        <w:ind w:left="1320" w:right="679" w:hanging="303"/>
        <w:spacing w:after="0" w:line="255" w:lineRule="auto"/>
        <w:tabs>
          <w:tab w:leader="none" w:pos="13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Flywire Charitable Foundation launched a new scholarship category of environmental sustainability for students who are developing innovative solutions to fight climate change and other negative impacts to the planet and will award eight scholarships through educational institutions to global students.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Third Quarter and Fiscal-Year 2022 Outlook:</w:t>
      </w: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Based on information available as of August 9, 2022, Flywire anticipates the following for the third quarter and fiscal-year 2022:</w:t>
      </w:r>
    </w:p>
    <w:p>
      <w:pPr>
        <w:spacing w:after="0" w:line="169" w:lineRule="exact"/>
        <w:rPr>
          <w:sz w:val="20"/>
          <w:szCs w:val="20"/>
          <w:color w:val="auto"/>
        </w:rPr>
      </w:pPr>
    </w:p>
    <w:tbl>
      <w:tblPr>
        <w:tblLayout w:type="fixed"/>
        <w:tblInd w:w="1880" w:type="dxa"/>
        <w:tblCellMar>
          <w:top w:w="0" w:type="dxa"/>
          <w:left w:w="0" w:type="dxa"/>
          <w:bottom w:w="0" w:type="dxa"/>
          <w:right w:w="0" w:type="dxa"/>
        </w:tblCellMar>
      </w:tblPr>
      <w:tr>
        <w:trPr>
          <w:trHeight w:val="121"/>
        </w:trPr>
        <w:tc>
          <w:tcPr>
            <w:tcW w:w="29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980" w:type="dxa"/>
            <w:vAlign w:val="bottom"/>
            <w:gridSpan w:val="2"/>
          </w:tcPr>
          <w:p>
            <w:pPr>
              <w:jc w:val="center"/>
              <w:ind w:right="40"/>
              <w:spacing w:after="0"/>
              <w:rPr>
                <w:sz w:val="20"/>
                <w:szCs w:val="20"/>
                <w:color w:val="auto"/>
              </w:rPr>
            </w:pPr>
            <w:r>
              <w:rPr>
                <w:rFonts w:ascii="Times New Roman" w:cs="Times New Roman" w:eastAsia="Times New Roman" w:hAnsi="Times New Roman"/>
                <w:sz w:val="10"/>
                <w:szCs w:val="10"/>
                <w:b w:val="1"/>
                <w:bCs w:val="1"/>
                <w:color w:val="auto"/>
              </w:rPr>
              <w:t>Third Quarter 2022</w:t>
            </w:r>
          </w:p>
        </w:tc>
      </w:tr>
      <w:tr>
        <w:trPr>
          <w:trHeight w:val="141"/>
        </w:trPr>
        <w:tc>
          <w:tcPr>
            <w:tcW w:w="296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1300" w:type="dxa"/>
            <w:vAlign w:val="bottom"/>
            <w:tcBorders>
              <w:top w:val="single" w:sz="8" w:color="CCEEFF"/>
            </w:tcBorders>
            <w:shd w:val="clear" w:color="auto" w:fill="CCEEFF"/>
          </w:tcPr>
          <w:p>
            <w:pPr>
              <w:spacing w:after="0"/>
              <w:rPr>
                <w:sz w:val="12"/>
                <w:szCs w:val="12"/>
                <w:color w:val="auto"/>
              </w:rPr>
            </w:pPr>
          </w:p>
        </w:tc>
        <w:tc>
          <w:tcPr>
            <w:tcW w:w="960" w:type="dxa"/>
            <w:vAlign w:val="bottom"/>
            <w:tcBorders>
              <w:top w:val="single" w:sz="8" w:color="auto"/>
            </w:tcBorders>
            <w:shd w:val="clear" w:color="auto" w:fill="CCEEFF"/>
          </w:tcPr>
          <w:p>
            <w:pPr>
              <w:jc w:val="center"/>
              <w:spacing w:after="0" w:line="141" w:lineRule="exact"/>
              <w:rPr>
                <w:sz w:val="20"/>
                <w:szCs w:val="20"/>
                <w:color w:val="auto"/>
              </w:rPr>
            </w:pPr>
            <w:r>
              <w:rPr>
                <w:rFonts w:ascii="Times New Roman" w:cs="Times New Roman" w:eastAsia="Times New Roman" w:hAnsi="Times New Roman"/>
                <w:sz w:val="13"/>
                <w:szCs w:val="13"/>
                <w:color w:val="auto"/>
                <w:w w:val="99"/>
              </w:rPr>
              <w:t>$94 to $98 million</w:t>
            </w:r>
          </w:p>
        </w:tc>
        <w:tc>
          <w:tcPr>
            <w:tcW w:w="20" w:type="dxa"/>
            <w:vAlign w:val="bottom"/>
            <w:tcBorders>
              <w:top w:val="single" w:sz="8" w:color="CCEEFF"/>
            </w:tcBorders>
            <w:shd w:val="clear" w:color="auto" w:fill="CCEEFF"/>
          </w:tcPr>
          <w:p>
            <w:pPr>
              <w:spacing w:after="0"/>
              <w:rPr>
                <w:sz w:val="12"/>
                <w:szCs w:val="12"/>
                <w:color w:val="auto"/>
              </w:rPr>
            </w:pPr>
          </w:p>
        </w:tc>
      </w:tr>
      <w:tr>
        <w:trPr>
          <w:trHeight w:val="165"/>
        </w:trPr>
        <w:tc>
          <w:tcPr>
            <w:tcW w:w="2960" w:type="dxa"/>
            <w:vAlign w:val="bottom"/>
          </w:tcPr>
          <w:p>
            <w:pPr>
              <w:spacing w:after="0"/>
              <w:rPr>
                <w:sz w:val="20"/>
                <w:szCs w:val="20"/>
                <w:color w:val="auto"/>
              </w:rPr>
            </w:pPr>
            <w:r>
              <w:rPr>
                <w:rFonts w:ascii="Times New Roman" w:cs="Times New Roman" w:eastAsia="Times New Roman" w:hAnsi="Times New Roman"/>
                <w:sz w:val="13"/>
                <w:szCs w:val="13"/>
                <w:color w:val="auto"/>
              </w:rPr>
              <w:t>Revenue Less Ancillary Services</w:t>
            </w:r>
          </w:p>
        </w:tc>
        <w:tc>
          <w:tcPr>
            <w:tcW w:w="2280" w:type="dxa"/>
            <w:vAlign w:val="bottom"/>
            <w:gridSpan w:val="3"/>
          </w:tcPr>
          <w:p>
            <w:pPr>
              <w:jc w:val="center"/>
              <w:ind w:left="1217"/>
              <w:spacing w:after="0"/>
              <w:rPr>
                <w:sz w:val="20"/>
                <w:szCs w:val="20"/>
                <w:color w:val="auto"/>
              </w:rPr>
            </w:pPr>
            <w:r>
              <w:rPr>
                <w:rFonts w:ascii="Times New Roman" w:cs="Times New Roman" w:eastAsia="Times New Roman" w:hAnsi="Times New Roman"/>
                <w:sz w:val="13"/>
                <w:szCs w:val="13"/>
                <w:color w:val="auto"/>
                <w:w w:val="99"/>
              </w:rPr>
              <w:t>$87 to $90 million</w:t>
            </w:r>
          </w:p>
        </w:tc>
      </w:tr>
    </w:tbl>
    <w:p>
      <w:pPr>
        <w:sectPr>
          <w:pgSz w:w="11900" w:h="16838" w:orient="portrait"/>
          <w:cols w:equalWidth="0" w:num="1">
            <w:col w:w="9019"/>
          </w:cols>
          <w:pgMar w:left="1440" w:top="231" w:right="1440"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0425" cy="30480"/>
                    </a:xfrm>
                    <a:prstGeom prst="rect">
                      <a:avLst/>
                    </a:prstGeom>
                    <a:noFill/>
                  </pic:spPr>
                </pic:pic>
              </a:graphicData>
            </a:graphic>
          </wp:anchor>
        </w:drawing>
      </w:r>
    </w:p>
    <w:tbl>
      <w:tblPr>
        <w:tblLayout w:type="fixed"/>
        <w:tblInd w:w="1880" w:type="dxa"/>
        <w:tblCellMar>
          <w:top w:w="0" w:type="dxa"/>
          <w:left w:w="0" w:type="dxa"/>
          <w:bottom w:w="0" w:type="dxa"/>
          <w:right w:w="0" w:type="dxa"/>
        </w:tblCellMar>
      </w:tblPr>
      <w:tr>
        <w:trPr>
          <w:trHeight w:val="121"/>
        </w:trPr>
        <w:tc>
          <w:tcPr>
            <w:tcW w:w="4140" w:type="dxa"/>
            <w:vAlign w:val="bottom"/>
            <w:tcBorders>
              <w:bottom w:val="single" w:sz="8" w:color="CCEEFF"/>
            </w:tcBorders>
          </w:tcPr>
          <w:p>
            <w:pPr>
              <w:spacing w:after="0"/>
              <w:rPr>
                <w:sz w:val="10"/>
                <w:szCs w:val="10"/>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Fiscal Year 2022</w:t>
            </w:r>
          </w:p>
        </w:tc>
      </w:tr>
      <w:tr>
        <w:trPr>
          <w:trHeight w:val="141"/>
        </w:trPr>
        <w:tc>
          <w:tcPr>
            <w:tcW w:w="41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1100" w:type="dxa"/>
            <w:vAlign w:val="bottom"/>
            <w:shd w:val="clear" w:color="auto" w:fill="CCEEFF"/>
          </w:tcPr>
          <w:p>
            <w:pPr>
              <w:jc w:val="center"/>
              <w:spacing w:after="0" w:line="141" w:lineRule="exact"/>
              <w:rPr>
                <w:sz w:val="20"/>
                <w:szCs w:val="20"/>
                <w:color w:val="auto"/>
              </w:rPr>
            </w:pPr>
            <w:r>
              <w:rPr>
                <w:rFonts w:ascii="Times New Roman" w:cs="Times New Roman" w:eastAsia="Times New Roman" w:hAnsi="Times New Roman"/>
                <w:sz w:val="13"/>
                <w:szCs w:val="13"/>
                <w:color w:val="auto"/>
                <w:w w:val="96"/>
              </w:rPr>
              <w:t>$283 to $294 million</w:t>
            </w:r>
          </w:p>
        </w:tc>
      </w:tr>
      <w:tr>
        <w:trPr>
          <w:trHeight w:val="152"/>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Revenue Less Ancillary Services</w:t>
            </w:r>
          </w:p>
        </w:tc>
        <w:tc>
          <w:tcPr>
            <w:tcW w:w="1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$260 to $269 million</w:t>
            </w:r>
          </w:p>
        </w:tc>
      </w:tr>
      <w:tr>
        <w:trPr>
          <w:trHeight w:val="152"/>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$13 to $17 million</w:t>
            </w:r>
          </w:p>
        </w:tc>
      </w:tr>
    </w:tbl>
    <w:p>
      <w:pPr>
        <w:spacing w:after="0" w:line="72" w:lineRule="exact"/>
        <w:rPr>
          <w:sz w:val="20"/>
          <w:szCs w:val="20"/>
          <w:color w:val="auto"/>
        </w:rPr>
      </w:pPr>
    </w:p>
    <w:p>
      <w:pPr>
        <w:ind w:left="940" w:right="659" w:hanging="303"/>
        <w:spacing w:after="0" w:line="251" w:lineRule="auto"/>
        <w:tabs>
          <w:tab w:leader="none" w:pos="94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Flywire has not provided a quantitative reconciliation of forecasted Adjusted EBITDA to forecasted GAAP net income (loss) or to forecasted GAAP income (loss) before income taxes within this earnings release because Flywire is unable, without making unreasonable efforts, to calculate certain reconciling items with confidence. These items include, but are not limited to income taxes which are directly impacted by unpredictable fluctuations in the market price of Flywire’s stock.</w:t>
      </w:r>
    </w:p>
    <w:p>
      <w:pPr>
        <w:spacing w:after="0" w:line="20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Conference Call</w:t>
      </w:r>
    </w:p>
    <w:p>
      <w:pPr>
        <w:spacing w:after="0" w:line="80" w:lineRule="exact"/>
        <w:rPr>
          <w:sz w:val="20"/>
          <w:szCs w:val="20"/>
          <w:color w:val="auto"/>
        </w:rPr>
      </w:pPr>
    </w:p>
    <w:p>
      <w:pPr>
        <w:ind w:left="640" w:right="659"/>
        <w:spacing w:after="0" w:line="255" w:lineRule="auto"/>
        <w:rPr>
          <w:sz w:val="20"/>
          <w:szCs w:val="20"/>
          <w:color w:val="auto"/>
        </w:rPr>
      </w:pPr>
      <w:r>
        <w:rPr>
          <w:rFonts w:ascii="Times New Roman" w:cs="Times New Roman" w:eastAsia="Times New Roman" w:hAnsi="Times New Roman"/>
          <w:sz w:val="13"/>
          <w:szCs w:val="13"/>
          <w:color w:val="auto"/>
        </w:rPr>
        <w:t>The Company will host a conference call to discuss second quarter 2022 financial results today at 5:00 pm ET. Hosting the call will be Mike Massaro, CEO, Rob Orgel, President and COO, and Mike Ellis, CFO. The conference call can be accessed live via webcast from the Company’s investor relations website at https://ir.flywire.com/. A replay will be available on the investor relations website following the call.</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Key Operating Metrics and Non-GAAP Financial Measures table</w:t>
      </w:r>
    </w:p>
    <w:p>
      <w:pPr>
        <w:spacing w:after="0" w:line="80" w:lineRule="exact"/>
        <w:rPr>
          <w:sz w:val="20"/>
          <w:szCs w:val="20"/>
          <w:color w:val="auto"/>
        </w:rPr>
      </w:pPr>
    </w:p>
    <w:p>
      <w:pPr>
        <w:ind w:left="640" w:right="859"/>
        <w:spacing w:after="0" w:line="270" w:lineRule="auto"/>
        <w:rPr>
          <w:sz w:val="20"/>
          <w:szCs w:val="20"/>
          <w:color w:val="auto"/>
        </w:rPr>
      </w:pPr>
      <w:r>
        <w:rPr>
          <w:rFonts w:ascii="Times New Roman" w:cs="Times New Roman" w:eastAsia="Times New Roman" w:hAnsi="Times New Roman"/>
          <w:sz w:val="12"/>
          <w:szCs w:val="12"/>
          <w:color w:val="auto"/>
        </w:rPr>
        <w:t>Flywire uses non-GAAP financial measures to supplement financial information presented on a GAAP basis. The Company believes that excluding certain items from its GAAP results allows management to better understand its consolidated financial performance from period to period and better project its future consolidated financial performance as forecasts are developed at a level of detail different from that used to prepare GAAP-based financial measures. Moreover, Flywire believes these non-GAAP financial measures provide its stakeholders with useful information to help them evaluate the Company’s operating results by facilitating an enhanced understanding of the Company’s operating performance and enabling them to make more meaningful period to period comparisons. There are limitations to the use of the non-GAAP financial measures presented here. Flywire’s non-GAAP financial measures may not be comparable to similarly titled measures of other companies. Other companies, including companies in Flywire’s industry, may calculate non-GAAP financial measures differently, limiting the usefulness of those measures for comparative purposes.</w:t>
      </w:r>
    </w:p>
    <w:p>
      <w:pPr>
        <w:sectPr>
          <w:pgSz w:w="11900" w:h="16838" w:orient="portrait"/>
          <w:cols w:equalWidth="0" w:num="1">
            <w:col w:w="9019"/>
          </w:cols>
          <w:pgMar w:left="1440" w:top="227" w:right="1440" w:bottom="1440" w:gutter="0" w:footer="0" w:header="0"/>
        </w:sectPr>
      </w:pPr>
    </w:p>
    <w:bookmarkStart w:id="7" w:name="page8"/>
    <w:bookmarkEnd w:id="7"/>
    <w:p>
      <w:pPr>
        <w:ind w:left="640" w:right="699"/>
        <w:spacing w:after="0" w:line="267"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0425" cy="30480"/>
                    </a:xfrm>
                    <a:prstGeom prst="rect">
                      <a:avLst/>
                    </a:prstGeom>
                    <a:noFill/>
                  </pic:spPr>
                </pic:pic>
              </a:graphicData>
            </a:graphic>
          </wp:anchor>
        </w:drawing>
        <w:t>Flywire uses supplemental measures of its performance which are derived from its consolidated financial information, but which are not presented in its consolidated financial statements prepared in accordance with GAAP. These non-GAAP financial measures include the following:</w:t>
      </w:r>
    </w:p>
    <w:p>
      <w:pPr>
        <w:spacing w:after="0" w:line="56" w:lineRule="exact"/>
        <w:rPr>
          <w:sz w:val="20"/>
          <w:szCs w:val="20"/>
          <w:color w:val="auto"/>
        </w:rPr>
      </w:pPr>
    </w:p>
    <w:p>
      <w:pPr>
        <w:ind w:left="1320" w:right="859" w:hanging="303"/>
        <w:spacing w:after="0" w:line="251"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Revenue Less Ancillary Services. Revenue Less Ancillary Services represents the Company’s consolidated revenue in accordance with GAAP after excluding (i) pass-through cost for printing and mailing services and (ii) marketing fees. The Company excludes these amounts to arrive at this supplemental non-GAAP financial measure as it views these services as ancillary to the primary services it provides to its clients.</w:t>
      </w:r>
    </w:p>
    <w:p>
      <w:pPr>
        <w:spacing w:after="0" w:line="66" w:lineRule="exact"/>
        <w:rPr>
          <w:rFonts w:ascii="Times New Roman" w:cs="Times New Roman" w:eastAsia="Times New Roman" w:hAnsi="Times New Roman"/>
          <w:sz w:val="13"/>
          <w:szCs w:val="13"/>
          <w:color w:val="auto"/>
        </w:rPr>
      </w:pPr>
    </w:p>
    <w:p>
      <w:pPr>
        <w:ind w:left="1320" w:right="659" w:hanging="303"/>
        <w:spacing w:after="0" w:line="249"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Gross Margin. Adjusted Gross Margin represents adjusted gross profit divided by Revenue Less Ancillary Services. Adjusted gross profit represents Revenue Less Ancillary Services less cost of revenue adjusted to (i) exclude pass-through cost for printing services and (ii) offset marketing fees against costs incurred. Management believes this presentation supplements the GAAP presentation of gross margin with a useful measure of the gross margin of the Company’s payment-related services, which are the primary services it provides to its clients.</w:t>
      </w:r>
    </w:p>
    <w:p>
      <w:pPr>
        <w:spacing w:after="0" w:line="67" w:lineRule="exact"/>
        <w:rPr>
          <w:rFonts w:ascii="Times New Roman" w:cs="Times New Roman" w:eastAsia="Times New Roman" w:hAnsi="Times New Roman"/>
          <w:sz w:val="13"/>
          <w:szCs w:val="13"/>
          <w:color w:val="auto"/>
        </w:rPr>
      </w:pPr>
    </w:p>
    <w:p>
      <w:pPr>
        <w:ind w:left="1320" w:right="699" w:hanging="303"/>
        <w:spacing w:after="0" w:line="248" w:lineRule="auto"/>
        <w:tabs>
          <w:tab w:leader="none" w:pos="1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Adjusted EBITDA. Adjusted EBITDA represents EBITDA further adjusted by excluding (i) stock-based compensation expense, (ii) the impact from the change in fair value measurement for contingent consideration associated with acquisitions, (iii) the impact from the change in fair value measurement of the Company’s preferred stock warrants, (iv) other income (expense), net, (v) indirect taxes related to intercompany activity, (vi) acquisition related transaction costs, and (vii) employee retention costs, such as incentive compensation, associated with acquisition activities. Management believes that the exclusion of these amounts to calculate Adjusted EBITDA provides useful measures for period-to-period comparisons of the Company’s business.</w:t>
      </w:r>
    </w:p>
    <w:p>
      <w:pPr>
        <w:spacing w:after="0" w:line="135" w:lineRule="exact"/>
        <w:rPr>
          <w:sz w:val="20"/>
          <w:szCs w:val="20"/>
          <w:color w:val="auto"/>
        </w:rPr>
      </w:pPr>
    </w:p>
    <w:p>
      <w:pPr>
        <w:ind w:left="640" w:right="759"/>
        <w:spacing w:after="0" w:line="249" w:lineRule="auto"/>
        <w:rPr>
          <w:sz w:val="20"/>
          <w:szCs w:val="20"/>
          <w:color w:val="auto"/>
        </w:rPr>
      </w:pPr>
      <w:r>
        <w:rPr>
          <w:rFonts w:ascii="Times New Roman" w:cs="Times New Roman" w:eastAsia="Times New Roman" w:hAnsi="Times New Roman"/>
          <w:sz w:val="13"/>
          <w:szCs w:val="13"/>
          <w:color w:val="auto"/>
        </w:rPr>
        <w:t>These non-GAAP financial measures are not meant to be considered as indicators of performance in isolation from or as a substitute the Company’s revenue, gross margin or net income (loss) prepared in accordance with GAAP and should be read only in conjunction with financial information presented on a GAAP basis. Reconciliations of Revenue Less Ancillary Services, Adjusted Gross Margin and Adjusted EBITDA to the most directly comparable GAAP financial measure are presented below. Flywire encourages you to review these reconciliations in conjunction with the presentation of the non-GAAP financial measures for each of the periods presented. In future fiscal</w:t>
      </w:r>
    </w:p>
    <w:p>
      <w:pPr>
        <w:sectPr>
          <w:pgSz w:w="11900" w:h="16838" w:orient="portrait"/>
          <w:cols w:equalWidth="0" w:num="1">
            <w:col w:w="9019"/>
          </w:cols>
          <w:pgMar w:left="1440" w:top="231" w:right="1440" w:bottom="1440" w:gutter="0" w:footer="0" w:header="0"/>
        </w:sectPr>
      </w:pPr>
    </w:p>
    <w:bookmarkStart w:id="8" w:name="page9"/>
    <w:bookmarkEnd w:id="8"/>
    <w:p>
      <w:pPr>
        <w:ind w:left="640" w:right="759"/>
        <w:spacing w:after="0" w:line="279"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0425" cy="30480"/>
                    </a:xfrm>
                    <a:prstGeom prst="rect">
                      <a:avLst/>
                    </a:prstGeom>
                    <a:noFill/>
                  </pic:spPr>
                </pic:pic>
              </a:graphicData>
            </a:graphic>
          </wp:anchor>
        </w:drawing>
        <w:t>periods, Flywire may exclude such items and may incur income and expenses similar to these excluded items. Flywire has not provided a quantitative reconciliation of forecasted Adjusted EBITDA to forecasted GAAP net income (loss) or to forecasted GAAP income (loss) before income taxes within this earnings release because it is unable, without making unreasonable efforts, to calculate certain reconciling items with confidence. These items include but are not limited to income taxes which are directly impacted by unpredictable fluctuations in the market price of Flywire’s stock.</w:t>
      </w:r>
    </w:p>
    <w:p>
      <w:pPr>
        <w:spacing w:after="0" w:line="19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Flywire</w:t>
      </w:r>
    </w:p>
    <w:p>
      <w:pPr>
        <w:spacing w:after="0" w:line="80" w:lineRule="exact"/>
        <w:rPr>
          <w:sz w:val="20"/>
          <w:szCs w:val="20"/>
          <w:color w:val="auto"/>
        </w:rPr>
      </w:pPr>
    </w:p>
    <w:p>
      <w:pPr>
        <w:ind w:left="640" w:right="1099"/>
        <w:spacing w:after="0" w:line="267" w:lineRule="auto"/>
        <w:rPr>
          <w:sz w:val="20"/>
          <w:szCs w:val="20"/>
          <w:color w:val="auto"/>
        </w:rPr>
      </w:pPr>
      <w:r>
        <w:rPr>
          <w:rFonts w:ascii="Times New Roman" w:cs="Times New Roman" w:eastAsia="Times New Roman" w:hAnsi="Times New Roman"/>
          <w:sz w:val="13"/>
          <w:szCs w:val="13"/>
          <w:color w:val="auto"/>
        </w:rPr>
        <w:t>Flywire is a global payments enablement and software company. Flywire combines its proprietary global payments network, next-gen payments platform and vertical-specific software to deliver the most important and complex payments for its clients and their customers.</w:t>
      </w:r>
    </w:p>
    <w:p>
      <w:pPr>
        <w:spacing w:after="0" w:line="122" w:lineRule="exact"/>
        <w:rPr>
          <w:sz w:val="20"/>
          <w:szCs w:val="20"/>
          <w:color w:val="auto"/>
        </w:rPr>
      </w:pPr>
    </w:p>
    <w:p>
      <w:pPr>
        <w:jc w:val="both"/>
        <w:ind w:left="640" w:right="799"/>
        <w:spacing w:after="0" w:line="255" w:lineRule="auto"/>
        <w:rPr>
          <w:sz w:val="20"/>
          <w:szCs w:val="20"/>
          <w:color w:val="auto"/>
        </w:rPr>
      </w:pPr>
      <w:r>
        <w:rPr>
          <w:rFonts w:ascii="Times New Roman" w:cs="Times New Roman" w:eastAsia="Times New Roman" w:hAnsi="Times New Roman"/>
          <w:sz w:val="13"/>
          <w:szCs w:val="13"/>
          <w:color w:val="auto"/>
        </w:rPr>
        <w:t>Flywire leverages its vertical-specific software and payments technology to deeply embed within the existing A/R workflows for its clients across the education, healthcare and travel vertical markets, as well as in key B2B industries. Flywire also integrates with leading ERP systems, so organizations can optimize the payment experience for their customers while eliminating operational challenges.</w:t>
      </w:r>
    </w:p>
    <w:p>
      <w:pPr>
        <w:spacing w:after="0" w:line="130" w:lineRule="exact"/>
        <w:rPr>
          <w:sz w:val="20"/>
          <w:szCs w:val="20"/>
          <w:color w:val="auto"/>
        </w:rPr>
      </w:pPr>
    </w:p>
    <w:p>
      <w:pPr>
        <w:ind w:left="640" w:right="739"/>
        <w:spacing w:after="0" w:line="255" w:lineRule="auto"/>
        <w:rPr>
          <w:sz w:val="20"/>
          <w:szCs w:val="20"/>
          <w:color w:val="auto"/>
        </w:rPr>
      </w:pPr>
      <w:r>
        <w:rPr>
          <w:rFonts w:ascii="Times New Roman" w:cs="Times New Roman" w:eastAsia="Times New Roman" w:hAnsi="Times New Roman"/>
          <w:sz w:val="13"/>
          <w:szCs w:val="13"/>
          <w:color w:val="auto"/>
        </w:rPr>
        <w:t xml:space="preserve">Flywire supports over 2,800 clients with diverse payment methods in more than 140 currencies across 240 countries and territories around the world. Flywire is headquartered in Boston, MA, USA with additional offices around the globe. For more information, visit </w:t>
      </w:r>
      <w:r>
        <w:rPr>
          <w:rFonts w:ascii="Times New Roman" w:cs="Times New Roman" w:eastAsia="Times New Roman" w:hAnsi="Times New Roman"/>
          <w:sz w:val="13"/>
          <w:szCs w:val="13"/>
          <w:b w:val="1"/>
          <w:bCs w:val="1"/>
          <w:u w:val="single" w:color="auto"/>
          <w:color w:val="auto"/>
        </w:rPr>
        <w:t>www.flywire.com</w:t>
      </w:r>
      <w:r>
        <w:rPr>
          <w:rFonts w:ascii="Times New Roman" w:cs="Times New Roman" w:eastAsia="Times New Roman" w:hAnsi="Times New Roman"/>
          <w:sz w:val="13"/>
          <w:szCs w:val="13"/>
          <w:color w:val="auto"/>
        </w:rPr>
        <w:t xml:space="preserve">. Follow Flywire on </w:t>
      </w:r>
      <w:r>
        <w:rPr>
          <w:rFonts w:ascii="Times New Roman" w:cs="Times New Roman" w:eastAsia="Times New Roman" w:hAnsi="Times New Roman"/>
          <w:sz w:val="13"/>
          <w:szCs w:val="13"/>
          <w:b w:val="1"/>
          <w:bCs w:val="1"/>
          <w:u w:val="single" w:color="auto"/>
          <w:color w:val="auto"/>
        </w:rPr>
        <w:t>Twitter</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u w:val="single" w:color="auto"/>
          <w:color w:val="auto"/>
        </w:rPr>
        <w:t>LinkedIn</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b w:val="1"/>
          <w:bCs w:val="1"/>
          <w:u w:val="single" w:color="auto"/>
          <w:color w:val="auto"/>
        </w:rPr>
        <w:t>Facebook</w:t>
      </w:r>
      <w:r>
        <w:rPr>
          <w:rFonts w:ascii="Times New Roman" w:cs="Times New Roman" w:eastAsia="Times New Roman" w:hAnsi="Times New Roman"/>
          <w:sz w:val="13"/>
          <w:szCs w:val="13"/>
          <w:color w:val="auto"/>
        </w:rPr>
        <w:t>.</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i w:val="1"/>
          <w:iCs w:val="1"/>
          <w:color w:val="auto"/>
        </w:rPr>
        <w:t>Safe Harbor Statement</w:t>
      </w:r>
    </w:p>
    <w:p>
      <w:pPr>
        <w:spacing w:after="0" w:line="80" w:lineRule="exact"/>
        <w:rPr>
          <w:sz w:val="20"/>
          <w:szCs w:val="20"/>
          <w:color w:val="auto"/>
        </w:rPr>
      </w:pPr>
    </w:p>
    <w:p>
      <w:pPr>
        <w:ind w:left="640" w:right="719"/>
        <w:spacing w:after="0" w:line="248" w:lineRule="auto"/>
        <w:rPr>
          <w:sz w:val="20"/>
          <w:szCs w:val="20"/>
          <w:color w:val="auto"/>
        </w:rPr>
      </w:pPr>
      <w:r>
        <w:rPr>
          <w:rFonts w:ascii="Times New Roman" w:cs="Times New Roman" w:eastAsia="Times New Roman" w:hAnsi="Times New Roman"/>
          <w:sz w:val="13"/>
          <w:szCs w:val="13"/>
          <w:color w:val="auto"/>
        </w:rPr>
        <w:t>This release contains forward-looking statements within the meaning of the Private Securities Litigation Reform Act of 1995, including, but not limited to, statements regarding Flywire’s future operating results and financial position, Flywire’s business strategy and plans, market growth, and Flywire’s objectives for future operations. Flywire intends such forward-looking statements to be covered by the safe harbor provisions for forward-looking statements contained in Section 21E of the Securities Exchange Act of 1934 and the Private Securities Litigation Reform Act of 1995. In some cases, you can identify forward-looking statements by terms such as, but not limited to, “believe,” “may,” “will,” “potentially,” “estimate,” “continue,” “anticipate,” “intend,” “could,”</w:t>
      </w:r>
    </w:p>
    <w:p>
      <w:pPr>
        <w:sectPr>
          <w:pgSz w:w="11900" w:h="16838" w:orient="portrait"/>
          <w:cols w:equalWidth="0" w:num="1">
            <w:col w:w="9019"/>
          </w:cols>
          <w:pgMar w:left="1440" w:top="231" w:right="1440" w:bottom="1440" w:gutter="0" w:footer="0" w:header="0"/>
        </w:sectPr>
      </w:pPr>
    </w:p>
    <w:bookmarkStart w:id="9" w:name="page10"/>
    <w:bookmarkEnd w:id="9"/>
    <w:p>
      <w:pPr>
        <w:ind w:left="640" w:right="659"/>
        <w:spacing w:after="0" w:line="265" w:lineRule="auto"/>
        <w:rPr>
          <w:sz w:val="20"/>
          <w:szCs w:val="20"/>
          <w:color w:val="auto"/>
        </w:rPr>
      </w:pPr>
      <w:r>
        <w:rPr>
          <w:rFonts w:ascii="Times New Roman" w:cs="Times New Roman" w:eastAsia="Times New Roman" w:hAnsi="Times New Roman"/>
          <w:sz w:val="12"/>
          <w:szCs w:val="12"/>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0425" cy="30480"/>
                    </a:xfrm>
                    <a:prstGeom prst="rect">
                      <a:avLst/>
                    </a:prstGeom>
                    <a:noFill/>
                  </pic:spPr>
                </pic:pic>
              </a:graphicData>
            </a:graphic>
          </wp:anchor>
        </w:drawing>
        <w:t xml:space="preserve">“would,” “project,” “target,” “plan,” “expect,” or the negative of these terms, and similar expressions intended to identify forward-looking statements. Such forward-looking statements are based upon current expectations that involve risks, changes in circumstances, assumptions, and uncertainties. Important factors that could cause actual results to differ materially from those reflected in Flywire’s forward-looking statements include, among others, Flywire’s future financial performance, including its expectations regarding Revenue, Revenue Less Ancillary Services, and Adjusted EBITDA. Risks that may cause actual results to differ materially from these forward looking statements include, but are not limited to: political, economic, legal, social and health risks, including the COVID-19 pandemic and subsequent public health measures that may affect Flywire’s business or the global economy; beliefs and objectives for future operations; Flywire’s ability to develop and protect its brand; Flywire’s ability to maintain and grow the payment volume that it processes; Flywire’s ability to further attract, retain, and expand its client base; Flywire’s ability to develop new solutions and services and bring them to market in a timely manner; Flywire’s expectations concerning relationships with third parties, including strategic partners; the effects of increased competition in Flywire’s markets and its ability to compete effectively; future acquisitions or investments in complementary companies, products, services, or technologies; Flywire’s ability to enter new client verticals, including its relatively new B2B sector; Flywire’s expectations regarding anticipated technology needs and developments and its ability to address those needs and developments with its solutions; Flywire’s expectations regarding litigation and legal and regulatory matters; Flywire’s expectations regarding its ability to meet existing performance obligations and maintain the operability of its solutions; Flywire’s expectations regarding the effects of existing and developing laws and regulations, including with respect to payments and financial services, taxation, privacy and data protection; economic and industry trends, projected growth, or trend analysis; Flywire’s ability to attract and retain qualified employees; Flywire’s ability to maintain, protect, and enhance its intellectual property; Flywire’s ability to maintain the security and availability of its solutions; the future market price of Flywire’s common stock; and other factors that are described in the “Risk Factors” and “Management’s Discussion and Analysis of Financial Condition and Results of Operations” sections of Flywire’s Annual Report on Form 10-K for the year ended December 31, 2021 and Quarterly Report on Form 10-Q for the quarter ended March 31, 2022, which are on file with the Securities and Exchange Commission (SEC) and available on the SEC’s website at </w:t>
      </w:r>
      <w:r>
        <w:rPr>
          <w:rFonts w:ascii="Times New Roman" w:cs="Times New Roman" w:eastAsia="Times New Roman" w:hAnsi="Times New Roman"/>
          <w:sz w:val="12"/>
          <w:szCs w:val="12"/>
          <w:u w:val="single" w:color="auto"/>
          <w:color w:val="auto"/>
        </w:rPr>
        <w:t>https://www.sec.gov/</w:t>
      </w:r>
      <w:r>
        <w:rPr>
          <w:rFonts w:ascii="Times New Roman" w:cs="Times New Roman" w:eastAsia="Times New Roman" w:hAnsi="Times New Roman"/>
          <w:sz w:val="12"/>
          <w:szCs w:val="12"/>
          <w:color w:val="auto"/>
        </w:rPr>
        <w:t>. Additional factors may be described in those sections of Flywire’s Quarterly Report on Form 10-Q for the quarter ended June 30, 2022, expected to be filed with the SEC in the third quarter of 2022. The information in this release is provided only as of the date of this release, and Flywire undertakes no obligation to update any forward-looking statements contained in this release on account of new information, future events, or otherwise, except as required by law.</w:t>
      </w:r>
    </w:p>
    <w:p>
      <w:pPr>
        <w:sectPr>
          <w:pgSz w:w="11900" w:h="16838" w:orient="portrait"/>
          <w:cols w:equalWidth="0" w:num="1">
            <w:col w:w="9019"/>
          </w:cols>
          <w:pgMar w:left="1440" w:top="231" w:right="1440" w:bottom="1440" w:gutter="0" w:footer="0" w:header="0"/>
        </w:sectPr>
      </w:pPr>
    </w:p>
    <w:bookmarkStart w:id="10" w:name="page11"/>
    <w:bookmarkEnd w:id="10"/>
    <w:p>
      <w:pPr>
        <w:ind w:left="640"/>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0425" cy="30480"/>
                    </a:xfrm>
                    <a:prstGeom prst="rect">
                      <a:avLst/>
                    </a:prstGeom>
                    <a:noFill/>
                  </pic:spPr>
                </pic:pic>
              </a:graphicData>
            </a:graphic>
          </wp:anchor>
        </w:drawing>
        <w:t>Contacts</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Media</w:t>
      </w:r>
      <w:r>
        <w:rPr>
          <w:rFonts w:ascii="Times New Roman" w:cs="Times New Roman" w:eastAsia="Times New Roman" w:hAnsi="Times New Roman"/>
          <w:sz w:val="13"/>
          <w:szCs w:val="13"/>
          <w:color w:val="auto"/>
        </w:rPr>
        <w:t>:</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Sarah King</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2"/>
          <w:szCs w:val="12"/>
          <w:b w:val="1"/>
          <w:bCs w:val="1"/>
          <w:color w:val="auto"/>
        </w:rPr>
        <w:t>Sarah.King@Flywire.com</w:t>
      </w:r>
    </w:p>
    <w:p>
      <w:pPr>
        <w:spacing w:after="0" w:line="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Prosek Partners</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pro-flywire@prosek.com</w:t>
      </w:r>
    </w:p>
    <w:p>
      <w:pPr>
        <w:spacing w:after="0" w:line="6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Investor Relations</w:t>
      </w:r>
      <w:r>
        <w:rPr>
          <w:rFonts w:ascii="Times New Roman" w:cs="Times New Roman" w:eastAsia="Times New Roman" w:hAnsi="Times New Roman"/>
          <w:sz w:val="13"/>
          <w:szCs w:val="13"/>
          <w:color w:val="auto"/>
        </w:rPr>
        <w:t>:</w:t>
      </w:r>
    </w:p>
    <w:p>
      <w:pPr>
        <w:spacing w:after="0" w:line="1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ICR</w:t>
      </w:r>
    </w:p>
    <w:p>
      <w:pPr>
        <w:spacing w:after="0" w:line="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u w:val="single" w:color="auto"/>
          <w:color w:val="auto"/>
        </w:rPr>
        <w:t>flywireir@icrinc.com</w:t>
      </w:r>
    </w:p>
    <w:p>
      <w:pPr>
        <w:sectPr>
          <w:pgSz w:w="11900" w:h="16838" w:orient="portrait"/>
          <w:cols w:equalWidth="0" w:num="1">
            <w:col w:w="9019"/>
          </w:cols>
          <w:pgMar w:left="1440" w:top="229" w:right="1440" w:bottom="1440" w:gutter="0" w:footer="0" w:header="0"/>
        </w:sectPr>
      </w:pPr>
    </w:p>
    <w:bookmarkStart w:id="11" w:name="page12"/>
    <w:bookmarkEnd w:id="11"/>
    <w:p>
      <w:pPr>
        <w:ind w:left="2960"/>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0425" cy="30480"/>
                    </a:xfrm>
                    <a:prstGeom prst="rect">
                      <a:avLst/>
                    </a:prstGeom>
                    <a:noFill/>
                  </pic:spPr>
                </pic:pic>
              </a:graphicData>
            </a:graphic>
          </wp:anchor>
        </w:drawing>
        <w:t>Unaudited Condensed Consolidated Statement of Operations</w:t>
      </w:r>
    </w:p>
    <w:p>
      <w:pPr>
        <w:spacing w:after="0" w:line="15"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3"/>
          <w:szCs w:val="13"/>
          <w:color w:val="auto"/>
        </w:rPr>
        <w:t>(Amounts in thousands, except share and per share amounts)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41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560" w:type="dxa"/>
            <w:vAlign w:val="bottom"/>
            <w:gridSpan w:val="6"/>
          </w:tcPr>
          <w:p>
            <w:pPr>
              <w:jc w:val="right"/>
              <w:ind w:right="460"/>
              <w:spacing w:after="0"/>
              <w:rPr>
                <w:sz w:val="20"/>
                <w:szCs w:val="20"/>
                <w:color w:val="auto"/>
              </w:rPr>
            </w:pPr>
            <w:r>
              <w:rPr>
                <w:rFonts w:ascii="Times New Roman" w:cs="Times New Roman" w:eastAsia="Times New Roman" w:hAnsi="Times New Roman"/>
                <w:sz w:val="10"/>
                <w:szCs w:val="10"/>
                <w:color w:val="auto"/>
              </w:rPr>
              <w:t>Three Months Ended</w:t>
            </w:r>
          </w:p>
        </w:tc>
        <w:tc>
          <w:tcPr>
            <w:tcW w:w="60" w:type="dxa"/>
            <w:vAlign w:val="bottom"/>
          </w:tcPr>
          <w:p>
            <w:pPr>
              <w:spacing w:after="0"/>
              <w:rPr>
                <w:sz w:val="10"/>
                <w:szCs w:val="10"/>
                <w:color w:val="auto"/>
              </w:rPr>
            </w:pPr>
          </w:p>
        </w:tc>
        <w:tc>
          <w:tcPr>
            <w:tcW w:w="1500" w:type="dxa"/>
            <w:vAlign w:val="bottom"/>
            <w:gridSpan w:val="5"/>
          </w:tcPr>
          <w:p>
            <w:pPr>
              <w:jc w:val="right"/>
              <w:ind w:right="440"/>
              <w:spacing w:after="0"/>
              <w:rPr>
                <w:sz w:val="20"/>
                <w:szCs w:val="20"/>
                <w:color w:val="auto"/>
              </w:rPr>
            </w:pPr>
            <w:r>
              <w:rPr>
                <w:rFonts w:ascii="Times New Roman" w:cs="Times New Roman" w:eastAsia="Times New Roman" w:hAnsi="Times New Roman"/>
                <w:sz w:val="10"/>
                <w:szCs w:val="10"/>
                <w:color w:val="auto"/>
              </w:rPr>
              <w:t>Six Months Ended</w:t>
            </w:r>
          </w:p>
        </w:tc>
      </w:tr>
      <w:tr>
        <w:trPr>
          <w:trHeight w:val="79"/>
        </w:trPr>
        <w:tc>
          <w:tcPr>
            <w:tcW w:w="4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840" w:type="dxa"/>
            <w:vAlign w:val="bottom"/>
            <w:tcBorders>
              <w:top w:val="single" w:sz="8" w:color="auto"/>
            </w:tcBorders>
            <w:gridSpan w:val="4"/>
          </w:tcPr>
          <w:p>
            <w:pPr>
              <w:jc w:val="right"/>
              <w:spacing w:after="0" w:line="79" w:lineRule="exact"/>
              <w:rPr>
                <w:sz w:val="20"/>
                <w:szCs w:val="20"/>
                <w:color w:val="auto"/>
              </w:rPr>
            </w:pPr>
            <w:r>
              <w:rPr>
                <w:rFonts w:ascii="Times New Roman" w:cs="Times New Roman" w:eastAsia="Times New Roman" w:hAnsi="Times New Roman"/>
                <w:sz w:val="9"/>
                <w:szCs w:val="9"/>
                <w:color w:val="auto"/>
              </w:rPr>
              <w:t>June 30,</w:t>
            </w:r>
          </w:p>
        </w:tc>
        <w:tc>
          <w:tcPr>
            <w:tcW w:w="580" w:type="dxa"/>
            <w:vAlign w:val="bottom"/>
            <w:tcBorders>
              <w:top w:val="single" w:sz="8" w:color="auto"/>
            </w:tcBorders>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840" w:type="dxa"/>
            <w:vAlign w:val="bottom"/>
            <w:tcBorders>
              <w:top w:val="single" w:sz="8" w:color="auto"/>
            </w:tcBorders>
            <w:gridSpan w:val="3"/>
          </w:tcPr>
          <w:p>
            <w:pPr>
              <w:jc w:val="right"/>
              <w:spacing w:after="0" w:line="79" w:lineRule="exact"/>
              <w:rPr>
                <w:sz w:val="20"/>
                <w:szCs w:val="20"/>
                <w:color w:val="auto"/>
              </w:rPr>
            </w:pPr>
            <w:r>
              <w:rPr>
                <w:rFonts w:ascii="Times New Roman" w:cs="Times New Roman" w:eastAsia="Times New Roman" w:hAnsi="Times New Roman"/>
                <w:sz w:val="9"/>
                <w:szCs w:val="9"/>
                <w:color w:val="auto"/>
              </w:rPr>
              <w:t>June 30</w:t>
            </w:r>
          </w:p>
        </w:tc>
        <w:tc>
          <w:tcPr>
            <w:tcW w:w="580" w:type="dxa"/>
            <w:vAlign w:val="bottom"/>
            <w:tcBorders>
              <w:top w:val="single" w:sz="8" w:color="auto"/>
            </w:tcBorders>
          </w:tcPr>
          <w:p>
            <w:pPr>
              <w:spacing w:after="0"/>
              <w:rPr>
                <w:sz w:val="6"/>
                <w:szCs w:val="6"/>
                <w:color w:val="auto"/>
              </w:rPr>
            </w:pPr>
          </w:p>
        </w:tc>
        <w:tc>
          <w:tcPr>
            <w:tcW w:w="80" w:type="dxa"/>
            <w:vAlign w:val="bottom"/>
          </w:tcPr>
          <w:p>
            <w:pPr>
              <w:spacing w:after="0"/>
              <w:rPr>
                <w:sz w:val="6"/>
                <w:szCs w:val="6"/>
                <w:color w:val="auto"/>
              </w:rPr>
            </w:pPr>
          </w:p>
        </w:tc>
      </w:tr>
      <w:tr>
        <w:trPr>
          <w:trHeight w:val="119"/>
        </w:trPr>
        <w:tc>
          <w:tcPr>
            <w:tcW w:w="4140" w:type="dxa"/>
            <w:vAlign w:val="bottom"/>
            <w:tcBorders>
              <w:bottom w:val="single" w:sz="8" w:color="CCEEFF"/>
            </w:tcBorders>
          </w:tcPr>
          <w:p>
            <w:pPr>
              <w:spacing w:after="0"/>
              <w:rPr>
                <w:sz w:val="10"/>
                <w:szCs w:val="10"/>
                <w:color w:val="auto"/>
              </w:rPr>
            </w:pPr>
          </w:p>
        </w:tc>
        <w:tc>
          <w:tcPr>
            <w:tcW w:w="42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0"/>
                <w:szCs w:val="10"/>
                <w:color w:val="auto"/>
              </w:rPr>
              <w:t>2022</w:t>
            </w:r>
          </w:p>
        </w:tc>
        <w:tc>
          <w:tcPr>
            <w:tcW w:w="80" w:type="dxa"/>
            <w:vAlign w:val="bottom"/>
            <w:tcBorders>
              <w:bottom w:val="single" w:sz="8" w:color="CCEEFF"/>
            </w:tcBorders>
          </w:tcPr>
          <w:p>
            <w:pPr>
              <w:spacing w:after="0"/>
              <w:rPr>
                <w:sz w:val="10"/>
                <w:szCs w:val="10"/>
                <w:color w:val="auto"/>
              </w:rPr>
            </w:pPr>
          </w:p>
        </w:tc>
        <w:tc>
          <w:tcPr>
            <w:tcW w:w="6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0"/>
                <w:szCs w:val="10"/>
                <w:color w:val="auto"/>
              </w:rPr>
              <w:t>2021</w:t>
            </w:r>
          </w:p>
        </w:tc>
        <w:tc>
          <w:tcPr>
            <w:tcW w:w="1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0"/>
                <w:szCs w:val="10"/>
                <w:color w:val="auto"/>
              </w:rPr>
              <w:t>2022</w:t>
            </w:r>
          </w:p>
        </w:tc>
        <w:tc>
          <w:tcPr>
            <w:tcW w:w="140" w:type="dxa"/>
            <w:vAlign w:val="bottom"/>
            <w:tcBorders>
              <w:bottom w:val="single" w:sz="8" w:color="CCEEFF"/>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0"/>
                <w:szCs w:val="10"/>
                <w:color w:val="auto"/>
              </w:rPr>
              <w:t>2021</w:t>
            </w:r>
          </w:p>
        </w:tc>
        <w:tc>
          <w:tcPr>
            <w:tcW w:w="80" w:type="dxa"/>
            <w:vAlign w:val="bottom"/>
            <w:tcBorders>
              <w:bottom w:val="single" w:sz="8" w:color="CCEEFF"/>
            </w:tcBorders>
          </w:tcPr>
          <w:p>
            <w:pPr>
              <w:spacing w:after="0"/>
              <w:rPr>
                <w:sz w:val="10"/>
                <w:szCs w:val="10"/>
                <w:color w:val="auto"/>
              </w:rPr>
            </w:pPr>
          </w:p>
        </w:tc>
      </w:tr>
      <w:tr>
        <w:trPr>
          <w:trHeight w:val="141"/>
        </w:trPr>
        <w:tc>
          <w:tcPr>
            <w:tcW w:w="41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42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56,537</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36,976</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121,090</w:t>
            </w: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81,967</w:t>
            </w:r>
          </w:p>
        </w:tc>
        <w:tc>
          <w:tcPr>
            <w:tcW w:w="80" w:type="dxa"/>
            <w:vAlign w:val="bottom"/>
            <w:shd w:val="clear" w:color="auto" w:fill="CCEEFF"/>
          </w:tcPr>
          <w:p>
            <w:pPr>
              <w:spacing w:after="0"/>
              <w:rPr>
                <w:sz w:val="12"/>
                <w:szCs w:val="12"/>
                <w:color w:val="auto"/>
              </w:rPr>
            </w:pPr>
          </w:p>
        </w:tc>
      </w:tr>
      <w:tr>
        <w:trPr>
          <w:trHeight w:val="152"/>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Costs and operating expenses:</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4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Payment processing and services costs</w:t>
            </w: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21,820</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13,122</w:t>
            </w: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46,073</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29,213</w:t>
            </w:r>
          </w:p>
        </w:tc>
      </w:tr>
      <w:tr>
        <w:trPr>
          <w:trHeight w:val="152"/>
        </w:trPr>
        <w:tc>
          <w:tcPr>
            <w:tcW w:w="41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Technology and development</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13,204</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6,929</w:t>
            </w:r>
          </w:p>
        </w:tc>
        <w:tc>
          <w:tcPr>
            <w:tcW w:w="60" w:type="dxa"/>
            <w:vAlign w:val="bottom"/>
          </w:tcPr>
          <w:p>
            <w:pPr>
              <w:spacing w:after="0"/>
              <w:rPr>
                <w:sz w:val="13"/>
                <w:szCs w:val="13"/>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24,180</w:t>
            </w:r>
          </w:p>
        </w:tc>
        <w:tc>
          <w:tcPr>
            <w:tcW w:w="60" w:type="dxa"/>
            <w:vAlign w:val="bottom"/>
          </w:tcPr>
          <w:p>
            <w:pPr>
              <w:spacing w:after="0"/>
              <w:rPr>
                <w:sz w:val="13"/>
                <w:szCs w:val="1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14,451</w:t>
            </w:r>
          </w:p>
        </w:tc>
      </w:tr>
      <w:tr>
        <w:trPr>
          <w:trHeight w:val="152"/>
        </w:trPr>
        <w:tc>
          <w:tcPr>
            <w:tcW w:w="4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Selling and marketing</w:t>
            </w: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18,887</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10,906</w:t>
            </w: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36,495</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22,837</w:t>
            </w:r>
          </w:p>
        </w:tc>
      </w:tr>
      <w:tr>
        <w:trPr>
          <w:trHeight w:val="152"/>
        </w:trPr>
        <w:tc>
          <w:tcPr>
            <w:tcW w:w="41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4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20,023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13,578</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38,843</w:t>
            </w:r>
          </w:p>
        </w:tc>
        <w:tc>
          <w:tcPr>
            <w:tcW w:w="1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29,491</w:t>
            </w:r>
          </w:p>
        </w:tc>
        <w:tc>
          <w:tcPr>
            <w:tcW w:w="80" w:type="dxa"/>
            <w:vAlign w:val="bottom"/>
          </w:tcPr>
          <w:p>
            <w:pPr>
              <w:spacing w:after="0"/>
              <w:rPr>
                <w:sz w:val="13"/>
                <w:szCs w:val="13"/>
                <w:color w:val="auto"/>
              </w:rPr>
            </w:pPr>
          </w:p>
        </w:tc>
      </w:tr>
      <w:tr>
        <w:trPr>
          <w:trHeight w:val="151"/>
        </w:trPr>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costs and operating expenses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73,934</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44,535</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145,591</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95,992</w:t>
            </w:r>
          </w:p>
        </w:tc>
      </w:tr>
      <w:tr>
        <w:trPr>
          <w:trHeight w:val="151"/>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Loss from operations</w:t>
            </w:r>
          </w:p>
        </w:tc>
        <w:tc>
          <w:tcPr>
            <w:tcW w:w="42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(17,397)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(7,559)</w:t>
            </w:r>
          </w:p>
        </w:tc>
        <w:tc>
          <w:tcPr>
            <w:tcW w:w="14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(24,501)</w:t>
            </w:r>
          </w:p>
        </w:tc>
        <w:tc>
          <w:tcPr>
            <w:tcW w:w="14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(14,025)</w:t>
            </w:r>
          </w:p>
        </w:tc>
        <w:tc>
          <w:tcPr>
            <w:tcW w:w="80" w:type="dxa"/>
            <w:vAlign w:val="bottom"/>
          </w:tcPr>
          <w:p>
            <w:pPr>
              <w:spacing w:after="0"/>
              <w:rPr>
                <w:sz w:val="13"/>
                <w:szCs w:val="13"/>
                <w:color w:val="auto"/>
              </w:rPr>
            </w:pPr>
          </w:p>
        </w:tc>
      </w:tr>
      <w:tr>
        <w:trPr>
          <w:trHeight w:val="152"/>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expense:</w:t>
            </w: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41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Interest expense</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(629)</w:t>
            </w:r>
          </w:p>
        </w:tc>
        <w:tc>
          <w:tcPr>
            <w:tcW w:w="6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(484)</w:t>
            </w:r>
          </w:p>
        </w:tc>
        <w:tc>
          <w:tcPr>
            <w:tcW w:w="6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(1,250)</w:t>
            </w:r>
          </w:p>
        </w:tc>
      </w:tr>
      <w:tr>
        <w:trPr>
          <w:trHeight w:val="152"/>
        </w:trPr>
        <w:tc>
          <w:tcPr>
            <w:tcW w:w="41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 in fair value of preferred stock warrant liability</w:t>
            </w: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(9,803)</w:t>
            </w: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(10,758)</w:t>
            </w:r>
          </w:p>
        </w:tc>
      </w:tr>
      <w:tr>
        <w:trPr>
          <w:trHeight w:val="152"/>
        </w:trPr>
        <w:tc>
          <w:tcPr>
            <w:tcW w:w="41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 income (expense), net</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(5,056)</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118</w:t>
            </w:r>
          </w:p>
        </w:tc>
        <w:tc>
          <w:tcPr>
            <w:tcW w:w="6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(7,383)</w:t>
            </w:r>
          </w:p>
        </w:tc>
        <w:tc>
          <w:tcPr>
            <w:tcW w:w="60" w:type="dxa"/>
            <w:vAlign w:val="bottom"/>
          </w:tcPr>
          <w:p>
            <w:pPr>
              <w:spacing w:after="0"/>
              <w:rPr>
                <w:sz w:val="13"/>
                <w:szCs w:val="13"/>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(294)</w:t>
            </w:r>
          </w:p>
        </w:tc>
      </w:tr>
      <w:tr>
        <w:trPr>
          <w:trHeight w:val="20"/>
        </w:trPr>
        <w:tc>
          <w:tcPr>
            <w:tcW w:w="4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Total other expenses, net</w:t>
            </w: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(5,322)</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(10,314)</w:t>
            </w: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(7,867)</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(12,302)</w:t>
            </w:r>
          </w:p>
        </w:tc>
      </w:tr>
      <w:tr>
        <w:trPr>
          <w:trHeight w:val="151"/>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Loss before provision for income taxes</w:t>
            </w:r>
          </w:p>
        </w:tc>
        <w:tc>
          <w:tcPr>
            <w:tcW w:w="42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(22,719)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(17,873)</w:t>
            </w:r>
          </w:p>
        </w:tc>
        <w:tc>
          <w:tcPr>
            <w:tcW w:w="14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(32,368)</w:t>
            </w:r>
          </w:p>
        </w:tc>
        <w:tc>
          <w:tcPr>
            <w:tcW w:w="14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(26,327)</w:t>
            </w:r>
          </w:p>
        </w:tc>
        <w:tc>
          <w:tcPr>
            <w:tcW w:w="80" w:type="dxa"/>
            <w:vAlign w:val="bottom"/>
          </w:tcPr>
          <w:p>
            <w:pPr>
              <w:spacing w:after="0"/>
              <w:rPr>
                <w:sz w:val="13"/>
                <w:szCs w:val="13"/>
                <w:color w:val="auto"/>
              </w:rPr>
            </w:pPr>
          </w:p>
        </w:tc>
      </w:tr>
      <w:tr>
        <w:trPr>
          <w:trHeight w:val="152"/>
        </w:trPr>
        <w:tc>
          <w:tcPr>
            <w:tcW w:w="4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1,078</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273</w:t>
            </w: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1,578</w:t>
            </w: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471</w:t>
            </w:r>
          </w:p>
        </w:tc>
      </w:tr>
      <w:tr>
        <w:trPr>
          <w:trHeight w:val="151"/>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42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(23,797)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(18,146)</w:t>
            </w:r>
          </w:p>
        </w:tc>
        <w:tc>
          <w:tcPr>
            <w:tcW w:w="14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(33,946)</w:t>
            </w:r>
          </w:p>
        </w:tc>
        <w:tc>
          <w:tcPr>
            <w:tcW w:w="140" w:type="dxa"/>
            <w:vAlign w:val="bottom"/>
          </w:tcPr>
          <w:p>
            <w:pPr>
              <w:spacing w:after="0"/>
              <w:rPr>
                <w:sz w:val="13"/>
                <w:szCs w:val="13"/>
                <w:color w:val="auto"/>
              </w:rPr>
            </w:pPr>
          </w:p>
        </w:tc>
        <w:tc>
          <w:tcPr>
            <w:tcW w:w="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(26,798)</w:t>
            </w:r>
          </w:p>
        </w:tc>
        <w:tc>
          <w:tcPr>
            <w:tcW w:w="80" w:type="dxa"/>
            <w:vAlign w:val="bottom"/>
          </w:tcPr>
          <w:p>
            <w:pPr>
              <w:spacing w:after="0"/>
              <w:rPr>
                <w:sz w:val="13"/>
                <w:szCs w:val="13"/>
                <w:color w:val="auto"/>
              </w:rPr>
            </w:pPr>
          </w:p>
        </w:tc>
      </w:tr>
      <w:tr>
        <w:trPr>
          <w:trHeight w:val="152"/>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Foreign currency translation adjustment</w:t>
            </w:r>
          </w:p>
        </w:tc>
        <w:tc>
          <w:tcPr>
            <w:tcW w:w="4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(45)</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(76)</w:t>
            </w: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(135)</w:t>
            </w:r>
          </w:p>
        </w:tc>
        <w:tc>
          <w:tcPr>
            <w:tcW w:w="6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263</w:t>
            </w:r>
          </w:p>
        </w:tc>
      </w:tr>
      <w:tr>
        <w:trPr>
          <w:trHeight w:val="152"/>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Comprehensive loss</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(23,842)</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(18,222)</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(34,081)</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(26,535)</w:t>
            </w:r>
          </w:p>
        </w:tc>
      </w:tr>
      <w:tr>
        <w:trPr>
          <w:trHeight w:val="28"/>
        </w:trPr>
        <w:tc>
          <w:tcPr>
            <w:tcW w:w="4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r>
        <w:trPr>
          <w:trHeight w:val="17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loss attributable to common stockholders - basic and diluted</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(23,797)</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(18,154)</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(33,946)</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(26,811)</w:t>
            </w:r>
          </w:p>
        </w:tc>
      </w:tr>
      <w:tr>
        <w:trPr>
          <w:trHeight w:val="170"/>
        </w:trPr>
        <w:tc>
          <w:tcPr>
            <w:tcW w:w="4140" w:type="dxa"/>
            <w:vAlign w:val="bottom"/>
          </w:tcPr>
          <w:p>
            <w:pPr>
              <w:spacing w:after="0"/>
              <w:rPr>
                <w:sz w:val="20"/>
                <w:szCs w:val="20"/>
                <w:color w:val="auto"/>
              </w:rPr>
            </w:pPr>
            <w:r>
              <w:rPr>
                <w:rFonts w:ascii="Times New Roman" w:cs="Times New Roman" w:eastAsia="Times New Roman" w:hAnsi="Times New Roman"/>
                <w:sz w:val="13"/>
                <w:szCs w:val="13"/>
                <w:color w:val="auto"/>
              </w:rPr>
              <w:t>Net loss per share attributable to common stockholders - basic and diluted</w:t>
            </w:r>
          </w:p>
        </w:tc>
        <w:tc>
          <w:tcPr>
            <w:tcW w:w="42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(0.22)</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(0.35)</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(0.32)</w:t>
            </w:r>
          </w:p>
        </w:tc>
        <w:tc>
          <w:tcPr>
            <w:tcW w:w="140" w:type="dxa"/>
            <w:vAlign w:val="bottom"/>
          </w:tcPr>
          <w:p>
            <w:pPr>
              <w:spacing w:after="0"/>
              <w:rPr>
                <w:sz w:val="14"/>
                <w:szCs w:val="14"/>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(0.73)</w:t>
            </w:r>
          </w:p>
        </w:tc>
        <w:tc>
          <w:tcPr>
            <w:tcW w:w="80" w:type="dxa"/>
            <w:vAlign w:val="bottom"/>
          </w:tcPr>
          <w:p>
            <w:pPr>
              <w:spacing w:after="0"/>
              <w:rPr>
                <w:sz w:val="14"/>
                <w:szCs w:val="14"/>
                <w:color w:val="auto"/>
              </w:rPr>
            </w:pPr>
          </w:p>
        </w:tc>
      </w:tr>
      <w:tr>
        <w:trPr>
          <w:trHeight w:val="170"/>
        </w:trPr>
        <w:tc>
          <w:tcPr>
            <w:tcW w:w="41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Weighted average common shares outstanding - basic and diluted</w:t>
            </w:r>
          </w:p>
        </w:tc>
        <w:tc>
          <w:tcPr>
            <w:tcW w:w="42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107,426,898</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52,496,862</w:t>
            </w: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107,085,233</w:t>
            </w:r>
          </w:p>
        </w:tc>
        <w:tc>
          <w:tcPr>
            <w:tcW w:w="14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5"/>
              </w:rPr>
              <w:t>36,886,657</w:t>
            </w:r>
          </w:p>
        </w:tc>
        <w:tc>
          <w:tcPr>
            <w:tcW w:w="80" w:type="dxa"/>
            <w:vAlign w:val="bottom"/>
            <w:shd w:val="clear" w:color="auto" w:fill="CCEEFF"/>
          </w:tcPr>
          <w:p>
            <w:pPr>
              <w:spacing w:after="0"/>
              <w:rPr>
                <w:sz w:val="14"/>
                <w:szCs w:val="14"/>
                <w:color w:val="auto"/>
              </w:rPr>
            </w:pPr>
          </w:p>
        </w:tc>
      </w:tr>
    </w:tbl>
    <w:p>
      <w:pPr>
        <w:sectPr>
          <w:pgSz w:w="11900" w:h="16838" w:orient="portrait"/>
          <w:cols w:equalWidth="0" w:num="1">
            <w:col w:w="9019"/>
          </w:cols>
          <w:pgMar w:left="1440" w:top="231" w:right="1440"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0425" cy="30480"/>
                    </a:xfrm>
                    <a:prstGeom prst="rect">
                      <a:avLst/>
                    </a:prstGeom>
                    <a:noFill/>
                  </pic:spPr>
                </pic:pic>
              </a:graphicData>
            </a:graphic>
          </wp:anchor>
        </w:drawing>
        <w:t>Unaudited Condensed Consolidated Balance Sheets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(Amounts in thousands, except share amounts)</w:t>
      </w:r>
    </w:p>
    <w:p>
      <w:pPr>
        <w:spacing w:after="0" w:line="147"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6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0"/>
                <w:szCs w:val="10"/>
                <w:color w:val="auto"/>
              </w:rPr>
              <w:t>June 30,</w:t>
            </w:r>
          </w:p>
        </w:tc>
        <w:tc>
          <w:tcPr>
            <w:tcW w:w="660" w:type="dxa"/>
            <w:vAlign w:val="bottom"/>
            <w:gridSpan w:val="3"/>
          </w:tcPr>
          <w:p>
            <w:pPr>
              <w:spacing w:after="0"/>
              <w:rPr>
                <w:sz w:val="20"/>
                <w:szCs w:val="20"/>
                <w:color w:val="auto"/>
              </w:rPr>
            </w:pPr>
            <w:r>
              <w:rPr>
                <w:rFonts w:ascii="Times New Roman" w:cs="Times New Roman" w:eastAsia="Times New Roman" w:hAnsi="Times New Roman"/>
                <w:sz w:val="10"/>
                <w:szCs w:val="10"/>
                <w:color w:val="auto"/>
              </w:rPr>
              <w:t>December 31,</w:t>
            </w:r>
          </w:p>
        </w:tc>
      </w:tr>
      <w:tr>
        <w:trPr>
          <w:trHeight w:val="119"/>
        </w:trPr>
        <w:tc>
          <w:tcPr>
            <w:tcW w:w="6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jc w:val="right"/>
              <w:ind w:right="98"/>
              <w:spacing w:after="0"/>
              <w:rPr>
                <w:sz w:val="20"/>
                <w:szCs w:val="20"/>
                <w:color w:val="auto"/>
              </w:rPr>
            </w:pPr>
            <w:r>
              <w:rPr>
                <w:rFonts w:ascii="Times New Roman" w:cs="Times New Roman" w:eastAsia="Times New Roman" w:hAnsi="Times New Roman"/>
                <w:sz w:val="10"/>
                <w:szCs w:val="10"/>
                <w:color w:val="auto"/>
              </w:rPr>
              <w:t>2022</w:t>
            </w:r>
          </w:p>
        </w:tc>
        <w:tc>
          <w:tcPr>
            <w:tcW w:w="1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0"/>
                <w:szCs w:val="10"/>
                <w:color w:val="auto"/>
              </w:rPr>
              <w:t>2021</w:t>
            </w:r>
          </w:p>
        </w:tc>
        <w:tc>
          <w:tcPr>
            <w:tcW w:w="80" w:type="dxa"/>
            <w:vAlign w:val="bottom"/>
          </w:tcPr>
          <w:p>
            <w:pPr>
              <w:spacing w:after="0"/>
              <w:rPr>
                <w:sz w:val="10"/>
                <w:szCs w:val="10"/>
                <w:color w:val="auto"/>
              </w:rPr>
            </w:pPr>
          </w:p>
        </w:tc>
      </w:tr>
      <w:tr>
        <w:trPr>
          <w:trHeight w:val="94"/>
        </w:trPr>
        <w:tc>
          <w:tcPr>
            <w:tcW w:w="63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ind w:right="38"/>
              <w:spacing w:after="0" w:line="94" w:lineRule="exact"/>
              <w:rPr>
                <w:sz w:val="20"/>
                <w:szCs w:val="20"/>
                <w:color w:val="auto"/>
              </w:rPr>
            </w:pPr>
            <w:r>
              <w:rPr>
                <w:rFonts w:ascii="Times New Roman" w:cs="Times New Roman" w:eastAsia="Times New Roman" w:hAnsi="Times New Roman"/>
                <w:sz w:val="10"/>
                <w:szCs w:val="10"/>
                <w:color w:val="auto"/>
                <w:w w:val="97"/>
              </w:rPr>
              <w:t>(Audited)</w:t>
            </w:r>
          </w:p>
        </w:tc>
        <w:tc>
          <w:tcPr>
            <w:tcW w:w="80" w:type="dxa"/>
            <w:vAlign w:val="bottom"/>
          </w:tcPr>
          <w:p>
            <w:pPr>
              <w:spacing w:after="0"/>
              <w:rPr>
                <w:sz w:val="8"/>
                <w:szCs w:val="8"/>
                <w:color w:val="auto"/>
              </w:rPr>
            </w:pPr>
          </w:p>
        </w:tc>
      </w:tr>
      <w:tr>
        <w:trPr>
          <w:trHeight w:val="152"/>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Assets</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36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360,584</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385,360</w:t>
            </w:r>
          </w:p>
        </w:tc>
      </w:tr>
      <w:tr>
        <w:trPr>
          <w:trHeight w:val="152"/>
        </w:trPr>
        <w:tc>
          <w:tcPr>
            <w:tcW w:w="63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Restricted cash</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2,000</w:t>
            </w: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4,000</w:t>
            </w:r>
          </w:p>
        </w:tc>
      </w:tr>
      <w:tr>
        <w:trPr>
          <w:trHeight w:val="152"/>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receivable, net of allowance for doubtful accounts of $149 and $106, respectively</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16,604</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12,968</w:t>
            </w:r>
          </w:p>
        </w:tc>
      </w:tr>
      <w:tr>
        <w:trPr>
          <w:trHeight w:val="152"/>
        </w:trPr>
        <w:tc>
          <w:tcPr>
            <w:tcW w:w="63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Unbilled receivables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3,960</w:t>
            </w: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3,340</w:t>
            </w:r>
          </w:p>
        </w:tc>
      </w:tr>
      <w:tr>
        <w:trPr>
          <w:trHeight w:val="152"/>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Funds receivable from payment partners</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20,182</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28,286</w:t>
            </w:r>
          </w:p>
        </w:tc>
      </w:tr>
      <w:tr>
        <w:trPr>
          <w:trHeight w:val="152"/>
        </w:trPr>
        <w:tc>
          <w:tcPr>
            <w:tcW w:w="63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12,117</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9,834</w:t>
            </w:r>
          </w:p>
        </w:tc>
        <w:tc>
          <w:tcPr>
            <w:tcW w:w="80" w:type="dxa"/>
            <w:vAlign w:val="bottom"/>
          </w:tcPr>
          <w:p>
            <w:pPr>
              <w:spacing w:after="0"/>
              <w:rPr>
                <w:sz w:val="13"/>
                <w:szCs w:val="13"/>
                <w:color w:val="auto"/>
              </w:rPr>
            </w:pPr>
          </w:p>
        </w:tc>
      </w:tr>
      <w:tr>
        <w:trPr>
          <w:trHeight w:val="151"/>
        </w:trPr>
        <w:tc>
          <w:tcPr>
            <w:tcW w:w="63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Total current assets</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415,447</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443,788</w:t>
            </w:r>
          </w:p>
        </w:tc>
      </w:tr>
      <w:tr>
        <w:trPr>
          <w:trHeight w:val="152"/>
        </w:trPr>
        <w:tc>
          <w:tcPr>
            <w:tcW w:w="6360" w:type="dxa"/>
            <w:vAlign w:val="bottom"/>
          </w:tcPr>
          <w:p>
            <w:pPr>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11,579</w:t>
            </w: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9,442</w:t>
            </w:r>
          </w:p>
        </w:tc>
      </w:tr>
      <w:tr>
        <w:trPr>
          <w:trHeight w:val="152"/>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Intangible assets, net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86,079</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93,598</w:t>
            </w:r>
          </w:p>
        </w:tc>
      </w:tr>
      <w:tr>
        <w:trPr>
          <w:trHeight w:val="152"/>
        </w:trPr>
        <w:tc>
          <w:tcPr>
            <w:tcW w:w="6360" w:type="dxa"/>
            <w:vAlign w:val="bottom"/>
          </w:tcPr>
          <w:p>
            <w:pPr>
              <w:spacing w:after="0"/>
              <w:rPr>
                <w:sz w:val="20"/>
                <w:szCs w:val="20"/>
                <w:color w:val="auto"/>
              </w:rPr>
            </w:pPr>
            <w:r>
              <w:rPr>
                <w:rFonts w:ascii="Times New Roman" w:cs="Times New Roman" w:eastAsia="Times New Roman" w:hAnsi="Times New Roman"/>
                <w:sz w:val="13"/>
                <w:szCs w:val="13"/>
                <w:color w:val="auto"/>
              </w:rPr>
              <w:t>Goodwill</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81,643</w:t>
            </w: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85,841</w:t>
            </w:r>
          </w:p>
        </w:tc>
      </w:tr>
      <w:tr>
        <w:trPr>
          <w:trHeight w:val="152"/>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assets</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11,020</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7,176</w:t>
            </w:r>
          </w:p>
        </w:tc>
      </w:tr>
      <w:tr>
        <w:trPr>
          <w:trHeight w:val="159"/>
        </w:trPr>
        <w:tc>
          <w:tcPr>
            <w:tcW w:w="636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Total assets</w:t>
            </w: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605,768</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3"/>
                <w:szCs w:val="13"/>
                <w:color w:val="auto"/>
                <w:w w:val="9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639,845</w:t>
            </w:r>
          </w:p>
        </w:tc>
        <w:tc>
          <w:tcPr>
            <w:tcW w:w="80" w:type="dxa"/>
            <w:vAlign w:val="bottom"/>
          </w:tcPr>
          <w:p>
            <w:pPr>
              <w:spacing w:after="0"/>
              <w:rPr>
                <w:sz w:val="13"/>
                <w:szCs w:val="13"/>
                <w:color w:val="auto"/>
              </w:rPr>
            </w:pPr>
          </w:p>
        </w:tc>
      </w:tr>
      <w:tr>
        <w:trPr>
          <w:trHeight w:val="161"/>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Liabilities and Stockholders’ Equity</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52"/>
        </w:trPr>
        <w:tc>
          <w:tcPr>
            <w:tcW w:w="636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Accounts payable</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9,242</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10,242</w:t>
            </w:r>
          </w:p>
        </w:tc>
      </w:tr>
      <w:tr>
        <w:trPr>
          <w:trHeight w:val="152"/>
        </w:trPr>
        <w:tc>
          <w:tcPr>
            <w:tcW w:w="63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Funds payable to clients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62,314</w:t>
            </w: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71,302</w:t>
            </w:r>
          </w:p>
        </w:tc>
      </w:tr>
      <w:tr>
        <w:trPr>
          <w:trHeight w:val="152"/>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Accrued expenses and other current liabilities</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27,456</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22,726</w:t>
            </w:r>
          </w:p>
        </w:tc>
      </w:tr>
      <w:tr>
        <w:trPr>
          <w:trHeight w:val="152"/>
        </w:trPr>
        <w:tc>
          <w:tcPr>
            <w:tcW w:w="63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Deferred revenue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5,338</w:t>
            </w: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5,488</w:t>
            </w:r>
          </w:p>
        </w:tc>
      </w:tr>
      <w:tr>
        <w:trPr>
          <w:trHeight w:val="152"/>
        </w:trPr>
        <w:tc>
          <w:tcPr>
            <w:tcW w:w="63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Contingent consideration</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1,517</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7,719</w:t>
            </w:r>
          </w:p>
        </w:tc>
      </w:tr>
      <w:tr>
        <w:trPr>
          <w:trHeight w:val="151"/>
        </w:trPr>
        <w:tc>
          <w:tcPr>
            <w:tcW w:w="636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6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105,867</w:t>
            </w: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117,477</w:t>
            </w:r>
          </w:p>
        </w:tc>
        <w:tc>
          <w:tcPr>
            <w:tcW w:w="80" w:type="dxa"/>
            <w:vAlign w:val="bottom"/>
          </w:tcPr>
          <w:p>
            <w:pPr>
              <w:spacing w:after="0"/>
              <w:rPr>
                <w:sz w:val="13"/>
                <w:szCs w:val="13"/>
                <w:color w:val="auto"/>
              </w:rPr>
            </w:pPr>
          </w:p>
        </w:tc>
      </w:tr>
      <w:tr>
        <w:trPr>
          <w:trHeight w:val="152"/>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Deferred tax liabilities</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7,546</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8,401</w:t>
            </w:r>
          </w:p>
        </w:tc>
      </w:tr>
      <w:tr>
        <w:trPr>
          <w:trHeight w:val="152"/>
        </w:trPr>
        <w:tc>
          <w:tcPr>
            <w:tcW w:w="6360" w:type="dxa"/>
            <w:vAlign w:val="bottom"/>
          </w:tcPr>
          <w:p>
            <w:pPr>
              <w:spacing w:after="0"/>
              <w:rPr>
                <w:sz w:val="20"/>
                <w:szCs w:val="20"/>
                <w:color w:val="auto"/>
              </w:rPr>
            </w:pPr>
            <w:r>
              <w:rPr>
                <w:rFonts w:ascii="Times New Roman" w:cs="Times New Roman" w:eastAsia="Times New Roman" w:hAnsi="Times New Roman"/>
                <w:sz w:val="13"/>
                <w:szCs w:val="13"/>
                <w:color w:val="auto"/>
              </w:rPr>
              <w:t>Contingent consideration, net of current portion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687</w:t>
            </w:r>
          </w:p>
        </w:tc>
        <w:tc>
          <w:tcPr>
            <w:tcW w:w="80" w:type="dxa"/>
            <w:vAlign w:val="bottom"/>
          </w:tcPr>
          <w:p>
            <w:pPr>
              <w:spacing w:after="0"/>
              <w:rPr>
                <w:sz w:val="13"/>
                <w:szCs w:val="13"/>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3,590</w:t>
            </w:r>
          </w:p>
        </w:tc>
      </w:tr>
      <w:tr>
        <w:trPr>
          <w:trHeight w:val="152"/>
        </w:trPr>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debt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25,939</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25,939</w:t>
            </w:r>
          </w:p>
        </w:tc>
      </w:tr>
      <w:tr>
        <w:trPr>
          <w:trHeight w:val="152"/>
        </w:trPr>
        <w:tc>
          <w:tcPr>
            <w:tcW w:w="6360" w:type="dxa"/>
            <w:vAlign w:val="bottom"/>
          </w:tcPr>
          <w:p>
            <w:pPr>
              <w:spacing w:after="0"/>
              <w:rPr>
                <w:sz w:val="20"/>
                <w:szCs w:val="20"/>
                <w:color w:val="auto"/>
              </w:rPr>
            </w:pPr>
            <w:r>
              <w:rPr>
                <w:rFonts w:ascii="Times New Roman" w:cs="Times New Roman" w:eastAsia="Times New Roman" w:hAnsi="Times New Roman"/>
                <w:sz w:val="13"/>
                <w:szCs w:val="13"/>
                <w:color w:val="auto"/>
              </w:rPr>
              <w:t>Other liabilities</w:t>
            </w: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3,192</w:t>
            </w:r>
          </w:p>
        </w:tc>
        <w:tc>
          <w:tcPr>
            <w:tcW w:w="1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2,237</w:t>
            </w:r>
          </w:p>
        </w:tc>
        <w:tc>
          <w:tcPr>
            <w:tcW w:w="80" w:type="dxa"/>
            <w:vAlign w:val="bottom"/>
          </w:tcPr>
          <w:p>
            <w:pPr>
              <w:spacing w:after="0"/>
              <w:rPr>
                <w:sz w:val="13"/>
                <w:szCs w:val="13"/>
                <w:color w:val="auto"/>
              </w:rPr>
            </w:pPr>
          </w:p>
        </w:tc>
      </w:tr>
      <w:tr>
        <w:trPr>
          <w:trHeight w:val="159"/>
        </w:trPr>
        <w:tc>
          <w:tcPr>
            <w:tcW w:w="63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Total liabilities</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143,231</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157,644</w:t>
            </w:r>
          </w:p>
        </w:tc>
      </w:tr>
      <w:tr>
        <w:trPr>
          <w:trHeight w:val="161"/>
        </w:trPr>
        <w:tc>
          <w:tcPr>
            <w:tcW w:w="6360" w:type="dxa"/>
            <w:vAlign w:val="bottom"/>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6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39"/>
        </w:trPr>
        <w:tc>
          <w:tcPr>
            <w:tcW w:w="6360" w:type="dxa"/>
            <w:vAlign w:val="bottom"/>
            <w:shd w:val="clear" w:color="auto" w:fill="CCEEFF"/>
          </w:tcPr>
          <w:p>
            <w:pPr>
              <w:ind w:left="260"/>
              <w:spacing w:after="0" w:line="139" w:lineRule="exact"/>
              <w:rPr>
                <w:sz w:val="20"/>
                <w:szCs w:val="20"/>
                <w:color w:val="auto"/>
              </w:rPr>
            </w:pPr>
            <w:r>
              <w:rPr>
                <w:rFonts w:ascii="Times New Roman" w:cs="Times New Roman" w:eastAsia="Times New Roman" w:hAnsi="Times New Roman"/>
                <w:sz w:val="13"/>
                <w:szCs w:val="13"/>
                <w:color w:val="auto"/>
                <w:w w:val="99"/>
              </w:rPr>
              <w:t>Preferred stock, $0.0001 par value; 10,000,000 shares authorized as of June 30, 2022 and December 31, 2021; and no</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4"/>
        </w:trPr>
        <w:tc>
          <w:tcPr>
            <w:tcW w:w="6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shares issued and outstanding as of June 30, 2022 and December 31, 2021</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39"/>
        </w:trPr>
        <w:tc>
          <w:tcPr>
            <w:tcW w:w="6360" w:type="dxa"/>
            <w:vAlign w:val="bottom"/>
          </w:tcPr>
          <w:p>
            <w:pPr>
              <w:ind w:left="260"/>
              <w:spacing w:after="0" w:line="139" w:lineRule="exact"/>
              <w:rPr>
                <w:sz w:val="20"/>
                <w:szCs w:val="20"/>
                <w:color w:val="auto"/>
              </w:rPr>
            </w:pPr>
            <w:r>
              <w:rPr>
                <w:rFonts w:ascii="Times New Roman" w:cs="Times New Roman" w:eastAsia="Times New Roman" w:hAnsi="Times New Roman"/>
                <w:sz w:val="13"/>
                <w:szCs w:val="13"/>
                <w:color w:val="auto"/>
                <w:w w:val="97"/>
              </w:rPr>
              <w:t>Voting common stock, $0.0001 par value; 2,000,000,000 shares authorized as of June 30, 2022 and December 31, 2021;</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52"/>
        </w:trPr>
        <w:tc>
          <w:tcPr>
            <w:tcW w:w="636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104,230,946 shares issued and 101,913,224 shares outstanding as of June 30, 2022; 102,771,899 shares issued and</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4"/>
        </w:trPr>
        <w:tc>
          <w:tcPr>
            <w:tcW w:w="636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100,454,177 shares outstanding as of December 31, 2021</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w:t>
            </w:r>
          </w:p>
        </w:tc>
      </w:tr>
      <w:tr>
        <w:trPr>
          <w:trHeight w:val="139"/>
        </w:trPr>
        <w:tc>
          <w:tcPr>
            <w:tcW w:w="6360" w:type="dxa"/>
            <w:vAlign w:val="bottom"/>
            <w:shd w:val="clear" w:color="auto" w:fill="CCEEFF"/>
          </w:tcPr>
          <w:p>
            <w:pPr>
              <w:ind w:left="260"/>
              <w:spacing w:after="0" w:line="139" w:lineRule="exact"/>
              <w:rPr>
                <w:sz w:val="20"/>
                <w:szCs w:val="20"/>
                <w:color w:val="auto"/>
              </w:rPr>
            </w:pPr>
            <w:r>
              <w:rPr>
                <w:rFonts w:ascii="Times New Roman" w:cs="Times New Roman" w:eastAsia="Times New Roman" w:hAnsi="Times New Roman"/>
                <w:sz w:val="13"/>
                <w:szCs w:val="13"/>
                <w:color w:val="auto"/>
              </w:rPr>
              <w:t>Non-voting common stock, $0.0001 par value; 10,000,000 shares authorized as of June 30, 2022 and December 31,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4"/>
        </w:trPr>
        <w:tc>
          <w:tcPr>
            <w:tcW w:w="63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2021; 5,988,378 shares issued and outstanding as of June 30, 2022 and December 31, 2021</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w:t>
            </w:r>
          </w:p>
        </w:tc>
      </w:tr>
      <w:tr>
        <w:trPr>
          <w:trHeight w:val="152"/>
        </w:trPr>
        <w:tc>
          <w:tcPr>
            <w:tcW w:w="636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Treasury voting common stock, 2,317,722 shares as of June 30, 2022 and December 31, 2021, held at cost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(748)</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(748)</w:t>
            </w:r>
          </w:p>
        </w:tc>
      </w:tr>
      <w:tr>
        <w:trPr>
          <w:trHeight w:val="152"/>
        </w:trPr>
        <w:tc>
          <w:tcPr>
            <w:tcW w:w="6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623,611</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609,194</w:t>
            </w:r>
          </w:p>
        </w:tc>
      </w:tr>
      <w:tr>
        <w:trPr>
          <w:trHeight w:val="152"/>
        </w:trPr>
        <w:tc>
          <w:tcPr>
            <w:tcW w:w="636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Accumulated other comprehensive loss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(534)</w:t>
            </w:r>
          </w:p>
        </w:tc>
        <w:tc>
          <w:tcPr>
            <w:tcW w:w="80" w:type="dxa"/>
            <w:vAlign w:val="bottom"/>
          </w:tcPr>
          <w:p>
            <w:pPr>
              <w:spacing w:after="0"/>
              <w:rPr>
                <w:sz w:val="13"/>
                <w:szCs w:val="13"/>
                <w:color w:val="auto"/>
              </w:rPr>
            </w:pP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(399)</w:t>
            </w:r>
          </w:p>
        </w:tc>
      </w:tr>
      <w:tr>
        <w:trPr>
          <w:trHeight w:val="152"/>
        </w:trPr>
        <w:tc>
          <w:tcPr>
            <w:tcW w:w="63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Accumulated deficit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4"/>
              </w:rPr>
              <w:t>(159,803)</w:t>
            </w:r>
          </w:p>
        </w:tc>
        <w:tc>
          <w:tcPr>
            <w:tcW w:w="8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(125,857)</w:t>
            </w:r>
          </w:p>
        </w:tc>
      </w:tr>
      <w:tr>
        <w:trPr>
          <w:trHeight w:val="151"/>
        </w:trPr>
        <w:tc>
          <w:tcPr>
            <w:tcW w:w="636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60" w:type="dxa"/>
            <w:vAlign w:val="bottom"/>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462,537</w:t>
            </w:r>
          </w:p>
        </w:tc>
        <w:tc>
          <w:tcPr>
            <w:tcW w:w="14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482,201</w:t>
            </w:r>
          </w:p>
        </w:tc>
        <w:tc>
          <w:tcPr>
            <w:tcW w:w="80" w:type="dxa"/>
            <w:vAlign w:val="bottom"/>
          </w:tcPr>
          <w:p>
            <w:pPr>
              <w:spacing w:after="0"/>
              <w:rPr>
                <w:sz w:val="13"/>
                <w:szCs w:val="13"/>
                <w:color w:val="auto"/>
              </w:rPr>
            </w:pPr>
          </w:p>
        </w:tc>
      </w:tr>
      <w:tr>
        <w:trPr>
          <w:trHeight w:val="151"/>
        </w:trPr>
        <w:tc>
          <w:tcPr>
            <w:tcW w:w="63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6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605,768</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w w:val="91"/>
              </w:rPr>
              <w:t>$</w:t>
            </w:r>
          </w:p>
        </w:tc>
        <w:tc>
          <w:tcPr>
            <w:tcW w:w="5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639,845</w:t>
            </w:r>
          </w:p>
        </w:tc>
      </w:tr>
      <w:tr>
        <w:trPr>
          <w:trHeight w:val="20"/>
        </w:trPr>
        <w:tc>
          <w:tcPr>
            <w:tcW w:w="6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9019"/>
          </w:cols>
          <w:pgMar w:left="1440" w:top="231" w:right="1440"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0425" cy="30480"/>
                    </a:xfrm>
                    <a:prstGeom prst="rect">
                      <a:avLst/>
                    </a:prstGeom>
                    <a:noFill/>
                  </pic:spPr>
                </pic:pic>
              </a:graphicData>
            </a:graphic>
          </wp:anchor>
        </w:drawing>
        <w:t>Unaudited Condensed Consolidated Statement of Cash Flows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(Amounts in millions)</w:t>
      </w:r>
    </w:p>
    <w:p>
      <w:pPr>
        <w:spacing w:after="0" w:line="158" w:lineRule="exact"/>
        <w:rPr>
          <w:sz w:val="20"/>
          <w:szCs w:val="20"/>
          <w:color w:val="auto"/>
        </w:rPr>
      </w:pPr>
    </w:p>
    <w:tbl>
      <w:tblPr>
        <w:tblLayout w:type="fixed"/>
        <w:tblInd w:w="640" w:type="dxa"/>
        <w:tblCellMar>
          <w:top w:w="0" w:type="dxa"/>
          <w:left w:w="0" w:type="dxa"/>
          <w:bottom w:w="0" w:type="dxa"/>
          <w:right w:w="0" w:type="dxa"/>
        </w:tblCellMar>
      </w:tblPr>
      <w:tr>
        <w:trPr>
          <w:trHeight w:val="119"/>
        </w:trPr>
        <w:tc>
          <w:tcPr>
            <w:tcW w:w="6500" w:type="dxa"/>
            <w:vAlign w:val="bottom"/>
          </w:tcPr>
          <w:p>
            <w:pPr>
              <w:spacing w:after="0"/>
              <w:rPr>
                <w:sz w:val="10"/>
                <w:szCs w:val="10"/>
                <w:color w:val="auto"/>
              </w:rPr>
            </w:pPr>
          </w:p>
        </w:tc>
        <w:tc>
          <w:tcPr>
            <w:tcW w:w="1240" w:type="dxa"/>
            <w:vAlign w:val="bottom"/>
            <w:gridSpan w:val="6"/>
          </w:tcPr>
          <w:p>
            <w:pPr>
              <w:jc w:val="right"/>
              <w:ind w:right="100"/>
              <w:spacing w:after="0"/>
              <w:rPr>
                <w:sz w:val="20"/>
                <w:szCs w:val="20"/>
                <w:color w:val="auto"/>
              </w:rPr>
            </w:pPr>
            <w:r>
              <w:rPr>
                <w:rFonts w:ascii="Times New Roman" w:cs="Times New Roman" w:eastAsia="Times New Roman" w:hAnsi="Times New Roman"/>
                <w:sz w:val="10"/>
                <w:szCs w:val="10"/>
                <w:color w:val="auto"/>
              </w:rPr>
              <w:t>Six Months Ended June 30,</w:t>
            </w:r>
          </w:p>
        </w:tc>
      </w:tr>
      <w:tr>
        <w:trPr>
          <w:trHeight w:val="113"/>
        </w:trPr>
        <w:tc>
          <w:tcPr>
            <w:tcW w:w="6500" w:type="dxa"/>
            <w:vAlign w:val="bottom"/>
            <w:tcBorders>
              <w:bottom w:val="single" w:sz="8" w:color="CCEEFF"/>
            </w:tcBorders>
          </w:tcPr>
          <w:p>
            <w:pPr>
              <w:spacing w:after="0"/>
              <w:rPr>
                <w:sz w:val="9"/>
                <w:szCs w:val="9"/>
                <w:color w:val="auto"/>
              </w:rPr>
            </w:pPr>
          </w:p>
        </w:tc>
        <w:tc>
          <w:tcPr>
            <w:tcW w:w="500" w:type="dxa"/>
            <w:vAlign w:val="bottom"/>
            <w:tcBorders>
              <w:top w:val="single" w:sz="8" w:color="auto"/>
              <w:bottom w:val="single" w:sz="8" w:color="auto"/>
            </w:tcBorders>
          </w:tcPr>
          <w:p>
            <w:pPr>
              <w:jc w:val="right"/>
              <w:ind w:right="98"/>
              <w:spacing w:after="0" w:line="113" w:lineRule="exact"/>
              <w:rPr>
                <w:sz w:val="20"/>
                <w:szCs w:val="20"/>
                <w:color w:val="auto"/>
              </w:rPr>
            </w:pPr>
            <w:r>
              <w:rPr>
                <w:rFonts w:ascii="Times New Roman" w:cs="Times New Roman" w:eastAsia="Times New Roman" w:hAnsi="Times New Roman"/>
                <w:sz w:val="10"/>
                <w:szCs w:val="10"/>
                <w:color w:val="auto"/>
              </w:rPr>
              <w:t>2022</w:t>
            </w:r>
          </w:p>
        </w:tc>
        <w:tc>
          <w:tcPr>
            <w:tcW w:w="20" w:type="dxa"/>
            <w:vAlign w:val="bottom"/>
            <w:tcBorders>
              <w:top w:val="single" w:sz="8" w:color="auto"/>
              <w:bottom w:val="single" w:sz="8" w:color="CCEEFF"/>
            </w:tcBorders>
          </w:tcPr>
          <w:p>
            <w:pPr>
              <w:spacing w:after="0"/>
              <w:rPr>
                <w:sz w:val="9"/>
                <w:szCs w:val="9"/>
                <w:color w:val="auto"/>
              </w:rPr>
            </w:pPr>
          </w:p>
        </w:tc>
        <w:tc>
          <w:tcPr>
            <w:tcW w:w="120" w:type="dxa"/>
            <w:vAlign w:val="bottom"/>
            <w:tcBorders>
              <w:top w:val="single" w:sz="8" w:color="auto"/>
              <w:bottom w:val="single" w:sz="8" w:color="CCEEFF"/>
            </w:tcBorders>
          </w:tcPr>
          <w:p>
            <w:pPr>
              <w:spacing w:after="0"/>
              <w:rPr>
                <w:sz w:val="9"/>
                <w:szCs w:val="9"/>
                <w:color w:val="auto"/>
              </w:rPr>
            </w:pPr>
          </w:p>
        </w:tc>
        <w:tc>
          <w:tcPr>
            <w:tcW w:w="80" w:type="dxa"/>
            <w:vAlign w:val="bottom"/>
            <w:tcBorders>
              <w:top w:val="single" w:sz="8" w:color="auto"/>
              <w:bottom w:val="single" w:sz="8" w:color="auto"/>
            </w:tcBorders>
          </w:tcPr>
          <w:p>
            <w:pPr>
              <w:spacing w:after="0"/>
              <w:rPr>
                <w:sz w:val="9"/>
                <w:szCs w:val="9"/>
                <w:color w:val="auto"/>
              </w:rPr>
            </w:pPr>
          </w:p>
        </w:tc>
        <w:tc>
          <w:tcPr>
            <w:tcW w:w="440" w:type="dxa"/>
            <w:vAlign w:val="bottom"/>
            <w:tcBorders>
              <w:top w:val="single" w:sz="8" w:color="auto"/>
              <w:bottom w:val="single" w:sz="8" w:color="auto"/>
            </w:tcBorders>
          </w:tcPr>
          <w:p>
            <w:pPr>
              <w:jc w:val="right"/>
              <w:ind w:right="97"/>
              <w:spacing w:after="0" w:line="113" w:lineRule="exact"/>
              <w:rPr>
                <w:sz w:val="20"/>
                <w:szCs w:val="20"/>
                <w:color w:val="auto"/>
              </w:rPr>
            </w:pPr>
            <w:r>
              <w:rPr>
                <w:rFonts w:ascii="Times New Roman" w:cs="Times New Roman" w:eastAsia="Times New Roman" w:hAnsi="Times New Roman"/>
                <w:sz w:val="10"/>
                <w:szCs w:val="10"/>
                <w:color w:val="auto"/>
              </w:rPr>
              <w:t>2021</w:t>
            </w:r>
          </w:p>
        </w:tc>
        <w:tc>
          <w:tcPr>
            <w:tcW w:w="80" w:type="dxa"/>
            <w:vAlign w:val="bottom"/>
            <w:tcBorders>
              <w:bottom w:val="single" w:sz="8" w:color="CCEEFF"/>
            </w:tcBorders>
          </w:tcPr>
          <w:p>
            <w:pPr>
              <w:spacing w:after="0"/>
              <w:rPr>
                <w:sz w:val="9"/>
                <w:szCs w:val="9"/>
                <w:color w:val="auto"/>
              </w:rPr>
            </w:pPr>
          </w:p>
        </w:tc>
      </w:tr>
      <w:tr>
        <w:trPr>
          <w:trHeight w:val="132"/>
        </w:trPr>
        <w:tc>
          <w:tcPr>
            <w:tcW w:w="6500" w:type="dxa"/>
            <w:vAlign w:val="bottom"/>
            <w:shd w:val="clear" w:color="auto" w:fill="CCEEFF"/>
          </w:tcPr>
          <w:p>
            <w:pPr>
              <w:spacing w:after="0" w:line="132" w:lineRule="exact"/>
              <w:rPr>
                <w:sz w:val="20"/>
                <w:szCs w:val="20"/>
                <w:color w:val="auto"/>
              </w:rPr>
            </w:pPr>
            <w:r>
              <w:rPr>
                <w:rFonts w:ascii="Times New Roman" w:cs="Times New Roman" w:eastAsia="Times New Roman" w:hAnsi="Times New Roman"/>
                <w:sz w:val="13"/>
                <w:szCs w:val="13"/>
                <w:color w:val="auto"/>
              </w:rPr>
              <w:t>Cash flows from operating activities:</w:t>
            </w:r>
          </w:p>
        </w:tc>
        <w:tc>
          <w:tcPr>
            <w:tcW w:w="5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52"/>
        </w:trPr>
        <w:tc>
          <w:tcPr>
            <w:tcW w:w="6500" w:type="dxa"/>
            <w:vAlign w:val="bottom"/>
          </w:tcPr>
          <w:p>
            <w:pPr>
              <w:spacing w:after="0"/>
              <w:rPr>
                <w:sz w:val="20"/>
                <w:szCs w:val="20"/>
                <w:color w:val="auto"/>
              </w:rPr>
            </w:pPr>
            <w:r>
              <w:rPr>
                <w:rFonts w:ascii="Times New Roman" w:cs="Times New Roman" w:eastAsia="Times New Roman" w:hAnsi="Times New Roman"/>
                <w:sz w:val="13"/>
                <w:szCs w:val="13"/>
                <w:color w:val="auto"/>
              </w:rPr>
              <w:t>Net loss</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w w:val="95"/>
              </w:rPr>
              <w:t>$ (33,946)</w:t>
            </w: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(26,798)</w:t>
            </w:r>
          </w:p>
        </w:tc>
      </w:tr>
      <w:tr>
        <w:trPr>
          <w:trHeight w:val="152"/>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5,784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4,305</w:t>
            </w:r>
          </w:p>
        </w:tc>
      </w:tr>
      <w:tr>
        <w:trPr>
          <w:trHeight w:val="152"/>
        </w:trPr>
        <w:tc>
          <w:tcPr>
            <w:tcW w:w="6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13,932</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12,760</w:t>
            </w:r>
          </w:p>
        </w:tc>
      </w:tr>
      <w:tr>
        <w:trPr>
          <w:trHeight w:val="152"/>
        </w:trPr>
        <w:tc>
          <w:tcPr>
            <w:tcW w:w="6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Amortization of deferred contract costs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161</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105</w:t>
            </w:r>
          </w:p>
        </w:tc>
      </w:tr>
      <w:tr>
        <w:trPr>
          <w:trHeight w:val="152"/>
        </w:trPr>
        <w:tc>
          <w:tcPr>
            <w:tcW w:w="6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 in fair value of preferred stock warrant liability</w:t>
            </w: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10,758</w:t>
            </w:r>
          </w:p>
        </w:tc>
      </w:tr>
      <w:tr>
        <w:trPr>
          <w:trHeight w:val="152"/>
        </w:trPr>
        <w:tc>
          <w:tcPr>
            <w:tcW w:w="6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Change in fair value of contingent consideration</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(950)</w:t>
            </w:r>
          </w:p>
        </w:tc>
        <w:tc>
          <w:tcPr>
            <w:tcW w:w="8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1,591</w:t>
            </w:r>
          </w:p>
        </w:tc>
      </w:tr>
      <w:tr>
        <w:trPr>
          <w:trHeight w:val="152"/>
        </w:trPr>
        <w:tc>
          <w:tcPr>
            <w:tcW w:w="6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Deferred tax provision</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137</w:t>
            </w:r>
          </w:p>
        </w:tc>
      </w:tr>
      <w:tr>
        <w:trPr>
          <w:trHeight w:val="152"/>
        </w:trPr>
        <w:tc>
          <w:tcPr>
            <w:tcW w:w="6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Bad debt expense</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73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80</w:t>
            </w:r>
          </w:p>
        </w:tc>
      </w:tr>
      <w:tr>
        <w:trPr>
          <w:trHeight w:val="152"/>
        </w:trPr>
        <w:tc>
          <w:tcPr>
            <w:tcW w:w="6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Non-cash interest expense</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158</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100</w:t>
            </w:r>
          </w:p>
        </w:tc>
      </w:tr>
      <w:tr>
        <w:trPr>
          <w:trHeight w:val="152"/>
        </w:trPr>
        <w:tc>
          <w:tcPr>
            <w:tcW w:w="65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Other</w:t>
            </w: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97</w:t>
            </w:r>
          </w:p>
        </w:tc>
      </w:tr>
      <w:tr>
        <w:trPr>
          <w:trHeight w:val="152"/>
        </w:trPr>
        <w:tc>
          <w:tcPr>
            <w:tcW w:w="65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Changes in operating assets and liabilities, net of acquisition:</w:t>
            </w:r>
          </w:p>
        </w:tc>
        <w:tc>
          <w:tcPr>
            <w:tcW w:w="5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r>
      <w:tr>
        <w:trPr>
          <w:trHeight w:val="152"/>
        </w:trPr>
        <w:tc>
          <w:tcPr>
            <w:tcW w:w="65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Accounts receivable</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(3,709)</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(128)</w:t>
            </w:r>
          </w:p>
        </w:tc>
      </w:tr>
      <w:tr>
        <w:trPr>
          <w:trHeight w:val="152"/>
        </w:trPr>
        <w:tc>
          <w:tcPr>
            <w:tcW w:w="6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Unbilled receivables</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(620)</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692</w:t>
            </w:r>
          </w:p>
        </w:tc>
      </w:tr>
      <w:tr>
        <w:trPr>
          <w:trHeight w:val="152"/>
        </w:trPr>
        <w:tc>
          <w:tcPr>
            <w:tcW w:w="65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Funds receivable from payment partners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8,104</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5,456</w:t>
            </w:r>
          </w:p>
        </w:tc>
      </w:tr>
      <w:tr>
        <w:trPr>
          <w:trHeight w:val="152"/>
        </w:trPr>
        <w:tc>
          <w:tcPr>
            <w:tcW w:w="6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Prepaid expenses and other assets</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(3,677)</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(7,817)</w:t>
            </w:r>
          </w:p>
        </w:tc>
      </w:tr>
      <w:tr>
        <w:trPr>
          <w:trHeight w:val="152"/>
        </w:trPr>
        <w:tc>
          <w:tcPr>
            <w:tcW w:w="65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Funds payable to clients</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(8,988)</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(14,475)</w:t>
            </w:r>
          </w:p>
        </w:tc>
      </w:tr>
      <w:tr>
        <w:trPr>
          <w:trHeight w:val="152"/>
        </w:trPr>
        <w:tc>
          <w:tcPr>
            <w:tcW w:w="6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Accounts payable, accrued expenses and other current liabilities</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1,529</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3,097</w:t>
            </w:r>
          </w:p>
        </w:tc>
      </w:tr>
      <w:tr>
        <w:trPr>
          <w:trHeight w:val="152"/>
        </w:trPr>
        <w:tc>
          <w:tcPr>
            <w:tcW w:w="65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Contingent consideration</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(4,524)</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(3,212)</w:t>
            </w:r>
          </w:p>
        </w:tc>
      </w:tr>
      <w:tr>
        <w:trPr>
          <w:trHeight w:val="152"/>
        </w:trPr>
        <w:tc>
          <w:tcPr>
            <w:tcW w:w="65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Other liabilities</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(764)</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135</w:t>
            </w:r>
          </w:p>
        </w:tc>
      </w:tr>
      <w:tr>
        <w:trPr>
          <w:trHeight w:val="152"/>
        </w:trPr>
        <w:tc>
          <w:tcPr>
            <w:tcW w:w="6500" w:type="dxa"/>
            <w:vAlign w:val="bottom"/>
          </w:tcPr>
          <w:p>
            <w:pPr>
              <w:ind w:left="500"/>
              <w:spacing w:after="0"/>
              <w:rPr>
                <w:sz w:val="20"/>
                <w:szCs w:val="20"/>
                <w:color w:val="auto"/>
              </w:rPr>
            </w:pPr>
            <w:r>
              <w:rPr>
                <w:rFonts w:ascii="Times New Roman" w:cs="Times New Roman" w:eastAsia="Times New Roman" w:hAnsi="Times New Roman"/>
                <w:sz w:val="13"/>
                <w:szCs w:val="13"/>
                <w:color w:val="auto"/>
              </w:rPr>
              <w:t>Deferred revenue</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(436)</w:t>
            </w:r>
          </w:p>
        </w:tc>
      </w:tr>
      <w:tr>
        <w:trPr>
          <w:trHeight w:val="20"/>
        </w:trPr>
        <w:tc>
          <w:tcPr>
            <w:tcW w:w="6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65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Net cash used in operating activities</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(27,395)</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(13,553)</w:t>
            </w:r>
          </w:p>
        </w:tc>
      </w:tr>
      <w:tr>
        <w:trPr>
          <w:trHeight w:val="151"/>
        </w:trPr>
        <w:tc>
          <w:tcPr>
            <w:tcW w:w="6500" w:type="dxa"/>
            <w:vAlign w:val="bottom"/>
          </w:tcPr>
          <w:p>
            <w:pPr>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5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(3,633)</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(3,463)</w:t>
            </w:r>
          </w:p>
        </w:tc>
      </w:tr>
      <w:tr>
        <w:trPr>
          <w:trHeight w:val="152"/>
        </w:trPr>
        <w:tc>
          <w:tcPr>
            <w:tcW w:w="6500" w:type="dxa"/>
            <w:vAlign w:val="bottom"/>
          </w:tcPr>
          <w:p>
            <w:pPr>
              <w:spacing w:after="0"/>
              <w:rPr>
                <w:sz w:val="20"/>
                <w:szCs w:val="20"/>
                <w:color w:val="auto"/>
              </w:rPr>
            </w:pPr>
            <w:r>
              <w:rPr>
                <w:rFonts w:ascii="Times New Roman" w:cs="Times New Roman" w:eastAsia="Times New Roman" w:hAnsi="Times New Roman"/>
                <w:sz w:val="13"/>
                <w:szCs w:val="13"/>
                <w:color w:val="auto"/>
              </w:rPr>
              <w:t>Asset acquisition, net of cash acquired</w:t>
            </w:r>
          </w:p>
        </w:tc>
        <w:tc>
          <w:tcPr>
            <w:tcW w:w="500" w:type="dxa"/>
            <w:vAlign w:val="bottom"/>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(119)</w:t>
            </w:r>
          </w:p>
        </w:tc>
      </w:tr>
      <w:tr>
        <w:trPr>
          <w:trHeight w:val="20"/>
        </w:trPr>
        <w:tc>
          <w:tcPr>
            <w:tcW w:w="65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650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3"/>
                <w:szCs w:val="13"/>
                <w:color w:val="auto"/>
              </w:rPr>
              <w:t>Net cash used in investing activities</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(3,633)</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(3,582)</w:t>
            </w:r>
          </w:p>
        </w:tc>
      </w:tr>
      <w:tr>
        <w:trPr>
          <w:trHeight w:val="151"/>
        </w:trPr>
        <w:tc>
          <w:tcPr>
            <w:tcW w:w="6500" w:type="dxa"/>
            <w:vAlign w:val="bottom"/>
          </w:tcPr>
          <w:p>
            <w:pPr>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5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initial public offering, net of underwriting discounts and commissions</w:t>
            </w: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9"/>
              </w:rPr>
              <w:t>268,694</w:t>
            </w:r>
          </w:p>
        </w:tc>
      </w:tr>
      <w:tr>
        <w:trPr>
          <w:trHeight w:val="152"/>
        </w:trPr>
        <w:tc>
          <w:tcPr>
            <w:tcW w:w="6500" w:type="dxa"/>
            <w:vAlign w:val="bottom"/>
          </w:tcPr>
          <w:p>
            <w:pPr>
              <w:spacing w:after="0"/>
              <w:rPr>
                <w:sz w:val="20"/>
                <w:szCs w:val="20"/>
                <w:color w:val="auto"/>
              </w:rPr>
            </w:pPr>
            <w:r>
              <w:rPr>
                <w:rFonts w:ascii="Times New Roman" w:cs="Times New Roman" w:eastAsia="Times New Roman" w:hAnsi="Times New Roman"/>
                <w:sz w:val="13"/>
                <w:szCs w:val="13"/>
                <w:color w:val="auto"/>
              </w:rPr>
              <w:t>Payment of costs related to initial public offering</w:t>
            </w: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(3,845)</w:t>
            </w:r>
          </w:p>
        </w:tc>
      </w:tr>
      <w:tr>
        <w:trPr>
          <w:trHeight w:val="152"/>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issuance of redeemable convertible preferred stock, net of issuance costs</w:t>
            </w:r>
          </w:p>
        </w:tc>
        <w:tc>
          <w:tcPr>
            <w:tcW w:w="6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59,735</w:t>
            </w:r>
          </w:p>
        </w:tc>
      </w:tr>
      <w:tr>
        <w:trPr>
          <w:trHeight w:val="152"/>
        </w:trPr>
        <w:tc>
          <w:tcPr>
            <w:tcW w:w="6500" w:type="dxa"/>
            <w:vAlign w:val="bottom"/>
          </w:tcPr>
          <w:p>
            <w:pPr>
              <w:spacing w:after="0"/>
              <w:rPr>
                <w:sz w:val="20"/>
                <w:szCs w:val="20"/>
                <w:color w:val="auto"/>
              </w:rPr>
            </w:pPr>
            <w:r>
              <w:rPr>
                <w:rFonts w:ascii="Times New Roman" w:cs="Times New Roman" w:eastAsia="Times New Roman" w:hAnsi="Times New Roman"/>
                <w:sz w:val="13"/>
                <w:szCs w:val="13"/>
                <w:color w:val="auto"/>
              </w:rPr>
              <w:t>Proceeds from exercise of warrants</w:t>
            </w:r>
          </w:p>
        </w:tc>
        <w:tc>
          <w:tcPr>
            <w:tcW w:w="64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294</w:t>
            </w:r>
          </w:p>
        </w:tc>
      </w:tr>
      <w:tr>
        <w:trPr>
          <w:trHeight w:val="152"/>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Contingent consideration paid for acquisitions</w:t>
            </w:r>
          </w:p>
        </w:tc>
        <w:tc>
          <w:tcPr>
            <w:tcW w:w="6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(3,320)</w:t>
            </w: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(3,800)</w:t>
            </w:r>
          </w:p>
        </w:tc>
      </w:tr>
      <w:tr>
        <w:trPr>
          <w:trHeight w:val="152"/>
        </w:trPr>
        <w:tc>
          <w:tcPr>
            <w:tcW w:w="6500" w:type="dxa"/>
            <w:vAlign w:val="bottom"/>
          </w:tcPr>
          <w:p>
            <w:pPr>
              <w:spacing w:after="0"/>
              <w:rPr>
                <w:sz w:val="20"/>
                <w:szCs w:val="20"/>
                <w:color w:val="auto"/>
              </w:rPr>
            </w:pPr>
            <w:r>
              <w:rPr>
                <w:rFonts w:ascii="Times New Roman" w:cs="Times New Roman" w:eastAsia="Times New Roman" w:hAnsi="Times New Roman"/>
                <w:sz w:val="13"/>
                <w:szCs w:val="13"/>
                <w:color w:val="auto"/>
              </w:rPr>
              <w:t>Payments of tax withholdings for net settled option exercises</w:t>
            </w:r>
          </w:p>
        </w:tc>
        <w:tc>
          <w:tcPr>
            <w:tcW w:w="6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(952)</w:t>
            </w:r>
          </w:p>
        </w:tc>
        <w:tc>
          <w:tcPr>
            <w:tcW w:w="80" w:type="dxa"/>
            <w:vAlign w:val="bottom"/>
          </w:tcPr>
          <w:p>
            <w:pPr>
              <w:spacing w:after="0"/>
              <w:rPr>
                <w:sz w:val="13"/>
                <w:szCs w:val="13"/>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Proceeds from exercise of stock options</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2,293</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3,792</w:t>
            </w:r>
          </w:p>
        </w:tc>
      </w:tr>
      <w:tr>
        <w:trPr>
          <w:trHeight w:val="151"/>
        </w:trPr>
        <w:tc>
          <w:tcPr>
            <w:tcW w:w="6500" w:type="dxa"/>
            <w:vAlign w:val="bottom"/>
          </w:tcPr>
          <w:p>
            <w:pPr>
              <w:ind w:left="760"/>
              <w:spacing w:after="0"/>
              <w:rPr>
                <w:sz w:val="20"/>
                <w:szCs w:val="20"/>
                <w:color w:val="auto"/>
              </w:rPr>
            </w:pPr>
            <w:r>
              <w:rPr>
                <w:rFonts w:ascii="Times New Roman" w:cs="Times New Roman" w:eastAsia="Times New Roman" w:hAnsi="Times New Roman"/>
                <w:sz w:val="13"/>
                <w:szCs w:val="13"/>
                <w:color w:val="auto"/>
              </w:rPr>
              <w:t>Net cash (used in) provided by financing activities</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(1,979)</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324,870</w:t>
            </w:r>
          </w:p>
        </w:tc>
        <w:tc>
          <w:tcPr>
            <w:tcW w:w="80" w:type="dxa"/>
            <w:vAlign w:val="bottom"/>
          </w:tcPr>
          <w:p>
            <w:pPr>
              <w:spacing w:after="0"/>
              <w:rPr>
                <w:sz w:val="13"/>
                <w:szCs w:val="13"/>
                <w:color w:val="auto"/>
              </w:rPr>
            </w:pPr>
          </w:p>
        </w:tc>
      </w:tr>
      <w:tr>
        <w:trPr>
          <w:trHeight w:val="151"/>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Effect of exchange rates changes on cash and cash equivalents</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6,231</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239</w:t>
            </w:r>
          </w:p>
        </w:tc>
      </w:tr>
      <w:tr>
        <w:trPr>
          <w:trHeight w:val="151"/>
        </w:trPr>
        <w:tc>
          <w:tcPr>
            <w:tcW w:w="6500" w:type="dxa"/>
            <w:vAlign w:val="bottom"/>
          </w:tcPr>
          <w:p>
            <w:pPr>
              <w:spacing w:after="0"/>
              <w:rPr>
                <w:sz w:val="20"/>
                <w:szCs w:val="20"/>
                <w:color w:val="auto"/>
              </w:rPr>
            </w:pPr>
            <w:r>
              <w:rPr>
                <w:rFonts w:ascii="Times New Roman" w:cs="Times New Roman" w:eastAsia="Times New Roman" w:hAnsi="Times New Roman"/>
                <w:sz w:val="13"/>
                <w:szCs w:val="13"/>
                <w:color w:val="auto"/>
              </w:rPr>
              <w:t>Net (decrease) increase in cash, cash equivalents and restricted cash</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(26,776)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307,974</w:t>
            </w:r>
          </w:p>
        </w:tc>
        <w:tc>
          <w:tcPr>
            <w:tcW w:w="80" w:type="dxa"/>
            <w:vAlign w:val="bottom"/>
          </w:tcPr>
          <w:p>
            <w:pPr>
              <w:spacing w:after="0"/>
              <w:rPr>
                <w:sz w:val="13"/>
                <w:szCs w:val="13"/>
                <w:color w:val="auto"/>
              </w:rPr>
            </w:pPr>
          </w:p>
        </w:tc>
      </w:tr>
      <w:tr>
        <w:trPr>
          <w:trHeight w:val="152"/>
        </w:trPr>
        <w:tc>
          <w:tcPr>
            <w:tcW w:w="65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w w:val="92"/>
              </w:rPr>
              <w:t>$ 389,360</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w w:val="99"/>
              </w:rPr>
              <w:t>109,052</w:t>
            </w:r>
          </w:p>
        </w:tc>
      </w:tr>
      <w:tr>
        <w:trPr>
          <w:trHeight w:val="151"/>
        </w:trPr>
        <w:tc>
          <w:tcPr>
            <w:tcW w:w="6500" w:type="dxa"/>
            <w:vAlign w:val="bottom"/>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end of period</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2"/>
              </w:rPr>
              <w:t>$ 362,584</w:t>
            </w: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9"/>
              </w:rPr>
              <w:t>417,026</w:t>
            </w:r>
          </w:p>
        </w:tc>
        <w:tc>
          <w:tcPr>
            <w:tcW w:w="80" w:type="dxa"/>
            <w:vAlign w:val="bottom"/>
          </w:tcPr>
          <w:p>
            <w:pPr>
              <w:spacing w:after="0"/>
              <w:rPr>
                <w:sz w:val="13"/>
                <w:szCs w:val="13"/>
                <w:color w:val="auto"/>
              </w:rPr>
            </w:pPr>
          </w:p>
        </w:tc>
      </w:tr>
    </w:tbl>
    <w:p>
      <w:pPr>
        <w:sectPr>
          <w:pgSz w:w="11900" w:h="16838" w:orient="portrait"/>
          <w:cols w:equalWidth="0" w:num="1">
            <w:col w:w="9019"/>
          </w:cols>
          <w:pgMar w:left="1440" w:top="231"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Reconciliation of Non-GAAP Financial Measures</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(Amounts in millions)</w:t>
      </w:r>
    </w:p>
    <w:p>
      <w:pPr>
        <w:spacing w:after="0" w:line="147"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5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8"/>
          </w:tcPr>
          <w:p>
            <w:pPr>
              <w:jc w:val="right"/>
              <w:ind w:right="340"/>
              <w:spacing w:after="0"/>
              <w:rPr>
                <w:sz w:val="20"/>
                <w:szCs w:val="20"/>
                <w:color w:val="auto"/>
              </w:rPr>
            </w:pPr>
            <w:r>
              <w:rPr>
                <w:rFonts w:ascii="Times New Roman" w:cs="Times New Roman" w:eastAsia="Times New Roman" w:hAnsi="Times New Roman"/>
                <w:sz w:val="10"/>
                <w:szCs w:val="10"/>
                <w:color w:val="auto"/>
                <w:w w:val="99"/>
              </w:rPr>
              <w:t>Three Months Ended</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80" w:type="dxa"/>
            <w:vAlign w:val="bottom"/>
            <w:gridSpan w:val="8"/>
          </w:tcPr>
          <w:p>
            <w:pPr>
              <w:jc w:val="right"/>
              <w:ind w:right="340"/>
              <w:spacing w:after="0"/>
              <w:rPr>
                <w:sz w:val="20"/>
                <w:szCs w:val="20"/>
                <w:color w:val="auto"/>
              </w:rPr>
            </w:pPr>
            <w:r>
              <w:rPr>
                <w:rFonts w:ascii="Times New Roman" w:cs="Times New Roman" w:eastAsia="Times New Roman" w:hAnsi="Times New Roman"/>
                <w:sz w:val="10"/>
                <w:szCs w:val="10"/>
                <w:color w:val="auto"/>
              </w:rPr>
              <w:t>Six Months Ended</w:t>
            </w:r>
          </w:p>
        </w:tc>
      </w:tr>
      <w:tr>
        <w:trPr>
          <w:trHeight w:val="119"/>
        </w:trPr>
        <w:tc>
          <w:tcPr>
            <w:tcW w:w="5100" w:type="dxa"/>
            <w:vAlign w:val="bottom"/>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gridSpan w:val="5"/>
          </w:tcPr>
          <w:p>
            <w:pPr>
              <w:jc w:val="right"/>
              <w:ind w:right="7"/>
              <w:spacing w:after="0"/>
              <w:rPr>
                <w:sz w:val="20"/>
                <w:szCs w:val="20"/>
                <w:color w:val="auto"/>
              </w:rPr>
            </w:pPr>
            <w:r>
              <w:rPr>
                <w:rFonts w:ascii="Times New Roman" w:cs="Times New Roman" w:eastAsia="Times New Roman" w:hAnsi="Times New Roman"/>
                <w:sz w:val="10"/>
                <w:szCs w:val="10"/>
                <w:color w:val="auto"/>
              </w:rPr>
              <w:t>June 30,</w:t>
            </w:r>
          </w:p>
        </w:tc>
        <w:tc>
          <w:tcPr>
            <w:tcW w:w="320" w:type="dxa"/>
            <w:vAlign w:val="bottom"/>
            <w:tcBorders>
              <w:bottom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gridSpan w:val="5"/>
          </w:tcPr>
          <w:p>
            <w:pPr>
              <w:jc w:val="right"/>
              <w:ind w:right="7"/>
              <w:spacing w:after="0"/>
              <w:rPr>
                <w:sz w:val="20"/>
                <w:szCs w:val="20"/>
                <w:color w:val="auto"/>
              </w:rPr>
            </w:pPr>
            <w:r>
              <w:rPr>
                <w:rFonts w:ascii="Times New Roman" w:cs="Times New Roman" w:eastAsia="Times New Roman" w:hAnsi="Times New Roman"/>
                <w:sz w:val="10"/>
                <w:szCs w:val="10"/>
                <w:color w:val="auto"/>
              </w:rPr>
              <w:t>June 30,</w:t>
            </w:r>
          </w:p>
        </w:tc>
        <w:tc>
          <w:tcPr>
            <w:tcW w:w="3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94"/>
        </w:trPr>
        <w:tc>
          <w:tcPr>
            <w:tcW w:w="5100" w:type="dxa"/>
            <w:vAlign w:val="bottom"/>
            <w:tcBorders>
              <w:bottom w:val="single" w:sz="8" w:color="CCEEFF"/>
            </w:tcBorders>
          </w:tcPr>
          <w:p>
            <w:pPr>
              <w:spacing w:after="0"/>
              <w:rPr>
                <w:sz w:val="8"/>
                <w:szCs w:val="8"/>
                <w:color w:val="auto"/>
              </w:rPr>
            </w:pPr>
          </w:p>
        </w:tc>
        <w:tc>
          <w:tcPr>
            <w:tcW w:w="420" w:type="dxa"/>
            <w:vAlign w:val="bottom"/>
            <w:tcBorders>
              <w:bottom w:val="single" w:sz="8" w:color="auto"/>
            </w:tcBorders>
            <w:gridSpan w:val="3"/>
          </w:tcPr>
          <w:p>
            <w:pPr>
              <w:jc w:val="right"/>
              <w:ind w:right="59"/>
              <w:spacing w:after="0" w:line="94" w:lineRule="exact"/>
              <w:rPr>
                <w:sz w:val="20"/>
                <w:szCs w:val="20"/>
                <w:color w:val="auto"/>
              </w:rPr>
            </w:pPr>
            <w:r>
              <w:rPr>
                <w:rFonts w:ascii="Times New Roman" w:cs="Times New Roman" w:eastAsia="Times New Roman" w:hAnsi="Times New Roman"/>
                <w:sz w:val="10"/>
                <w:szCs w:val="10"/>
                <w:color w:val="auto"/>
              </w:rPr>
              <w:t>2022</w:t>
            </w:r>
          </w:p>
        </w:tc>
        <w:tc>
          <w:tcPr>
            <w:tcW w:w="140" w:type="dxa"/>
            <w:vAlign w:val="bottom"/>
            <w:tcBorders>
              <w:bottom w:val="single" w:sz="8" w:color="CCEEFF"/>
            </w:tcBorders>
          </w:tcPr>
          <w:p>
            <w:pPr>
              <w:spacing w:after="0"/>
              <w:rPr>
                <w:sz w:val="8"/>
                <w:szCs w:val="8"/>
                <w:color w:val="auto"/>
              </w:rPr>
            </w:pPr>
          </w:p>
        </w:tc>
        <w:tc>
          <w:tcPr>
            <w:tcW w:w="120" w:type="dxa"/>
            <w:vAlign w:val="bottom"/>
            <w:tcBorders>
              <w:bottom w:val="single" w:sz="8" w:color="CCEEFF"/>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8"/>
              <w:spacing w:after="0" w:line="94" w:lineRule="exact"/>
              <w:rPr>
                <w:sz w:val="20"/>
                <w:szCs w:val="20"/>
                <w:color w:val="auto"/>
              </w:rPr>
            </w:pPr>
            <w:r>
              <w:rPr>
                <w:rFonts w:ascii="Times New Roman" w:cs="Times New Roman" w:eastAsia="Times New Roman" w:hAnsi="Times New Roman"/>
                <w:sz w:val="10"/>
                <w:szCs w:val="10"/>
                <w:color w:val="auto"/>
                <w:w w:val="99"/>
              </w:rPr>
              <w:t>2021</w:t>
            </w:r>
          </w:p>
        </w:tc>
        <w:tc>
          <w:tcPr>
            <w:tcW w:w="12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ind w:right="59"/>
              <w:spacing w:after="0" w:line="94" w:lineRule="exact"/>
              <w:rPr>
                <w:sz w:val="20"/>
                <w:szCs w:val="20"/>
                <w:color w:val="auto"/>
              </w:rPr>
            </w:pPr>
            <w:r>
              <w:rPr>
                <w:rFonts w:ascii="Times New Roman" w:cs="Times New Roman" w:eastAsia="Times New Roman" w:hAnsi="Times New Roman"/>
                <w:sz w:val="10"/>
                <w:szCs w:val="10"/>
                <w:color w:val="auto"/>
                <w:w w:val="99"/>
              </w:rPr>
              <w:t>2022</w:t>
            </w:r>
          </w:p>
        </w:tc>
        <w:tc>
          <w:tcPr>
            <w:tcW w:w="100" w:type="dxa"/>
            <w:vAlign w:val="bottom"/>
            <w:tcBorders>
              <w:bottom w:val="single" w:sz="8" w:color="CCEEFF"/>
            </w:tcBorders>
          </w:tcPr>
          <w:p>
            <w:pPr>
              <w:spacing w:after="0"/>
              <w:rPr>
                <w:sz w:val="8"/>
                <w:szCs w:val="8"/>
                <w:color w:val="auto"/>
              </w:rPr>
            </w:pPr>
          </w:p>
        </w:tc>
        <w:tc>
          <w:tcPr>
            <w:tcW w:w="14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8"/>
              <w:spacing w:after="0" w:line="94" w:lineRule="exact"/>
              <w:rPr>
                <w:sz w:val="20"/>
                <w:szCs w:val="20"/>
                <w:color w:val="auto"/>
              </w:rPr>
            </w:pPr>
            <w:r>
              <w:rPr>
                <w:rFonts w:ascii="Times New Roman" w:cs="Times New Roman" w:eastAsia="Times New Roman" w:hAnsi="Times New Roman"/>
                <w:sz w:val="10"/>
                <w:szCs w:val="10"/>
                <w:color w:val="auto"/>
                <w:w w:val="99"/>
              </w:rPr>
              <w:t>2021</w:t>
            </w:r>
          </w:p>
        </w:tc>
        <w:tc>
          <w:tcPr>
            <w:tcW w:w="80" w:type="dxa"/>
            <w:vAlign w:val="bottom"/>
            <w:tcBorders>
              <w:bottom w:val="single" w:sz="8" w:color="CCEEFF"/>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r>
      <w:tr>
        <w:trPr>
          <w:trHeight w:val="141"/>
        </w:trPr>
        <w:tc>
          <w:tcPr>
            <w:tcW w:w="51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12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56.5</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37.0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121.1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2"/>
        </w:trPr>
        <w:tc>
          <w:tcPr>
            <w:tcW w:w="5100" w:type="dxa"/>
            <w:vAlign w:val="bottom"/>
          </w:tcPr>
          <w:p>
            <w:pPr>
              <w:spacing w:after="0"/>
              <w:rPr>
                <w:sz w:val="20"/>
                <w:szCs w:val="20"/>
                <w:color w:val="auto"/>
              </w:rPr>
            </w:pPr>
            <w:r>
              <w:rPr>
                <w:rFonts w:ascii="Times New Roman" w:cs="Times New Roman" w:eastAsia="Times New Roman" w:hAnsi="Times New Roman"/>
                <w:sz w:val="13"/>
                <w:szCs w:val="13"/>
                <w:color w:val="auto"/>
              </w:rPr>
              <w:t>Adjusted to exclude gross up for:</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52"/>
        </w:trPr>
        <w:tc>
          <w:tcPr>
            <w:tcW w:w="5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Pass through cost for printing, mailing and devices</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3"/>
                <w:szCs w:val="13"/>
                <w:color w:val="auto"/>
              </w:rPr>
              <w:t>(9.8)</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shd w:val="clear" w:color="auto" w:fill="CCEEFF"/>
          </w:tcPr>
          <w:p>
            <w:pPr>
              <w:spacing w:after="0"/>
              <w:rPr>
                <w:sz w:val="13"/>
                <w:szCs w:val="13"/>
                <w:color w:val="auto"/>
              </w:rPr>
            </w:pPr>
          </w:p>
        </w:tc>
      </w:tr>
      <w:tr>
        <w:trPr>
          <w:trHeight w:val="152"/>
        </w:trPr>
        <w:tc>
          <w:tcPr>
            <w:tcW w:w="5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Marketing fees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49"/>
              <w:spacing w:after="0"/>
              <w:rPr>
                <w:sz w:val="20"/>
                <w:szCs w:val="20"/>
                <w:color w:val="auto"/>
              </w:rPr>
            </w:pPr>
            <w:r>
              <w:rPr>
                <w:rFonts w:ascii="Times New Roman" w:cs="Times New Roman" w:eastAsia="Times New Roman" w:hAnsi="Times New Roman"/>
                <w:sz w:val="13"/>
                <w:szCs w:val="13"/>
                <w:color w:val="auto"/>
              </w:rPr>
              <w:t>(0.2)</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ind w:right="9"/>
              <w:spacing w:after="0"/>
              <w:rPr>
                <w:sz w:val="20"/>
                <w:szCs w:val="20"/>
                <w:color w:val="auto"/>
              </w:rPr>
            </w:pPr>
            <w:r>
              <w:rPr>
                <w:rFonts w:ascii="Times New Roman" w:cs="Times New Roman" w:eastAsia="Times New Roman" w:hAnsi="Times New Roman"/>
                <w:sz w:val="13"/>
                <w:szCs w:val="13"/>
                <w:color w:val="auto"/>
              </w:rPr>
              <w:t>(0.6)</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3"/>
                <w:szCs w:val="13"/>
                <w:color w:val="auto"/>
              </w:rPr>
            </w:pPr>
          </w:p>
        </w:tc>
      </w:tr>
      <w:tr>
        <w:trPr>
          <w:trHeight w:val="20"/>
        </w:trPr>
        <w:tc>
          <w:tcPr>
            <w:tcW w:w="51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9"/>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 Less Ancillary Services</w:t>
            </w:r>
          </w:p>
        </w:tc>
        <w:tc>
          <w:tcPr>
            <w:tcW w:w="12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w:t>
            </w: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33.0</w:t>
            </w:r>
          </w:p>
        </w:tc>
        <w:tc>
          <w:tcPr>
            <w:tcW w:w="100" w:type="dxa"/>
            <w:vAlign w:val="bottom"/>
            <w:shd w:val="clear" w:color="auto" w:fill="CCEEFF"/>
          </w:tcPr>
          <w:p>
            <w:pPr>
              <w:spacing w:after="0"/>
              <w:rPr>
                <w:sz w:val="13"/>
                <w:szCs w:val="13"/>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3"/>
                <w:szCs w:val="13"/>
                <w:color w:val="auto"/>
              </w:rPr>
              <w:t>110.7</w:t>
            </w:r>
          </w:p>
        </w:tc>
        <w:tc>
          <w:tcPr>
            <w:tcW w:w="140" w:type="dxa"/>
            <w:vAlign w:val="bottom"/>
            <w:shd w:val="clear" w:color="auto" w:fill="CCEEFF"/>
          </w:tcPr>
          <w:p>
            <w:pPr>
              <w:spacing w:after="0"/>
              <w:rPr>
                <w:sz w:val="13"/>
                <w:szCs w:val="13"/>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73.2</w:t>
            </w:r>
          </w:p>
        </w:tc>
        <w:tc>
          <w:tcPr>
            <w:tcW w:w="80" w:type="dxa"/>
            <w:vAlign w:val="bottom"/>
            <w:shd w:val="clear" w:color="auto" w:fill="CCEEFF"/>
          </w:tcPr>
          <w:p>
            <w:pPr>
              <w:spacing w:after="0"/>
              <w:rPr>
                <w:sz w:val="13"/>
                <w:szCs w:val="13"/>
                <w:color w:val="auto"/>
              </w:rPr>
            </w:pPr>
          </w:p>
        </w:tc>
      </w:tr>
      <w:tr>
        <w:trPr>
          <w:trHeight w:val="161"/>
        </w:trPr>
        <w:tc>
          <w:tcPr>
            <w:tcW w:w="5100" w:type="dxa"/>
            <w:vAlign w:val="bottom"/>
          </w:tcPr>
          <w:p>
            <w:pPr>
              <w:spacing w:after="0"/>
              <w:rPr>
                <w:sz w:val="20"/>
                <w:szCs w:val="20"/>
                <w:color w:val="auto"/>
              </w:rPr>
            </w:pPr>
            <w:r>
              <w:rPr>
                <w:rFonts w:ascii="Times New Roman" w:cs="Times New Roman" w:eastAsia="Times New Roman" w:hAnsi="Times New Roman"/>
                <w:sz w:val="13"/>
                <w:szCs w:val="13"/>
                <w:color w:val="auto"/>
              </w:rPr>
              <w:t>Payment processing services Costs</w:t>
            </w:r>
          </w:p>
        </w:tc>
        <w:tc>
          <w:tcPr>
            <w:tcW w:w="120" w:type="dxa"/>
            <w:vAlign w:val="bottom"/>
            <w:tcBorders>
              <w:top w:val="single" w:sz="8" w:color="auto"/>
            </w:tcBorders>
            <w:gridSpan w:val="2"/>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2"/>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Hosting and amortization costs within technology and development expenses Adjusted to:</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3"/>
                <w:szCs w:val="13"/>
                <w:color w:val="auto"/>
              </w:rPr>
              <w:t>1.5</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3"/>
                <w:szCs w:val="13"/>
                <w:color w:val="auto"/>
              </w:rPr>
              <w:t>3.0</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shd w:val="clear" w:color="auto" w:fill="CCEEFF"/>
          </w:tcPr>
          <w:p>
            <w:pPr>
              <w:spacing w:after="0"/>
              <w:rPr>
                <w:sz w:val="13"/>
                <w:szCs w:val="13"/>
                <w:color w:val="auto"/>
              </w:rPr>
            </w:pPr>
          </w:p>
        </w:tc>
      </w:tr>
      <w:tr>
        <w:trPr>
          <w:trHeight w:val="152"/>
        </w:trPr>
        <w:tc>
          <w:tcPr>
            <w:tcW w:w="51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Exclude printing and mailing costs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49"/>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80"/>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gridSpan w:val="2"/>
          </w:tcPr>
          <w:p>
            <w:pPr>
              <w:jc w:val="right"/>
              <w:ind w:right="9"/>
              <w:spacing w:after="0"/>
              <w:rPr>
                <w:sz w:val="20"/>
                <w:szCs w:val="20"/>
                <w:color w:val="auto"/>
              </w:rPr>
            </w:pPr>
            <w:r>
              <w:rPr>
                <w:rFonts w:ascii="Times New Roman" w:cs="Times New Roman" w:eastAsia="Times New Roman" w:hAnsi="Times New Roman"/>
                <w:sz w:val="13"/>
                <w:szCs w:val="13"/>
                <w:color w:val="auto"/>
              </w:rPr>
              <w:t>(9.8)</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tcPr>
          <w:p>
            <w:pPr>
              <w:spacing w:after="0"/>
              <w:rPr>
                <w:sz w:val="13"/>
                <w:szCs w:val="13"/>
                <w:color w:val="auto"/>
              </w:rPr>
            </w:pPr>
          </w:p>
        </w:tc>
      </w:tr>
      <w:tr>
        <w:trPr>
          <w:trHeight w:val="152"/>
        </w:trPr>
        <w:tc>
          <w:tcPr>
            <w:tcW w:w="51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Offset marketing fees against related costs</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3"/>
                <w:szCs w:val="13"/>
                <w:color w:val="auto"/>
              </w:rPr>
              <w:t>(0.2)</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3"/>
                <w:szCs w:val="13"/>
                <w:color w:val="auto"/>
              </w:rPr>
              <w:t>(0.6)</w:t>
            </w: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shd w:val="clear" w:color="auto" w:fill="CCEEFF"/>
          </w:tcPr>
          <w:p>
            <w:pPr>
              <w:spacing w:after="0"/>
              <w:rPr>
                <w:sz w:val="13"/>
                <w:szCs w:val="13"/>
                <w:color w:val="auto"/>
              </w:rPr>
            </w:pPr>
          </w:p>
        </w:tc>
      </w:tr>
      <w:tr>
        <w:trPr>
          <w:trHeight w:val="159"/>
        </w:trPr>
        <w:tc>
          <w:tcPr>
            <w:tcW w:w="5100" w:type="dxa"/>
            <w:vAlign w:val="bottom"/>
          </w:tcPr>
          <w:p>
            <w:pPr>
              <w:spacing w:after="0"/>
              <w:rPr>
                <w:sz w:val="20"/>
                <w:szCs w:val="20"/>
                <w:color w:val="auto"/>
              </w:rPr>
            </w:pPr>
            <w:r>
              <w:rPr>
                <w:rFonts w:ascii="Times New Roman" w:cs="Times New Roman" w:eastAsia="Times New Roman" w:hAnsi="Times New Roman"/>
                <w:sz w:val="13"/>
                <w:szCs w:val="13"/>
                <w:color w:val="auto"/>
              </w:rPr>
              <w:t>Costs of revenue less ancillary services</w:t>
            </w:r>
          </w:p>
        </w:tc>
        <w:tc>
          <w:tcPr>
            <w:tcW w:w="120" w:type="dxa"/>
            <w:vAlign w:val="bottom"/>
            <w:tcBorders>
              <w:top w:val="single" w:sz="8" w:color="auto"/>
              <w:bottom w:val="single" w:sz="8" w:color="auto"/>
            </w:tcBorders>
            <w:gridSpan w:val="2"/>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61"/>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Gross Profit</w:t>
            </w:r>
          </w:p>
        </w:tc>
        <w:tc>
          <w:tcPr>
            <w:tcW w:w="12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ind w:right="89"/>
              <w:spacing w:after="0"/>
              <w:rPr>
                <w:sz w:val="20"/>
                <w:szCs w:val="20"/>
                <w:color w:val="auto"/>
              </w:rPr>
            </w:pPr>
            <w:r>
              <w:rPr>
                <w:rFonts w:ascii="Times New Roman" w:cs="Times New Roman" w:eastAsia="Times New Roman" w:hAnsi="Times New Roman"/>
                <w:sz w:val="13"/>
                <w:szCs w:val="13"/>
                <w:color w:val="auto"/>
              </w:rPr>
              <w:t>33.2</w:t>
            </w:r>
          </w:p>
        </w:tc>
        <w:tc>
          <w:tcPr>
            <w:tcW w:w="12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22.5</w:t>
            </w:r>
          </w:p>
        </w:tc>
        <w:tc>
          <w:tcPr>
            <w:tcW w:w="1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3"/>
                <w:szCs w:val="13"/>
                <w:color w:val="auto"/>
              </w:rPr>
              <w:t>72.0</w:t>
            </w:r>
          </w:p>
        </w:tc>
        <w:tc>
          <w:tcPr>
            <w:tcW w:w="1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50.1</w:t>
            </w:r>
          </w:p>
        </w:tc>
        <w:tc>
          <w:tcPr>
            <w:tcW w:w="80" w:type="dxa"/>
            <w:vAlign w:val="bottom"/>
            <w:shd w:val="clear" w:color="auto" w:fill="CCEEFF"/>
          </w:tcPr>
          <w:p>
            <w:pPr>
              <w:spacing w:after="0"/>
              <w:rPr>
                <w:sz w:val="14"/>
                <w:szCs w:val="14"/>
                <w:color w:val="auto"/>
              </w:rPr>
            </w:pPr>
          </w:p>
        </w:tc>
      </w:tr>
      <w:tr>
        <w:trPr>
          <w:trHeight w:val="152"/>
        </w:trPr>
        <w:tc>
          <w:tcPr>
            <w:tcW w:w="5100" w:type="dxa"/>
            <w:vAlign w:val="bottom"/>
          </w:tcPr>
          <w:p>
            <w:pPr>
              <w:spacing w:after="0"/>
              <w:rPr>
                <w:sz w:val="20"/>
                <w:szCs w:val="20"/>
                <w:color w:val="auto"/>
              </w:rPr>
            </w:pPr>
            <w:r>
              <w:rPr>
                <w:rFonts w:ascii="Times New Roman" w:cs="Times New Roman" w:eastAsia="Times New Roman" w:hAnsi="Times New Roman"/>
                <w:sz w:val="13"/>
                <w:szCs w:val="13"/>
                <w:color w:val="auto"/>
              </w:rPr>
              <w:t>Gross Margin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59.5%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61.1%</w:t>
            </w:r>
          </w:p>
        </w:tc>
      </w:tr>
      <w:tr>
        <w:trPr>
          <w:trHeight w:val="28"/>
        </w:trPr>
        <w:tc>
          <w:tcPr>
            <w:tcW w:w="5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61"/>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Adjusted Gross Profit</w:t>
            </w:r>
          </w:p>
        </w:tc>
        <w:tc>
          <w:tcPr>
            <w:tcW w:w="12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22.5</w:t>
            </w:r>
          </w:p>
        </w:tc>
        <w:tc>
          <w:tcPr>
            <w:tcW w:w="100" w:type="dxa"/>
            <w:vAlign w:val="bottom"/>
            <w:shd w:val="clear" w:color="auto" w:fill="CCEEFF"/>
          </w:tcPr>
          <w:p>
            <w:pPr>
              <w:spacing w:after="0"/>
              <w:rPr>
                <w:sz w:val="14"/>
                <w:szCs w:val="14"/>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3"/>
                <w:szCs w:val="13"/>
                <w:color w:val="auto"/>
              </w:rPr>
              <w:t>72.0</w:t>
            </w:r>
          </w:p>
        </w:tc>
        <w:tc>
          <w:tcPr>
            <w:tcW w:w="140" w:type="dxa"/>
            <w:vAlign w:val="bottom"/>
            <w:shd w:val="clear" w:color="auto" w:fill="CCEEFF"/>
          </w:tcPr>
          <w:p>
            <w:pPr>
              <w:spacing w:after="0"/>
              <w:rPr>
                <w:sz w:val="14"/>
                <w:szCs w:val="14"/>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50.1</w:t>
            </w:r>
          </w:p>
        </w:tc>
        <w:tc>
          <w:tcPr>
            <w:tcW w:w="80" w:type="dxa"/>
            <w:vAlign w:val="bottom"/>
            <w:shd w:val="clear" w:color="auto" w:fill="CCEEFF"/>
          </w:tcPr>
          <w:p>
            <w:pPr>
              <w:spacing w:after="0"/>
              <w:rPr>
                <w:sz w:val="14"/>
                <w:szCs w:val="14"/>
                <w:color w:val="auto"/>
              </w:rPr>
            </w:pPr>
          </w:p>
        </w:tc>
      </w:tr>
      <w:tr>
        <w:trPr>
          <w:trHeight w:val="152"/>
        </w:trPr>
        <w:tc>
          <w:tcPr>
            <w:tcW w:w="5100" w:type="dxa"/>
            <w:vAlign w:val="bottom"/>
          </w:tcPr>
          <w:p>
            <w:pPr>
              <w:spacing w:after="0"/>
              <w:rPr>
                <w:sz w:val="20"/>
                <w:szCs w:val="20"/>
                <w:color w:val="auto"/>
              </w:rPr>
            </w:pPr>
            <w:r>
              <w:rPr>
                <w:rFonts w:ascii="Times New Roman" w:cs="Times New Roman" w:eastAsia="Times New Roman" w:hAnsi="Times New Roman"/>
                <w:sz w:val="13"/>
                <w:szCs w:val="13"/>
                <w:color w:val="auto"/>
              </w:rPr>
              <w:t>Adjusted Gross Margin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64.5%</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65.1%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68.4%</w:t>
            </w:r>
          </w:p>
        </w:tc>
      </w:tr>
      <w:tr>
        <w:trPr>
          <w:trHeight w:val="28"/>
        </w:trPr>
        <w:tc>
          <w:tcPr>
            <w:tcW w:w="51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80" w:type="dxa"/>
            <w:vAlign w:val="bottom"/>
            <w:gridSpan w:val="2"/>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400" w:type="dxa"/>
            <w:vAlign w:val="bottom"/>
            <w:gridSpan w:val="2"/>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5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0" w:type="dxa"/>
            <w:vAlign w:val="bottom"/>
            <w:gridSpan w:val="8"/>
          </w:tcPr>
          <w:p>
            <w:pPr>
              <w:jc w:val="right"/>
              <w:ind w:right="260"/>
              <w:spacing w:after="0"/>
              <w:rPr>
                <w:sz w:val="20"/>
                <w:szCs w:val="20"/>
                <w:color w:val="auto"/>
              </w:rPr>
            </w:pPr>
            <w:r>
              <w:rPr>
                <w:rFonts w:ascii="Times New Roman" w:cs="Times New Roman" w:eastAsia="Times New Roman" w:hAnsi="Times New Roman"/>
                <w:sz w:val="10"/>
                <w:szCs w:val="10"/>
                <w:color w:val="auto"/>
              </w:rPr>
              <w:t>Three Months Ended</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180" w:type="dxa"/>
            <w:vAlign w:val="bottom"/>
            <w:gridSpan w:val="8"/>
          </w:tcPr>
          <w:p>
            <w:pPr>
              <w:jc w:val="right"/>
              <w:ind w:right="300"/>
              <w:spacing w:after="0"/>
              <w:rPr>
                <w:sz w:val="20"/>
                <w:szCs w:val="20"/>
                <w:color w:val="auto"/>
              </w:rPr>
            </w:pPr>
            <w:r>
              <w:rPr>
                <w:rFonts w:ascii="Times New Roman" w:cs="Times New Roman" w:eastAsia="Times New Roman" w:hAnsi="Times New Roman"/>
                <w:sz w:val="10"/>
                <w:szCs w:val="10"/>
                <w:color w:val="auto"/>
              </w:rPr>
              <w:t>Six Months Ended</w:t>
            </w:r>
          </w:p>
        </w:tc>
      </w:tr>
      <w:tr>
        <w:trPr>
          <w:trHeight w:val="119"/>
        </w:trPr>
        <w:tc>
          <w:tcPr>
            <w:tcW w:w="5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00" w:type="dxa"/>
            <w:vAlign w:val="bottom"/>
            <w:gridSpan w:val="7"/>
          </w:tcPr>
          <w:p>
            <w:pPr>
              <w:jc w:val="right"/>
              <w:ind w:right="520"/>
              <w:spacing w:after="0"/>
              <w:rPr>
                <w:sz w:val="20"/>
                <w:szCs w:val="20"/>
                <w:color w:val="auto"/>
              </w:rPr>
            </w:pPr>
            <w:r>
              <w:rPr>
                <w:rFonts w:ascii="Times New Roman" w:cs="Times New Roman" w:eastAsia="Times New Roman" w:hAnsi="Times New Roman"/>
                <w:sz w:val="10"/>
                <w:szCs w:val="10"/>
                <w:color w:val="auto"/>
              </w:rPr>
              <w:t>June 30,</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gridSpan w:val="4"/>
          </w:tcPr>
          <w:p>
            <w:pPr>
              <w:jc w:val="right"/>
              <w:spacing w:after="0"/>
              <w:rPr>
                <w:sz w:val="20"/>
                <w:szCs w:val="20"/>
                <w:color w:val="auto"/>
              </w:rPr>
            </w:pPr>
            <w:r>
              <w:rPr>
                <w:rFonts w:ascii="Times New Roman" w:cs="Times New Roman" w:eastAsia="Times New Roman" w:hAnsi="Times New Roman"/>
                <w:sz w:val="10"/>
                <w:szCs w:val="10"/>
                <w:color w:val="auto"/>
                <w:w w:val="95"/>
              </w:rPr>
              <w:t>June 30,</w:t>
            </w: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94"/>
        </w:trPr>
        <w:tc>
          <w:tcPr>
            <w:tcW w:w="510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rPr>
              <w:t>2022</w:t>
            </w:r>
          </w:p>
        </w:tc>
        <w:tc>
          <w:tcPr>
            <w:tcW w:w="140" w:type="dxa"/>
            <w:vAlign w:val="bottom"/>
            <w:tcBorders>
              <w:top w:val="single" w:sz="8" w:color="auto"/>
              <w:bottom w:val="single" w:sz="8" w:color="auto"/>
            </w:tcBorders>
          </w:tcPr>
          <w:p>
            <w:pPr>
              <w:spacing w:after="0"/>
              <w:rPr>
                <w:sz w:val="8"/>
                <w:szCs w:val="8"/>
                <w:color w:val="auto"/>
              </w:rPr>
            </w:pPr>
          </w:p>
        </w:tc>
        <w:tc>
          <w:tcPr>
            <w:tcW w:w="120" w:type="dxa"/>
            <w:vAlign w:val="bottom"/>
            <w:tcBorders>
              <w:top w:val="single" w:sz="8" w:color="auto"/>
              <w:bottom w:val="single" w:sz="8" w:color="CCEEFF"/>
            </w:tcBorders>
          </w:tcPr>
          <w:p>
            <w:pPr>
              <w:spacing w:after="0"/>
              <w:rPr>
                <w:sz w:val="8"/>
                <w:szCs w:val="8"/>
                <w:color w:val="auto"/>
              </w:rPr>
            </w:pPr>
          </w:p>
        </w:tc>
        <w:tc>
          <w:tcPr>
            <w:tcW w:w="40" w:type="dxa"/>
            <w:vAlign w:val="bottom"/>
            <w:tcBorders>
              <w:top w:val="single" w:sz="8" w:color="auto"/>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rPr>
              <w:t>2021</w:t>
            </w:r>
          </w:p>
        </w:tc>
        <w:tc>
          <w:tcPr>
            <w:tcW w:w="120" w:type="dxa"/>
            <w:vAlign w:val="bottom"/>
            <w:tcBorders>
              <w:top w:val="single" w:sz="8" w:color="auto"/>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60" w:type="dxa"/>
            <w:vAlign w:val="bottom"/>
            <w:tcBorders>
              <w:bottom w:val="single" w:sz="8" w:color="CCEEFF"/>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40" w:type="dxa"/>
            <w:vAlign w:val="bottom"/>
            <w:tcBorders>
              <w:top w:val="single" w:sz="8" w:color="auto"/>
              <w:bottom w:val="single" w:sz="8" w:color="auto"/>
            </w:tcBorders>
          </w:tcPr>
          <w:p>
            <w:pPr>
              <w:jc w:val="right"/>
              <w:spacing w:after="0" w:line="94" w:lineRule="exact"/>
              <w:rPr>
                <w:sz w:val="20"/>
                <w:szCs w:val="20"/>
                <w:color w:val="auto"/>
              </w:rPr>
            </w:pPr>
            <w:r>
              <w:rPr>
                <w:rFonts w:ascii="Times New Roman" w:cs="Times New Roman" w:eastAsia="Times New Roman" w:hAnsi="Times New Roman"/>
                <w:sz w:val="10"/>
                <w:szCs w:val="10"/>
                <w:color w:val="auto"/>
              </w:rPr>
              <w:t>2022</w:t>
            </w:r>
          </w:p>
        </w:tc>
        <w:tc>
          <w:tcPr>
            <w:tcW w:w="100" w:type="dxa"/>
            <w:vAlign w:val="bottom"/>
            <w:tcBorders>
              <w:top w:val="single" w:sz="8" w:color="auto"/>
              <w:bottom w:val="single" w:sz="8" w:color="auto"/>
            </w:tcBorders>
          </w:tcPr>
          <w:p>
            <w:pPr>
              <w:spacing w:after="0"/>
              <w:rPr>
                <w:sz w:val="8"/>
                <w:szCs w:val="8"/>
                <w:color w:val="auto"/>
              </w:rPr>
            </w:pPr>
          </w:p>
        </w:tc>
        <w:tc>
          <w:tcPr>
            <w:tcW w:w="140" w:type="dxa"/>
            <w:vAlign w:val="bottom"/>
            <w:tcBorders>
              <w:top w:val="single" w:sz="8" w:color="auto"/>
              <w:bottom w:val="single" w:sz="8" w:color="CCEEFF"/>
            </w:tcBorders>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tcPr>
          <w:p>
            <w:pPr>
              <w:jc w:val="right"/>
              <w:ind w:right="18"/>
              <w:spacing w:after="0" w:line="94" w:lineRule="exact"/>
              <w:rPr>
                <w:sz w:val="20"/>
                <w:szCs w:val="20"/>
                <w:color w:val="auto"/>
              </w:rPr>
            </w:pPr>
            <w:r>
              <w:rPr>
                <w:rFonts w:ascii="Times New Roman" w:cs="Times New Roman" w:eastAsia="Times New Roman" w:hAnsi="Times New Roman"/>
                <w:sz w:val="10"/>
                <w:szCs w:val="10"/>
                <w:color w:val="auto"/>
              </w:rPr>
              <w:t>2021</w:t>
            </w:r>
          </w:p>
        </w:tc>
        <w:tc>
          <w:tcPr>
            <w:tcW w:w="80" w:type="dxa"/>
            <w:vAlign w:val="bottom"/>
            <w:tcBorders>
              <w:top w:val="single" w:sz="8" w:color="auto"/>
              <w:bottom w:val="single" w:sz="8" w:color="auto"/>
            </w:tcBorders>
          </w:tcPr>
          <w:p>
            <w:pPr>
              <w:spacing w:after="0"/>
              <w:rPr>
                <w:sz w:val="8"/>
                <w:szCs w:val="8"/>
                <w:color w:val="auto"/>
              </w:rPr>
            </w:pPr>
          </w:p>
        </w:tc>
        <w:tc>
          <w:tcPr>
            <w:tcW w:w="80" w:type="dxa"/>
            <w:vAlign w:val="bottom"/>
            <w:tcBorders>
              <w:bottom w:val="single" w:sz="8" w:color="CCEEFF"/>
            </w:tcBorders>
          </w:tcPr>
          <w:p>
            <w:pPr>
              <w:spacing w:after="0"/>
              <w:rPr>
                <w:sz w:val="8"/>
                <w:szCs w:val="8"/>
                <w:color w:val="auto"/>
              </w:rPr>
            </w:pPr>
          </w:p>
        </w:tc>
      </w:tr>
      <w:tr>
        <w:trPr>
          <w:trHeight w:val="141"/>
        </w:trPr>
        <w:tc>
          <w:tcPr>
            <w:tcW w:w="510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Net loss</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(23.8)</w:t>
            </w: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gridSpan w:val="3"/>
            <w:shd w:val="clear" w:color="auto" w:fill="CCEEFF"/>
          </w:tcPr>
          <w:p>
            <w:pPr>
              <w:jc w:val="right"/>
              <w:ind w:right="40"/>
              <w:spacing w:after="0" w:line="141" w:lineRule="exact"/>
              <w:rPr>
                <w:sz w:val="20"/>
                <w:szCs w:val="20"/>
                <w:color w:val="auto"/>
              </w:rPr>
            </w:pPr>
            <w:r>
              <w:rPr>
                <w:rFonts w:ascii="Times New Roman" w:cs="Times New Roman" w:eastAsia="Times New Roman" w:hAnsi="Times New Roman"/>
                <w:sz w:val="13"/>
                <w:szCs w:val="13"/>
                <w:color w:val="auto"/>
              </w:rPr>
              <w:t>(18.1)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gridSpan w:val="3"/>
            <w:shd w:val="clear" w:color="auto" w:fill="CCEEFF"/>
          </w:tcPr>
          <w:p>
            <w:pPr>
              <w:jc w:val="right"/>
              <w:ind w:right="100"/>
              <w:spacing w:after="0" w:line="141" w:lineRule="exact"/>
              <w:rPr>
                <w:sz w:val="20"/>
                <w:szCs w:val="20"/>
                <w:color w:val="auto"/>
              </w:rPr>
            </w:pPr>
            <w:r>
              <w:rPr>
                <w:rFonts w:ascii="Times New Roman" w:cs="Times New Roman" w:eastAsia="Times New Roman" w:hAnsi="Times New Roman"/>
                <w:sz w:val="13"/>
                <w:szCs w:val="13"/>
                <w:color w:val="auto"/>
              </w:rPr>
              <w:t>(33.9)</w:t>
            </w:r>
          </w:p>
        </w:tc>
        <w:tc>
          <w:tcPr>
            <w:tcW w:w="12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40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(26.8)</w:t>
            </w:r>
          </w:p>
        </w:tc>
        <w:tc>
          <w:tcPr>
            <w:tcW w:w="80" w:type="dxa"/>
            <w:vAlign w:val="bottom"/>
            <w:shd w:val="clear" w:color="auto" w:fill="CCEEFF"/>
          </w:tcPr>
          <w:p>
            <w:pPr>
              <w:spacing w:after="0"/>
              <w:rPr>
                <w:sz w:val="12"/>
                <w:szCs w:val="12"/>
                <w:color w:val="auto"/>
              </w:rPr>
            </w:pPr>
          </w:p>
        </w:tc>
      </w:tr>
      <w:tr>
        <w:trPr>
          <w:trHeight w:val="152"/>
        </w:trPr>
        <w:tc>
          <w:tcPr>
            <w:tcW w:w="5100" w:type="dxa"/>
            <w:vAlign w:val="bottom"/>
          </w:tcPr>
          <w:p>
            <w:pPr>
              <w:spacing w:after="0"/>
              <w:rPr>
                <w:sz w:val="20"/>
                <w:szCs w:val="20"/>
                <w:color w:val="auto"/>
              </w:rPr>
            </w:pPr>
            <w:r>
              <w:rPr>
                <w:rFonts w:ascii="Times New Roman" w:cs="Times New Roman" w:eastAsia="Times New Roman" w:hAnsi="Times New Roman"/>
                <w:sz w:val="13"/>
                <w:szCs w:val="13"/>
                <w:color w:val="auto"/>
              </w:rPr>
              <w:t>Interest expense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0.3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0.7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0.5</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1.3</w:t>
            </w:r>
          </w:p>
        </w:tc>
      </w:tr>
      <w:tr>
        <w:trPr>
          <w:trHeight w:val="152"/>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Provision for income taxes</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1.1</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0.3</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1.6</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0.5</w:t>
            </w:r>
          </w:p>
        </w:tc>
      </w:tr>
      <w:tr>
        <w:trPr>
          <w:trHeight w:val="152"/>
        </w:trPr>
        <w:tc>
          <w:tcPr>
            <w:tcW w:w="5100" w:type="dxa"/>
            <w:vAlign w:val="bottom"/>
          </w:tcPr>
          <w:p>
            <w:pPr>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3.0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5.8</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4.3</w:t>
            </w:r>
          </w:p>
        </w:tc>
      </w:tr>
      <w:tr>
        <w:trPr>
          <w:trHeight w:val="20"/>
        </w:trPr>
        <w:tc>
          <w:tcPr>
            <w:tcW w:w="5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EBITDA</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(19.4)</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(14.9)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(26.0)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(20.7)</w:t>
            </w:r>
          </w:p>
        </w:tc>
      </w:tr>
      <w:tr>
        <w:trPr>
          <w:trHeight w:val="152"/>
        </w:trPr>
        <w:tc>
          <w:tcPr>
            <w:tcW w:w="5100" w:type="dxa"/>
            <w:vAlign w:val="bottom"/>
          </w:tcPr>
          <w:p>
            <w:pPr>
              <w:spacing w:after="0"/>
              <w:rPr>
                <w:sz w:val="20"/>
                <w:szCs w:val="20"/>
                <w:color w:val="auto"/>
              </w:rPr>
            </w:pPr>
            <w:r>
              <w:rPr>
                <w:rFonts w:ascii="Times New Roman" w:cs="Times New Roman" w:eastAsia="Times New Roman" w:hAnsi="Times New Roman"/>
                <w:sz w:val="13"/>
                <w:szCs w:val="13"/>
                <w:color w:val="auto"/>
              </w:rPr>
              <w:t>Stock-based compensation expense</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8.5</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13.9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12.8</w:t>
            </w:r>
          </w:p>
        </w:tc>
      </w:tr>
      <w:tr>
        <w:trPr>
          <w:trHeight w:val="152"/>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Change in fair value of contingent consideration</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(0.9)</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1.6</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1.6</w:t>
            </w:r>
          </w:p>
        </w:tc>
      </w:tr>
      <w:tr>
        <w:trPr>
          <w:trHeight w:val="152"/>
        </w:trPr>
        <w:tc>
          <w:tcPr>
            <w:tcW w:w="5100" w:type="dxa"/>
            <w:vAlign w:val="bottom"/>
          </w:tcPr>
          <w:p>
            <w:pPr>
              <w:spacing w:after="0"/>
              <w:rPr>
                <w:sz w:val="20"/>
                <w:szCs w:val="20"/>
                <w:color w:val="auto"/>
              </w:rPr>
            </w:pPr>
            <w:r>
              <w:rPr>
                <w:rFonts w:ascii="Times New Roman" w:cs="Times New Roman" w:eastAsia="Times New Roman" w:hAnsi="Times New Roman"/>
                <w:sz w:val="13"/>
                <w:szCs w:val="13"/>
                <w:color w:val="auto"/>
              </w:rPr>
              <w:t>Change in fair value of preferred stock warrant liability</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9.8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10.8</w:t>
            </w:r>
          </w:p>
        </w:tc>
      </w:tr>
      <w:tr>
        <w:trPr>
          <w:trHeight w:val="152"/>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expense, net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5.1</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(0.1)</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7.4</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0.3</w:t>
            </w:r>
          </w:p>
        </w:tc>
      </w:tr>
      <w:tr>
        <w:trPr>
          <w:trHeight w:val="152"/>
        </w:trPr>
        <w:tc>
          <w:tcPr>
            <w:tcW w:w="5100" w:type="dxa"/>
            <w:vAlign w:val="bottom"/>
          </w:tcPr>
          <w:p>
            <w:pPr>
              <w:spacing w:after="0"/>
              <w:rPr>
                <w:sz w:val="20"/>
                <w:szCs w:val="20"/>
                <w:color w:val="auto"/>
              </w:rPr>
            </w:pPr>
            <w:r>
              <w:rPr>
                <w:rFonts w:ascii="Times New Roman" w:cs="Times New Roman" w:eastAsia="Times New Roman" w:hAnsi="Times New Roman"/>
                <w:sz w:val="13"/>
                <w:szCs w:val="13"/>
                <w:color w:val="auto"/>
              </w:rPr>
              <w:t>Indirect taxes related to intercompany activity</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0.1</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Acquisition related transaction costs</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0.2</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0.2</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r>
      <w:tr>
        <w:trPr>
          <w:trHeight w:val="152"/>
        </w:trPr>
        <w:tc>
          <w:tcPr>
            <w:tcW w:w="5100" w:type="dxa"/>
            <w:vAlign w:val="bottom"/>
          </w:tcPr>
          <w:p>
            <w:pPr>
              <w:spacing w:after="0"/>
              <w:rPr>
                <w:sz w:val="20"/>
                <w:szCs w:val="20"/>
                <w:color w:val="auto"/>
              </w:rPr>
            </w:pPr>
            <w:r>
              <w:rPr>
                <w:rFonts w:ascii="Times New Roman" w:cs="Times New Roman" w:eastAsia="Times New Roman" w:hAnsi="Times New Roman"/>
                <w:sz w:val="13"/>
                <w:szCs w:val="13"/>
                <w:color w:val="auto"/>
              </w:rPr>
              <w:t>Acquisition related employee retention costs</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0.3</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1.1</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0.9</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2.1</w:t>
            </w:r>
          </w:p>
        </w:tc>
      </w:tr>
      <w:tr>
        <w:trPr>
          <w:trHeight w:val="20"/>
        </w:trPr>
        <w:tc>
          <w:tcPr>
            <w:tcW w:w="5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1"/>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Adjusted EBITDA</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(6.1)</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(0.1)</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(4.4)</w:t>
            </w:r>
          </w:p>
        </w:tc>
        <w:tc>
          <w:tcPr>
            <w:tcW w:w="12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4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6.9</w:t>
            </w:r>
          </w:p>
        </w:tc>
      </w:tr>
      <w:tr>
        <w:trPr>
          <w:trHeight w:val="20"/>
        </w:trPr>
        <w:tc>
          <w:tcPr>
            <w:tcW w:w="5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ectPr>
          <w:pgSz w:w="11900" w:h="16838" w:orient="portrait"/>
          <w:cols w:equalWidth="0" w:num="1">
            <w:col w:w="9019"/>
          </w:cols>
          <w:pgMar w:left="1440" w:top="231"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Reconciliation of Non-GAAP Financial Measures (Continued)</w:t>
      </w:r>
    </w:p>
    <w:p>
      <w:pPr>
        <w:spacing w:after="0" w:line="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(Amounts in millions)</w:t>
      </w:r>
    </w:p>
    <w:p>
      <w:pPr>
        <w:spacing w:after="0" w:line="81" w:lineRule="exact"/>
        <w:rPr>
          <w:sz w:val="20"/>
          <w:szCs w:val="20"/>
          <w:color w:val="auto"/>
        </w:rPr>
      </w:pPr>
    </w:p>
    <w:tbl>
      <w:tblPr>
        <w:tblLayout w:type="fixed"/>
        <w:tblInd w:w="640" w:type="dxa"/>
        <w:tblCellMar>
          <w:top w:w="0" w:type="dxa"/>
          <w:left w:w="0" w:type="dxa"/>
          <w:bottom w:w="0" w:type="dxa"/>
          <w:right w:w="0" w:type="dxa"/>
        </w:tblCellMar>
      </w:tblPr>
      <w:tr>
        <w:trPr>
          <w:trHeight w:val="115"/>
        </w:trPr>
        <w:tc>
          <w:tcPr>
            <w:tcW w:w="3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0" w:type="dxa"/>
            <w:vAlign w:val="bottom"/>
            <w:gridSpan w:val="7"/>
          </w:tcPr>
          <w:p>
            <w:pPr>
              <w:jc w:val="center"/>
              <w:ind w:left="239"/>
              <w:spacing w:after="0"/>
              <w:rPr>
                <w:sz w:val="20"/>
                <w:szCs w:val="20"/>
                <w:color w:val="auto"/>
              </w:rPr>
            </w:pPr>
            <w:r>
              <w:rPr>
                <w:rFonts w:ascii="Times New Roman" w:cs="Times New Roman" w:eastAsia="Times New Roman" w:hAnsi="Times New Roman"/>
                <w:sz w:val="10"/>
                <w:szCs w:val="10"/>
                <w:color w:val="auto"/>
              </w:rPr>
              <w:t>Three Months Ended</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7"/>
          </w:tcPr>
          <w:p>
            <w:pPr>
              <w:jc w:val="center"/>
              <w:ind w:left="85"/>
              <w:spacing w:after="0"/>
              <w:rPr>
                <w:sz w:val="20"/>
                <w:szCs w:val="20"/>
                <w:color w:val="auto"/>
              </w:rPr>
            </w:pPr>
            <w:r>
              <w:rPr>
                <w:rFonts w:ascii="Times New Roman" w:cs="Times New Roman" w:eastAsia="Times New Roman" w:hAnsi="Times New Roman"/>
                <w:sz w:val="10"/>
                <w:szCs w:val="10"/>
                <w:color w:val="auto"/>
              </w:rPr>
              <w:t>Three Months Ended</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5"/>
          </w:tcPr>
          <w:p>
            <w:pPr>
              <w:jc w:val="center"/>
              <w:ind w:right="47"/>
              <w:spacing w:after="0"/>
              <w:rPr>
                <w:sz w:val="20"/>
                <w:szCs w:val="20"/>
                <w:color w:val="auto"/>
              </w:rPr>
            </w:pPr>
            <w:r>
              <w:rPr>
                <w:rFonts w:ascii="Times New Roman" w:cs="Times New Roman" w:eastAsia="Times New Roman" w:hAnsi="Times New Roman"/>
                <w:sz w:val="10"/>
                <w:szCs w:val="10"/>
                <w:color w:val="auto"/>
              </w:rPr>
              <w:t>June 30, 2022</w:t>
            </w: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5"/>
          </w:tcPr>
          <w:p>
            <w:pPr>
              <w:jc w:val="center"/>
              <w:ind w:right="97"/>
              <w:spacing w:after="0"/>
              <w:rPr>
                <w:sz w:val="20"/>
                <w:szCs w:val="20"/>
                <w:color w:val="auto"/>
              </w:rPr>
            </w:pPr>
            <w:r>
              <w:rPr>
                <w:rFonts w:ascii="Times New Roman" w:cs="Times New Roman" w:eastAsia="Times New Roman" w:hAnsi="Times New Roman"/>
                <w:sz w:val="10"/>
                <w:szCs w:val="10"/>
                <w:color w:val="auto"/>
              </w:rPr>
              <w:t>June 30, 2021</w:t>
            </w: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39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gridSpan w:val="4"/>
          </w:tcPr>
          <w:p>
            <w:pPr>
              <w:jc w:val="center"/>
              <w:ind w:right="167"/>
              <w:spacing w:after="0" w:line="79" w:lineRule="exact"/>
              <w:rPr>
                <w:sz w:val="20"/>
                <w:szCs w:val="20"/>
                <w:color w:val="auto"/>
              </w:rPr>
            </w:pPr>
            <w:r>
              <w:rPr>
                <w:rFonts w:ascii="Times New Roman" w:cs="Times New Roman" w:eastAsia="Times New Roman" w:hAnsi="Times New Roman"/>
                <w:sz w:val="9"/>
                <w:szCs w:val="9"/>
                <w:color w:val="auto"/>
              </w:rPr>
              <w:t>Platform</w:t>
            </w: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4"/>
          </w:tcPr>
          <w:p>
            <w:pPr>
              <w:jc w:val="center"/>
              <w:ind w:right="117"/>
              <w:spacing w:after="0" w:line="79" w:lineRule="exact"/>
              <w:rPr>
                <w:sz w:val="20"/>
                <w:szCs w:val="20"/>
                <w:color w:val="auto"/>
              </w:rPr>
            </w:pPr>
            <w:r>
              <w:rPr>
                <w:rFonts w:ascii="Times New Roman" w:cs="Times New Roman" w:eastAsia="Times New Roman" w:hAnsi="Times New Roman"/>
                <w:sz w:val="9"/>
                <w:szCs w:val="9"/>
                <w:color w:val="auto"/>
              </w:rPr>
              <w:t>Platform</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9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3"/>
          </w:tcPr>
          <w:p>
            <w:pPr>
              <w:jc w:val="center"/>
              <w:ind w:right="247"/>
              <w:spacing w:after="0" w:line="104" w:lineRule="exact"/>
              <w:rPr>
                <w:sz w:val="20"/>
                <w:szCs w:val="20"/>
                <w:color w:val="auto"/>
              </w:rPr>
            </w:pPr>
            <w:r>
              <w:rPr>
                <w:rFonts w:ascii="Times New Roman" w:cs="Times New Roman" w:eastAsia="Times New Roman" w:hAnsi="Times New Roman"/>
                <w:sz w:val="10"/>
                <w:szCs w:val="10"/>
                <w:color w:val="auto"/>
              </w:rPr>
              <w:t>and</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4"/>
          </w:tcPr>
          <w:p>
            <w:pPr>
              <w:jc w:val="center"/>
              <w:ind w:right="137"/>
              <w:spacing w:after="0" w:line="104" w:lineRule="exact"/>
              <w:rPr>
                <w:sz w:val="20"/>
                <w:szCs w:val="20"/>
                <w:color w:val="auto"/>
              </w:rPr>
            </w:pPr>
            <w:r>
              <w:rPr>
                <w:rFonts w:ascii="Times New Roman" w:cs="Times New Roman" w:eastAsia="Times New Roman" w:hAnsi="Times New Roman"/>
                <w:sz w:val="10"/>
                <w:szCs w:val="10"/>
                <w:color w:val="auto"/>
                <w:w w:val="96"/>
              </w:rPr>
              <w:t>and</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9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4"/>
          </w:tcPr>
          <w:p>
            <w:pPr>
              <w:jc w:val="center"/>
              <w:ind w:right="167"/>
              <w:spacing w:after="0" w:line="104" w:lineRule="exact"/>
              <w:rPr>
                <w:sz w:val="20"/>
                <w:szCs w:val="20"/>
                <w:color w:val="auto"/>
              </w:rPr>
            </w:pPr>
            <w:r>
              <w:rPr>
                <w:rFonts w:ascii="Times New Roman" w:cs="Times New Roman" w:eastAsia="Times New Roman" w:hAnsi="Times New Roman"/>
                <w:sz w:val="10"/>
                <w:szCs w:val="10"/>
                <w:color w:val="auto"/>
                <w:w w:val="98"/>
              </w:rPr>
              <w:t>Usage-</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4"/>
          </w:tcPr>
          <w:p>
            <w:pPr>
              <w:jc w:val="center"/>
              <w:ind w:right="117"/>
              <w:spacing w:after="0" w:line="104" w:lineRule="exact"/>
              <w:rPr>
                <w:sz w:val="20"/>
                <w:szCs w:val="20"/>
                <w:color w:val="auto"/>
              </w:rPr>
            </w:pPr>
            <w:r>
              <w:rPr>
                <w:rFonts w:ascii="Times New Roman" w:cs="Times New Roman" w:eastAsia="Times New Roman" w:hAnsi="Times New Roman"/>
                <w:sz w:val="10"/>
                <w:szCs w:val="10"/>
                <w:color w:val="auto"/>
                <w:w w:val="98"/>
              </w:rPr>
              <w:t>Usage-</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9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3"/>
          </w:tcPr>
          <w:p>
            <w:pPr>
              <w:jc w:val="center"/>
              <w:ind w:right="247"/>
              <w:spacing w:after="0" w:line="104" w:lineRule="exact"/>
              <w:rPr>
                <w:sz w:val="20"/>
                <w:szCs w:val="20"/>
                <w:color w:val="auto"/>
              </w:rPr>
            </w:pPr>
            <w:r>
              <w:rPr>
                <w:rFonts w:ascii="Times New Roman" w:cs="Times New Roman" w:eastAsia="Times New Roman" w:hAnsi="Times New Roman"/>
                <w:sz w:val="10"/>
                <w:szCs w:val="10"/>
                <w:color w:val="auto"/>
                <w:w w:val="97"/>
              </w:rPr>
              <w:t>Based</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4"/>
          </w:tcPr>
          <w:p>
            <w:pPr>
              <w:jc w:val="center"/>
              <w:ind w:right="117"/>
              <w:spacing w:after="0" w:line="104" w:lineRule="exact"/>
              <w:rPr>
                <w:sz w:val="20"/>
                <w:szCs w:val="20"/>
                <w:color w:val="auto"/>
              </w:rPr>
            </w:pPr>
            <w:r>
              <w:rPr>
                <w:rFonts w:ascii="Times New Roman" w:cs="Times New Roman" w:eastAsia="Times New Roman" w:hAnsi="Times New Roman"/>
                <w:sz w:val="10"/>
                <w:szCs w:val="10"/>
                <w:color w:val="auto"/>
                <w:w w:val="97"/>
              </w:rPr>
              <w:t>Based</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520" w:type="dxa"/>
            <w:vAlign w:val="bottom"/>
            <w:gridSpan w:val="4"/>
          </w:tcPr>
          <w:p>
            <w:pPr>
              <w:spacing w:after="0"/>
              <w:rPr>
                <w:sz w:val="20"/>
                <w:szCs w:val="20"/>
                <w:color w:val="auto"/>
              </w:rPr>
            </w:pPr>
            <w:r>
              <w:rPr>
                <w:rFonts w:ascii="Times New Roman" w:cs="Times New Roman" w:eastAsia="Times New Roman" w:hAnsi="Times New Roman"/>
                <w:sz w:val="10"/>
                <w:szCs w:val="10"/>
                <w:color w:val="auto"/>
              </w:rPr>
              <w:t>Transaction</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3"/>
          </w:tcPr>
          <w:p>
            <w:pPr>
              <w:jc w:val="center"/>
              <w:ind w:right="247"/>
              <w:spacing w:after="0"/>
              <w:rPr>
                <w:sz w:val="20"/>
                <w:szCs w:val="20"/>
                <w:color w:val="auto"/>
              </w:rPr>
            </w:pPr>
            <w:r>
              <w:rPr>
                <w:rFonts w:ascii="Times New Roman" w:cs="Times New Roman" w:eastAsia="Times New Roman" w:hAnsi="Times New Roman"/>
                <w:sz w:val="10"/>
                <w:szCs w:val="10"/>
                <w:color w:val="auto"/>
              </w:rPr>
              <w:t>Fees</w:t>
            </w: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0"/>
                <w:szCs w:val="10"/>
                <w:color w:val="auto"/>
              </w:rPr>
              <w:t>Revenue</w:t>
            </w:r>
          </w:p>
        </w:tc>
        <w:tc>
          <w:tcPr>
            <w:tcW w:w="480" w:type="dxa"/>
            <w:vAlign w:val="bottom"/>
            <w:gridSpan w:val="3"/>
          </w:tcPr>
          <w:p>
            <w:pPr>
              <w:spacing w:after="0"/>
              <w:rPr>
                <w:sz w:val="20"/>
                <w:szCs w:val="20"/>
                <w:color w:val="auto"/>
              </w:rPr>
            </w:pPr>
            <w:r>
              <w:rPr>
                <w:rFonts w:ascii="Times New Roman" w:cs="Times New Roman" w:eastAsia="Times New Roman" w:hAnsi="Times New Roman"/>
                <w:sz w:val="10"/>
                <w:szCs w:val="10"/>
                <w:color w:val="auto"/>
                <w:w w:val="97"/>
              </w:rPr>
              <w:t>Transaction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4"/>
          </w:tcPr>
          <w:p>
            <w:pPr>
              <w:jc w:val="center"/>
              <w:ind w:right="137"/>
              <w:spacing w:after="0"/>
              <w:rPr>
                <w:sz w:val="20"/>
                <w:szCs w:val="20"/>
                <w:color w:val="auto"/>
              </w:rPr>
            </w:pPr>
            <w:r>
              <w:rPr>
                <w:rFonts w:ascii="Times New Roman" w:cs="Times New Roman" w:eastAsia="Times New Roman" w:hAnsi="Times New Roman"/>
                <w:sz w:val="10"/>
                <w:szCs w:val="10"/>
                <w:color w:val="auto"/>
                <w:w w:val="97"/>
              </w:rPr>
              <w:t>Fees</w:t>
            </w:r>
          </w:p>
        </w:tc>
        <w:tc>
          <w:tcPr>
            <w:tcW w:w="20" w:type="dxa"/>
            <w:vAlign w:val="bottom"/>
          </w:tcPr>
          <w:p>
            <w:pPr>
              <w:spacing w:after="0"/>
              <w:rPr>
                <w:sz w:val="10"/>
                <w:szCs w:val="10"/>
                <w:color w:val="auto"/>
              </w:rPr>
            </w:pPr>
          </w:p>
        </w:tc>
        <w:tc>
          <w:tcPr>
            <w:tcW w:w="560" w:type="dxa"/>
            <w:vAlign w:val="bottom"/>
            <w:gridSpan w:val="4"/>
          </w:tcPr>
          <w:p>
            <w:pPr>
              <w:jc w:val="right"/>
              <w:ind w:right="180"/>
              <w:spacing w:after="0"/>
              <w:rPr>
                <w:sz w:val="20"/>
                <w:szCs w:val="20"/>
                <w:color w:val="auto"/>
              </w:rPr>
            </w:pPr>
            <w:r>
              <w:rPr>
                <w:rFonts w:ascii="Times New Roman" w:cs="Times New Roman" w:eastAsia="Times New Roman" w:hAnsi="Times New Roman"/>
                <w:sz w:val="10"/>
                <w:szCs w:val="10"/>
                <w:color w:val="auto"/>
              </w:rPr>
              <w:t>Revenue</w:t>
            </w:r>
          </w:p>
        </w:tc>
        <w:tc>
          <w:tcPr>
            <w:tcW w:w="0" w:type="dxa"/>
            <w:vAlign w:val="bottom"/>
          </w:tcPr>
          <w:p>
            <w:pPr>
              <w:spacing w:after="0"/>
              <w:rPr>
                <w:sz w:val="1"/>
                <w:szCs w:val="1"/>
                <w:color w:val="auto"/>
              </w:rPr>
            </w:pPr>
          </w:p>
        </w:tc>
      </w:tr>
      <w:tr>
        <w:trPr>
          <w:trHeight w:val="141"/>
        </w:trPr>
        <w:tc>
          <w:tcPr>
            <w:tcW w:w="394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100" w:type="dxa"/>
            <w:vAlign w:val="bottom"/>
            <w:tcBorders>
              <w:top w:val="single" w:sz="8" w:color="auto"/>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41.7</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center"/>
              <w:ind w:left="41"/>
              <w:spacing w:after="0" w:line="141" w:lineRule="exact"/>
              <w:rPr>
                <w:sz w:val="20"/>
                <w:szCs w:val="20"/>
                <w:color w:val="auto"/>
              </w:rPr>
            </w:pPr>
            <w:r>
              <w:rPr>
                <w:rFonts w:ascii="Times New Roman" w:cs="Times New Roman" w:eastAsia="Times New Roman" w:hAnsi="Times New Roman"/>
                <w:sz w:val="13"/>
                <w:szCs w:val="13"/>
                <w:color w:val="auto"/>
                <w:w w:val="96"/>
              </w:rPr>
              <w:t>14.8</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56.5</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24.3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center"/>
              <w:ind w:right="68"/>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6"/>
              </w:rPr>
              <w:t>12.7</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37.0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Adjusted to exclude gross up for:</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Pass through cost for printing and mailing</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(4.8)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(4.8)</w:t>
            </w:r>
          </w:p>
        </w:tc>
        <w:tc>
          <w:tcPr>
            <w:tcW w:w="2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9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Marketing fees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(0.2)</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center"/>
              <w:ind w:right="8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(0.2)</w:t>
            </w:r>
          </w:p>
        </w:tc>
        <w:tc>
          <w:tcPr>
            <w:tcW w:w="200" w:type="dxa"/>
            <w:vAlign w:val="bottom"/>
          </w:tcPr>
          <w:p>
            <w:pPr>
              <w:spacing w:after="0"/>
              <w:rPr>
                <w:sz w:val="13"/>
                <w:szCs w:val="13"/>
                <w:color w:val="auto"/>
              </w:rPr>
            </w:pPr>
          </w:p>
        </w:tc>
        <w:tc>
          <w:tcPr>
            <w:tcW w:w="380" w:type="dxa"/>
            <w:vAlign w:val="bottom"/>
            <w:gridSpan w:val="3"/>
          </w:tcPr>
          <w:p>
            <w:pPr>
              <w:jc w:val="right"/>
              <w:ind w:right="3"/>
              <w:spacing w:after="0"/>
              <w:rPr>
                <w:sz w:val="20"/>
                <w:szCs w:val="20"/>
                <w:color w:val="auto"/>
              </w:rPr>
            </w:pPr>
            <w:r>
              <w:rPr>
                <w:rFonts w:ascii="Times New Roman" w:cs="Times New Roman" w:eastAsia="Times New Roman" w:hAnsi="Times New Roman"/>
                <w:sz w:val="13"/>
                <w:szCs w:val="13"/>
                <w:color w:val="auto"/>
              </w:rPr>
              <w:t>(0.1)</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gridSpan w:val="3"/>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 Less Ancillary Services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3"/>
                <w:szCs w:val="13"/>
                <w:color w:val="auto"/>
              </w:rPr>
              <w:t>41.5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51.5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1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8.8</w:t>
            </w:r>
          </w:p>
        </w:tc>
        <w:tc>
          <w:tcPr>
            <w:tcW w:w="10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33.0</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39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Percentage of Revenue</w:t>
            </w:r>
          </w:p>
        </w:tc>
        <w:tc>
          <w:tcPr>
            <w:tcW w:w="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9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73.8%</w:t>
            </w:r>
          </w:p>
        </w:tc>
        <w:tc>
          <w:tcPr>
            <w:tcW w:w="80" w:type="dxa"/>
            <w:vAlign w:val="bottom"/>
          </w:tcPr>
          <w:p>
            <w:pPr>
              <w:spacing w:after="0"/>
              <w:rPr>
                <w:sz w:val="14"/>
                <w:szCs w:val="14"/>
                <w:color w:val="auto"/>
              </w:rPr>
            </w:pPr>
          </w:p>
        </w:tc>
        <w:tc>
          <w:tcPr>
            <w:tcW w:w="540" w:type="dxa"/>
            <w:vAlign w:val="bottom"/>
            <w:gridSpan w:val="3"/>
          </w:tcPr>
          <w:p>
            <w:pPr>
              <w:jc w:val="right"/>
              <w:ind w:right="47"/>
              <w:spacing w:after="0"/>
              <w:rPr>
                <w:sz w:val="20"/>
                <w:szCs w:val="20"/>
                <w:color w:val="auto"/>
              </w:rPr>
            </w:pPr>
            <w:r>
              <w:rPr>
                <w:rFonts w:ascii="Times New Roman" w:cs="Times New Roman" w:eastAsia="Times New Roman" w:hAnsi="Times New Roman"/>
                <w:sz w:val="13"/>
                <w:szCs w:val="13"/>
                <w:color w:val="auto"/>
              </w:rPr>
              <w:t>26.2%</w:t>
            </w:r>
          </w:p>
        </w:tc>
        <w:tc>
          <w:tcPr>
            <w:tcW w:w="1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100%</w:t>
            </w:r>
          </w:p>
        </w:tc>
        <w:tc>
          <w:tcPr>
            <w:tcW w:w="200" w:type="dxa"/>
            <w:vAlign w:val="bottom"/>
          </w:tcPr>
          <w:p>
            <w:pPr>
              <w:spacing w:after="0"/>
              <w:rPr>
                <w:sz w:val="14"/>
                <w:szCs w:val="1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65.6%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w w:val="95"/>
              </w:rPr>
              <w:t>34.4%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52"/>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Percentage of Revenue less Ancillary Services</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80.6%</w:t>
            </w:r>
          </w:p>
        </w:tc>
        <w:tc>
          <w:tcPr>
            <w:tcW w:w="8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19.4%</w:t>
            </w: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100%</w:t>
            </w:r>
          </w:p>
        </w:tc>
        <w:tc>
          <w:tcPr>
            <w:tcW w:w="20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5"/>
              </w:rPr>
              <w:t>26.7%</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260"/>
        </w:trPr>
        <w:tc>
          <w:tcPr>
            <w:tcW w:w="3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40" w:type="dxa"/>
            <w:vAlign w:val="bottom"/>
            <w:gridSpan w:val="6"/>
          </w:tcPr>
          <w:p>
            <w:pPr>
              <w:jc w:val="center"/>
              <w:ind w:right="7"/>
              <w:spacing w:after="0"/>
              <w:rPr>
                <w:sz w:val="20"/>
                <w:szCs w:val="20"/>
                <w:color w:val="auto"/>
              </w:rPr>
            </w:pPr>
            <w:r>
              <w:rPr>
                <w:rFonts w:ascii="Times New Roman" w:cs="Times New Roman" w:eastAsia="Times New Roman" w:hAnsi="Times New Roman"/>
                <w:sz w:val="10"/>
                <w:szCs w:val="10"/>
                <w:color w:val="auto"/>
                <w:w w:val="99"/>
              </w:rPr>
              <w:t>Six Months Ended</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gridSpan w:val="6"/>
          </w:tcPr>
          <w:p>
            <w:pPr>
              <w:jc w:val="center"/>
              <w:spacing w:after="0"/>
              <w:rPr>
                <w:sz w:val="20"/>
                <w:szCs w:val="20"/>
                <w:color w:val="auto"/>
              </w:rPr>
            </w:pPr>
            <w:r>
              <w:rPr>
                <w:rFonts w:ascii="Times New Roman" w:cs="Times New Roman" w:eastAsia="Times New Roman" w:hAnsi="Times New Roman"/>
                <w:sz w:val="10"/>
                <w:szCs w:val="10"/>
                <w:color w:val="auto"/>
                <w:w w:val="99"/>
              </w:rPr>
              <w:t>Six Months Ended</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gridSpan w:val="5"/>
          </w:tcPr>
          <w:p>
            <w:pPr>
              <w:jc w:val="center"/>
              <w:ind w:right="47"/>
              <w:spacing w:after="0"/>
              <w:rPr>
                <w:sz w:val="20"/>
                <w:szCs w:val="20"/>
                <w:color w:val="auto"/>
              </w:rPr>
            </w:pPr>
            <w:r>
              <w:rPr>
                <w:rFonts w:ascii="Times New Roman" w:cs="Times New Roman" w:eastAsia="Times New Roman" w:hAnsi="Times New Roman"/>
                <w:sz w:val="10"/>
                <w:szCs w:val="10"/>
                <w:color w:val="auto"/>
              </w:rPr>
              <w:t>June 30, 2022</w:t>
            </w: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5"/>
          </w:tcPr>
          <w:p>
            <w:pPr>
              <w:jc w:val="center"/>
              <w:ind w:right="97"/>
              <w:spacing w:after="0"/>
              <w:rPr>
                <w:sz w:val="20"/>
                <w:szCs w:val="20"/>
                <w:color w:val="auto"/>
              </w:rPr>
            </w:pPr>
            <w:r>
              <w:rPr>
                <w:rFonts w:ascii="Times New Roman" w:cs="Times New Roman" w:eastAsia="Times New Roman" w:hAnsi="Times New Roman"/>
                <w:sz w:val="10"/>
                <w:szCs w:val="10"/>
                <w:color w:val="auto"/>
              </w:rPr>
              <w:t>June 30, 2021</w:t>
            </w: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9"/>
        </w:trPr>
        <w:tc>
          <w:tcPr>
            <w:tcW w:w="39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3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gridSpan w:val="4"/>
          </w:tcPr>
          <w:p>
            <w:pPr>
              <w:jc w:val="center"/>
              <w:ind w:right="167"/>
              <w:spacing w:after="0" w:line="79" w:lineRule="exact"/>
              <w:rPr>
                <w:sz w:val="20"/>
                <w:szCs w:val="20"/>
                <w:color w:val="auto"/>
              </w:rPr>
            </w:pPr>
            <w:r>
              <w:rPr>
                <w:rFonts w:ascii="Times New Roman" w:cs="Times New Roman" w:eastAsia="Times New Roman" w:hAnsi="Times New Roman"/>
                <w:sz w:val="9"/>
                <w:szCs w:val="9"/>
                <w:color w:val="auto"/>
              </w:rPr>
              <w:t>Platform</w:t>
            </w:r>
          </w:p>
        </w:tc>
        <w:tc>
          <w:tcPr>
            <w:tcW w:w="1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4"/>
          </w:tcPr>
          <w:p>
            <w:pPr>
              <w:jc w:val="center"/>
              <w:ind w:right="117"/>
              <w:spacing w:after="0" w:line="79" w:lineRule="exact"/>
              <w:rPr>
                <w:sz w:val="20"/>
                <w:szCs w:val="20"/>
                <w:color w:val="auto"/>
              </w:rPr>
            </w:pPr>
            <w:r>
              <w:rPr>
                <w:rFonts w:ascii="Times New Roman" w:cs="Times New Roman" w:eastAsia="Times New Roman" w:hAnsi="Times New Roman"/>
                <w:sz w:val="9"/>
                <w:szCs w:val="9"/>
                <w:color w:val="auto"/>
              </w:rPr>
              <w:t>Platform</w:t>
            </w: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4"/>
        </w:trPr>
        <w:tc>
          <w:tcPr>
            <w:tcW w:w="39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3"/>
          </w:tcPr>
          <w:p>
            <w:pPr>
              <w:jc w:val="center"/>
              <w:ind w:right="247"/>
              <w:spacing w:after="0" w:line="104" w:lineRule="exact"/>
              <w:rPr>
                <w:sz w:val="20"/>
                <w:szCs w:val="20"/>
                <w:color w:val="auto"/>
              </w:rPr>
            </w:pPr>
            <w:r>
              <w:rPr>
                <w:rFonts w:ascii="Times New Roman" w:cs="Times New Roman" w:eastAsia="Times New Roman" w:hAnsi="Times New Roman"/>
                <w:sz w:val="10"/>
                <w:szCs w:val="10"/>
                <w:color w:val="auto"/>
              </w:rPr>
              <w:t>and</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4"/>
          </w:tcPr>
          <w:p>
            <w:pPr>
              <w:jc w:val="center"/>
              <w:ind w:right="137"/>
              <w:spacing w:after="0" w:line="104" w:lineRule="exact"/>
              <w:rPr>
                <w:sz w:val="20"/>
                <w:szCs w:val="20"/>
                <w:color w:val="auto"/>
              </w:rPr>
            </w:pPr>
            <w:r>
              <w:rPr>
                <w:rFonts w:ascii="Times New Roman" w:cs="Times New Roman" w:eastAsia="Times New Roman" w:hAnsi="Times New Roman"/>
                <w:sz w:val="10"/>
                <w:szCs w:val="10"/>
                <w:color w:val="auto"/>
                <w:w w:val="96"/>
              </w:rPr>
              <w:t>and</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9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gridSpan w:val="4"/>
          </w:tcPr>
          <w:p>
            <w:pPr>
              <w:jc w:val="center"/>
              <w:ind w:right="167"/>
              <w:spacing w:after="0" w:line="104" w:lineRule="exact"/>
              <w:rPr>
                <w:sz w:val="20"/>
                <w:szCs w:val="20"/>
                <w:color w:val="auto"/>
              </w:rPr>
            </w:pPr>
            <w:r>
              <w:rPr>
                <w:rFonts w:ascii="Times New Roman" w:cs="Times New Roman" w:eastAsia="Times New Roman" w:hAnsi="Times New Roman"/>
                <w:sz w:val="10"/>
                <w:szCs w:val="10"/>
                <w:color w:val="auto"/>
                <w:w w:val="98"/>
              </w:rPr>
              <w:t>Usage-</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4"/>
          </w:tcPr>
          <w:p>
            <w:pPr>
              <w:jc w:val="center"/>
              <w:ind w:right="117"/>
              <w:spacing w:after="0" w:line="104" w:lineRule="exact"/>
              <w:rPr>
                <w:sz w:val="20"/>
                <w:szCs w:val="20"/>
                <w:color w:val="auto"/>
              </w:rPr>
            </w:pPr>
            <w:r>
              <w:rPr>
                <w:rFonts w:ascii="Times New Roman" w:cs="Times New Roman" w:eastAsia="Times New Roman" w:hAnsi="Times New Roman"/>
                <w:sz w:val="10"/>
                <w:szCs w:val="10"/>
                <w:color w:val="auto"/>
                <w:w w:val="98"/>
              </w:rPr>
              <w:t>Usage-</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39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gridSpan w:val="3"/>
          </w:tcPr>
          <w:p>
            <w:pPr>
              <w:jc w:val="center"/>
              <w:ind w:right="247"/>
              <w:spacing w:after="0" w:line="104" w:lineRule="exact"/>
              <w:rPr>
                <w:sz w:val="20"/>
                <w:szCs w:val="20"/>
                <w:color w:val="auto"/>
              </w:rPr>
            </w:pPr>
            <w:r>
              <w:rPr>
                <w:rFonts w:ascii="Times New Roman" w:cs="Times New Roman" w:eastAsia="Times New Roman" w:hAnsi="Times New Roman"/>
                <w:sz w:val="10"/>
                <w:szCs w:val="10"/>
                <w:color w:val="auto"/>
                <w:w w:val="97"/>
              </w:rPr>
              <w:t>Based</w:t>
            </w: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gridSpan w:val="4"/>
          </w:tcPr>
          <w:p>
            <w:pPr>
              <w:jc w:val="center"/>
              <w:ind w:right="117"/>
              <w:spacing w:after="0" w:line="104" w:lineRule="exact"/>
              <w:rPr>
                <w:sz w:val="20"/>
                <w:szCs w:val="20"/>
                <w:color w:val="auto"/>
              </w:rPr>
            </w:pPr>
            <w:r>
              <w:rPr>
                <w:rFonts w:ascii="Times New Roman" w:cs="Times New Roman" w:eastAsia="Times New Roman" w:hAnsi="Times New Roman"/>
                <w:sz w:val="10"/>
                <w:szCs w:val="10"/>
                <w:color w:val="auto"/>
                <w:w w:val="97"/>
              </w:rPr>
              <w:t>Based</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520" w:type="dxa"/>
            <w:vAlign w:val="bottom"/>
            <w:gridSpan w:val="4"/>
          </w:tcPr>
          <w:p>
            <w:pPr>
              <w:spacing w:after="0"/>
              <w:rPr>
                <w:sz w:val="20"/>
                <w:szCs w:val="20"/>
                <w:color w:val="auto"/>
              </w:rPr>
            </w:pPr>
            <w:r>
              <w:rPr>
                <w:rFonts w:ascii="Times New Roman" w:cs="Times New Roman" w:eastAsia="Times New Roman" w:hAnsi="Times New Roman"/>
                <w:sz w:val="10"/>
                <w:szCs w:val="10"/>
                <w:color w:val="auto"/>
              </w:rPr>
              <w:t>Transaction</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gridSpan w:val="3"/>
          </w:tcPr>
          <w:p>
            <w:pPr>
              <w:jc w:val="center"/>
              <w:ind w:right="247"/>
              <w:spacing w:after="0"/>
              <w:rPr>
                <w:sz w:val="20"/>
                <w:szCs w:val="20"/>
                <w:color w:val="auto"/>
              </w:rPr>
            </w:pPr>
            <w:r>
              <w:rPr>
                <w:rFonts w:ascii="Times New Roman" w:cs="Times New Roman" w:eastAsia="Times New Roman" w:hAnsi="Times New Roman"/>
                <w:sz w:val="10"/>
                <w:szCs w:val="10"/>
                <w:color w:val="auto"/>
              </w:rPr>
              <w:t>Fees</w:t>
            </w:r>
          </w:p>
        </w:tc>
        <w:tc>
          <w:tcPr>
            <w:tcW w:w="620" w:type="dxa"/>
            <w:vAlign w:val="bottom"/>
            <w:gridSpan w:val="3"/>
          </w:tcPr>
          <w:p>
            <w:pPr>
              <w:jc w:val="right"/>
              <w:ind w:right="240"/>
              <w:spacing w:after="0"/>
              <w:rPr>
                <w:sz w:val="20"/>
                <w:szCs w:val="20"/>
                <w:color w:val="auto"/>
              </w:rPr>
            </w:pPr>
            <w:r>
              <w:rPr>
                <w:rFonts w:ascii="Times New Roman" w:cs="Times New Roman" w:eastAsia="Times New Roman" w:hAnsi="Times New Roman"/>
                <w:sz w:val="10"/>
                <w:szCs w:val="10"/>
                <w:color w:val="auto"/>
              </w:rPr>
              <w:t>Revenue</w:t>
            </w:r>
          </w:p>
        </w:tc>
        <w:tc>
          <w:tcPr>
            <w:tcW w:w="480" w:type="dxa"/>
            <w:vAlign w:val="bottom"/>
            <w:gridSpan w:val="3"/>
          </w:tcPr>
          <w:p>
            <w:pPr>
              <w:spacing w:after="0"/>
              <w:rPr>
                <w:sz w:val="20"/>
                <w:szCs w:val="20"/>
                <w:color w:val="auto"/>
              </w:rPr>
            </w:pPr>
            <w:r>
              <w:rPr>
                <w:rFonts w:ascii="Times New Roman" w:cs="Times New Roman" w:eastAsia="Times New Roman" w:hAnsi="Times New Roman"/>
                <w:sz w:val="10"/>
                <w:szCs w:val="10"/>
                <w:color w:val="auto"/>
                <w:w w:val="97"/>
              </w:rPr>
              <w:t>Transaction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4"/>
          </w:tcPr>
          <w:p>
            <w:pPr>
              <w:jc w:val="center"/>
              <w:ind w:right="137"/>
              <w:spacing w:after="0"/>
              <w:rPr>
                <w:sz w:val="20"/>
                <w:szCs w:val="20"/>
                <w:color w:val="auto"/>
              </w:rPr>
            </w:pPr>
            <w:r>
              <w:rPr>
                <w:rFonts w:ascii="Times New Roman" w:cs="Times New Roman" w:eastAsia="Times New Roman" w:hAnsi="Times New Roman"/>
                <w:sz w:val="10"/>
                <w:szCs w:val="10"/>
                <w:color w:val="auto"/>
                <w:w w:val="97"/>
              </w:rPr>
              <w:t>Fees</w:t>
            </w:r>
          </w:p>
        </w:tc>
        <w:tc>
          <w:tcPr>
            <w:tcW w:w="20" w:type="dxa"/>
            <w:vAlign w:val="bottom"/>
          </w:tcPr>
          <w:p>
            <w:pPr>
              <w:spacing w:after="0"/>
              <w:rPr>
                <w:sz w:val="10"/>
                <w:szCs w:val="10"/>
                <w:color w:val="auto"/>
              </w:rPr>
            </w:pPr>
          </w:p>
        </w:tc>
        <w:tc>
          <w:tcPr>
            <w:tcW w:w="560" w:type="dxa"/>
            <w:vAlign w:val="bottom"/>
            <w:gridSpan w:val="4"/>
          </w:tcPr>
          <w:p>
            <w:pPr>
              <w:jc w:val="right"/>
              <w:ind w:right="180"/>
              <w:spacing w:after="0"/>
              <w:rPr>
                <w:sz w:val="20"/>
                <w:szCs w:val="20"/>
                <w:color w:val="auto"/>
              </w:rPr>
            </w:pPr>
            <w:r>
              <w:rPr>
                <w:rFonts w:ascii="Times New Roman" w:cs="Times New Roman" w:eastAsia="Times New Roman" w:hAnsi="Times New Roman"/>
                <w:sz w:val="10"/>
                <w:szCs w:val="10"/>
                <w:color w:val="auto"/>
              </w:rPr>
              <w:t>Revenue</w:t>
            </w:r>
          </w:p>
        </w:tc>
        <w:tc>
          <w:tcPr>
            <w:tcW w:w="0" w:type="dxa"/>
            <w:vAlign w:val="bottom"/>
          </w:tcPr>
          <w:p>
            <w:pPr>
              <w:spacing w:after="0"/>
              <w:rPr>
                <w:sz w:val="1"/>
                <w:szCs w:val="1"/>
                <w:color w:val="auto"/>
              </w:rPr>
            </w:pPr>
          </w:p>
        </w:tc>
      </w:tr>
      <w:tr>
        <w:trPr>
          <w:trHeight w:val="141"/>
        </w:trPr>
        <w:tc>
          <w:tcPr>
            <w:tcW w:w="3940" w:type="dxa"/>
            <w:vAlign w:val="bottom"/>
            <w:tcBorders>
              <w:top w:val="single" w:sz="8" w:color="CCEEFF"/>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100" w:type="dxa"/>
            <w:vAlign w:val="bottom"/>
            <w:tcBorders>
              <w:top w:val="single" w:sz="8" w:color="auto"/>
            </w:tcBorders>
            <w:gridSpan w:val="2"/>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6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90.3</w:t>
            </w: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center"/>
              <w:ind w:left="41"/>
              <w:spacing w:after="0" w:line="141" w:lineRule="exact"/>
              <w:rPr>
                <w:sz w:val="20"/>
                <w:szCs w:val="20"/>
                <w:color w:val="auto"/>
              </w:rPr>
            </w:pPr>
            <w:r>
              <w:rPr>
                <w:rFonts w:ascii="Times New Roman" w:cs="Times New Roman" w:eastAsia="Times New Roman" w:hAnsi="Times New Roman"/>
                <w:sz w:val="13"/>
                <w:szCs w:val="13"/>
                <w:color w:val="auto"/>
                <w:w w:val="96"/>
              </w:rPr>
              <w:t>30.8</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2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121.1</w:t>
            </w:r>
          </w:p>
        </w:tc>
        <w:tc>
          <w:tcPr>
            <w:tcW w:w="2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56.7</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center"/>
              <w:ind w:right="68"/>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6"/>
              </w:rPr>
              <w:t>25.3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340" w:type="dxa"/>
            <w:vAlign w:val="bottom"/>
            <w:tcBorders>
              <w:top w:val="single" w:sz="8" w:color="auto"/>
            </w:tcBorders>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82.0</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Adjusted to exclude gross up for:</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Pass through cost for printing and mailing</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69"/>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(9.8)</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(9.8)</w:t>
            </w:r>
          </w:p>
        </w:tc>
        <w:tc>
          <w:tcPr>
            <w:tcW w:w="2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(8.4)</w:t>
            </w: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(8.4)</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9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Marketing fees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gridSpan w:val="3"/>
          </w:tcPr>
          <w:p>
            <w:pPr>
              <w:jc w:val="center"/>
              <w:ind w:right="87"/>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(0.6)</w:t>
            </w:r>
          </w:p>
        </w:tc>
        <w:tc>
          <w:tcPr>
            <w:tcW w:w="200" w:type="dxa"/>
            <w:vAlign w:val="bottom"/>
          </w:tcPr>
          <w:p>
            <w:pPr>
              <w:spacing w:after="0"/>
              <w:rPr>
                <w:sz w:val="13"/>
                <w:szCs w:val="13"/>
                <w:color w:val="auto"/>
              </w:rPr>
            </w:pPr>
          </w:p>
        </w:tc>
        <w:tc>
          <w:tcPr>
            <w:tcW w:w="380" w:type="dxa"/>
            <w:vAlign w:val="bottom"/>
            <w:gridSpan w:val="3"/>
          </w:tcPr>
          <w:p>
            <w:pPr>
              <w:jc w:val="right"/>
              <w:ind w:right="3"/>
              <w:spacing w:after="0"/>
              <w:rPr>
                <w:sz w:val="20"/>
                <w:szCs w:val="20"/>
                <w:color w:val="auto"/>
              </w:rPr>
            </w:pPr>
            <w:r>
              <w:rPr>
                <w:rFonts w:ascii="Times New Roman" w:cs="Times New Roman" w:eastAsia="Times New Roman" w:hAnsi="Times New Roman"/>
                <w:sz w:val="13"/>
                <w:szCs w:val="13"/>
                <w:color w:val="auto"/>
              </w:rPr>
              <w:t>(0.4)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gridSpan w:val="3"/>
          </w:tcPr>
          <w:p>
            <w:pPr>
              <w:jc w:val="right"/>
              <w:ind w:right="197"/>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 Less Ancillary Services</w:t>
            </w:r>
          </w:p>
        </w:tc>
        <w:tc>
          <w:tcPr>
            <w:tcW w:w="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CEEFF"/>
          </w:tcPr>
          <w:p>
            <w:pPr>
              <w:jc w:val="right"/>
              <w:ind w:right="9"/>
              <w:spacing w:after="0"/>
              <w:rPr>
                <w:sz w:val="20"/>
                <w:szCs w:val="20"/>
                <w:color w:val="auto"/>
              </w:rPr>
            </w:pPr>
            <w:r>
              <w:rPr>
                <w:rFonts w:ascii="Times New Roman" w:cs="Times New Roman" w:eastAsia="Times New Roman" w:hAnsi="Times New Roman"/>
                <w:sz w:val="13"/>
                <w:szCs w:val="13"/>
                <w:color w:val="auto"/>
              </w:rPr>
              <w:t>89.7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21.0</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3"/>
                <w:szCs w:val="13"/>
                <w:color w:val="auto"/>
              </w:rPr>
              <w:t>110.7</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w:t>
            </w:r>
          </w:p>
        </w:tc>
        <w:tc>
          <w:tcPr>
            <w:tcW w:w="1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w w:val="96"/>
              </w:rPr>
              <w:t>16.9</w:t>
            </w:r>
          </w:p>
        </w:tc>
        <w:tc>
          <w:tcPr>
            <w:tcW w:w="100" w:type="dxa"/>
            <w:vAlign w:val="bottom"/>
            <w:shd w:val="clear" w:color="auto" w:fill="CCEEFF"/>
          </w:tcPr>
          <w:p>
            <w:pPr>
              <w:spacing w:after="0"/>
              <w:rPr>
                <w:sz w:val="13"/>
                <w:szCs w:val="13"/>
                <w:color w:val="auto"/>
              </w:rPr>
            </w:pPr>
          </w:p>
        </w:tc>
        <w:tc>
          <w:tcPr>
            <w:tcW w:w="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73.2</w:t>
            </w: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8"/>
        </w:trPr>
        <w:tc>
          <w:tcPr>
            <w:tcW w:w="39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Percentage of Revenue</w:t>
            </w:r>
          </w:p>
        </w:tc>
        <w:tc>
          <w:tcPr>
            <w:tcW w:w="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gridSpan w:val="2"/>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1"/>
        </w:trPr>
        <w:tc>
          <w:tcPr>
            <w:tcW w:w="394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74.6%</w:t>
            </w:r>
          </w:p>
        </w:tc>
        <w:tc>
          <w:tcPr>
            <w:tcW w:w="80" w:type="dxa"/>
            <w:vAlign w:val="bottom"/>
          </w:tcPr>
          <w:p>
            <w:pPr>
              <w:spacing w:after="0"/>
              <w:rPr>
                <w:sz w:val="14"/>
                <w:szCs w:val="14"/>
                <w:color w:val="auto"/>
              </w:rPr>
            </w:pPr>
          </w:p>
        </w:tc>
        <w:tc>
          <w:tcPr>
            <w:tcW w:w="540" w:type="dxa"/>
            <w:vAlign w:val="bottom"/>
            <w:gridSpan w:val="3"/>
          </w:tcPr>
          <w:p>
            <w:pPr>
              <w:jc w:val="right"/>
              <w:ind w:right="47"/>
              <w:spacing w:after="0"/>
              <w:rPr>
                <w:sz w:val="20"/>
                <w:szCs w:val="20"/>
                <w:color w:val="auto"/>
              </w:rPr>
            </w:pPr>
            <w:r>
              <w:rPr>
                <w:rFonts w:ascii="Times New Roman" w:cs="Times New Roman" w:eastAsia="Times New Roman" w:hAnsi="Times New Roman"/>
                <w:sz w:val="13"/>
                <w:szCs w:val="13"/>
                <w:color w:val="auto"/>
              </w:rPr>
              <w:t>25.4%</w:t>
            </w:r>
          </w:p>
        </w:tc>
        <w:tc>
          <w:tcPr>
            <w:tcW w:w="100" w:type="dxa"/>
            <w:vAlign w:val="bottom"/>
          </w:tcPr>
          <w:p>
            <w:pPr>
              <w:spacing w:after="0"/>
              <w:rPr>
                <w:sz w:val="14"/>
                <w:szCs w:val="14"/>
                <w:color w:val="auto"/>
              </w:rPr>
            </w:pPr>
          </w:p>
        </w:tc>
        <w:tc>
          <w:tcPr>
            <w:tcW w:w="5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100%</w:t>
            </w:r>
          </w:p>
        </w:tc>
        <w:tc>
          <w:tcPr>
            <w:tcW w:w="200" w:type="dxa"/>
            <w:vAlign w:val="bottom"/>
          </w:tcPr>
          <w:p>
            <w:pPr>
              <w:spacing w:after="0"/>
              <w:rPr>
                <w:sz w:val="14"/>
                <w:szCs w:val="14"/>
                <w:color w:val="auto"/>
              </w:rPr>
            </w:pP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69.2%</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gridSpan w:val="3"/>
          </w:tcPr>
          <w:p>
            <w:pPr>
              <w:jc w:val="right"/>
              <w:ind w:right="37"/>
              <w:spacing w:after="0"/>
              <w:rPr>
                <w:sz w:val="20"/>
                <w:szCs w:val="20"/>
                <w:color w:val="auto"/>
              </w:rPr>
            </w:pPr>
            <w:r>
              <w:rPr>
                <w:rFonts w:ascii="Times New Roman" w:cs="Times New Roman" w:eastAsia="Times New Roman" w:hAnsi="Times New Roman"/>
                <w:sz w:val="13"/>
                <w:szCs w:val="13"/>
                <w:color w:val="auto"/>
                <w:w w:val="95"/>
              </w:rPr>
              <w:t>30.8%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152"/>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Percentage of Revenue less Ancillary Services</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81.0%</w:t>
            </w:r>
          </w:p>
        </w:tc>
        <w:tc>
          <w:tcPr>
            <w:tcW w:w="80" w:type="dxa"/>
            <w:vAlign w:val="bottom"/>
            <w:shd w:val="clear" w:color="auto" w:fill="CCEEFF"/>
          </w:tcPr>
          <w:p>
            <w:pPr>
              <w:spacing w:after="0"/>
              <w:rPr>
                <w:sz w:val="13"/>
                <w:szCs w:val="13"/>
                <w:color w:val="auto"/>
              </w:rPr>
            </w:pPr>
          </w:p>
        </w:tc>
        <w:tc>
          <w:tcPr>
            <w:tcW w:w="540" w:type="dxa"/>
            <w:vAlign w:val="bottom"/>
            <w:gridSpan w:val="3"/>
            <w:shd w:val="clear" w:color="auto" w:fill="CCEEFF"/>
          </w:tcPr>
          <w:p>
            <w:pPr>
              <w:jc w:val="right"/>
              <w:ind w:right="47"/>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100%</w:t>
            </w:r>
          </w:p>
        </w:tc>
        <w:tc>
          <w:tcPr>
            <w:tcW w:w="200" w:type="dxa"/>
            <w:vAlign w:val="bottom"/>
            <w:shd w:val="clear" w:color="auto" w:fill="CCEEFF"/>
          </w:tcPr>
          <w:p>
            <w:pPr>
              <w:spacing w:after="0"/>
              <w:rPr>
                <w:sz w:val="13"/>
                <w:szCs w:val="13"/>
                <w:color w:val="auto"/>
              </w:rPr>
            </w:pP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gridSpan w:val="3"/>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5"/>
              </w:rPr>
              <w:t>23.1%</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100%</w:t>
            </w:r>
          </w:p>
        </w:tc>
        <w:tc>
          <w:tcPr>
            <w:tcW w:w="0" w:type="dxa"/>
            <w:vAlign w:val="bottom"/>
          </w:tcPr>
          <w:p>
            <w:pPr>
              <w:spacing w:after="0"/>
              <w:rPr>
                <w:sz w:val="1"/>
                <w:szCs w:val="1"/>
                <w:color w:val="auto"/>
              </w:rPr>
            </w:pPr>
          </w:p>
        </w:tc>
      </w:tr>
      <w:tr>
        <w:trPr>
          <w:trHeight w:val="260"/>
        </w:trPr>
        <w:tc>
          <w:tcPr>
            <w:tcW w:w="3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3"/>
          </w:tcPr>
          <w:p>
            <w:pPr>
              <w:jc w:val="right"/>
              <w:ind w:right="1"/>
              <w:spacing w:after="0"/>
              <w:rPr>
                <w:sz w:val="20"/>
                <w:szCs w:val="20"/>
                <w:color w:val="auto"/>
              </w:rPr>
            </w:pPr>
            <w:r>
              <w:rPr>
                <w:rFonts w:ascii="Times New Roman" w:cs="Times New Roman" w:eastAsia="Times New Roman" w:hAnsi="Times New Roman"/>
                <w:sz w:val="10"/>
                <w:szCs w:val="10"/>
                <w:color w:val="auto"/>
              </w:rPr>
              <w:t>Guidance</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9"/>
        </w:trPr>
        <w:tc>
          <w:tcPr>
            <w:tcW w:w="3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20" w:type="dxa"/>
            <w:vAlign w:val="bottom"/>
            <w:gridSpan w:val="10"/>
          </w:tcPr>
          <w:p>
            <w:pPr>
              <w:jc w:val="center"/>
              <w:ind w:right="60"/>
              <w:spacing w:after="0"/>
              <w:rPr>
                <w:sz w:val="20"/>
                <w:szCs w:val="20"/>
                <w:color w:val="auto"/>
              </w:rPr>
            </w:pPr>
            <w:r>
              <w:rPr>
                <w:rFonts w:ascii="Times New Roman" w:cs="Times New Roman" w:eastAsia="Times New Roman" w:hAnsi="Times New Roman"/>
                <w:sz w:val="10"/>
                <w:szCs w:val="10"/>
                <w:color w:val="auto"/>
              </w:rPr>
              <w:t>Three Months Ending September 30, 2022</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gridSpan w:val="12"/>
          </w:tcPr>
          <w:p>
            <w:pPr>
              <w:jc w:val="right"/>
              <w:ind w:right="180"/>
              <w:spacing w:after="0"/>
              <w:rPr>
                <w:sz w:val="20"/>
                <w:szCs w:val="20"/>
                <w:color w:val="auto"/>
              </w:rPr>
            </w:pPr>
            <w:r>
              <w:rPr>
                <w:rFonts w:ascii="Times New Roman" w:cs="Times New Roman" w:eastAsia="Times New Roman" w:hAnsi="Times New Roman"/>
                <w:sz w:val="10"/>
                <w:szCs w:val="10"/>
                <w:color w:val="auto"/>
              </w:rPr>
              <w:t>Year Ending December 31, 2022</w:t>
            </w:r>
          </w:p>
        </w:tc>
        <w:tc>
          <w:tcPr>
            <w:tcW w:w="0" w:type="dxa"/>
            <w:vAlign w:val="bottom"/>
          </w:tcPr>
          <w:p>
            <w:pPr>
              <w:spacing w:after="0"/>
              <w:rPr>
                <w:sz w:val="1"/>
                <w:szCs w:val="1"/>
                <w:color w:val="auto"/>
              </w:rPr>
            </w:pPr>
          </w:p>
        </w:tc>
      </w:tr>
      <w:tr>
        <w:trPr>
          <w:trHeight w:val="94"/>
        </w:trPr>
        <w:tc>
          <w:tcPr>
            <w:tcW w:w="3940" w:type="dxa"/>
            <w:vAlign w:val="bottom"/>
            <w:tcBorders>
              <w:bottom w:val="single" w:sz="8" w:color="CCEEFF"/>
            </w:tcBorders>
          </w:tcPr>
          <w:p>
            <w:pPr>
              <w:spacing w:after="0"/>
              <w:rPr>
                <w:sz w:val="8"/>
                <w:szCs w:val="8"/>
                <w:color w:val="auto"/>
              </w:rPr>
            </w:pPr>
          </w:p>
        </w:tc>
        <w:tc>
          <w:tcPr>
            <w:tcW w:w="40" w:type="dxa"/>
            <w:vAlign w:val="bottom"/>
            <w:tcBorders>
              <w:bottom w:val="single" w:sz="8" w:color="CCEEFF"/>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gridSpan w:val="2"/>
          </w:tcPr>
          <w:p>
            <w:pPr>
              <w:jc w:val="right"/>
              <w:spacing w:after="0" w:line="94" w:lineRule="exact"/>
              <w:rPr>
                <w:sz w:val="20"/>
                <w:szCs w:val="20"/>
                <w:color w:val="auto"/>
              </w:rPr>
            </w:pPr>
            <w:r>
              <w:rPr>
                <w:rFonts w:ascii="Times New Roman" w:cs="Times New Roman" w:eastAsia="Times New Roman" w:hAnsi="Times New Roman"/>
                <w:sz w:val="10"/>
                <w:szCs w:val="10"/>
                <w:color w:val="auto"/>
              </w:rPr>
              <w:t>Low</w:t>
            </w:r>
          </w:p>
        </w:tc>
        <w:tc>
          <w:tcPr>
            <w:tcW w:w="160" w:type="dxa"/>
            <w:vAlign w:val="bottom"/>
            <w:tcBorders>
              <w:top w:val="single" w:sz="8" w:color="auto"/>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12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520" w:type="dxa"/>
            <w:vAlign w:val="bottom"/>
            <w:tcBorders>
              <w:top w:val="single" w:sz="8" w:color="auto"/>
              <w:bottom w:val="single" w:sz="8" w:color="auto"/>
            </w:tcBorders>
            <w:gridSpan w:val="2"/>
          </w:tcPr>
          <w:p>
            <w:pPr>
              <w:jc w:val="right"/>
              <w:ind w:right="280"/>
              <w:spacing w:after="0" w:line="94" w:lineRule="exact"/>
              <w:rPr>
                <w:sz w:val="20"/>
                <w:szCs w:val="20"/>
                <w:color w:val="auto"/>
              </w:rPr>
            </w:pPr>
            <w:r>
              <w:rPr>
                <w:rFonts w:ascii="Times New Roman" w:cs="Times New Roman" w:eastAsia="Times New Roman" w:hAnsi="Times New Roman"/>
                <w:sz w:val="10"/>
                <w:szCs w:val="10"/>
                <w:color w:val="auto"/>
              </w:rPr>
              <w:t>High</w:t>
            </w:r>
          </w:p>
        </w:tc>
        <w:tc>
          <w:tcPr>
            <w:tcW w:w="20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8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gridSpan w:val="3"/>
          </w:tcPr>
          <w:p>
            <w:pPr>
              <w:spacing w:after="0" w:line="94" w:lineRule="exact"/>
              <w:rPr>
                <w:sz w:val="20"/>
                <w:szCs w:val="20"/>
                <w:color w:val="auto"/>
              </w:rPr>
            </w:pPr>
            <w:r>
              <w:rPr>
                <w:rFonts w:ascii="Times New Roman" w:cs="Times New Roman" w:eastAsia="Times New Roman" w:hAnsi="Times New Roman"/>
                <w:sz w:val="10"/>
                <w:szCs w:val="10"/>
                <w:color w:val="auto"/>
              </w:rPr>
              <w:t>Low</w:t>
            </w:r>
          </w:p>
        </w:tc>
        <w:tc>
          <w:tcPr>
            <w:tcW w:w="24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CCEEFF"/>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420" w:type="dxa"/>
            <w:vAlign w:val="bottom"/>
            <w:tcBorders>
              <w:top w:val="single" w:sz="8" w:color="auto"/>
              <w:bottom w:val="single" w:sz="8" w:color="auto"/>
            </w:tcBorders>
            <w:gridSpan w:val="2"/>
          </w:tcPr>
          <w:p>
            <w:pPr>
              <w:jc w:val="right"/>
              <w:ind w:right="200"/>
              <w:spacing w:after="0" w:line="94" w:lineRule="exact"/>
              <w:rPr>
                <w:sz w:val="20"/>
                <w:szCs w:val="20"/>
                <w:color w:val="auto"/>
              </w:rPr>
            </w:pPr>
            <w:r>
              <w:rPr>
                <w:rFonts w:ascii="Times New Roman" w:cs="Times New Roman" w:eastAsia="Times New Roman" w:hAnsi="Times New Roman"/>
                <w:sz w:val="10"/>
                <w:szCs w:val="10"/>
                <w:color w:val="auto"/>
                <w:w w:val="99"/>
              </w:rPr>
              <w:t>High</w:t>
            </w:r>
          </w:p>
        </w:tc>
        <w:tc>
          <w:tcPr>
            <w:tcW w:w="80" w:type="dxa"/>
            <w:vAlign w:val="bottom"/>
            <w:tcBorders>
              <w:bottom w:val="single" w:sz="8" w:color="CCEEFF"/>
            </w:tcBorders>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394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Revenue</w:t>
            </w: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6"/>
              </w:rPr>
              <w:t>93.7</w:t>
            </w:r>
          </w:p>
        </w:tc>
        <w:tc>
          <w:tcPr>
            <w:tcW w:w="420" w:type="dxa"/>
            <w:vAlign w:val="bottom"/>
            <w:gridSpan w:val="2"/>
            <w:shd w:val="clear" w:color="auto" w:fill="CCEEFF"/>
          </w:tcPr>
          <w:p>
            <w:pPr>
              <w:spacing w:after="0"/>
              <w:rPr>
                <w:sz w:val="12"/>
                <w:szCs w:val="12"/>
                <w:color w:val="auto"/>
              </w:rPr>
            </w:pPr>
          </w:p>
        </w:tc>
        <w:tc>
          <w:tcPr>
            <w:tcW w:w="120" w:type="dxa"/>
            <w:vAlign w:val="bottom"/>
            <w:shd w:val="clear" w:color="auto" w:fill="CCEEFF"/>
          </w:tcPr>
          <w:p>
            <w:pPr>
              <w:jc w:val="right"/>
              <w:ind w:right="7"/>
              <w:spacing w:after="0"/>
              <w:rPr>
                <w:sz w:val="20"/>
                <w:szCs w:val="20"/>
                <w:color w:val="auto"/>
              </w:rPr>
            </w:pPr>
            <w:r>
              <w:rPr>
                <w:rFonts w:ascii="Times New Roman" w:cs="Times New Roman" w:eastAsia="Times New Roman" w:hAnsi="Times New Roman"/>
                <w:sz w:val="11"/>
                <w:szCs w:val="11"/>
                <w:color w:val="auto"/>
                <w:w w:val="71"/>
              </w:rPr>
              <w:t>$</w:t>
            </w:r>
          </w:p>
        </w:tc>
        <w:tc>
          <w:tcPr>
            <w:tcW w:w="10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97.5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line="141" w:lineRule="exact"/>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shd w:val="clear" w:color="auto" w:fill="CCEEFF"/>
          </w:tcPr>
          <w:p>
            <w:pPr>
              <w:jc w:val="center"/>
              <w:ind w:left="43"/>
              <w:spacing w:after="0" w:line="141" w:lineRule="exact"/>
              <w:rPr>
                <w:sz w:val="20"/>
                <w:szCs w:val="20"/>
                <w:color w:val="auto"/>
              </w:rPr>
            </w:pPr>
            <w:r>
              <w:rPr>
                <w:rFonts w:ascii="Times New Roman" w:cs="Times New Roman" w:eastAsia="Times New Roman" w:hAnsi="Times New Roman"/>
                <w:sz w:val="13"/>
                <w:szCs w:val="13"/>
                <w:color w:val="auto"/>
                <w:w w:val="95"/>
              </w:rPr>
              <w:t>282.5</w:t>
            </w:r>
          </w:p>
        </w:tc>
        <w:tc>
          <w:tcPr>
            <w:tcW w:w="340" w:type="dxa"/>
            <w:vAlign w:val="bottom"/>
            <w:gridSpan w:val="2"/>
            <w:shd w:val="clear" w:color="auto" w:fill="CCEEFF"/>
          </w:tcPr>
          <w:p>
            <w:pPr>
              <w:spacing w:after="0"/>
              <w:rPr>
                <w:sz w:val="12"/>
                <w:szCs w:val="12"/>
                <w:color w:val="auto"/>
              </w:rPr>
            </w:pPr>
          </w:p>
        </w:tc>
        <w:tc>
          <w:tcPr>
            <w:tcW w:w="100" w:type="dxa"/>
            <w:vAlign w:val="bottom"/>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w w:val="91"/>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spacing w:after="0" w:line="141" w:lineRule="exact"/>
              <w:rPr>
                <w:sz w:val="20"/>
                <w:szCs w:val="20"/>
                <w:color w:val="auto"/>
              </w:rPr>
            </w:pPr>
            <w:r>
              <w:rPr>
                <w:rFonts w:ascii="Times New Roman" w:cs="Times New Roman" w:eastAsia="Times New Roman" w:hAnsi="Times New Roman"/>
                <w:sz w:val="13"/>
                <w:szCs w:val="13"/>
                <w:color w:val="auto"/>
              </w:rPr>
              <w:t>293.9</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3940" w:type="dxa"/>
            <w:vAlign w:val="bottom"/>
          </w:tcPr>
          <w:p>
            <w:pPr>
              <w:spacing w:after="0"/>
              <w:rPr>
                <w:sz w:val="20"/>
                <w:szCs w:val="20"/>
                <w:color w:val="auto"/>
              </w:rPr>
            </w:pPr>
            <w:r>
              <w:rPr>
                <w:rFonts w:ascii="Times New Roman" w:cs="Times New Roman" w:eastAsia="Times New Roman" w:hAnsi="Times New Roman"/>
                <w:sz w:val="13"/>
                <w:szCs w:val="13"/>
                <w:color w:val="auto"/>
              </w:rPr>
              <w:t>Adjusted to exclude gross up for:</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39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3"/>
                <w:szCs w:val="13"/>
                <w:color w:val="auto"/>
              </w:rPr>
              <w:t>Pass through cost for printing, mailing &amp; devices</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gridSpan w:val="3"/>
            <w:shd w:val="clear" w:color="auto" w:fill="CCEEFF"/>
          </w:tcPr>
          <w:p>
            <w:pPr>
              <w:jc w:val="right"/>
              <w:ind w:right="221"/>
              <w:spacing w:after="0"/>
              <w:rPr>
                <w:sz w:val="20"/>
                <w:szCs w:val="20"/>
                <w:color w:val="auto"/>
              </w:rPr>
            </w:pPr>
            <w:r>
              <w:rPr>
                <w:rFonts w:ascii="Times New Roman" w:cs="Times New Roman" w:eastAsia="Times New Roman" w:hAnsi="Times New Roman"/>
                <w:sz w:val="13"/>
                <w:szCs w:val="13"/>
                <w:color w:val="auto"/>
              </w:rPr>
              <w:t>(5.6)</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3"/>
            <w:shd w:val="clear" w:color="auto" w:fill="CCEEFF"/>
          </w:tcPr>
          <w:p>
            <w:pPr>
              <w:jc w:val="right"/>
              <w:ind w:right="101"/>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gridSpan w:val="3"/>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5"/>
              </w:rPr>
              <w:t>(18.9)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(21.9)</w:t>
            </w:r>
          </w:p>
        </w:tc>
        <w:tc>
          <w:tcPr>
            <w:tcW w:w="0" w:type="dxa"/>
            <w:vAlign w:val="bottom"/>
          </w:tcPr>
          <w:p>
            <w:pPr>
              <w:spacing w:after="0"/>
              <w:rPr>
                <w:sz w:val="1"/>
                <w:szCs w:val="1"/>
                <w:color w:val="auto"/>
              </w:rPr>
            </w:pPr>
          </w:p>
        </w:tc>
      </w:tr>
      <w:tr>
        <w:trPr>
          <w:trHeight w:val="152"/>
        </w:trPr>
        <w:tc>
          <w:tcPr>
            <w:tcW w:w="394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Marketing fees</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jc w:val="right"/>
              <w:ind w:right="221"/>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3"/>
          </w:tcPr>
          <w:p>
            <w:pPr>
              <w:jc w:val="right"/>
              <w:ind w:right="101"/>
              <w:spacing w:after="0"/>
              <w:rPr>
                <w:sz w:val="20"/>
                <w:szCs w:val="20"/>
                <w:color w:val="auto"/>
              </w:rPr>
            </w:pPr>
            <w:r>
              <w:rPr>
                <w:rFonts w:ascii="Times New Roman" w:cs="Times New Roman" w:eastAsia="Times New Roman" w:hAnsi="Times New Roman"/>
                <w:sz w:val="13"/>
                <w:szCs w:val="13"/>
                <w:color w:val="auto"/>
              </w:rPr>
              <w:t>(1.3)</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gridSpan w:val="3"/>
          </w:tcPr>
          <w:p>
            <w:pPr>
              <w:jc w:val="right"/>
              <w:ind w:right="137"/>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Revenue Less Ancillary Services</w:t>
            </w:r>
          </w:p>
        </w:tc>
        <w:tc>
          <w:tcPr>
            <w:tcW w:w="1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1"/>
                <w:szCs w:val="11"/>
                <w:color w:val="auto"/>
                <w:w w:val="71"/>
              </w:rPr>
              <w:t>$</w:t>
            </w:r>
          </w:p>
        </w:tc>
        <w:tc>
          <w:tcPr>
            <w:tcW w:w="3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6"/>
              </w:rPr>
              <w:t>87.0</w:t>
            </w:r>
          </w:p>
        </w:tc>
        <w:tc>
          <w:tcPr>
            <w:tcW w:w="540" w:type="dxa"/>
            <w:vAlign w:val="bottom"/>
            <w:gridSpan w:val="3"/>
            <w:shd w:val="clear" w:color="auto" w:fill="CCEEFF"/>
          </w:tcPr>
          <w:p>
            <w:pPr>
              <w:jc w:val="right"/>
              <w:ind w:right="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c>
          <w:tcPr>
            <w:tcW w:w="200" w:type="dxa"/>
            <w:vAlign w:val="bottom"/>
            <w:shd w:val="clear" w:color="auto" w:fill="CCEEFF"/>
          </w:tcPr>
          <w:p>
            <w:pPr>
              <w:spacing w:after="0"/>
              <w:rPr>
                <w:sz w:val="13"/>
                <w:szCs w:val="13"/>
                <w:color w:val="auto"/>
              </w:rPr>
            </w:pPr>
          </w:p>
        </w:tc>
        <w:tc>
          <w:tcPr>
            <w:tcW w:w="2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380" w:type="dxa"/>
            <w:vAlign w:val="bottom"/>
            <w:gridSpan w:val="3"/>
            <w:shd w:val="clear" w:color="auto" w:fill="CCEEFF"/>
          </w:tcPr>
          <w:p>
            <w:pPr>
              <w:jc w:val="center"/>
              <w:ind w:left="43"/>
              <w:spacing w:after="0"/>
              <w:rPr>
                <w:sz w:val="20"/>
                <w:szCs w:val="20"/>
                <w:color w:val="auto"/>
              </w:rPr>
            </w:pPr>
            <w:r>
              <w:rPr>
                <w:rFonts w:ascii="Times New Roman" w:cs="Times New Roman" w:eastAsia="Times New Roman" w:hAnsi="Times New Roman"/>
                <w:sz w:val="13"/>
                <w:szCs w:val="13"/>
                <w:color w:val="auto"/>
                <w:w w:val="95"/>
              </w:rPr>
              <w:t>260.0</w:t>
            </w:r>
          </w:p>
        </w:tc>
        <w:tc>
          <w:tcPr>
            <w:tcW w:w="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269.0</w:t>
            </w:r>
          </w:p>
        </w:tc>
        <w:tc>
          <w:tcPr>
            <w:tcW w:w="0" w:type="dxa"/>
            <w:vAlign w:val="bottom"/>
          </w:tcPr>
          <w:p>
            <w:pPr>
              <w:spacing w:after="0"/>
              <w:rPr>
                <w:sz w:val="1"/>
                <w:szCs w:val="1"/>
                <w:color w:val="auto"/>
              </w:rPr>
            </w:pPr>
          </w:p>
        </w:tc>
      </w:tr>
      <w:tr>
        <w:trPr>
          <w:trHeight w:val="28"/>
        </w:trPr>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9019"/>
          </w:cols>
          <w:pgMar w:left="1440" w:top="231" w:right="1440" w:bottom="1440"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2022-08-09T17:57:53Z</dcterms:created>
  <dcterms:modified xsi:type="dcterms:W3CDTF">2022-08-09T17:57:53Z</dcterms:modified>
</cp:coreProperties>
</file>