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362585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4"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118745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 w:lineRule="exact"/>
        <w:rPr>
          <w:sz w:val="24"/>
          <w:szCs w:val="24"/>
          <w:color w:val="auto"/>
        </w:rPr>
      </w:pPr>
    </w:p>
    <w:p>
      <w:pPr>
        <w:ind w:left="420" w:hanging="399"/>
        <w:spacing w:after="0"/>
        <w:tabs>
          <w:tab w:leader="none" w:pos="4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4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ind w:left="360" w:hanging="339"/>
        <w:spacing w:after="0" w:line="187" w:lineRule="auto"/>
        <w:tabs>
          <w:tab w:leader="none" w:pos="360" w:val="left"/>
        </w:tabs>
        <w:numPr>
          <w:ilvl w:val="0"/>
          <w:numId w:val="2"/>
        </w:numPr>
        <w:rPr>
          <w:rFonts w:ascii="MS PGothic" w:cs="MS PGothic" w:eastAsia="MS PGothic" w:hAnsi="MS PGothic"/>
          <w:sz w:val="38"/>
          <w:szCs w:val="38"/>
          <w:color w:val="auto"/>
          <w:vertAlign w:val="superscript"/>
        </w:rPr>
      </w:pPr>
      <w:r>
        <w:rPr>
          <w:rFonts w:ascii="Arial" w:cs="Arial" w:eastAsia="Arial" w:hAnsi="Arial"/>
          <w:sz w:val="19"/>
          <w:szCs w:val="19"/>
          <w:b w:val="1"/>
          <w:bCs w:val="1"/>
          <w:color w:val="auto"/>
        </w:rPr>
        <w:t>TRANSITION REPORT PURSUANT TO SECTION 13 OR 15(d) OF THE SECURITIES EXCHANGE ACT OF 1934</w:t>
      </w:r>
    </w:p>
    <w:p>
      <w:pPr>
        <w:spacing w:after="0" w:line="244" w:lineRule="exact"/>
        <w:rPr>
          <w:sz w:val="24"/>
          <w:szCs w:val="24"/>
          <w:color w:val="auto"/>
        </w:rPr>
      </w:pPr>
    </w:p>
    <w:tbl>
      <w:tblPr>
        <w:tblLayout w:type="fixed"/>
        <w:tblInd w:w="3920" w:type="dxa"/>
        <w:tblCellMar>
          <w:top w:w="0" w:type="dxa"/>
          <w:left w:w="0" w:type="dxa"/>
          <w:bottom w:w="0" w:type="dxa"/>
          <w:right w:w="0" w:type="dxa"/>
        </w:tblCellMar>
      </w:tblPr>
      <w:tr>
        <w:trPr>
          <w:trHeight w:val="184"/>
        </w:trPr>
        <w:tc>
          <w:tcPr>
            <w:tcW w:w="23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90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r>
      <w:tr>
        <w:trPr>
          <w:trHeight w:val="230"/>
        </w:trPr>
        <w:tc>
          <w:tcPr>
            <w:tcW w:w="3220" w:type="dxa"/>
            <w:vAlign w:val="bottom"/>
            <w:gridSpan w:val="2"/>
          </w:tcPr>
          <w:p>
            <w:pPr>
              <w:ind w:left="260"/>
              <w:spacing w:after="0"/>
              <w:rPr>
                <w:sz w:val="20"/>
                <w:szCs w:val="20"/>
                <w:color w:val="auto"/>
              </w:rPr>
            </w:pPr>
            <w:r>
              <w:rPr>
                <w:rFonts w:ascii="Arial" w:cs="Arial" w:eastAsia="Arial" w:hAnsi="Arial"/>
                <w:sz w:val="16"/>
                <w:szCs w:val="16"/>
                <w:b w:val="1"/>
                <w:bCs w:val="1"/>
                <w:color w:val="auto"/>
              </w:rPr>
              <w:t>Commission File Number: 001-40430</w:t>
            </w:r>
          </w:p>
        </w:tc>
        <w:tc>
          <w:tcPr>
            <w:tcW w:w="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106680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3" w:lineRule="exact"/>
        <w:rPr>
          <w:sz w:val="24"/>
          <w:szCs w:val="24"/>
          <w:color w:val="auto"/>
        </w:rPr>
      </w:pPr>
    </w:p>
    <w:p>
      <w:pPr>
        <w:jc w:val="center"/>
        <w:ind w:right="120"/>
        <w:spacing w:after="0"/>
        <w:rPr>
          <w:sz w:val="20"/>
          <w:szCs w:val="20"/>
          <w:color w:val="auto"/>
        </w:rPr>
      </w:pPr>
      <w:r>
        <w:rPr>
          <w:rFonts w:ascii="Arial" w:cs="Arial" w:eastAsia="Arial" w:hAnsi="Arial"/>
          <w:sz w:val="41"/>
          <w:szCs w:val="41"/>
          <w:b w:val="1"/>
          <w:bCs w:val="1"/>
          <w:color w:val="auto"/>
        </w:rPr>
        <w:t>FLYWIRE CORPORATION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104775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6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Delaware</w:t>
            </w: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Pr>
          <w:p>
            <w:pPr>
              <w:jc w:val="right"/>
              <w:ind w:right="2284"/>
              <w:spacing w:after="0"/>
              <w:rPr>
                <w:sz w:val="20"/>
                <w:szCs w:val="20"/>
                <w:color w:val="auto"/>
              </w:rPr>
            </w:pPr>
            <w:r>
              <w:rPr>
                <w:rFonts w:ascii="Arial" w:cs="Arial" w:eastAsia="Arial" w:hAnsi="Arial"/>
                <w:sz w:val="16"/>
                <w:szCs w:val="16"/>
                <w:b w:val="1"/>
                <w:bCs w:val="1"/>
                <w:color w:val="auto"/>
              </w:rPr>
              <w:t>27-0690799</w:t>
            </w:r>
          </w:p>
        </w:tc>
        <w:tc>
          <w:tcPr>
            <w:tcW w:w="0" w:type="dxa"/>
            <w:vAlign w:val="bottom"/>
          </w:tcPr>
          <w:p>
            <w:pPr>
              <w:spacing w:after="0"/>
              <w:rPr>
                <w:sz w:val="1"/>
                <w:szCs w:val="1"/>
                <w:color w:val="auto"/>
              </w:rPr>
            </w:pPr>
          </w:p>
        </w:tc>
      </w:tr>
      <w:tr>
        <w:trPr>
          <w:trHeight w:val="148"/>
        </w:trPr>
        <w:tc>
          <w:tcPr>
            <w:tcW w:w="4480" w:type="dxa"/>
            <w:vAlign w:val="bottom"/>
            <w:gridSpan w:val="3"/>
          </w:tcPr>
          <w:p>
            <w:pPr>
              <w:jc w:val="center"/>
              <w:ind w:left="1042"/>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tcPr>
          <w:p>
            <w:pPr>
              <w:jc w:val="center"/>
              <w:ind w:right="2104"/>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incorporation or organization)</w:t>
            </w: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89"/>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141 Tremont St #10</w:t>
            </w: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w w:val="98"/>
              </w:rPr>
              <w:t>Boston, MA</w:t>
            </w: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jc w:val="right"/>
              <w:ind w:right="2484"/>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184"/>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(Address of principal executive offices)</w:t>
            </w: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0" w:type="dxa"/>
            <w:vAlign w:val="bottom"/>
          </w:tcPr>
          <w:p>
            <w:pPr>
              <w:jc w:val="center"/>
              <w:ind w:right="208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214"/>
        </w:trPr>
        <w:tc>
          <w:tcPr>
            <w:tcW w:w="1120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800" w:type="dxa"/>
            <w:vAlign w:val="bottom"/>
            <w:gridSpan w:val="7"/>
          </w:tcPr>
          <w:p>
            <w:pPr>
              <w:jc w:val="center"/>
              <w:ind w:left="3282"/>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48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rPr>
              <w:t>Title of each class</w:t>
            </w:r>
          </w:p>
        </w:tc>
        <w:tc>
          <w:tcPr>
            <w:tcW w:w="3320" w:type="dxa"/>
            <w:vAlign w:val="bottom"/>
            <w:gridSpan w:val="4"/>
          </w:tcPr>
          <w:p>
            <w:pPr>
              <w:ind w:left="920"/>
              <w:spacing w:after="0"/>
              <w:rPr>
                <w:sz w:val="20"/>
                <w:szCs w:val="20"/>
                <w:color w:val="auto"/>
              </w:rPr>
            </w:pPr>
            <w:r>
              <w:rPr>
                <w:rFonts w:ascii="Arial" w:cs="Arial" w:eastAsia="Arial" w:hAnsi="Arial"/>
                <w:sz w:val="14"/>
                <w:szCs w:val="14"/>
                <w:b w:val="1"/>
                <w:bCs w:val="1"/>
                <w:color w:val="auto"/>
              </w:rPr>
              <w:t>Trading</w:t>
            </w:r>
          </w:p>
        </w:tc>
        <w:tc>
          <w:tcPr>
            <w:tcW w:w="3400" w:type="dxa"/>
            <w:vAlign w:val="bottom"/>
          </w:tcPr>
          <w:p>
            <w:pPr>
              <w:jc w:val="center"/>
              <w:ind w:right="104"/>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69"/>
        </w:trPr>
        <w:tc>
          <w:tcPr>
            <w:tcW w:w="4480" w:type="dxa"/>
            <w:vAlign w:val="bottom"/>
            <w:tcBorders>
              <w:bottom w:val="single" w:sz="8" w:color="auto"/>
            </w:tcBorders>
            <w:gridSpan w:val="3"/>
            <w:vMerge w:val="continue"/>
          </w:tcPr>
          <w:p>
            <w:pPr>
              <w:spacing w:after="0"/>
              <w:rPr>
                <w:sz w:val="14"/>
                <w:szCs w:val="14"/>
                <w:color w:val="auto"/>
              </w:rPr>
            </w:pPr>
          </w:p>
        </w:tc>
        <w:tc>
          <w:tcPr>
            <w:tcW w:w="30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1"/>
        </w:trPr>
        <w:tc>
          <w:tcPr>
            <w:tcW w:w="4480" w:type="dxa"/>
            <w:vAlign w:val="bottom"/>
            <w:gridSpan w:val="3"/>
          </w:tcPr>
          <w:p>
            <w:pPr>
              <w:ind w:left="140"/>
              <w:spacing w:after="0"/>
              <w:rPr>
                <w:sz w:val="20"/>
                <w:szCs w:val="20"/>
                <w:color w:val="auto"/>
              </w:rPr>
            </w:pPr>
            <w:r>
              <w:rPr>
                <w:rFonts w:ascii="Arial" w:cs="Arial" w:eastAsia="Arial" w:hAnsi="Arial"/>
                <w:sz w:val="16"/>
                <w:szCs w:val="16"/>
                <w:b w:val="1"/>
                <w:bCs w:val="1"/>
                <w:color w:val="auto"/>
              </w:rPr>
              <w:t>Voting common stock, $0.0001 par value per</w:t>
            </w:r>
          </w:p>
        </w:tc>
        <w:tc>
          <w:tcPr>
            <w:tcW w:w="3320" w:type="dxa"/>
            <w:vAlign w:val="bottom"/>
            <w:gridSpan w:val="4"/>
          </w:tcPr>
          <w:p>
            <w:pPr>
              <w:ind w:left="900"/>
              <w:spacing w:after="0"/>
              <w:rPr>
                <w:sz w:val="20"/>
                <w:szCs w:val="20"/>
                <w:color w:val="auto"/>
              </w:rPr>
            </w:pPr>
            <w:r>
              <w:rPr>
                <w:rFonts w:ascii="Arial" w:cs="Arial" w:eastAsia="Arial" w:hAnsi="Arial"/>
                <w:sz w:val="16"/>
                <w:szCs w:val="16"/>
                <w:b w:val="1"/>
                <w:bCs w:val="1"/>
                <w:color w:val="auto"/>
              </w:rPr>
              <w:t>FLYW</w:t>
            </w: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14"/>
        </w:trPr>
        <w:tc>
          <w:tcPr>
            <w:tcW w:w="448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rPr>
              <w:t>share</w:t>
            </w: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right="140" w:firstLine="50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 w:lineRule="exact"/>
        <w:rPr>
          <w:sz w:val="24"/>
          <w:szCs w:val="24"/>
          <w:color w:val="auto"/>
        </w:rPr>
      </w:pPr>
    </w:p>
    <w:p>
      <w:pPr>
        <w:ind w:right="60" w:firstLine="509"/>
        <w:spacing w:after="0" w:line="19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 w:lineRule="exact"/>
        <w:rPr>
          <w:sz w:val="24"/>
          <w:szCs w:val="24"/>
          <w:color w:val="auto"/>
        </w:rPr>
      </w:pPr>
    </w:p>
    <w:p>
      <w:pPr>
        <w:jc w:val="both"/>
        <w:ind w:firstLine="509"/>
        <w:spacing w:after="0" w:line="24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20" w:type="dxa"/>
            <w:vAlign w:val="bottom"/>
          </w:tcPr>
          <w:p>
            <w:pPr>
              <w:ind w:left="280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 w:lineRule="exact"/>
        <w:rPr>
          <w:sz w:val="24"/>
          <w:szCs w:val="24"/>
          <w:color w:val="auto"/>
        </w:rPr>
      </w:pPr>
    </w:p>
    <w:p>
      <w:pPr>
        <w:jc w:val="both"/>
        <w:ind w:right="160" w:firstLine="509"/>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tabs>
          <w:tab w:leader="none" w:pos="87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200" w:firstLine="509"/>
        <w:spacing w:after="0" w:line="259" w:lineRule="auto"/>
        <w:rPr>
          <w:sz w:val="20"/>
          <w:szCs w:val="20"/>
          <w:color w:val="auto"/>
        </w:rPr>
      </w:pPr>
      <w:r>
        <w:rPr>
          <w:rFonts w:ascii="Arial" w:cs="Arial" w:eastAsia="Arial" w:hAnsi="Arial"/>
          <w:sz w:val="16"/>
          <w:szCs w:val="16"/>
          <w:color w:val="auto"/>
        </w:rPr>
        <w:t>As of November 10, 2022, the registrant had 104,390,654 shares of voting common stock, $0.0001 par value per share, outstanding and 4,608,841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60" w:type="dxa"/>
            <w:vAlign w:val="bottom"/>
            <w:gridSpan w:val="7"/>
          </w:tcPr>
          <w:p>
            <w:pPr>
              <w:ind w:left="3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593"/>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Special Note Regarding Forward-Looking Statements</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spacing w:after="0"/>
              <w:rPr>
                <w:sz w:val="20"/>
                <w:szCs w:val="20"/>
                <w:color w:val="auto"/>
              </w:rPr>
            </w:pPr>
            <w:r>
              <w:rPr>
                <w:rFonts w:ascii="Arial" w:cs="Arial" w:eastAsia="Arial" w:hAnsi="Arial"/>
                <w:sz w:val="18"/>
                <w:szCs w:val="18"/>
                <w:b w:val="1"/>
                <w:bCs w:val="1"/>
                <w:color w:val="0000FF"/>
              </w:rPr>
              <w:t>PART I.</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40" w:type="dxa"/>
            <w:vAlign w:val="bottom"/>
            <w:gridSpan w:val="4"/>
            <w:vMerge w:val="continue"/>
          </w:tcPr>
          <w:p>
            <w:pPr>
              <w:spacing w:after="0"/>
              <w:rPr>
                <w:sz w:val="24"/>
                <w:szCs w:val="24"/>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FINANCIAL INFORMATION</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and Comprehensive (Loss) Income</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0" w:type="dxa"/>
            <w:vAlign w:val="bottom"/>
            <w:gridSpan w:val="19"/>
          </w:tcPr>
          <w:p>
            <w:pPr>
              <w:spacing w:after="0" w:line="195" w:lineRule="exact"/>
              <w:rPr>
                <w:sz w:val="20"/>
                <w:szCs w:val="20"/>
                <w:color w:val="auto"/>
              </w:rPr>
            </w:pPr>
            <w:r>
              <w:rPr>
                <w:rFonts w:ascii="Arial" w:cs="Arial" w:eastAsia="Arial" w:hAnsi="Arial"/>
                <w:sz w:val="18"/>
                <w:szCs w:val="18"/>
                <w:color w:val="0000FF"/>
              </w:rPr>
              <w:t>Condensed Consolidated Statements of Convertible Preferred Stock, Redeemable Convertible Preferred Stock and</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28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8"/>
              </w:rPr>
              <w:t>Stockholders’ Equity (Deficit)</w:t>
            </w:r>
          </w:p>
        </w:tc>
        <w:tc>
          <w:tcPr>
            <w:tcW w:w="20" w:type="dxa"/>
            <w:vAlign w:val="bottom"/>
            <w:tcBorders>
              <w:top w:val="single" w:sz="8" w:color="0000FF"/>
              <w:bottom w:val="single" w:sz="8" w:color="0000EE"/>
            </w:tcBorders>
          </w:tcPr>
          <w:p>
            <w:pPr>
              <w:spacing w:after="0"/>
              <w:rPr>
                <w:sz w:val="14"/>
                <w:szCs w:val="14"/>
                <w:color w:val="auto"/>
              </w:rPr>
            </w:pPr>
          </w:p>
        </w:tc>
        <w:tc>
          <w:tcPr>
            <w:tcW w:w="6880" w:type="dxa"/>
            <w:vAlign w:val="bottom"/>
            <w:tcBorders>
              <w:top w:val="single" w:sz="8" w:color="0000FF"/>
            </w:tcBorders>
            <w:gridSpan w:val="10"/>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4.</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w w:val="92"/>
              </w:rPr>
              <w:t>PART II.</w:t>
            </w:r>
          </w:p>
        </w:tc>
        <w:tc>
          <w:tcPr>
            <w:tcW w:w="460" w:type="dxa"/>
            <w:vAlign w:val="bottom"/>
            <w:gridSpan w:val="2"/>
          </w:tcPr>
          <w:p>
            <w:pPr>
              <w:spacing w:after="0"/>
              <w:rPr>
                <w:sz w:val="24"/>
                <w:szCs w:val="24"/>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1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Arial" w:cs="Arial" w:eastAsia="Arial" w:hAnsi="Arial"/>
                <w:sz w:val="18"/>
                <w:szCs w:val="18"/>
                <w:color w:val="0000FF"/>
                <w:w w:val="95"/>
              </w:rPr>
              <w:t>Item 1A.</w:t>
            </w:r>
          </w:p>
        </w:tc>
        <w:tc>
          <w:tcPr>
            <w:tcW w:w="460" w:type="dxa"/>
            <w:vAlign w:val="bottom"/>
            <w:gridSpan w:val="2"/>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1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Defaults Upon Senior Securities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66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4.</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5.</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8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4"/>
              </w:rPr>
              <w:t>Item 6.</w:t>
            </w:r>
          </w:p>
        </w:tc>
        <w:tc>
          <w:tcPr>
            <w:tcW w:w="580" w:type="dxa"/>
            <w:vAlign w:val="bottom"/>
            <w:gridSpan w:val="3"/>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28575</wp:posOffset>
            </wp:positionV>
            <wp:extent cx="42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ectPr>
          <w:pgSz w:w="11900" w:h="16838" w:orient="portrait"/>
          <w:cols w:equalWidth="0" w:num="2">
            <w:col w:w="10340" w:space="280"/>
            <w:col w:w="580"/>
          </w:cols>
          <w:pgMar w:left="340" w:top="5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164" w:lineRule="exact"/>
        <w:rPr>
          <w:sz w:val="20"/>
          <w:szCs w:val="20"/>
          <w:color w:val="auto"/>
        </w:rPr>
      </w:pPr>
    </w:p>
    <w:p>
      <w:pPr>
        <w:ind w:left="1020" w:right="360" w:hanging="504"/>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169"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cross-border expansion plans and ability to expand internationally;</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70" w:lineRule="exact"/>
        <w:rPr>
          <w:rFonts w:ascii="Arial" w:cs="Arial" w:eastAsia="Arial" w:hAnsi="Arial"/>
          <w:sz w:val="18"/>
          <w:szCs w:val="18"/>
          <w:color w:val="auto"/>
        </w:rPr>
      </w:pPr>
    </w:p>
    <w:p>
      <w:pPr>
        <w:ind w:left="1020" w:right="160" w:hanging="504"/>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foreign currency exchange rate, inflation, legal, social and health risks, including the COVID-19 pandemic and subsequent public health measures that may affect our business or the global economy;</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grow the payment volume that we process;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client base;</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strategic partners;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new client verticals, including our relatively new business-to-business sector;</w:t>
      </w:r>
    </w:p>
    <w:p>
      <w:pPr>
        <w:spacing w:after="0" w:line="184" w:lineRule="exact"/>
        <w:rPr>
          <w:rFonts w:ascii="Arial" w:cs="Arial" w:eastAsia="Arial" w:hAnsi="Arial"/>
          <w:sz w:val="18"/>
          <w:szCs w:val="18"/>
          <w:color w:val="auto"/>
        </w:rPr>
      </w:pPr>
    </w:p>
    <w:p>
      <w:pPr>
        <w:ind w:left="1020" w:right="640" w:hanging="504"/>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litigation and legal and regulatory matters;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70" w:lineRule="exact"/>
        <w:rPr>
          <w:rFonts w:ascii="Arial" w:cs="Arial" w:eastAsia="Arial" w:hAnsi="Arial"/>
          <w:sz w:val="18"/>
          <w:szCs w:val="18"/>
          <w:color w:val="auto"/>
        </w:rPr>
      </w:pPr>
    </w:p>
    <w:p>
      <w:pPr>
        <w:ind w:left="1020" w:right="80" w:hanging="504"/>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98" w:lineRule="exact"/>
        <w:rPr>
          <w:sz w:val="20"/>
          <w:szCs w:val="20"/>
          <w:color w:val="auto"/>
        </w:rPr>
      </w:pPr>
    </w:p>
    <w:p>
      <w:pPr>
        <w:ind w:left="1020" w:right="320" w:hanging="504"/>
        <w:spacing w:after="0" w:line="24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to changes in U.S. federal income or other tax laws or the interpretation of tax laws, including the recently enacted Inflation Reduction Act of 2022;</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market price of our common stock.</w:t>
      </w:r>
    </w:p>
    <w:p>
      <w:pPr>
        <w:spacing w:after="0" w:line="18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7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4"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Unless otherwise noted or unless the context provides otherwise, all references in this Quarterly Report on Form 10-Q to our “common stock” refers to our voting common stock.</w:t>
      </w:r>
    </w:p>
    <w:p>
      <w:pPr>
        <w:spacing w:after="0" w:line="171"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Investors, the media, and others should note that we intend to announce material information to the public through filings with the Securities and Exchange Commission, the investor relations page on our website, blog posts on our website (www.flywire.com), press releases, public conference calls, webcasts, and our Twitter feed (@flywire).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our website are not incorporated into this filing. We have included our investor relations website address only as an inactive textual reference and do not intend it to be an active link to our website.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December 31,</w:t>
            </w:r>
          </w:p>
        </w:tc>
      </w:tr>
      <w:tr>
        <w:trPr>
          <w:trHeight w:val="177"/>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162"/>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6"/>
        </w:trPr>
        <w:tc>
          <w:tcPr>
            <w:tcW w:w="77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349,230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385,360</w:t>
            </w:r>
          </w:p>
        </w:tc>
        <w:tc>
          <w:tcPr>
            <w:tcW w:w="100" w:type="dxa"/>
            <w:vAlign w:val="bottom"/>
            <w:shd w:val="clear" w:color="auto" w:fill="CFF0FC"/>
          </w:tcPr>
          <w:p>
            <w:pPr>
              <w:spacing w:after="0"/>
              <w:rPr>
                <w:sz w:val="14"/>
                <w:szCs w:val="14"/>
                <w:color w:val="auto"/>
              </w:rPr>
            </w:pPr>
          </w:p>
        </w:tc>
      </w:tr>
      <w:tr>
        <w:trPr>
          <w:trHeight w:val="156"/>
        </w:trPr>
        <w:tc>
          <w:tcPr>
            <w:tcW w:w="7700" w:type="dxa"/>
            <w:vAlign w:val="bottom"/>
          </w:tcPr>
          <w:p>
            <w:pPr>
              <w:ind w:left="200"/>
              <w:spacing w:after="0"/>
              <w:rPr>
                <w:sz w:val="20"/>
                <w:szCs w:val="20"/>
                <w:color w:val="auto"/>
              </w:rPr>
            </w:pPr>
            <w:r>
              <w:rPr>
                <w:rFonts w:ascii="Arial" w:cs="Arial" w:eastAsia="Arial" w:hAnsi="Arial"/>
                <w:sz w:val="13"/>
                <w:szCs w:val="13"/>
                <w:color w:val="auto"/>
              </w:rPr>
              <w:t>Restricted cash</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2,000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4,000</w:t>
            </w:r>
          </w:p>
        </w:tc>
        <w:tc>
          <w:tcPr>
            <w:tcW w:w="100" w:type="dxa"/>
            <w:vAlign w:val="bottom"/>
          </w:tcPr>
          <w:p>
            <w:pPr>
              <w:spacing w:after="0"/>
              <w:rPr>
                <w:sz w:val="13"/>
                <w:szCs w:val="13"/>
                <w:color w:val="auto"/>
              </w:rPr>
            </w:pPr>
          </w:p>
        </w:tc>
      </w:tr>
      <w:tr>
        <w:trPr>
          <w:trHeight w:val="135"/>
        </w:trPr>
        <w:tc>
          <w:tcPr>
            <w:tcW w:w="770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Accounts receivable, net of allowance for doubtful accounts of $143 and</w:t>
            </w: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8"/>
        </w:trPr>
        <w:tc>
          <w:tcPr>
            <w:tcW w:w="77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$106, respectively</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17,755</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12,968</w:t>
            </w:r>
          </w:p>
        </w:tc>
        <w:tc>
          <w:tcPr>
            <w:tcW w:w="100" w:type="dxa"/>
            <w:vAlign w:val="bottom"/>
            <w:shd w:val="clear" w:color="auto" w:fill="CFF0FC"/>
          </w:tcPr>
          <w:p>
            <w:pPr>
              <w:spacing w:after="0"/>
              <w:rPr>
                <w:sz w:val="14"/>
                <w:szCs w:val="14"/>
                <w:color w:val="auto"/>
              </w:rPr>
            </w:pPr>
          </w:p>
        </w:tc>
      </w:tr>
      <w:tr>
        <w:trPr>
          <w:trHeight w:val="156"/>
        </w:trPr>
        <w:tc>
          <w:tcPr>
            <w:tcW w:w="7700" w:type="dxa"/>
            <w:vAlign w:val="bottom"/>
          </w:tcPr>
          <w:p>
            <w:pPr>
              <w:ind w:left="200"/>
              <w:spacing w:after="0"/>
              <w:rPr>
                <w:sz w:val="20"/>
                <w:szCs w:val="20"/>
                <w:color w:val="auto"/>
              </w:rPr>
            </w:pPr>
            <w:r>
              <w:rPr>
                <w:rFonts w:ascii="Arial" w:cs="Arial" w:eastAsia="Arial" w:hAnsi="Arial"/>
                <w:sz w:val="13"/>
                <w:szCs w:val="13"/>
                <w:color w:val="auto"/>
              </w:rPr>
              <w:t>Unbilled receivables</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5,645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3,340</w:t>
            </w:r>
          </w:p>
        </w:tc>
        <w:tc>
          <w:tcPr>
            <w:tcW w:w="100" w:type="dxa"/>
            <w:vAlign w:val="bottom"/>
          </w:tcPr>
          <w:p>
            <w:pPr>
              <w:spacing w:after="0"/>
              <w:rPr>
                <w:sz w:val="13"/>
                <w:szCs w:val="13"/>
                <w:color w:val="auto"/>
              </w:rPr>
            </w:pPr>
          </w:p>
        </w:tc>
      </w:tr>
      <w:tr>
        <w:trPr>
          <w:trHeight w:val="168"/>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Funds receivable from payment partners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34,143</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28,286</w:t>
            </w:r>
          </w:p>
        </w:tc>
        <w:tc>
          <w:tcPr>
            <w:tcW w:w="100" w:type="dxa"/>
            <w:vAlign w:val="bottom"/>
            <w:shd w:val="clear" w:color="auto" w:fill="CFF0FC"/>
          </w:tcPr>
          <w:p>
            <w:pPr>
              <w:spacing w:after="0"/>
              <w:rPr>
                <w:sz w:val="14"/>
                <w:szCs w:val="14"/>
                <w:color w:val="auto"/>
              </w:rPr>
            </w:pPr>
          </w:p>
        </w:tc>
      </w:tr>
      <w:tr>
        <w:trPr>
          <w:trHeight w:val="156"/>
        </w:trPr>
        <w:tc>
          <w:tcPr>
            <w:tcW w:w="7700" w:type="dxa"/>
            <w:vAlign w:val="bottom"/>
          </w:tcPr>
          <w:p>
            <w:pPr>
              <w:ind w:left="20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14,317</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9,834</w:t>
            </w:r>
          </w:p>
        </w:tc>
        <w:tc>
          <w:tcPr>
            <w:tcW w:w="100" w:type="dxa"/>
            <w:vAlign w:val="bottom"/>
          </w:tcPr>
          <w:p>
            <w:pPr>
              <w:spacing w:after="0"/>
              <w:rPr>
                <w:sz w:val="13"/>
                <w:szCs w:val="13"/>
                <w:color w:val="auto"/>
              </w:rPr>
            </w:pPr>
          </w:p>
        </w:tc>
      </w:tr>
      <w:tr>
        <w:trPr>
          <w:trHeight w:val="161"/>
        </w:trPr>
        <w:tc>
          <w:tcPr>
            <w:tcW w:w="77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Total current assets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423,090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443,788</w:t>
            </w:r>
          </w:p>
        </w:tc>
        <w:tc>
          <w:tcPr>
            <w:tcW w:w="100" w:type="dxa"/>
            <w:vAlign w:val="bottom"/>
            <w:shd w:val="clear" w:color="auto" w:fill="CFF0FC"/>
          </w:tcPr>
          <w:p>
            <w:pPr>
              <w:spacing w:after="0"/>
              <w:rPr>
                <w:sz w:val="14"/>
                <w:szCs w:val="14"/>
                <w:color w:val="auto"/>
              </w:rPr>
            </w:pPr>
          </w:p>
        </w:tc>
      </w:tr>
      <w:tr>
        <w:trPr>
          <w:trHeight w:val="156"/>
        </w:trPr>
        <w:tc>
          <w:tcPr>
            <w:tcW w:w="770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12,098</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9,442</w:t>
            </w:r>
          </w:p>
        </w:tc>
        <w:tc>
          <w:tcPr>
            <w:tcW w:w="100" w:type="dxa"/>
            <w:vAlign w:val="bottom"/>
          </w:tcPr>
          <w:p>
            <w:pPr>
              <w:spacing w:after="0"/>
              <w:rPr>
                <w:sz w:val="13"/>
                <w:szCs w:val="13"/>
                <w:color w:val="auto"/>
              </w:rPr>
            </w:pPr>
          </w:p>
        </w:tc>
      </w:tr>
      <w:tr>
        <w:trPr>
          <w:trHeight w:val="168"/>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Intangible assets, net</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97,150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93,598</w:t>
            </w:r>
          </w:p>
        </w:tc>
        <w:tc>
          <w:tcPr>
            <w:tcW w:w="100" w:type="dxa"/>
            <w:vAlign w:val="bottom"/>
            <w:shd w:val="clear" w:color="auto" w:fill="CFF0FC"/>
          </w:tcPr>
          <w:p>
            <w:pPr>
              <w:spacing w:after="0"/>
              <w:rPr>
                <w:sz w:val="14"/>
                <w:szCs w:val="14"/>
                <w:color w:val="auto"/>
              </w:rPr>
            </w:pPr>
          </w:p>
        </w:tc>
      </w:tr>
      <w:tr>
        <w:trPr>
          <w:trHeight w:val="156"/>
        </w:trPr>
        <w:tc>
          <w:tcPr>
            <w:tcW w:w="7700" w:type="dxa"/>
            <w:vAlign w:val="bottom"/>
          </w:tcPr>
          <w:p>
            <w:pPr>
              <w:ind w:left="20"/>
              <w:spacing w:after="0"/>
              <w:rPr>
                <w:sz w:val="20"/>
                <w:szCs w:val="20"/>
                <w:color w:val="auto"/>
              </w:rPr>
            </w:pPr>
            <w:r>
              <w:rPr>
                <w:rFonts w:ascii="Arial" w:cs="Arial" w:eastAsia="Arial" w:hAnsi="Arial"/>
                <w:sz w:val="13"/>
                <w:szCs w:val="13"/>
                <w:color w:val="auto"/>
              </w:rPr>
              <w:t>Goodwill</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95,239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85,841</w:t>
            </w:r>
          </w:p>
        </w:tc>
        <w:tc>
          <w:tcPr>
            <w:tcW w:w="100" w:type="dxa"/>
            <w:vAlign w:val="bottom"/>
          </w:tcPr>
          <w:p>
            <w:pPr>
              <w:spacing w:after="0"/>
              <w:rPr>
                <w:sz w:val="13"/>
                <w:szCs w:val="13"/>
                <w:color w:val="auto"/>
              </w:rPr>
            </w:pPr>
          </w:p>
        </w:tc>
      </w:tr>
      <w:tr>
        <w:trPr>
          <w:trHeight w:val="162"/>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Other assets</w:t>
            </w: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13,646</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7,176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700" w:type="dxa"/>
            <w:vAlign w:val="bottom"/>
          </w:tcPr>
          <w:p>
            <w:pPr>
              <w:ind w:left="560"/>
              <w:spacing w:after="0"/>
              <w:rPr>
                <w:sz w:val="20"/>
                <w:szCs w:val="20"/>
                <w:color w:val="auto"/>
              </w:rPr>
            </w:pPr>
            <w:r>
              <w:rPr>
                <w:rFonts w:ascii="Arial" w:cs="Arial" w:eastAsia="Arial" w:hAnsi="Arial"/>
                <w:sz w:val="13"/>
                <w:szCs w:val="13"/>
                <w:color w:val="auto"/>
              </w:rPr>
              <w:t>Total assets</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641,223</w:t>
            </w:r>
          </w:p>
        </w:tc>
        <w:tc>
          <w:tcPr>
            <w:tcW w:w="280" w:type="dxa"/>
            <w:vAlign w:val="bottom"/>
          </w:tcPr>
          <w:p>
            <w:pPr>
              <w:spacing w:after="0"/>
              <w:rPr>
                <w:sz w:val="13"/>
                <w:szCs w:val="13"/>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639,845</w:t>
            </w:r>
          </w:p>
        </w:tc>
        <w:tc>
          <w:tcPr>
            <w:tcW w:w="100" w:type="dxa"/>
            <w:vAlign w:val="bottom"/>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70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6"/>
        </w:trPr>
        <w:tc>
          <w:tcPr>
            <w:tcW w:w="77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13,819</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10,242</w:t>
            </w:r>
          </w:p>
        </w:tc>
        <w:tc>
          <w:tcPr>
            <w:tcW w:w="100" w:type="dxa"/>
            <w:vAlign w:val="bottom"/>
            <w:shd w:val="clear" w:color="auto" w:fill="CFF0FC"/>
          </w:tcPr>
          <w:p>
            <w:pPr>
              <w:spacing w:after="0"/>
              <w:rPr>
                <w:sz w:val="14"/>
                <w:szCs w:val="14"/>
                <w:color w:val="auto"/>
              </w:rPr>
            </w:pPr>
          </w:p>
        </w:tc>
      </w:tr>
      <w:tr>
        <w:trPr>
          <w:trHeight w:val="156"/>
        </w:trPr>
        <w:tc>
          <w:tcPr>
            <w:tcW w:w="7700" w:type="dxa"/>
            <w:vAlign w:val="bottom"/>
          </w:tcPr>
          <w:p>
            <w:pPr>
              <w:ind w:left="200"/>
              <w:spacing w:after="0"/>
              <w:rPr>
                <w:sz w:val="20"/>
                <w:szCs w:val="20"/>
                <w:color w:val="auto"/>
              </w:rPr>
            </w:pPr>
            <w:r>
              <w:rPr>
                <w:rFonts w:ascii="Arial" w:cs="Arial" w:eastAsia="Arial" w:hAnsi="Arial"/>
                <w:sz w:val="13"/>
                <w:szCs w:val="13"/>
                <w:color w:val="auto"/>
              </w:rPr>
              <w:t>Funds payable to clients</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71,574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71,302</w:t>
            </w:r>
          </w:p>
        </w:tc>
        <w:tc>
          <w:tcPr>
            <w:tcW w:w="100" w:type="dxa"/>
            <w:vAlign w:val="bottom"/>
          </w:tcPr>
          <w:p>
            <w:pPr>
              <w:spacing w:after="0"/>
              <w:rPr>
                <w:sz w:val="13"/>
                <w:szCs w:val="13"/>
                <w:color w:val="auto"/>
              </w:rPr>
            </w:pPr>
          </w:p>
        </w:tc>
      </w:tr>
      <w:tr>
        <w:trPr>
          <w:trHeight w:val="168"/>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Accrued expenses and other current liabilities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29,992</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22,726</w:t>
            </w:r>
          </w:p>
        </w:tc>
        <w:tc>
          <w:tcPr>
            <w:tcW w:w="100" w:type="dxa"/>
            <w:vAlign w:val="bottom"/>
            <w:shd w:val="clear" w:color="auto" w:fill="CFF0FC"/>
          </w:tcPr>
          <w:p>
            <w:pPr>
              <w:spacing w:after="0"/>
              <w:rPr>
                <w:sz w:val="14"/>
                <w:szCs w:val="14"/>
                <w:color w:val="auto"/>
              </w:rPr>
            </w:pPr>
          </w:p>
        </w:tc>
      </w:tr>
      <w:tr>
        <w:trPr>
          <w:trHeight w:val="156"/>
        </w:trPr>
        <w:tc>
          <w:tcPr>
            <w:tcW w:w="7700" w:type="dxa"/>
            <w:vAlign w:val="bottom"/>
          </w:tcPr>
          <w:p>
            <w:pPr>
              <w:ind w:left="200"/>
              <w:spacing w:after="0"/>
              <w:rPr>
                <w:sz w:val="20"/>
                <w:szCs w:val="20"/>
                <w:color w:val="auto"/>
              </w:rPr>
            </w:pPr>
            <w:r>
              <w:rPr>
                <w:rFonts w:ascii="Arial" w:cs="Arial" w:eastAsia="Arial" w:hAnsi="Arial"/>
                <w:sz w:val="13"/>
                <w:szCs w:val="13"/>
                <w:color w:val="auto"/>
              </w:rPr>
              <w:t>Deferred revenue</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4,759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5,488</w:t>
            </w:r>
          </w:p>
        </w:tc>
        <w:tc>
          <w:tcPr>
            <w:tcW w:w="100" w:type="dxa"/>
            <w:vAlign w:val="bottom"/>
          </w:tcPr>
          <w:p>
            <w:pPr>
              <w:spacing w:after="0"/>
              <w:rPr>
                <w:sz w:val="13"/>
                <w:szCs w:val="13"/>
                <w:color w:val="auto"/>
              </w:rPr>
            </w:pPr>
          </w:p>
        </w:tc>
      </w:tr>
      <w:tr>
        <w:trPr>
          <w:trHeight w:val="162"/>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Contingent consideration</w:t>
            </w: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2,787</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7,719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700" w:type="dxa"/>
            <w:vAlign w:val="bottom"/>
          </w:tcPr>
          <w:p>
            <w:pPr>
              <w:ind w:left="560"/>
              <w:spacing w:after="0"/>
              <w:rPr>
                <w:sz w:val="20"/>
                <w:szCs w:val="20"/>
                <w:color w:val="auto"/>
              </w:rPr>
            </w:pPr>
            <w:r>
              <w:rPr>
                <w:rFonts w:ascii="Arial" w:cs="Arial" w:eastAsia="Arial" w:hAnsi="Arial"/>
                <w:sz w:val="13"/>
                <w:szCs w:val="13"/>
                <w:color w:val="auto"/>
              </w:rPr>
              <w:t>Total current liabilities</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122,931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117,477</w:t>
            </w:r>
          </w:p>
        </w:tc>
        <w:tc>
          <w:tcPr>
            <w:tcW w:w="100" w:type="dxa"/>
            <w:vAlign w:val="bottom"/>
          </w:tcPr>
          <w:p>
            <w:pPr>
              <w:spacing w:after="0"/>
              <w:rPr>
                <w:sz w:val="13"/>
                <w:szCs w:val="13"/>
                <w:color w:val="auto"/>
              </w:rPr>
            </w:pPr>
          </w:p>
        </w:tc>
      </w:tr>
      <w:tr>
        <w:trPr>
          <w:trHeight w:val="168"/>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Deferred tax liabilities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12,640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8,401</w:t>
            </w:r>
          </w:p>
        </w:tc>
        <w:tc>
          <w:tcPr>
            <w:tcW w:w="100" w:type="dxa"/>
            <w:vAlign w:val="bottom"/>
            <w:shd w:val="clear" w:color="auto" w:fill="CFF0FC"/>
          </w:tcPr>
          <w:p>
            <w:pPr>
              <w:spacing w:after="0"/>
              <w:rPr>
                <w:sz w:val="14"/>
                <w:szCs w:val="14"/>
                <w:color w:val="auto"/>
              </w:rPr>
            </w:pPr>
          </w:p>
        </w:tc>
      </w:tr>
      <w:tr>
        <w:trPr>
          <w:trHeight w:val="156"/>
        </w:trPr>
        <w:tc>
          <w:tcPr>
            <w:tcW w:w="7700" w:type="dxa"/>
            <w:vAlign w:val="bottom"/>
          </w:tcPr>
          <w:p>
            <w:pPr>
              <w:ind w:left="20"/>
              <w:spacing w:after="0"/>
              <w:rPr>
                <w:sz w:val="20"/>
                <w:szCs w:val="20"/>
                <w:color w:val="auto"/>
              </w:rPr>
            </w:pPr>
            <w:r>
              <w:rPr>
                <w:rFonts w:ascii="Arial" w:cs="Arial" w:eastAsia="Arial" w:hAnsi="Arial"/>
                <w:sz w:val="13"/>
                <w:szCs w:val="13"/>
                <w:color w:val="auto"/>
              </w:rPr>
              <w:t>Contingent consideration, net of current portion</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1,636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3,590</w:t>
            </w:r>
          </w:p>
        </w:tc>
        <w:tc>
          <w:tcPr>
            <w:tcW w:w="100" w:type="dxa"/>
            <w:vAlign w:val="bottom"/>
          </w:tcPr>
          <w:p>
            <w:pPr>
              <w:spacing w:after="0"/>
              <w:rPr>
                <w:sz w:val="13"/>
                <w:szCs w:val="13"/>
                <w:color w:val="auto"/>
              </w:rPr>
            </w:pPr>
          </w:p>
        </w:tc>
      </w:tr>
      <w:tr>
        <w:trPr>
          <w:trHeight w:val="168"/>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Long-term debt</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25,939</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25,939</w:t>
            </w:r>
          </w:p>
        </w:tc>
        <w:tc>
          <w:tcPr>
            <w:tcW w:w="100" w:type="dxa"/>
            <w:vAlign w:val="bottom"/>
            <w:shd w:val="clear" w:color="auto" w:fill="CFF0FC"/>
          </w:tcPr>
          <w:p>
            <w:pPr>
              <w:spacing w:after="0"/>
              <w:rPr>
                <w:sz w:val="14"/>
                <w:szCs w:val="14"/>
                <w:color w:val="auto"/>
              </w:rPr>
            </w:pPr>
          </w:p>
        </w:tc>
      </w:tr>
      <w:tr>
        <w:trPr>
          <w:trHeight w:val="156"/>
        </w:trPr>
        <w:tc>
          <w:tcPr>
            <w:tcW w:w="770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3,479</w:t>
            </w: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2,237</w:t>
            </w:r>
          </w:p>
        </w:tc>
        <w:tc>
          <w:tcPr>
            <w:tcW w:w="100" w:type="dxa"/>
            <w:vAlign w:val="bottom"/>
          </w:tcPr>
          <w:p>
            <w:pPr>
              <w:spacing w:after="0"/>
              <w:rPr>
                <w:sz w:val="13"/>
                <w:szCs w:val="13"/>
                <w:color w:val="auto"/>
              </w:rPr>
            </w:pPr>
          </w:p>
        </w:tc>
      </w:tr>
      <w:tr>
        <w:trPr>
          <w:trHeight w:val="155"/>
        </w:trPr>
        <w:tc>
          <w:tcPr>
            <w:tcW w:w="77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166,625</w:t>
            </w:r>
          </w:p>
        </w:tc>
        <w:tc>
          <w:tcPr>
            <w:tcW w:w="2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157,644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700" w:type="dxa"/>
            <w:vAlign w:val="bottom"/>
          </w:tcPr>
          <w:p>
            <w:pPr>
              <w:ind w:left="20"/>
              <w:spacing w:after="0"/>
              <w:rPr>
                <w:sz w:val="20"/>
                <w:szCs w:val="20"/>
                <w:color w:val="auto"/>
              </w:rPr>
            </w:pPr>
            <w:r>
              <w:rPr>
                <w:rFonts w:ascii="Arial" w:cs="Arial" w:eastAsia="Arial" w:hAnsi="Arial"/>
                <w:sz w:val="13"/>
                <w:szCs w:val="13"/>
                <w:color w:val="auto"/>
              </w:rPr>
              <w:t>Commitments and contingencies (Note 16)</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7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Stockholders’ equity:</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29"/>
        </w:trPr>
        <w:tc>
          <w:tcPr>
            <w:tcW w:w="7700" w:type="dxa"/>
            <w:vAlign w:val="bottom"/>
          </w:tcPr>
          <w:p>
            <w:pPr>
              <w:ind w:left="200"/>
              <w:spacing w:after="0" w:line="129" w:lineRule="exact"/>
              <w:rPr>
                <w:sz w:val="20"/>
                <w:szCs w:val="20"/>
                <w:color w:val="auto"/>
              </w:rPr>
            </w:pPr>
            <w:r>
              <w:rPr>
                <w:rFonts w:ascii="Arial" w:cs="Arial" w:eastAsia="Arial" w:hAnsi="Arial"/>
                <w:sz w:val="13"/>
                <w:szCs w:val="13"/>
                <w:color w:val="auto"/>
              </w:rPr>
              <w:t>Preferred stock, $0.0001 par value; 10,000,000 shares authorized as of September 30, 2022 and December 31,</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7700" w:type="dxa"/>
            <w:vAlign w:val="bottom"/>
          </w:tcPr>
          <w:p>
            <w:pPr>
              <w:ind w:left="300"/>
              <w:spacing w:after="0"/>
              <w:rPr>
                <w:sz w:val="20"/>
                <w:szCs w:val="20"/>
                <w:color w:val="auto"/>
              </w:rPr>
            </w:pPr>
            <w:r>
              <w:rPr>
                <w:rFonts w:ascii="Arial" w:cs="Arial" w:eastAsia="Arial" w:hAnsi="Arial"/>
                <w:sz w:val="13"/>
                <w:szCs w:val="13"/>
                <w:color w:val="auto"/>
              </w:rPr>
              <w:t>2021; and no shares issued and outstanding as of September 30, 2022 and December 31, 2021</w:t>
            </w:r>
          </w:p>
        </w:tc>
        <w:tc>
          <w:tcPr>
            <w:tcW w:w="220" w:type="dxa"/>
            <w:vAlign w:val="bottom"/>
          </w:tcPr>
          <w:p>
            <w:pPr>
              <w:spacing w:after="0"/>
              <w:rPr>
                <w:sz w:val="13"/>
                <w:szCs w:val="13"/>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8"/>
        </w:trPr>
        <w:tc>
          <w:tcPr>
            <w:tcW w:w="7700" w:type="dxa"/>
            <w:vAlign w:val="bottom"/>
            <w:shd w:val="clear" w:color="auto" w:fill="CFF0FC"/>
          </w:tcPr>
          <w:p>
            <w:pPr>
              <w:ind w:left="200"/>
              <w:spacing w:after="0" w:line="138" w:lineRule="exact"/>
              <w:rPr>
                <w:sz w:val="20"/>
                <w:szCs w:val="20"/>
                <w:color w:val="auto"/>
              </w:rPr>
            </w:pPr>
            <w:r>
              <w:rPr>
                <w:rFonts w:ascii="Arial" w:cs="Arial" w:eastAsia="Arial" w:hAnsi="Arial"/>
                <w:sz w:val="13"/>
                <w:szCs w:val="13"/>
                <w:color w:val="auto"/>
              </w:rPr>
              <w:t>Voting common stock, $0.0001 par value; 2,000,000,000 shares authorized as of</w:t>
            </w: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1"/>
        </w:trPr>
        <w:tc>
          <w:tcPr>
            <w:tcW w:w="7700" w:type="dxa"/>
            <w:vAlign w:val="bottom"/>
            <w:shd w:val="clear" w:color="auto" w:fill="CFF0FC"/>
          </w:tcPr>
          <w:p>
            <w:pPr>
              <w:ind w:left="300"/>
              <w:spacing w:after="0" w:line="121" w:lineRule="exact"/>
              <w:rPr>
                <w:sz w:val="20"/>
                <w:szCs w:val="20"/>
                <w:color w:val="auto"/>
              </w:rPr>
            </w:pPr>
            <w:r>
              <w:rPr>
                <w:rFonts w:ascii="Arial" w:cs="Arial" w:eastAsia="Arial" w:hAnsi="Arial"/>
                <w:sz w:val="13"/>
                <w:szCs w:val="13"/>
                <w:color w:val="auto"/>
              </w:rPr>
              <w:t>September 30, 2022 and December 31, 2021; 106,593,518 shares issued and 104,275,796</w:t>
            </w:r>
          </w:p>
        </w:tc>
        <w:tc>
          <w:tcPr>
            <w:tcW w:w="22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770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shares outstanding as of September 30, 2022; 102,771,899 shares issued and 100,454,177 shares</w:t>
            </w: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8"/>
        </w:trPr>
        <w:tc>
          <w:tcPr>
            <w:tcW w:w="77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outstanding as of December 31, 2021</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4"/>
                <w:szCs w:val="14"/>
                <w:color w:val="auto"/>
              </w:rPr>
            </w:pPr>
          </w:p>
        </w:tc>
      </w:tr>
      <w:tr>
        <w:trPr>
          <w:trHeight w:val="129"/>
        </w:trPr>
        <w:tc>
          <w:tcPr>
            <w:tcW w:w="7700" w:type="dxa"/>
            <w:vAlign w:val="bottom"/>
          </w:tcPr>
          <w:p>
            <w:pPr>
              <w:ind w:left="200"/>
              <w:spacing w:after="0" w:line="129" w:lineRule="exact"/>
              <w:rPr>
                <w:sz w:val="20"/>
                <w:szCs w:val="20"/>
                <w:color w:val="auto"/>
              </w:rPr>
            </w:pPr>
            <w:r>
              <w:rPr>
                <w:rFonts w:ascii="Arial" w:cs="Arial" w:eastAsia="Arial" w:hAnsi="Arial"/>
                <w:sz w:val="13"/>
                <w:szCs w:val="13"/>
                <w:color w:val="auto"/>
              </w:rPr>
              <w:t>Non-voting common stock, $0.0001 par value; 10,000,000 shares authorized as of September 30, 2022</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7700" w:type="dxa"/>
            <w:vAlign w:val="bottom"/>
          </w:tcPr>
          <w:p>
            <w:pPr>
              <w:ind w:left="300"/>
              <w:spacing w:after="0" w:line="121" w:lineRule="exact"/>
              <w:rPr>
                <w:sz w:val="20"/>
                <w:szCs w:val="20"/>
                <w:color w:val="auto"/>
              </w:rPr>
            </w:pPr>
            <w:r>
              <w:rPr>
                <w:rFonts w:ascii="Arial" w:cs="Arial" w:eastAsia="Arial" w:hAnsi="Arial"/>
                <w:sz w:val="13"/>
                <w:szCs w:val="13"/>
                <w:color w:val="auto"/>
              </w:rPr>
              <w:t>and December 31, 2021; 4,608,841 and 5,988,378 shares issued and outstanding as</w:t>
            </w: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9"/>
        </w:trPr>
        <w:tc>
          <w:tcPr>
            <w:tcW w:w="7700" w:type="dxa"/>
            <w:vAlign w:val="bottom"/>
          </w:tcPr>
          <w:p>
            <w:pPr>
              <w:ind w:left="300"/>
              <w:spacing w:after="0"/>
              <w:rPr>
                <w:sz w:val="20"/>
                <w:szCs w:val="20"/>
                <w:color w:val="auto"/>
              </w:rPr>
            </w:pPr>
            <w:r>
              <w:rPr>
                <w:rFonts w:ascii="Arial" w:cs="Arial" w:eastAsia="Arial" w:hAnsi="Arial"/>
                <w:sz w:val="13"/>
                <w:szCs w:val="13"/>
                <w:color w:val="auto"/>
              </w:rPr>
              <w:t>of September 30, 2022 and December 31, 2021, respectively</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r>
      <w:tr>
        <w:trPr>
          <w:trHeight w:val="138"/>
        </w:trPr>
        <w:tc>
          <w:tcPr>
            <w:tcW w:w="7700" w:type="dxa"/>
            <w:vAlign w:val="bottom"/>
            <w:shd w:val="clear" w:color="auto" w:fill="CFF0FC"/>
          </w:tcPr>
          <w:p>
            <w:pPr>
              <w:ind w:left="200"/>
              <w:spacing w:after="0" w:line="138" w:lineRule="exact"/>
              <w:rPr>
                <w:sz w:val="20"/>
                <w:szCs w:val="20"/>
                <w:color w:val="auto"/>
              </w:rPr>
            </w:pPr>
            <w:r>
              <w:rPr>
                <w:rFonts w:ascii="Arial" w:cs="Arial" w:eastAsia="Arial" w:hAnsi="Arial"/>
                <w:sz w:val="13"/>
                <w:szCs w:val="13"/>
                <w:color w:val="auto"/>
              </w:rPr>
              <w:t>Treasury voting common stock, 2,317,722 shares as of September 30, 2022 and December 31, 2021, held at</w:t>
            </w:r>
          </w:p>
        </w:tc>
        <w:tc>
          <w:tcPr>
            <w:tcW w:w="2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8"/>
        </w:trPr>
        <w:tc>
          <w:tcPr>
            <w:tcW w:w="77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cost</w:t>
            </w: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(748 )</w:t>
            </w:r>
          </w:p>
        </w:tc>
        <w:tc>
          <w:tcPr>
            <w:tcW w:w="2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(748 )</w:t>
            </w:r>
          </w:p>
        </w:tc>
      </w:tr>
      <w:tr>
        <w:trPr>
          <w:trHeight w:val="156"/>
        </w:trPr>
        <w:tc>
          <w:tcPr>
            <w:tcW w:w="7700" w:type="dxa"/>
            <w:vAlign w:val="bottom"/>
          </w:tcPr>
          <w:p>
            <w:pPr>
              <w:ind w:left="380"/>
              <w:spacing w:after="0"/>
              <w:rPr>
                <w:sz w:val="20"/>
                <w:szCs w:val="20"/>
                <w:color w:val="auto"/>
              </w:rPr>
            </w:pPr>
            <w:r>
              <w:rPr>
                <w:rFonts w:ascii="Arial" w:cs="Arial" w:eastAsia="Arial" w:hAnsi="Arial"/>
                <w:sz w:val="13"/>
                <w:szCs w:val="13"/>
                <w:color w:val="auto"/>
              </w:rPr>
              <w:t>Additional paid-in capital</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640,217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609,194</w:t>
            </w:r>
          </w:p>
        </w:tc>
        <w:tc>
          <w:tcPr>
            <w:tcW w:w="100" w:type="dxa"/>
            <w:vAlign w:val="bottom"/>
          </w:tcPr>
          <w:p>
            <w:pPr>
              <w:spacing w:after="0"/>
              <w:rPr>
                <w:sz w:val="13"/>
                <w:szCs w:val="13"/>
                <w:color w:val="auto"/>
              </w:rPr>
            </w:pPr>
          </w:p>
        </w:tc>
      </w:tr>
      <w:tr>
        <w:trPr>
          <w:trHeight w:val="168"/>
        </w:trPr>
        <w:tc>
          <w:tcPr>
            <w:tcW w:w="77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Accumulated other comprehensive loss</w:t>
            </w: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(807 )</w:t>
            </w:r>
          </w:p>
        </w:tc>
        <w:tc>
          <w:tcPr>
            <w:tcW w:w="2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(399 )</w:t>
            </w:r>
          </w:p>
        </w:tc>
      </w:tr>
      <w:tr>
        <w:trPr>
          <w:trHeight w:val="156"/>
        </w:trPr>
        <w:tc>
          <w:tcPr>
            <w:tcW w:w="7700" w:type="dxa"/>
            <w:vAlign w:val="bottom"/>
          </w:tcPr>
          <w:p>
            <w:pPr>
              <w:ind w:left="380"/>
              <w:spacing w:after="0"/>
              <w:rPr>
                <w:sz w:val="20"/>
                <w:szCs w:val="20"/>
                <w:color w:val="auto"/>
              </w:rPr>
            </w:pPr>
            <w:r>
              <w:rPr>
                <w:rFonts w:ascii="Arial" w:cs="Arial" w:eastAsia="Arial" w:hAnsi="Arial"/>
                <w:sz w:val="13"/>
                <w:szCs w:val="13"/>
                <w:color w:val="auto"/>
              </w:rPr>
              <w:t>Accumulated deficit</w:t>
            </w:r>
          </w:p>
        </w:tc>
        <w:tc>
          <w:tcPr>
            <w:tcW w:w="220" w:type="dxa"/>
            <w:vAlign w:val="bottom"/>
          </w:tcPr>
          <w:p>
            <w:pPr>
              <w:spacing w:after="0"/>
              <w:rPr>
                <w:sz w:val="13"/>
                <w:szCs w:val="1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3"/>
                <w:szCs w:val="13"/>
                <w:color w:val="auto"/>
              </w:rPr>
              <w:t>(164,075 )</w:t>
            </w:r>
          </w:p>
        </w:tc>
        <w:tc>
          <w:tcPr>
            <w:tcW w:w="240" w:type="dxa"/>
            <w:vAlign w:val="bottom"/>
          </w:tcPr>
          <w:p>
            <w:pPr>
              <w:spacing w:after="0"/>
              <w:rPr>
                <w:sz w:val="13"/>
                <w:szCs w:val="13"/>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(125,857 )</w:t>
            </w:r>
          </w:p>
        </w:tc>
      </w:tr>
      <w:tr>
        <w:trPr>
          <w:trHeight w:val="155"/>
        </w:trPr>
        <w:tc>
          <w:tcPr>
            <w:tcW w:w="77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3"/>
                <w:szCs w:val="13"/>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474,598</w:t>
            </w:r>
          </w:p>
        </w:tc>
        <w:tc>
          <w:tcPr>
            <w:tcW w:w="2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482,201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700" w:type="dxa"/>
            <w:vAlign w:val="bottom"/>
          </w:tcPr>
          <w:p>
            <w:pPr>
              <w:ind w:left="480"/>
              <w:spacing w:after="0"/>
              <w:rPr>
                <w:sz w:val="20"/>
                <w:szCs w:val="20"/>
                <w:color w:val="auto"/>
              </w:rPr>
            </w:pPr>
            <w:r>
              <w:rPr>
                <w:rFonts w:ascii="Arial" w:cs="Arial" w:eastAsia="Arial" w:hAnsi="Arial"/>
                <w:sz w:val="13"/>
                <w:szCs w:val="13"/>
                <w:color w:val="auto"/>
              </w:rPr>
              <w:t>Total liabilities and stockholders’ equity</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641,223</w:t>
            </w:r>
          </w:p>
        </w:tc>
        <w:tc>
          <w:tcPr>
            <w:tcW w:w="280" w:type="dxa"/>
            <w:vAlign w:val="bottom"/>
          </w:tcPr>
          <w:p>
            <w:pPr>
              <w:spacing w:after="0"/>
              <w:rPr>
                <w:sz w:val="13"/>
                <w:szCs w:val="13"/>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639,845</w:t>
            </w:r>
          </w:p>
        </w:tc>
        <w:tc>
          <w:tcPr>
            <w:tcW w:w="100" w:type="dxa"/>
            <w:vAlign w:val="bottom"/>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-3253105</wp:posOffset>
            </wp:positionV>
            <wp:extent cx="6858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-3253105</wp:posOffset>
            </wp:positionV>
            <wp:extent cx="6858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-2397125</wp:posOffset>
            </wp:positionV>
            <wp:extent cx="68580"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-2397125</wp:posOffset>
            </wp:positionV>
            <wp:extent cx="6858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-1763395</wp:posOffset>
            </wp:positionV>
            <wp:extent cx="68580" cy="111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-136525</wp:posOffset>
            </wp:positionV>
            <wp:extent cx="685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5"/>
          </w:tcPr>
          <w:p>
            <w:pPr>
              <w:jc w:val="right"/>
              <w:ind w:right="461"/>
              <w:spacing w:after="0"/>
              <w:rPr>
                <w:sz w:val="20"/>
                <w:szCs w:val="20"/>
                <w:color w:val="auto"/>
              </w:rPr>
            </w:pPr>
            <w:r>
              <w:rPr>
                <w:rFonts w:ascii="Arial" w:cs="Arial" w:eastAsia="Arial" w:hAnsi="Arial"/>
                <w:sz w:val="13"/>
                <w:szCs w:val="13"/>
                <w:b w:val="1"/>
                <w:bCs w:val="1"/>
                <w:color w:val="auto"/>
              </w:rPr>
              <w:t>Three Months Ended September 30,</w:t>
            </w:r>
          </w:p>
        </w:tc>
        <w:tc>
          <w:tcPr>
            <w:tcW w:w="160" w:type="dxa"/>
            <w:vAlign w:val="bottom"/>
          </w:tcPr>
          <w:p>
            <w:pPr>
              <w:spacing w:after="0"/>
              <w:rPr>
                <w:sz w:val="15"/>
                <w:szCs w:val="15"/>
                <w:color w:val="auto"/>
              </w:rPr>
            </w:pPr>
          </w:p>
        </w:tc>
        <w:tc>
          <w:tcPr>
            <w:tcW w:w="2520" w:type="dxa"/>
            <w:vAlign w:val="bottom"/>
            <w:gridSpan w:val="5"/>
          </w:tcPr>
          <w:p>
            <w:pPr>
              <w:jc w:val="right"/>
              <w:ind w:right="281"/>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95,232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67,788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 processing services costs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78,348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50,937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Technology and development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costs and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91,580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56,692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237,171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3,652</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11,096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(20,849 )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(2,930 )</w:t>
            </w: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(400 )</w:t>
            </w:r>
          </w:p>
        </w:tc>
        <w:tc>
          <w:tcPr>
            <w:tcW w:w="18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7"/>
                <w:szCs w:val="17"/>
                <w:color w:val="auto"/>
              </w:rPr>
              <w:t>(542 )</w:t>
            </w:r>
          </w:p>
        </w:tc>
        <w:tc>
          <w:tcPr>
            <w:tcW w:w="16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(884 )</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(1,804 )</w:t>
            </w:r>
          </w:p>
        </w:tc>
        <w:tc>
          <w:tcPr>
            <w:tcW w:w="0" w:type="dxa"/>
            <w:vAlign w:val="bottom"/>
          </w:tcPr>
          <w:p>
            <w:pPr>
              <w:spacing w:after="0"/>
              <w:rPr>
                <w:sz w:val="1"/>
                <w:szCs w:val="1"/>
                <w:color w:val="auto"/>
              </w:rPr>
            </w:pPr>
          </w:p>
        </w:tc>
      </w:tr>
      <w:tr>
        <w:trPr>
          <w:trHeight w:val="188"/>
        </w:trPr>
        <w:tc>
          <w:tcPr>
            <w:tcW w:w="5580" w:type="dxa"/>
            <w:vAlign w:val="bottom"/>
            <w:shd w:val="clear" w:color="auto" w:fill="CFF0FC"/>
          </w:tcPr>
          <w:p>
            <w:pPr>
              <w:ind w:left="280"/>
              <w:spacing w:after="0" w:line="188" w:lineRule="exact"/>
              <w:rPr>
                <w:sz w:val="20"/>
                <w:szCs w:val="20"/>
                <w:color w:val="auto"/>
              </w:rPr>
            </w:pPr>
            <w:r>
              <w:rPr>
                <w:rFonts w:ascii="Arial" w:cs="Arial" w:eastAsia="Arial" w:hAnsi="Arial"/>
                <w:sz w:val="18"/>
                <w:szCs w:val="18"/>
                <w:color w:val="auto"/>
              </w:rPr>
              <w:t>Change in fair value of preferred stock warrant</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(10,758 )</w:t>
            </w:r>
          </w:p>
        </w:tc>
        <w:tc>
          <w:tcPr>
            <w:tcW w:w="0" w:type="dxa"/>
            <w:vAlign w:val="bottom"/>
          </w:tcPr>
          <w:p>
            <w:pPr>
              <w:spacing w:after="0"/>
              <w:rPr>
                <w:sz w:val="1"/>
                <w:szCs w:val="1"/>
                <w:color w:val="auto"/>
              </w:rPr>
            </w:pPr>
          </w:p>
        </w:tc>
      </w:tr>
      <w:tr>
        <w:trPr>
          <w:trHeight w:val="216"/>
        </w:trPr>
        <w:tc>
          <w:tcPr>
            <w:tcW w:w="558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(6,247 )</w:t>
            </w:r>
          </w:p>
        </w:tc>
        <w:tc>
          <w:tcPr>
            <w:tcW w:w="18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7"/>
                <w:szCs w:val="17"/>
                <w:color w:val="auto"/>
              </w:rPr>
              <w:t>(214 )</w:t>
            </w:r>
          </w:p>
        </w:tc>
        <w:tc>
          <w:tcPr>
            <w:tcW w:w="16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(13,630 )</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(494 )</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other expenses, net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18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(2,995 )</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(35,363 )</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(15,986 )</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(4,272 )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9,994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(38,218 )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(16,804 )</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(273 )</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7"/>
                <w:szCs w:val="17"/>
                <w:color w:val="auto"/>
              </w:rPr>
              <w:t>(343 )</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(408 )</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(4,545 )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9,651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(38,626 )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(16,884 )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580" w:type="dxa"/>
            <w:vAlign w:val="bottom"/>
            <w:shd w:val="clear" w:color="auto" w:fill="CFF0FC"/>
          </w:tcPr>
          <w:p>
            <w:pPr>
              <w:ind w:left="20"/>
              <w:spacing w:after="0" w:line="169" w:lineRule="exact"/>
              <w:rPr>
                <w:sz w:val="20"/>
                <w:szCs w:val="20"/>
                <w:color w:val="auto"/>
              </w:rPr>
            </w:pPr>
            <w:r>
              <w:rPr>
                <w:rFonts w:ascii="Arial" w:cs="Arial" w:eastAsia="Arial" w:hAnsi="Arial"/>
                <w:sz w:val="18"/>
                <w:szCs w:val="18"/>
                <w:color w:val="auto"/>
              </w:rPr>
              <w:t>Net (loss) income attributable to common stockholders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FF0FC"/>
          </w:tcPr>
          <w:p>
            <w:pPr>
              <w:jc w:val="right"/>
              <w:ind w:right="121"/>
              <w:spacing w:after="0"/>
              <w:rPr>
                <w:sz w:val="20"/>
                <w:szCs w:val="20"/>
                <w:color w:val="auto"/>
              </w:rPr>
            </w:pPr>
            <w:r>
              <w:rPr>
                <w:rFonts w:ascii="Arial" w:cs="Arial" w:eastAsia="Arial" w:hAnsi="Arial"/>
                <w:sz w:val="18"/>
                <w:szCs w:val="18"/>
                <w:color w:val="auto"/>
              </w:rPr>
              <w:t>(4,272 )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9,994</w:t>
            </w:r>
          </w:p>
        </w:tc>
        <w:tc>
          <w:tcPr>
            <w:tcW w:w="24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(38,218 )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(16,817 )</w:t>
            </w:r>
          </w:p>
        </w:tc>
        <w:tc>
          <w:tcPr>
            <w:tcW w:w="0" w:type="dxa"/>
            <w:vAlign w:val="bottom"/>
          </w:tcPr>
          <w:p>
            <w:pPr>
              <w:spacing w:after="0"/>
              <w:rPr>
                <w:sz w:val="1"/>
                <w:szCs w:val="1"/>
                <w:color w:val="auto"/>
              </w:rPr>
            </w:pPr>
          </w:p>
        </w:tc>
      </w:tr>
      <w:tr>
        <w:trPr>
          <w:trHeight w:val="196"/>
        </w:trPr>
        <w:tc>
          <w:tcPr>
            <w:tcW w:w="5580" w:type="dxa"/>
            <w:vAlign w:val="bottom"/>
            <w:shd w:val="clear" w:color="auto" w:fill="CFF0FC"/>
          </w:tcPr>
          <w:p>
            <w:pPr>
              <w:ind w:left="180"/>
              <w:spacing w:after="0" w:line="176" w:lineRule="exact"/>
              <w:rPr>
                <w:sz w:val="20"/>
                <w:szCs w:val="20"/>
                <w:color w:val="auto"/>
              </w:rPr>
            </w:pPr>
            <w:r>
              <w:rPr>
                <w:rFonts w:ascii="Arial" w:cs="Arial" w:eastAsia="Arial" w:hAnsi="Arial"/>
                <w:sz w:val="18"/>
                <w:szCs w:val="18"/>
                <w:color w:val="auto"/>
              </w:rPr>
              <w:t>basic and diluted</w:t>
            </w:r>
          </w:p>
        </w:tc>
        <w:tc>
          <w:tcPr>
            <w:tcW w:w="180" w:type="dxa"/>
            <w:vAlign w:val="bottom"/>
            <w:vMerge w:val="continue"/>
            <w:shd w:val="clear" w:color="auto" w:fill="CFF0FC"/>
          </w:tcPr>
          <w:p>
            <w:pPr>
              <w:spacing w:after="0"/>
              <w:rPr>
                <w:sz w:val="17"/>
                <w:szCs w:val="17"/>
                <w:color w:val="auto"/>
              </w:rPr>
            </w:pPr>
          </w:p>
        </w:tc>
        <w:tc>
          <w:tcPr>
            <w:tcW w:w="1340" w:type="dxa"/>
            <w:vAlign w:val="bottom"/>
            <w:gridSpan w:val="2"/>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04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300" w:type="dxa"/>
            <w:vAlign w:val="bottom"/>
            <w:gridSpan w:val="2"/>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580" w:type="dxa"/>
            <w:vAlign w:val="bottom"/>
          </w:tcPr>
          <w:p>
            <w:pPr>
              <w:ind w:left="20"/>
              <w:spacing w:after="0" w:line="169" w:lineRule="exact"/>
              <w:rPr>
                <w:sz w:val="20"/>
                <w:szCs w:val="20"/>
                <w:color w:val="auto"/>
              </w:rPr>
            </w:pPr>
            <w:r>
              <w:rPr>
                <w:rFonts w:ascii="Arial" w:cs="Arial" w:eastAsia="Arial" w:hAnsi="Arial"/>
                <w:sz w:val="18"/>
                <w:szCs w:val="18"/>
                <w:color w:val="auto"/>
              </w:rPr>
              <w:t>Net (loss) income per share attributable to common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121"/>
              <w:spacing w:after="0"/>
              <w:rPr>
                <w:sz w:val="20"/>
                <w:szCs w:val="20"/>
                <w:color w:val="auto"/>
              </w:rPr>
            </w:pPr>
            <w:r>
              <w:rPr>
                <w:rFonts w:ascii="Arial" w:cs="Arial" w:eastAsia="Arial" w:hAnsi="Arial"/>
                <w:sz w:val="18"/>
                <w:szCs w:val="18"/>
                <w:color w:val="auto"/>
              </w:rPr>
              <w:t>(0.04 )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(0.36 )</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tcPr>
          <w:p>
            <w:pPr>
              <w:jc w:val="right"/>
              <w:spacing w:after="0"/>
              <w:rPr>
                <w:sz w:val="20"/>
                <w:szCs w:val="20"/>
                <w:color w:val="auto"/>
              </w:rPr>
            </w:pPr>
            <w:r>
              <w:rPr>
                <w:rFonts w:ascii="Arial" w:cs="Arial" w:eastAsia="Arial" w:hAnsi="Arial"/>
                <w:sz w:val="17"/>
                <w:szCs w:val="17"/>
                <w:color w:val="auto"/>
              </w:rPr>
              <w:t>(0.28 )</w:t>
            </w:r>
          </w:p>
        </w:tc>
        <w:tc>
          <w:tcPr>
            <w:tcW w:w="0" w:type="dxa"/>
            <w:vAlign w:val="bottom"/>
          </w:tcPr>
          <w:p>
            <w:pPr>
              <w:spacing w:after="0"/>
              <w:rPr>
                <w:sz w:val="1"/>
                <w:szCs w:val="1"/>
                <w:color w:val="auto"/>
              </w:rPr>
            </w:pPr>
          </w:p>
        </w:tc>
      </w:tr>
      <w:tr>
        <w:trPr>
          <w:trHeight w:val="176"/>
        </w:trPr>
        <w:tc>
          <w:tcPr>
            <w:tcW w:w="5580" w:type="dxa"/>
            <w:vAlign w:val="bottom"/>
          </w:tcPr>
          <w:p>
            <w:pPr>
              <w:ind w:left="180"/>
              <w:spacing w:after="0" w:line="176" w:lineRule="exact"/>
              <w:rPr>
                <w:sz w:val="20"/>
                <w:szCs w:val="20"/>
                <w:color w:val="auto"/>
              </w:rPr>
            </w:pPr>
            <w:r>
              <w:rPr>
                <w:rFonts w:ascii="Arial" w:cs="Arial" w:eastAsia="Arial" w:hAnsi="Arial"/>
                <w:sz w:val="18"/>
                <w:szCs w:val="18"/>
                <w:color w:val="auto"/>
              </w:rPr>
              <w:t>stockholders – basic</w:t>
            </w:r>
          </w:p>
        </w:tc>
        <w:tc>
          <w:tcPr>
            <w:tcW w:w="18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580" w:type="dxa"/>
            <w:vAlign w:val="bottom"/>
            <w:shd w:val="clear" w:color="auto" w:fill="CFF0FC"/>
          </w:tcPr>
          <w:p>
            <w:pPr>
              <w:ind w:left="20"/>
              <w:spacing w:after="0" w:line="169" w:lineRule="exact"/>
              <w:rPr>
                <w:sz w:val="20"/>
                <w:szCs w:val="20"/>
                <w:color w:val="auto"/>
              </w:rPr>
            </w:pPr>
            <w:r>
              <w:rPr>
                <w:rFonts w:ascii="Arial" w:cs="Arial" w:eastAsia="Arial" w:hAnsi="Arial"/>
                <w:sz w:val="18"/>
                <w:szCs w:val="18"/>
                <w:color w:val="auto"/>
              </w:rPr>
              <w:t>Net (loss) income per share attributable to common</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FF0FC"/>
          </w:tcPr>
          <w:p>
            <w:pPr>
              <w:jc w:val="right"/>
              <w:ind w:right="121"/>
              <w:spacing w:after="0"/>
              <w:rPr>
                <w:sz w:val="20"/>
                <w:szCs w:val="20"/>
                <w:color w:val="auto"/>
              </w:rPr>
            </w:pPr>
            <w:r>
              <w:rPr>
                <w:rFonts w:ascii="Arial" w:cs="Arial" w:eastAsia="Arial" w:hAnsi="Arial"/>
                <w:sz w:val="18"/>
                <w:szCs w:val="18"/>
                <w:color w:val="auto"/>
              </w:rPr>
              <w:t>(0.04 )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(0.36 )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(0.28 )</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180"/>
              <w:spacing w:after="0" w:line="176" w:lineRule="exact"/>
              <w:rPr>
                <w:sz w:val="20"/>
                <w:szCs w:val="20"/>
                <w:color w:val="auto"/>
              </w:rPr>
            </w:pPr>
            <w:r>
              <w:rPr>
                <w:rFonts w:ascii="Arial" w:cs="Arial" w:eastAsia="Arial" w:hAnsi="Arial"/>
                <w:sz w:val="18"/>
                <w:szCs w:val="18"/>
                <w:color w:val="auto"/>
              </w:rPr>
              <w:t>stockholders – diluted</w:t>
            </w:r>
          </w:p>
        </w:tc>
        <w:tc>
          <w:tcPr>
            <w:tcW w:w="180" w:type="dxa"/>
            <w:vAlign w:val="bottom"/>
            <w:vMerge w:val="continue"/>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Weighted average common shares outstanding – basic</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107,925,637</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104,486,136</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107,562,799</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59,667,434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Weighted average common shares outstanding – diluted</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107,925,637</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118,445,907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107,562,799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59,667,434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-2790825</wp:posOffset>
            </wp:positionV>
            <wp:extent cx="7683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-2790825</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-2790825</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-2790825</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-1823085</wp:posOffset>
            </wp:positionV>
            <wp:extent cx="7683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-1823085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-1823085</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-1540510</wp:posOffset>
            </wp:positionV>
            <wp:extent cx="7683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-1540510</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-1540510</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-1257935</wp:posOffset>
            </wp:positionV>
            <wp:extent cx="7683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-1257935</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-1257935</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-855345</wp:posOffset>
            </wp:positionV>
            <wp:extent cx="2799715" cy="282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9715" cy="28257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-341630</wp:posOffset>
            </wp:positionV>
            <wp:extent cx="279971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9715" cy="18859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CONSOLIDATED STATEMENTS OF CONVERTIBLE PREFERRED STOCK, REDEEMABLE CONVERTIBLE PREFERRED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15"/>
          </w:tcPr>
          <w:p>
            <w:pPr>
              <w:jc w:val="center"/>
              <w:ind w:right="320"/>
              <w:spacing w:after="0"/>
              <w:rPr>
                <w:sz w:val="20"/>
                <w:szCs w:val="20"/>
                <w:color w:val="auto"/>
              </w:rPr>
            </w:pPr>
            <w:r>
              <w:rPr>
                <w:rFonts w:ascii="Arial" w:cs="Arial" w:eastAsia="Arial" w:hAnsi="Arial"/>
                <w:sz w:val="11"/>
                <w:szCs w:val="11"/>
                <w:b w:val="1"/>
                <w:bCs w:val="1"/>
                <w:color w:val="auto"/>
                <w:w w:val="97"/>
              </w:rPr>
              <w:t>Three Months Ended September 30, 2022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Accumulate</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gridSpan w:val="5"/>
            <w:vMerge w:val="restart"/>
          </w:tcPr>
          <w:p>
            <w:pPr>
              <w:jc w:val="center"/>
              <w:ind w:left="6"/>
              <w:spacing w:after="0"/>
              <w:rPr>
                <w:sz w:val="20"/>
                <w:szCs w:val="20"/>
                <w:color w:val="auto"/>
              </w:rPr>
            </w:pPr>
            <w:r>
              <w:rPr>
                <w:rFonts w:ascii="Arial" w:cs="Arial" w:eastAsia="Arial" w:hAnsi="Arial"/>
                <w:sz w:val="11"/>
                <w:szCs w:val="11"/>
                <w:b w:val="1"/>
                <w:bCs w:val="1"/>
                <w:color w:val="auto"/>
                <w:w w:val="95"/>
              </w:rPr>
              <w:t>Redeemable</w:t>
            </w:r>
          </w:p>
        </w:tc>
        <w:tc>
          <w:tcPr>
            <w:tcW w:w="1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4"/>
            <w:vMerge w:val="restart"/>
          </w:tcPr>
          <w:p>
            <w:pPr>
              <w:jc w:val="center"/>
              <w:ind w:left="26"/>
              <w:spacing w:after="0"/>
              <w:rPr>
                <w:sz w:val="20"/>
                <w:szCs w:val="20"/>
                <w:color w:val="auto"/>
              </w:rPr>
            </w:pPr>
            <w:r>
              <w:rPr>
                <w:rFonts w:ascii="Arial" w:cs="Arial" w:eastAsia="Arial" w:hAnsi="Arial"/>
                <w:sz w:val="11"/>
                <w:szCs w:val="11"/>
                <w:b w:val="1"/>
                <w:bCs w:val="1"/>
                <w:color w:val="auto"/>
                <w:w w:val="94"/>
              </w:rPr>
              <w:t>Non-Voting</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Additio</w:t>
            </w:r>
          </w:p>
        </w:tc>
        <w:tc>
          <w:tcPr>
            <w:tcW w:w="100" w:type="dxa"/>
            <w:vAlign w:val="bottom"/>
          </w:tcPr>
          <w:p>
            <w:pPr>
              <w:spacing w:after="0"/>
              <w:rPr>
                <w:sz w:val="9"/>
                <w:szCs w:val="9"/>
                <w:color w:val="auto"/>
              </w:rPr>
            </w:pPr>
          </w:p>
        </w:tc>
        <w:tc>
          <w:tcPr>
            <w:tcW w:w="760" w:type="dxa"/>
            <w:vAlign w:val="bottom"/>
            <w:gridSpan w:val="2"/>
          </w:tcPr>
          <w:p>
            <w:pPr>
              <w:jc w:val="center"/>
              <w:ind w:right="340"/>
              <w:spacing w:after="0" w:line="110" w:lineRule="exact"/>
              <w:rPr>
                <w:sz w:val="20"/>
                <w:szCs w:val="20"/>
                <w:color w:val="auto"/>
              </w:rPr>
            </w:pPr>
            <w:r>
              <w:rPr>
                <w:rFonts w:ascii="Arial" w:cs="Arial" w:eastAsia="Arial" w:hAnsi="Arial"/>
                <w:sz w:val="11"/>
                <w:szCs w:val="11"/>
                <w:b w:val="1"/>
                <w:bCs w:val="1"/>
                <w:color w:val="auto"/>
                <w:w w:val="88"/>
              </w:rPr>
              <w:t>d</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102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Convertible</w:t>
            </w: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jc w:val="right"/>
              <w:ind w:right="66"/>
              <w:spacing w:after="0"/>
              <w:rPr>
                <w:sz w:val="20"/>
                <w:szCs w:val="20"/>
                <w:color w:val="auto"/>
              </w:rPr>
            </w:pPr>
            <w:r>
              <w:rPr>
                <w:rFonts w:ascii="Arial" w:cs="Arial" w:eastAsia="Arial" w:hAnsi="Arial"/>
                <w:sz w:val="11"/>
                <w:szCs w:val="11"/>
                <w:b w:val="1"/>
                <w:bCs w:val="1"/>
                <w:color w:val="auto"/>
              </w:rPr>
              <w:t>Voting</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4"/>
            <w:vMerge w:val="restart"/>
          </w:tcPr>
          <w:p>
            <w:pPr>
              <w:jc w:val="right"/>
              <w:ind w:right="28"/>
              <w:spacing w:after="0"/>
              <w:rPr>
                <w:sz w:val="20"/>
                <w:szCs w:val="20"/>
                <w:color w:val="auto"/>
              </w:rPr>
            </w:pPr>
            <w:r>
              <w:rPr>
                <w:rFonts w:ascii="Arial" w:cs="Arial" w:eastAsia="Arial" w:hAnsi="Arial"/>
                <w:sz w:val="11"/>
                <w:szCs w:val="11"/>
                <w:b w:val="1"/>
                <w:bCs w:val="1"/>
                <w:color w:val="auto"/>
              </w:rPr>
              <w:t>Treasury Voting</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0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5"/>
          </w:tcPr>
          <w:p>
            <w:pPr>
              <w:jc w:val="center"/>
              <w:ind w:left="6"/>
              <w:spacing w:after="0" w:line="122" w:lineRule="exact"/>
              <w:rPr>
                <w:sz w:val="20"/>
                <w:szCs w:val="20"/>
                <w:color w:val="auto"/>
              </w:rPr>
            </w:pPr>
            <w:r>
              <w:rPr>
                <w:rFonts w:ascii="Arial" w:cs="Arial" w:eastAsia="Arial" w:hAnsi="Arial"/>
                <w:sz w:val="11"/>
                <w:szCs w:val="11"/>
                <w:b w:val="1"/>
                <w:bCs w:val="1"/>
                <w:color w:val="auto"/>
                <w:w w:val="95"/>
              </w:rPr>
              <w:t>Convertible</w:t>
            </w:r>
          </w:p>
        </w:tc>
        <w:tc>
          <w:tcPr>
            <w:tcW w:w="1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4"/>
          </w:tcPr>
          <w:p>
            <w:pPr>
              <w:jc w:val="center"/>
              <w:ind w:left="26"/>
              <w:spacing w:after="0" w:line="122" w:lineRule="exact"/>
              <w:rPr>
                <w:sz w:val="20"/>
                <w:szCs w:val="20"/>
                <w:color w:val="auto"/>
              </w:rPr>
            </w:pPr>
            <w:r>
              <w:rPr>
                <w:rFonts w:ascii="Arial" w:cs="Arial" w:eastAsia="Arial" w:hAnsi="Arial"/>
                <w:sz w:val="11"/>
                <w:szCs w:val="11"/>
                <w:b w:val="1"/>
                <w:bCs w:val="1"/>
                <w:color w:val="auto"/>
              </w:rPr>
              <w:t>Common</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nal</w:t>
            </w:r>
          </w:p>
        </w:tc>
        <w:tc>
          <w:tcPr>
            <w:tcW w:w="8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Comprehen</w:t>
            </w:r>
          </w:p>
        </w:tc>
        <w:tc>
          <w:tcPr>
            <w:tcW w:w="74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Accumul</w:t>
            </w:r>
          </w:p>
        </w:tc>
        <w:tc>
          <w:tcPr>
            <w:tcW w:w="8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Stockholders</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2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Preferred Stock</w:t>
            </w:r>
          </w:p>
        </w:tc>
        <w:tc>
          <w:tcPr>
            <w:tcW w:w="1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Borders>
              <w:bottom w:val="single" w:sz="8" w:color="auto"/>
            </w:tcBorders>
            <w:gridSpan w:val="5"/>
          </w:tcPr>
          <w:p>
            <w:pPr>
              <w:jc w:val="center"/>
              <w:ind w:left="6"/>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Borders>
              <w:bottom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w w:val="96"/>
              </w:rPr>
              <w:t>Common Stock</w:t>
            </w:r>
          </w:p>
        </w:tc>
        <w:tc>
          <w:tcPr>
            <w:tcW w:w="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1"/>
                <w:szCs w:val="11"/>
                <w:b w:val="1"/>
                <w:bCs w:val="1"/>
                <w:color w:val="auto"/>
                <w:w w:val="93"/>
              </w:rPr>
              <w:t>Stock</w:t>
            </w:r>
          </w:p>
        </w:tc>
        <w:tc>
          <w:tcPr>
            <w:tcW w:w="1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1"/>
                <w:szCs w:val="11"/>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3"/>
              </w:rPr>
              <w:t>sive</w:t>
            </w:r>
          </w:p>
        </w:tc>
        <w:tc>
          <w:tcPr>
            <w:tcW w:w="120" w:type="dxa"/>
            <w:vAlign w:val="bottom"/>
          </w:tcPr>
          <w:p>
            <w:pPr>
              <w:spacing w:after="0"/>
              <w:rPr>
                <w:sz w:val="11"/>
                <w:szCs w:val="11"/>
                <w:color w:val="auto"/>
              </w:rPr>
            </w:pPr>
          </w:p>
        </w:tc>
        <w:tc>
          <w:tcPr>
            <w:tcW w:w="6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ated</w:t>
            </w:r>
          </w:p>
        </w:tc>
        <w:tc>
          <w:tcPr>
            <w:tcW w:w="160" w:type="dxa"/>
            <w:vAlign w:val="bottom"/>
          </w:tcPr>
          <w:p>
            <w:pPr>
              <w:spacing w:after="0"/>
              <w:rPr>
                <w:sz w:val="11"/>
                <w:szCs w:val="11"/>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gridSpan w:val="3"/>
          </w:tcPr>
          <w:p>
            <w:pPr>
              <w:jc w:val="right"/>
              <w:spacing w:after="0" w:line="100" w:lineRule="exact"/>
              <w:rPr>
                <w:sz w:val="20"/>
                <w:szCs w:val="20"/>
                <w:color w:val="auto"/>
              </w:rPr>
            </w:pPr>
            <w:r>
              <w:rPr>
                <w:rFonts w:ascii="Arial" w:cs="Arial" w:eastAsia="Arial" w:hAnsi="Arial"/>
                <w:sz w:val="11"/>
                <w:szCs w:val="11"/>
                <w:b w:val="1"/>
                <w:bCs w:val="1"/>
                <w:color w:val="auto"/>
                <w:w w:val="96"/>
              </w:rPr>
              <w:t>Amou</w:t>
            </w: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w w:val="89"/>
              </w:rPr>
              <w:t>Amo</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gridSpan w:val="2"/>
          </w:tcPr>
          <w:p>
            <w:pPr>
              <w:jc w:val="right"/>
              <w:spacing w:after="0" w:line="100" w:lineRule="exact"/>
              <w:rPr>
                <w:sz w:val="20"/>
                <w:szCs w:val="20"/>
                <w:color w:val="auto"/>
              </w:rPr>
            </w:pPr>
            <w:r>
              <w:rPr>
                <w:rFonts w:ascii="Arial" w:cs="Arial" w:eastAsia="Arial" w:hAnsi="Arial"/>
                <w:sz w:val="11"/>
                <w:szCs w:val="11"/>
                <w:b w:val="1"/>
                <w:bCs w:val="1"/>
                <w:color w:val="auto"/>
                <w:w w:val="97"/>
              </w:rPr>
              <w:t>Amo</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97"/>
              </w:rPr>
              <w:t>Amo</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740" w:type="dxa"/>
            <w:vAlign w:val="bottom"/>
            <w:gridSpan w:val="4"/>
          </w:tcPr>
          <w:p>
            <w:pPr>
              <w:jc w:val="right"/>
              <w:ind w:right="320"/>
              <w:spacing w:after="0"/>
              <w:rPr>
                <w:sz w:val="20"/>
                <w:szCs w:val="20"/>
                <w:color w:val="auto"/>
              </w:rPr>
            </w:pPr>
            <w:r>
              <w:rPr>
                <w:rFonts w:ascii="Arial" w:cs="Arial" w:eastAsia="Arial" w:hAnsi="Arial"/>
                <w:sz w:val="11"/>
                <w:szCs w:val="11"/>
                <w:b w:val="1"/>
                <w:bCs w:val="1"/>
                <w:color w:val="auto"/>
                <w:w w:val="96"/>
              </w:rPr>
              <w:t>Amount</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50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86"/>
              <w:spacing w:after="0"/>
              <w:rPr>
                <w:sz w:val="20"/>
                <w:szCs w:val="20"/>
                <w:color w:val="auto"/>
              </w:rPr>
            </w:pPr>
            <w:r>
              <w:rPr>
                <w:rFonts w:ascii="Arial" w:cs="Arial" w:eastAsia="Arial" w:hAnsi="Arial"/>
                <w:sz w:val="11"/>
                <w:szCs w:val="11"/>
                <w:b w:val="1"/>
                <w:bCs w:val="1"/>
                <w:color w:val="auto"/>
                <w:w w:val="97"/>
              </w:rPr>
              <w:t>Shares</w:t>
            </w:r>
          </w:p>
        </w:tc>
        <w:tc>
          <w:tcPr>
            <w:tcW w:w="320" w:type="dxa"/>
            <w:vAlign w:val="bottom"/>
            <w:gridSpan w:val="3"/>
          </w:tcPr>
          <w:p>
            <w:pPr>
              <w:jc w:val="right"/>
              <w:ind w:right="71"/>
              <w:spacing w:after="0"/>
              <w:rPr>
                <w:sz w:val="20"/>
                <w:szCs w:val="20"/>
                <w:color w:val="auto"/>
              </w:rPr>
            </w:pPr>
            <w:r>
              <w:rPr>
                <w:rFonts w:ascii="Arial" w:cs="Arial" w:eastAsia="Arial" w:hAnsi="Arial"/>
                <w:sz w:val="11"/>
                <w:szCs w:val="11"/>
                <w:b w:val="1"/>
                <w:bCs w:val="1"/>
                <w:color w:val="auto"/>
              </w:rPr>
              <w:t>unt</w:t>
            </w:r>
          </w:p>
        </w:tc>
        <w:tc>
          <w:tcPr>
            <w:tcW w:w="140" w:type="dxa"/>
            <w:vAlign w:val="bottom"/>
          </w:tcPr>
          <w:p>
            <w:pPr>
              <w:spacing w:after="0"/>
              <w:rPr>
                <w:sz w:val="12"/>
                <w:szCs w:val="12"/>
                <w:color w:val="auto"/>
              </w:rPr>
            </w:pPr>
          </w:p>
        </w:tc>
        <w:tc>
          <w:tcPr>
            <w:tcW w:w="480" w:type="dxa"/>
            <w:vAlign w:val="bottom"/>
            <w:gridSpan w:val="3"/>
          </w:tcPr>
          <w:p>
            <w:pPr>
              <w:jc w:val="right"/>
              <w:ind w:right="7"/>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440" w:type="dxa"/>
            <w:vAlign w:val="bottom"/>
            <w:gridSpan w:val="3"/>
          </w:tcPr>
          <w:p>
            <w:pPr>
              <w:jc w:val="right"/>
              <w:ind w:right="170"/>
              <w:spacing w:after="0"/>
              <w:rPr>
                <w:sz w:val="20"/>
                <w:szCs w:val="20"/>
                <w:color w:val="auto"/>
              </w:rPr>
            </w:pPr>
            <w:r>
              <w:rPr>
                <w:rFonts w:ascii="Arial" w:cs="Arial" w:eastAsia="Arial" w:hAnsi="Arial"/>
                <w:sz w:val="11"/>
                <w:szCs w:val="11"/>
                <w:b w:val="1"/>
                <w:bCs w:val="1"/>
                <w:color w:val="auto"/>
              </w:rPr>
              <w:t>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3"/>
              </w:rPr>
              <w:t>unt</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(Loss)</w:t>
            </w:r>
          </w:p>
        </w:tc>
        <w:tc>
          <w:tcPr>
            <w:tcW w:w="7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5"/>
              </w:rPr>
              <w:t>Deficit</w:t>
            </w:r>
          </w:p>
        </w:tc>
        <w:tc>
          <w:tcPr>
            <w:tcW w:w="16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6"/>
        </w:trPr>
        <w:tc>
          <w:tcPr>
            <w:tcW w:w="1320" w:type="dxa"/>
            <w:vAlign w:val="bottom"/>
            <w:tcBorders>
              <w:right w:val="single" w:sz="8" w:color="CFF0FC"/>
            </w:tcBorders>
            <w:shd w:val="clear" w:color="auto" w:fill="CFF0FC"/>
          </w:tcPr>
          <w:p>
            <w:pPr>
              <w:ind w:left="20"/>
              <w:spacing w:after="0" w:line="106" w:lineRule="exact"/>
              <w:rPr>
                <w:sz w:val="20"/>
                <w:szCs w:val="20"/>
                <w:color w:val="auto"/>
              </w:rPr>
            </w:pPr>
            <w:r>
              <w:rPr>
                <w:rFonts w:ascii="Arial" w:cs="Arial" w:eastAsia="Arial" w:hAnsi="Arial"/>
                <w:sz w:val="11"/>
                <w:szCs w:val="11"/>
                <w:b w:val="1"/>
                <w:bCs w:val="1"/>
                <w:color w:val="auto"/>
              </w:rPr>
              <w:t>Balances at June 30,</w:t>
            </w:r>
          </w:p>
        </w:tc>
        <w:tc>
          <w:tcPr>
            <w:tcW w:w="460" w:type="dxa"/>
            <w:vAlign w:val="bottom"/>
            <w:tcBorders>
              <w:top w:val="single" w:sz="8" w:color="auto"/>
            </w:tcBorders>
            <w:shd w:val="clear" w:color="auto" w:fill="CFF0FC"/>
          </w:tcPr>
          <w:p>
            <w:pPr>
              <w:spacing w:after="0"/>
              <w:rPr>
                <w:sz w:val="9"/>
                <w:szCs w:val="9"/>
                <w:color w:val="auto"/>
              </w:rPr>
            </w:pPr>
          </w:p>
        </w:tc>
        <w:tc>
          <w:tcPr>
            <w:tcW w:w="18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300" w:type="dxa"/>
            <w:vAlign w:val="bottom"/>
            <w:tcBorders>
              <w:left w:val="single" w:sz="8" w:color="CFF0FC"/>
              <w:right w:val="single" w:sz="8" w:color="CFF0FC"/>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tcBorders>
              <w:top w:val="single" w:sz="8" w:color="auto"/>
            </w:tcBorders>
            <w:gridSpan w:val="3"/>
            <w:shd w:val="clear" w:color="auto" w:fill="CFF0FC"/>
          </w:tcPr>
          <w:p>
            <w:pPr>
              <w:jc w:val="right"/>
              <w:spacing w:after="0" w:line="106" w:lineRule="exact"/>
              <w:rPr>
                <w:sz w:val="20"/>
                <w:szCs w:val="20"/>
                <w:color w:val="auto"/>
              </w:rPr>
            </w:pPr>
            <w:r>
              <w:rPr>
                <w:rFonts w:ascii="Arial" w:cs="Arial" w:eastAsia="Arial" w:hAnsi="Arial"/>
                <w:sz w:val="11"/>
                <w:szCs w:val="11"/>
                <w:color w:val="auto"/>
              </w:rPr>
              <w:t>104,230</w:t>
            </w:r>
          </w:p>
        </w:tc>
        <w:tc>
          <w:tcPr>
            <w:tcW w:w="24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gridSpan w:val="2"/>
            <w:shd w:val="clear" w:color="auto" w:fill="CFF0FC"/>
          </w:tcPr>
          <w:p>
            <w:pPr>
              <w:jc w:val="right"/>
              <w:spacing w:after="0" w:line="106" w:lineRule="exact"/>
              <w:rPr>
                <w:sz w:val="20"/>
                <w:szCs w:val="20"/>
                <w:color w:val="auto"/>
              </w:rPr>
            </w:pPr>
            <w:r>
              <w:rPr>
                <w:rFonts w:ascii="Arial" w:cs="Arial" w:eastAsia="Arial" w:hAnsi="Arial"/>
                <w:sz w:val="11"/>
                <w:szCs w:val="11"/>
                <w:color w:val="auto"/>
              </w:rPr>
              <w:t>5,988,</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jc w:val="right"/>
              <w:spacing w:after="0" w:line="106" w:lineRule="exact"/>
              <w:rPr>
                <w:sz w:val="20"/>
                <w:szCs w:val="20"/>
                <w:color w:val="auto"/>
              </w:rPr>
            </w:pPr>
            <w:r>
              <w:rPr>
                <w:rFonts w:ascii="Arial" w:cs="Arial" w:eastAsia="Arial" w:hAnsi="Arial"/>
                <w:sz w:val="11"/>
                <w:szCs w:val="11"/>
                <w:color w:val="auto"/>
              </w:rPr>
              <w:t>(74</w:t>
            </w:r>
          </w:p>
        </w:tc>
        <w:tc>
          <w:tcPr>
            <w:tcW w:w="2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jc w:val="right"/>
              <w:spacing w:after="0" w:line="106" w:lineRule="exact"/>
              <w:rPr>
                <w:sz w:val="20"/>
                <w:szCs w:val="20"/>
                <w:color w:val="auto"/>
              </w:rPr>
            </w:pPr>
            <w:r>
              <w:rPr>
                <w:rFonts w:ascii="Arial" w:cs="Arial" w:eastAsia="Arial" w:hAnsi="Arial"/>
                <w:sz w:val="11"/>
                <w:szCs w:val="11"/>
                <w:color w:val="auto"/>
              </w:rPr>
              <w:t>623,</w:t>
            </w: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jc w:val="right"/>
              <w:spacing w:after="0" w:line="106" w:lineRule="exact"/>
              <w:rPr>
                <w:sz w:val="20"/>
                <w:szCs w:val="20"/>
                <w:color w:val="auto"/>
              </w:rPr>
            </w:pPr>
            <w:r>
              <w:rPr>
                <w:rFonts w:ascii="Arial" w:cs="Arial" w:eastAsia="Arial" w:hAnsi="Arial"/>
                <w:sz w:val="11"/>
                <w:szCs w:val="11"/>
                <w:color w:val="auto"/>
              </w:rPr>
              <w:t>(159,80</w:t>
            </w:r>
          </w:p>
        </w:tc>
        <w:tc>
          <w:tcPr>
            <w:tcW w:w="220" w:type="dxa"/>
            <w:vAlign w:val="bottom"/>
            <w:tcBorders>
              <w:left w:val="single" w:sz="8" w:color="CFF0FC"/>
            </w:tcBorders>
            <w:shd w:val="clear" w:color="auto" w:fill="CFF0FC"/>
          </w:tcPr>
          <w:p>
            <w:pPr>
              <w:spacing w:after="0"/>
              <w:rPr>
                <w:sz w:val="9"/>
                <w:szCs w:val="9"/>
                <w:color w:val="auto"/>
              </w:rPr>
            </w:pPr>
          </w:p>
        </w:tc>
        <w:tc>
          <w:tcPr>
            <w:tcW w:w="160" w:type="dxa"/>
            <w:vAlign w:val="bottom"/>
            <w:tcBorders>
              <w:top w:val="single" w:sz="8" w:color="auto"/>
              <w:left w:val="single" w:sz="8" w:color="CFF0FC"/>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3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2022</w:t>
            </w:r>
          </w:p>
        </w:tc>
        <w:tc>
          <w:tcPr>
            <w:tcW w:w="720" w:type="dxa"/>
            <w:vAlign w:val="bottom"/>
            <w:gridSpan w:val="3"/>
            <w:shd w:val="clear" w:color="auto" w:fill="CFF0FC"/>
          </w:tcPr>
          <w:p>
            <w:pPr>
              <w:ind w:left="340"/>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FF0FC"/>
          </w:tcPr>
          <w:p>
            <w:pPr>
              <w:jc w:val="right"/>
              <w:ind w:right="186"/>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1"/>
                <w:szCs w:val="11"/>
                <w:color w:val="auto"/>
                <w:w w:val="90"/>
              </w:rPr>
              <w:t>—</w:t>
            </w:r>
          </w:p>
        </w:tc>
        <w:tc>
          <w:tcPr>
            <w:tcW w:w="660" w:type="dxa"/>
            <w:vAlign w:val="bottom"/>
            <w:tcBorders>
              <w:right w:val="single" w:sz="8" w:color="CFF0FC"/>
            </w:tcBorders>
            <w:gridSpan w:val="3"/>
            <w:shd w:val="clear" w:color="auto" w:fill="CFF0FC"/>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20" w:type="dxa"/>
            <w:vAlign w:val="bottom"/>
            <w:shd w:val="clear" w:color="auto" w:fill="CFF0FC"/>
          </w:tcPr>
          <w:p>
            <w:pPr>
              <w:spacing w:after="0"/>
              <w:rPr>
                <w:sz w:val="13"/>
                <w:szCs w:val="13"/>
                <w:color w:val="auto"/>
              </w:rPr>
            </w:pPr>
          </w:p>
        </w:tc>
        <w:tc>
          <w:tcPr>
            <w:tcW w:w="380" w:type="dxa"/>
            <w:vAlign w:val="bottom"/>
            <w:tcBorders>
              <w:right w:val="single" w:sz="8" w:color="auto"/>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3"/>
                <w:szCs w:val="13"/>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,946</w:t>
            </w: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10</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378</w:t>
            </w:r>
          </w:p>
        </w:tc>
        <w:tc>
          <w:tcPr>
            <w:tcW w:w="34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(2,317,722 )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8 )</w:t>
            </w: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611</w:t>
            </w:r>
          </w:p>
        </w:tc>
        <w:tc>
          <w:tcPr>
            <w:tcW w:w="22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(534 )</w:t>
            </w:r>
          </w:p>
        </w:tc>
        <w:tc>
          <w:tcPr>
            <w:tcW w:w="120" w:type="dxa"/>
            <w:vAlign w:val="bottom"/>
            <w:tcBorders>
              <w:left w:val="single" w:sz="8" w:color="CFF0FC"/>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3 )</w:t>
            </w:r>
          </w:p>
        </w:tc>
        <w:tc>
          <w:tcPr>
            <w:tcW w:w="220" w:type="dxa"/>
            <w:vAlign w:val="bottom"/>
            <w:tcBorders>
              <w:left w:val="single" w:sz="8" w:color="CFF0FC"/>
            </w:tcBorders>
            <w:shd w:val="clear" w:color="auto" w:fill="CFF0FC"/>
          </w:tcPr>
          <w:p>
            <w:pPr>
              <w:spacing w:after="0"/>
              <w:rPr>
                <w:sz w:val="13"/>
                <w:szCs w:val="13"/>
                <w:color w:val="auto"/>
              </w:rPr>
            </w:pPr>
          </w:p>
        </w:tc>
        <w:tc>
          <w:tcPr>
            <w:tcW w:w="160" w:type="dxa"/>
            <w:vAlign w:val="bottom"/>
            <w:tcBorders>
              <w:lef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462,537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20" w:type="dxa"/>
            <w:vAlign w:val="bottom"/>
          </w:tcPr>
          <w:p>
            <w:pPr>
              <w:ind w:left="20"/>
              <w:spacing w:after="0" w:line="119" w:lineRule="exact"/>
              <w:rPr>
                <w:sz w:val="20"/>
                <w:szCs w:val="20"/>
                <w:color w:val="auto"/>
              </w:rPr>
            </w:pPr>
            <w:r>
              <w:rPr>
                <w:rFonts w:ascii="Arial" w:cs="Arial" w:eastAsia="Arial" w:hAnsi="Arial"/>
                <w:sz w:val="11"/>
                <w:szCs w:val="11"/>
                <w:color w:val="auto"/>
              </w:rPr>
              <w:t>Issuance of common</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Pr>
          <w:p>
            <w:pPr>
              <w:ind w:left="120"/>
              <w:spacing w:after="0" w:line="108" w:lineRule="exact"/>
              <w:rPr>
                <w:sz w:val="20"/>
                <w:szCs w:val="20"/>
                <w:color w:val="auto"/>
              </w:rPr>
            </w:pPr>
            <w:r>
              <w:rPr>
                <w:rFonts w:ascii="Arial" w:cs="Arial" w:eastAsia="Arial" w:hAnsi="Arial"/>
                <w:sz w:val="11"/>
                <w:szCs w:val="11"/>
                <w:color w:val="auto"/>
              </w:rPr>
              <w:t>stock upon exercise</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20" w:type="dxa"/>
            <w:vAlign w:val="bottom"/>
          </w:tcPr>
          <w:p>
            <w:pPr>
              <w:ind w:left="120"/>
              <w:spacing w:after="0" w:line="108" w:lineRule="exact"/>
              <w:rPr>
                <w:sz w:val="20"/>
                <w:szCs w:val="20"/>
                <w:color w:val="auto"/>
              </w:rPr>
            </w:pPr>
            <w:r>
              <w:rPr>
                <w:rFonts w:ascii="Arial" w:cs="Arial" w:eastAsia="Arial" w:hAnsi="Arial"/>
                <w:sz w:val="11"/>
                <w:szCs w:val="11"/>
                <w:color w:val="auto"/>
              </w:rPr>
              <w:t>of stock options, net</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320" w:type="dxa"/>
            <w:vAlign w:val="bottom"/>
          </w:tcPr>
          <w:p>
            <w:pPr>
              <w:ind w:left="120"/>
              <w:spacing w:after="0"/>
              <w:rPr>
                <w:sz w:val="20"/>
                <w:szCs w:val="20"/>
                <w:color w:val="auto"/>
              </w:rPr>
            </w:pPr>
            <w:r>
              <w:rPr>
                <w:rFonts w:ascii="Arial" w:cs="Arial" w:eastAsia="Arial" w:hAnsi="Arial"/>
                <w:sz w:val="11"/>
                <w:szCs w:val="11"/>
                <w:color w:val="auto"/>
              </w:rPr>
              <w:t>of shares withheld</w:t>
            </w:r>
          </w:p>
        </w:tc>
        <w:tc>
          <w:tcPr>
            <w:tcW w:w="72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1"/>
                <w:szCs w:val="11"/>
                <w:color w:val="auto"/>
                <w:w w:val="90"/>
              </w:rPr>
              <w:t>—</w:t>
            </w:r>
          </w:p>
        </w:tc>
        <w:tc>
          <w:tcPr>
            <w:tcW w:w="66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20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674,872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w w:val="94"/>
              </w:rPr>
              <w:t>2,519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20" w:type="dxa"/>
            <w:vAlign w:val="bottom"/>
            <w:tcBorders>
              <w:right w:val="single" w:sz="8" w:color="CFF0FC"/>
            </w:tcBorders>
            <w:shd w:val="clear" w:color="auto" w:fill="CFF0FC"/>
          </w:tcPr>
          <w:p>
            <w:pPr>
              <w:ind w:left="20"/>
              <w:spacing w:after="0" w:line="123" w:lineRule="exact"/>
              <w:rPr>
                <w:sz w:val="20"/>
                <w:szCs w:val="20"/>
                <w:color w:val="auto"/>
              </w:rPr>
            </w:pPr>
            <w:r>
              <w:rPr>
                <w:rFonts w:ascii="Arial" w:cs="Arial" w:eastAsia="Arial" w:hAnsi="Arial"/>
                <w:sz w:val="11"/>
                <w:szCs w:val="11"/>
                <w:color w:val="auto"/>
              </w:rPr>
              <w:t>Conversion of non-</w:t>
            </w:r>
          </w:p>
        </w:tc>
        <w:tc>
          <w:tcPr>
            <w:tcW w:w="460" w:type="dxa"/>
            <w:vAlign w:val="bottom"/>
            <w:shd w:val="clear" w:color="auto" w:fill="CFF0FC"/>
          </w:tcPr>
          <w:p>
            <w:pPr>
              <w:spacing w:after="0"/>
              <w:rPr>
                <w:sz w:val="10"/>
                <w:szCs w:val="10"/>
                <w:color w:val="auto"/>
              </w:rPr>
            </w:pPr>
          </w:p>
        </w:tc>
        <w:tc>
          <w:tcPr>
            <w:tcW w:w="18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tcBorders>
              <w:left w:val="single" w:sz="8" w:color="CFF0FC"/>
              <w:right w:val="single" w:sz="8" w:color="CFF0FC"/>
            </w:tcBorders>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6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Borders>
              <w:right w:val="single" w:sz="8" w:color="CFF0FC"/>
            </w:tcBorders>
            <w:shd w:val="clear" w:color="auto" w:fill="CFF0FC"/>
          </w:tcPr>
          <w:p>
            <w:pPr>
              <w:ind w:left="20"/>
              <w:spacing w:after="0" w:line="108" w:lineRule="exact"/>
              <w:rPr>
                <w:sz w:val="20"/>
                <w:szCs w:val="20"/>
                <w:color w:val="auto"/>
              </w:rPr>
            </w:pPr>
            <w:r>
              <w:rPr>
                <w:rFonts w:ascii="Arial" w:cs="Arial" w:eastAsia="Arial" w:hAnsi="Arial"/>
                <w:sz w:val="11"/>
                <w:szCs w:val="11"/>
                <w:color w:val="auto"/>
              </w:rPr>
              <w:t>voting</w:t>
            </w:r>
          </w:p>
        </w:tc>
        <w:tc>
          <w:tcPr>
            <w:tcW w:w="460" w:type="dxa"/>
            <w:vAlign w:val="bottom"/>
            <w:shd w:val="clear" w:color="auto" w:fill="CFF0FC"/>
          </w:tcPr>
          <w:p>
            <w:pPr>
              <w:spacing w:after="0"/>
              <w:rPr>
                <w:sz w:val="9"/>
                <w:szCs w:val="9"/>
                <w:color w:val="auto"/>
              </w:rPr>
            </w:pPr>
          </w:p>
        </w:tc>
        <w:tc>
          <w:tcPr>
            <w:tcW w:w="18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tcBorders>
              <w:left w:val="single" w:sz="8" w:color="CFF0FC"/>
              <w:right w:val="single" w:sz="8" w:color="CFF0FC"/>
            </w:tcBorders>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6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20" w:type="dxa"/>
            <w:vAlign w:val="bottom"/>
            <w:tcBorders>
              <w:right w:val="single" w:sz="8" w:color="CFF0FC"/>
            </w:tcBorders>
            <w:shd w:val="clear" w:color="auto" w:fill="CFF0FC"/>
          </w:tcPr>
          <w:p>
            <w:pPr>
              <w:ind w:left="120"/>
              <w:spacing w:after="0" w:line="108" w:lineRule="exact"/>
              <w:rPr>
                <w:sz w:val="20"/>
                <w:szCs w:val="20"/>
                <w:color w:val="auto"/>
              </w:rPr>
            </w:pPr>
            <w:r>
              <w:rPr>
                <w:rFonts w:ascii="Arial" w:cs="Arial" w:eastAsia="Arial" w:hAnsi="Arial"/>
                <w:sz w:val="11"/>
                <w:szCs w:val="11"/>
                <w:color w:val="auto"/>
              </w:rPr>
              <w:t>common stock to</w:t>
            </w:r>
          </w:p>
        </w:tc>
        <w:tc>
          <w:tcPr>
            <w:tcW w:w="460" w:type="dxa"/>
            <w:vAlign w:val="bottom"/>
            <w:shd w:val="clear" w:color="auto" w:fill="CFF0FC"/>
          </w:tcPr>
          <w:p>
            <w:pPr>
              <w:spacing w:after="0"/>
              <w:rPr>
                <w:sz w:val="9"/>
                <w:szCs w:val="9"/>
                <w:color w:val="auto"/>
              </w:rPr>
            </w:pPr>
          </w:p>
        </w:tc>
        <w:tc>
          <w:tcPr>
            <w:tcW w:w="18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tcBorders>
              <w:left w:val="single" w:sz="8" w:color="CFF0FC"/>
              <w:right w:val="single" w:sz="8" w:color="CFF0FC"/>
            </w:tcBorders>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6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20" w:type="dxa"/>
            <w:vAlign w:val="bottom"/>
            <w:tcBorders>
              <w:right w:val="single" w:sz="8" w:color="CFF0FC"/>
            </w:tcBorders>
            <w:shd w:val="clear" w:color="auto" w:fill="CFF0FC"/>
          </w:tcPr>
          <w:p>
            <w:pPr>
              <w:ind w:left="20"/>
              <w:spacing w:after="0" w:line="122" w:lineRule="exact"/>
              <w:rPr>
                <w:sz w:val="20"/>
                <w:szCs w:val="20"/>
                <w:color w:val="auto"/>
              </w:rPr>
            </w:pPr>
            <w:r>
              <w:rPr>
                <w:rFonts w:ascii="Arial" w:cs="Arial" w:eastAsia="Arial" w:hAnsi="Arial"/>
                <w:sz w:val="11"/>
                <w:szCs w:val="11"/>
                <w:color w:val="auto"/>
              </w:rPr>
              <w:t>voting</w:t>
            </w:r>
          </w:p>
        </w:tc>
        <w:tc>
          <w:tcPr>
            <w:tcW w:w="460" w:type="dxa"/>
            <w:vAlign w:val="bottom"/>
            <w:shd w:val="clear" w:color="auto" w:fill="CFF0FC"/>
          </w:tcPr>
          <w:p>
            <w:pPr>
              <w:spacing w:after="0"/>
              <w:rPr>
                <w:sz w:val="10"/>
                <w:szCs w:val="10"/>
                <w:color w:val="auto"/>
              </w:rPr>
            </w:pPr>
          </w:p>
        </w:tc>
        <w:tc>
          <w:tcPr>
            <w:tcW w:w="18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tcBorders>
              <w:left w:val="single" w:sz="8" w:color="CFF0FC"/>
              <w:right w:val="single" w:sz="8" w:color="CFF0FC"/>
            </w:tcBorders>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gridSpan w:val="3"/>
            <w:shd w:val="clear" w:color="auto" w:fill="CFF0FC"/>
          </w:tcPr>
          <w:p>
            <w:pPr>
              <w:jc w:val="right"/>
              <w:spacing w:after="0" w:line="122" w:lineRule="exact"/>
              <w:rPr>
                <w:sz w:val="20"/>
                <w:szCs w:val="20"/>
                <w:color w:val="auto"/>
              </w:rPr>
            </w:pPr>
            <w:r>
              <w:rPr>
                <w:rFonts w:ascii="Arial" w:cs="Arial" w:eastAsia="Arial" w:hAnsi="Arial"/>
                <w:sz w:val="11"/>
                <w:szCs w:val="11"/>
                <w:color w:val="auto"/>
              </w:rPr>
              <w:t>1,379,5</w:t>
            </w:r>
          </w:p>
        </w:tc>
        <w:tc>
          <w:tcPr>
            <w:tcW w:w="24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shd w:val="clear" w:color="auto" w:fill="CFF0FC"/>
          </w:tcPr>
          <w:p>
            <w:pPr>
              <w:jc w:val="right"/>
              <w:spacing w:after="0" w:line="122" w:lineRule="exact"/>
              <w:rPr>
                <w:sz w:val="20"/>
                <w:szCs w:val="20"/>
                <w:color w:val="auto"/>
              </w:rPr>
            </w:pPr>
            <w:r>
              <w:rPr>
                <w:rFonts w:ascii="Arial" w:cs="Arial" w:eastAsia="Arial" w:hAnsi="Arial"/>
                <w:sz w:val="11"/>
                <w:szCs w:val="11"/>
                <w:color w:val="auto"/>
              </w:rPr>
              <w:t>(1,379,</w:t>
            </w:r>
          </w:p>
        </w:tc>
        <w:tc>
          <w:tcPr>
            <w:tcW w:w="2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6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2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common stock</w:t>
            </w:r>
          </w:p>
        </w:tc>
        <w:tc>
          <w:tcPr>
            <w:tcW w:w="720" w:type="dxa"/>
            <w:vAlign w:val="bottom"/>
            <w:gridSpan w:val="3"/>
            <w:shd w:val="clear" w:color="auto" w:fill="CFF0FC"/>
          </w:tcPr>
          <w:p>
            <w:pPr>
              <w:ind w:left="34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1"/>
                <w:szCs w:val="11"/>
                <w:color w:val="auto"/>
                <w:w w:val="90"/>
              </w:rPr>
              <w:t>—</w:t>
            </w:r>
          </w:p>
        </w:tc>
        <w:tc>
          <w:tcPr>
            <w:tcW w:w="660" w:type="dxa"/>
            <w:vAlign w:val="bottom"/>
            <w:tcBorders>
              <w:right w:val="single" w:sz="8" w:color="CFF0FC"/>
            </w:tcBorders>
            <w:gridSpan w:val="3"/>
            <w:shd w:val="clear" w:color="auto" w:fill="CFF0FC"/>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auto"/>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37</w:t>
            </w: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3"/>
            <w:shd w:val="clear" w:color="auto" w:fill="CFF0FC"/>
          </w:tcPr>
          <w:p>
            <w:pPr>
              <w:jc w:val="right"/>
              <w:ind w:right="126"/>
              <w:spacing w:after="0"/>
              <w:rPr>
                <w:sz w:val="20"/>
                <w:szCs w:val="20"/>
                <w:color w:val="auto"/>
              </w:rPr>
            </w:pPr>
            <w:r>
              <w:rPr>
                <w:rFonts w:ascii="Arial" w:cs="Arial" w:eastAsia="Arial" w:hAnsi="Arial"/>
                <w:sz w:val="11"/>
                <w:szCs w:val="11"/>
                <w:color w:val="auto"/>
              </w:rPr>
              <w:t>537 )</w:t>
            </w:r>
          </w:p>
        </w:tc>
        <w:tc>
          <w:tcPr>
            <w:tcW w:w="120" w:type="dxa"/>
            <w:vAlign w:val="bottom"/>
            <w:tcBorders>
              <w:right w:val="single" w:sz="8" w:color="CFF0FC"/>
            </w:tcBorders>
            <w:shd w:val="clear" w:color="auto" w:fill="CFF0FC"/>
          </w:tcPr>
          <w:p>
            <w:pPr>
              <w:spacing w:after="0"/>
              <w:rPr>
                <w:sz w:val="12"/>
                <w:szCs w:val="12"/>
                <w:color w:val="auto"/>
              </w:rPr>
            </w:pPr>
          </w:p>
        </w:tc>
        <w:tc>
          <w:tcPr>
            <w:tcW w:w="320" w:type="dxa"/>
            <w:vAlign w:val="bottom"/>
            <w:gridSpan w:val="2"/>
            <w:shd w:val="clear" w:color="auto" w:fill="CFF0FC"/>
          </w:tcPr>
          <w:p>
            <w:pPr>
              <w:jc w:val="right"/>
              <w:ind w:right="11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1320" w:type="dxa"/>
            <w:vAlign w:val="bottom"/>
          </w:tcPr>
          <w:p>
            <w:pPr>
              <w:ind w:left="20"/>
              <w:spacing w:after="0" w:line="119" w:lineRule="exact"/>
              <w:rPr>
                <w:sz w:val="20"/>
                <w:szCs w:val="20"/>
                <w:color w:val="auto"/>
              </w:rPr>
            </w:pPr>
            <w:r>
              <w:rPr>
                <w:rFonts w:ascii="Arial" w:cs="Arial" w:eastAsia="Arial" w:hAnsi="Arial"/>
                <w:sz w:val="11"/>
                <w:szCs w:val="11"/>
                <w:color w:val="auto"/>
              </w:rPr>
              <w:t>Issuance of common</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Pr>
          <w:p>
            <w:pPr>
              <w:ind w:left="120"/>
              <w:spacing w:after="0" w:line="108" w:lineRule="exact"/>
              <w:rPr>
                <w:sz w:val="20"/>
                <w:szCs w:val="20"/>
                <w:color w:val="auto"/>
              </w:rPr>
            </w:pPr>
            <w:r>
              <w:rPr>
                <w:rFonts w:ascii="Arial" w:cs="Arial" w:eastAsia="Arial" w:hAnsi="Arial"/>
                <w:sz w:val="11"/>
                <w:szCs w:val="11"/>
                <w:color w:val="auto"/>
              </w:rPr>
              <w:t>stock upon settlement</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20" w:type="dxa"/>
            <w:vAlign w:val="bottom"/>
          </w:tcPr>
          <w:p>
            <w:pPr>
              <w:ind w:left="120"/>
              <w:spacing w:after="0" w:line="108" w:lineRule="exact"/>
              <w:rPr>
                <w:sz w:val="20"/>
                <w:szCs w:val="20"/>
                <w:color w:val="auto"/>
              </w:rPr>
            </w:pPr>
            <w:r>
              <w:rPr>
                <w:rFonts w:ascii="Arial" w:cs="Arial" w:eastAsia="Arial" w:hAnsi="Arial"/>
                <w:sz w:val="11"/>
                <w:szCs w:val="11"/>
                <w:color w:val="auto"/>
              </w:rPr>
              <w:t>of restricted stock</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320" w:type="dxa"/>
            <w:vAlign w:val="bottom"/>
          </w:tcPr>
          <w:p>
            <w:pPr>
              <w:ind w:left="120"/>
              <w:spacing w:after="0"/>
              <w:rPr>
                <w:sz w:val="20"/>
                <w:szCs w:val="20"/>
                <w:color w:val="auto"/>
              </w:rPr>
            </w:pPr>
            <w:r>
              <w:rPr>
                <w:rFonts w:ascii="Arial" w:cs="Arial" w:eastAsia="Arial" w:hAnsi="Arial"/>
                <w:sz w:val="11"/>
                <w:szCs w:val="11"/>
                <w:color w:val="auto"/>
              </w:rPr>
              <w:t>units</w:t>
            </w:r>
          </w:p>
        </w:tc>
        <w:tc>
          <w:tcPr>
            <w:tcW w:w="72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1"/>
                <w:szCs w:val="11"/>
                <w:color w:val="auto"/>
                <w:w w:val="90"/>
              </w:rPr>
              <w:t>—</w:t>
            </w:r>
          </w:p>
        </w:tc>
        <w:tc>
          <w:tcPr>
            <w:tcW w:w="66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20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23,037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320" w:type="dxa"/>
            <w:vAlign w:val="bottom"/>
            <w:tcBorders>
              <w:right w:val="single" w:sz="8" w:color="CFF0FC"/>
            </w:tcBorders>
            <w:shd w:val="clear" w:color="auto" w:fill="CFF0FC"/>
          </w:tcPr>
          <w:p>
            <w:pPr>
              <w:ind w:left="20"/>
              <w:spacing w:after="0" w:line="123" w:lineRule="exact"/>
              <w:rPr>
                <w:sz w:val="20"/>
                <w:szCs w:val="20"/>
                <w:color w:val="auto"/>
              </w:rPr>
            </w:pPr>
            <w:r>
              <w:rPr>
                <w:rFonts w:ascii="Arial" w:cs="Arial" w:eastAsia="Arial" w:hAnsi="Arial"/>
                <w:sz w:val="11"/>
                <w:szCs w:val="11"/>
                <w:color w:val="auto"/>
              </w:rPr>
              <w:t>Issuance of common</w:t>
            </w:r>
          </w:p>
        </w:tc>
        <w:tc>
          <w:tcPr>
            <w:tcW w:w="460" w:type="dxa"/>
            <w:vAlign w:val="bottom"/>
            <w:shd w:val="clear" w:color="auto" w:fill="CFF0FC"/>
          </w:tcPr>
          <w:p>
            <w:pPr>
              <w:spacing w:after="0"/>
              <w:rPr>
                <w:sz w:val="10"/>
                <w:szCs w:val="10"/>
                <w:color w:val="auto"/>
              </w:rPr>
            </w:pPr>
          </w:p>
        </w:tc>
        <w:tc>
          <w:tcPr>
            <w:tcW w:w="18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tcBorders>
              <w:left w:val="single" w:sz="8" w:color="CFF0FC"/>
              <w:right w:val="single" w:sz="8" w:color="CFF0FC"/>
            </w:tcBorders>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6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Borders>
              <w:right w:val="single" w:sz="8" w:color="CFF0FC"/>
            </w:tcBorders>
            <w:shd w:val="clear" w:color="auto" w:fill="CFF0FC"/>
          </w:tcPr>
          <w:p>
            <w:pPr>
              <w:ind w:left="120"/>
              <w:spacing w:after="0" w:line="108" w:lineRule="exact"/>
              <w:rPr>
                <w:sz w:val="20"/>
                <w:szCs w:val="20"/>
                <w:color w:val="auto"/>
              </w:rPr>
            </w:pPr>
            <w:r>
              <w:rPr>
                <w:rFonts w:ascii="Arial" w:cs="Arial" w:eastAsia="Arial" w:hAnsi="Arial"/>
                <w:sz w:val="11"/>
                <w:szCs w:val="11"/>
                <w:color w:val="auto"/>
              </w:rPr>
              <w:t>stock under employee</w:t>
            </w:r>
          </w:p>
        </w:tc>
        <w:tc>
          <w:tcPr>
            <w:tcW w:w="460" w:type="dxa"/>
            <w:vAlign w:val="bottom"/>
            <w:shd w:val="clear" w:color="auto" w:fill="CFF0FC"/>
          </w:tcPr>
          <w:p>
            <w:pPr>
              <w:spacing w:after="0"/>
              <w:rPr>
                <w:sz w:val="9"/>
                <w:szCs w:val="9"/>
                <w:color w:val="auto"/>
              </w:rPr>
            </w:pPr>
          </w:p>
        </w:tc>
        <w:tc>
          <w:tcPr>
            <w:tcW w:w="18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tcBorders>
              <w:left w:val="single" w:sz="8" w:color="CFF0FC"/>
              <w:right w:val="single" w:sz="8" w:color="CFF0FC"/>
            </w:tcBorders>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6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32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stock purchase plan</w:t>
            </w:r>
          </w:p>
        </w:tc>
        <w:tc>
          <w:tcPr>
            <w:tcW w:w="720" w:type="dxa"/>
            <w:vAlign w:val="bottom"/>
            <w:gridSpan w:val="3"/>
            <w:shd w:val="clear" w:color="auto" w:fill="CFF0FC"/>
          </w:tcPr>
          <w:p>
            <w:pPr>
              <w:ind w:left="34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1"/>
                <w:szCs w:val="11"/>
                <w:color w:val="auto"/>
                <w:w w:val="90"/>
              </w:rPr>
              <w:t>—</w:t>
            </w:r>
          </w:p>
        </w:tc>
        <w:tc>
          <w:tcPr>
            <w:tcW w:w="660" w:type="dxa"/>
            <w:vAlign w:val="bottom"/>
            <w:tcBorders>
              <w:right w:val="single" w:sz="8" w:color="CFF0FC"/>
            </w:tcBorders>
            <w:gridSpan w:val="3"/>
            <w:shd w:val="clear" w:color="auto" w:fill="CFF0FC"/>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auto"/>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84,812</w:t>
            </w: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320" w:type="dxa"/>
            <w:vAlign w:val="bottom"/>
            <w:gridSpan w:val="2"/>
            <w:shd w:val="clear" w:color="auto" w:fill="CFF0FC"/>
          </w:tcPr>
          <w:p>
            <w:pPr>
              <w:jc w:val="right"/>
              <w:ind w:right="11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1,271</w:t>
            </w:r>
          </w:p>
        </w:tc>
        <w:tc>
          <w:tcPr>
            <w:tcW w:w="2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320" w:type="dxa"/>
            <w:vAlign w:val="bottom"/>
          </w:tcPr>
          <w:p>
            <w:pPr>
              <w:ind w:left="20"/>
              <w:spacing w:after="0" w:line="119" w:lineRule="exact"/>
              <w:rPr>
                <w:sz w:val="20"/>
                <w:szCs w:val="20"/>
                <w:color w:val="auto"/>
              </w:rPr>
            </w:pPr>
            <w:r>
              <w:rPr>
                <w:rFonts w:ascii="Arial" w:cs="Arial" w:eastAsia="Arial" w:hAnsi="Arial"/>
                <w:sz w:val="11"/>
                <w:szCs w:val="11"/>
                <w:color w:val="auto"/>
              </w:rPr>
              <w:t>Issuance of common</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Pr>
          <w:p>
            <w:pPr>
              <w:ind w:left="120"/>
              <w:spacing w:after="0" w:line="108" w:lineRule="exact"/>
              <w:rPr>
                <w:sz w:val="20"/>
                <w:szCs w:val="20"/>
                <w:color w:val="auto"/>
              </w:rPr>
            </w:pPr>
            <w:r>
              <w:rPr>
                <w:rFonts w:ascii="Arial" w:cs="Arial" w:eastAsia="Arial" w:hAnsi="Arial"/>
                <w:sz w:val="11"/>
                <w:szCs w:val="11"/>
                <w:color w:val="auto"/>
              </w:rPr>
              <w:t>stock as</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20" w:type="dxa"/>
            <w:vAlign w:val="bottom"/>
          </w:tcPr>
          <w:p>
            <w:pPr>
              <w:ind w:left="20"/>
              <w:spacing w:after="0" w:line="108" w:lineRule="exact"/>
              <w:rPr>
                <w:sz w:val="20"/>
                <w:szCs w:val="20"/>
                <w:color w:val="auto"/>
              </w:rPr>
            </w:pPr>
            <w:r>
              <w:rPr>
                <w:rFonts w:ascii="Arial" w:cs="Arial" w:eastAsia="Arial" w:hAnsi="Arial"/>
                <w:sz w:val="11"/>
                <w:szCs w:val="11"/>
                <w:color w:val="auto"/>
              </w:rPr>
              <w:t>consideration</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320" w:type="dxa"/>
            <w:vAlign w:val="bottom"/>
          </w:tcPr>
          <w:p>
            <w:pPr>
              <w:ind w:left="120"/>
              <w:spacing w:after="0"/>
              <w:rPr>
                <w:sz w:val="20"/>
                <w:szCs w:val="20"/>
                <w:color w:val="auto"/>
              </w:rPr>
            </w:pPr>
            <w:r>
              <w:rPr>
                <w:rFonts w:ascii="Arial" w:cs="Arial" w:eastAsia="Arial" w:hAnsi="Arial"/>
                <w:sz w:val="11"/>
                <w:szCs w:val="11"/>
                <w:color w:val="auto"/>
              </w:rPr>
              <w:t>for acquisition</w:t>
            </w:r>
          </w:p>
        </w:tc>
        <w:tc>
          <w:tcPr>
            <w:tcW w:w="72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1"/>
                <w:szCs w:val="11"/>
                <w:color w:val="auto"/>
                <w:w w:val="90"/>
              </w:rPr>
              <w:t>—</w:t>
            </w:r>
          </w:p>
        </w:tc>
        <w:tc>
          <w:tcPr>
            <w:tcW w:w="66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20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200,314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w w:val="94"/>
              </w:rPr>
              <w:t>4,287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320" w:type="dxa"/>
            <w:vAlign w:val="bottom"/>
            <w:tcBorders>
              <w:right w:val="single" w:sz="8" w:color="CFF0FC"/>
            </w:tcBorders>
            <w:shd w:val="clear" w:color="auto" w:fill="CFF0FC"/>
          </w:tcPr>
          <w:p>
            <w:pPr>
              <w:ind w:left="20"/>
              <w:spacing w:after="0" w:line="123" w:lineRule="exact"/>
              <w:rPr>
                <w:sz w:val="20"/>
                <w:szCs w:val="20"/>
                <w:color w:val="auto"/>
              </w:rPr>
            </w:pPr>
            <w:r>
              <w:rPr>
                <w:rFonts w:ascii="Arial" w:cs="Arial" w:eastAsia="Arial" w:hAnsi="Arial"/>
                <w:sz w:val="11"/>
                <w:szCs w:val="11"/>
                <w:color w:val="auto"/>
              </w:rPr>
              <w:t>Foreign currency</w:t>
            </w:r>
          </w:p>
        </w:tc>
        <w:tc>
          <w:tcPr>
            <w:tcW w:w="460" w:type="dxa"/>
            <w:vAlign w:val="bottom"/>
            <w:shd w:val="clear" w:color="auto" w:fill="CFF0FC"/>
          </w:tcPr>
          <w:p>
            <w:pPr>
              <w:spacing w:after="0"/>
              <w:rPr>
                <w:sz w:val="10"/>
                <w:szCs w:val="10"/>
                <w:color w:val="auto"/>
              </w:rPr>
            </w:pPr>
          </w:p>
        </w:tc>
        <w:tc>
          <w:tcPr>
            <w:tcW w:w="18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tcBorders>
              <w:left w:val="single" w:sz="8" w:color="CFF0FC"/>
              <w:right w:val="single" w:sz="8" w:color="CFF0FC"/>
            </w:tcBorders>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20" w:type="dxa"/>
            <w:vAlign w:val="bottom"/>
            <w:tcBorders>
              <w:left w:val="single" w:sz="8" w:color="CFF0FC"/>
            </w:tcBorders>
            <w:shd w:val="clear" w:color="auto" w:fill="CFF0FC"/>
          </w:tcPr>
          <w:p>
            <w:pPr>
              <w:spacing w:after="0"/>
              <w:rPr>
                <w:sz w:val="10"/>
                <w:szCs w:val="10"/>
                <w:color w:val="auto"/>
              </w:rPr>
            </w:pPr>
          </w:p>
        </w:tc>
        <w:tc>
          <w:tcPr>
            <w:tcW w:w="160" w:type="dxa"/>
            <w:vAlign w:val="bottom"/>
            <w:tcBorders>
              <w:left w:val="single" w:sz="8" w:color="CFF0FC"/>
            </w:tcBorders>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2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translation adjustment</w:t>
            </w:r>
          </w:p>
        </w:tc>
        <w:tc>
          <w:tcPr>
            <w:tcW w:w="720" w:type="dxa"/>
            <w:vAlign w:val="bottom"/>
            <w:gridSpan w:val="3"/>
            <w:shd w:val="clear" w:color="auto" w:fill="CFF0FC"/>
          </w:tcPr>
          <w:p>
            <w:pPr>
              <w:ind w:left="34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1"/>
                <w:szCs w:val="11"/>
                <w:color w:val="auto"/>
                <w:w w:val="90"/>
              </w:rPr>
              <w:t>—</w:t>
            </w:r>
          </w:p>
        </w:tc>
        <w:tc>
          <w:tcPr>
            <w:tcW w:w="660" w:type="dxa"/>
            <w:vAlign w:val="bottom"/>
            <w:tcBorders>
              <w:right w:val="single" w:sz="8" w:color="CFF0FC"/>
            </w:tcBorders>
            <w:gridSpan w:val="3"/>
            <w:shd w:val="clear" w:color="auto" w:fill="CFF0FC"/>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tcBorders>
              <w:right w:val="single" w:sz="8" w:color="auto"/>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tcBorders>
              <w:right w:val="single" w:sz="8" w:color="CFF0FC"/>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320" w:type="dxa"/>
            <w:vAlign w:val="bottom"/>
            <w:gridSpan w:val="2"/>
            <w:shd w:val="clear" w:color="auto" w:fill="CFF0FC"/>
          </w:tcPr>
          <w:p>
            <w:pPr>
              <w:jc w:val="right"/>
              <w:ind w:right="11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(273 )</w:t>
            </w:r>
          </w:p>
        </w:tc>
        <w:tc>
          <w:tcPr>
            <w:tcW w:w="120" w:type="dxa"/>
            <w:vAlign w:val="bottom"/>
            <w:tcBorders>
              <w:left w:val="single" w:sz="8" w:color="CFF0FC"/>
            </w:tcBorders>
            <w:shd w:val="clear" w:color="auto" w:fill="CFF0FC"/>
          </w:tcPr>
          <w:p>
            <w:pPr>
              <w:spacing w:after="0"/>
              <w:rPr>
                <w:sz w:val="12"/>
                <w:szCs w:val="12"/>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left w:val="single" w:sz="8" w:color="CFF0FC"/>
            </w:tcBorders>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(273 )</w:t>
            </w:r>
          </w:p>
        </w:tc>
        <w:tc>
          <w:tcPr>
            <w:tcW w:w="0" w:type="dxa"/>
            <w:vAlign w:val="bottom"/>
          </w:tcPr>
          <w:p>
            <w:pPr>
              <w:spacing w:after="0"/>
              <w:rPr>
                <w:sz w:val="1"/>
                <w:szCs w:val="1"/>
                <w:color w:val="auto"/>
              </w:rPr>
            </w:pPr>
          </w:p>
        </w:tc>
      </w:tr>
      <w:tr>
        <w:trPr>
          <w:trHeight w:val="118"/>
        </w:trPr>
        <w:tc>
          <w:tcPr>
            <w:tcW w:w="1320" w:type="dxa"/>
            <w:vAlign w:val="bottom"/>
          </w:tcPr>
          <w:p>
            <w:pPr>
              <w:ind w:left="20"/>
              <w:spacing w:after="0" w:line="119" w:lineRule="exact"/>
              <w:rPr>
                <w:sz w:val="20"/>
                <w:szCs w:val="20"/>
                <w:color w:val="auto"/>
              </w:rPr>
            </w:pPr>
            <w:r>
              <w:rPr>
                <w:rFonts w:ascii="Arial" w:cs="Arial" w:eastAsia="Arial" w:hAnsi="Arial"/>
                <w:sz w:val="11"/>
                <w:szCs w:val="11"/>
                <w:color w:val="auto"/>
              </w:rPr>
              <w:t>Stock-based</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tcPr>
          <w:p>
            <w:pPr>
              <w:ind w:left="120"/>
              <w:spacing w:after="0" w:line="108" w:lineRule="exact"/>
              <w:rPr>
                <w:sz w:val="20"/>
                <w:szCs w:val="20"/>
                <w:color w:val="auto"/>
              </w:rPr>
            </w:pPr>
            <w:r>
              <w:rPr>
                <w:rFonts w:ascii="Arial" w:cs="Arial" w:eastAsia="Arial" w:hAnsi="Arial"/>
                <w:sz w:val="11"/>
                <w:szCs w:val="11"/>
                <w:color w:val="auto"/>
              </w:rPr>
              <w:t>compensation</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320" w:type="dxa"/>
            <w:vAlign w:val="bottom"/>
          </w:tcPr>
          <w:p>
            <w:pPr>
              <w:ind w:left="120"/>
              <w:spacing w:after="0"/>
              <w:rPr>
                <w:sz w:val="20"/>
                <w:szCs w:val="20"/>
                <w:color w:val="auto"/>
              </w:rPr>
            </w:pPr>
            <w:r>
              <w:rPr>
                <w:rFonts w:ascii="Arial" w:cs="Arial" w:eastAsia="Arial" w:hAnsi="Arial"/>
                <w:sz w:val="11"/>
                <w:szCs w:val="11"/>
                <w:color w:val="auto"/>
              </w:rPr>
              <w:t>expense</w:t>
            </w:r>
          </w:p>
        </w:tc>
        <w:tc>
          <w:tcPr>
            <w:tcW w:w="720" w:type="dxa"/>
            <w:vAlign w:val="bottom"/>
            <w:gridSpan w:val="3"/>
          </w:tcPr>
          <w:p>
            <w:pPr>
              <w:ind w:left="3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1"/>
                <w:szCs w:val="11"/>
                <w:color w:val="auto"/>
                <w:w w:val="90"/>
              </w:rPr>
              <w:t>—</w:t>
            </w:r>
          </w:p>
        </w:tc>
        <w:tc>
          <w:tcPr>
            <w:tcW w:w="66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right w:val="single" w:sz="8" w:color="auto"/>
            </w:tcBorders>
            <w:gridSpan w:val="2"/>
          </w:tcPr>
          <w:p>
            <w:pPr>
              <w:jc w:val="right"/>
              <w:ind w:right="206"/>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gridSpan w:val="2"/>
          </w:tcPr>
          <w:p>
            <w:pPr>
              <w:jc w:val="right"/>
              <w:ind w:right="31"/>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w w:val="94"/>
              </w:rPr>
              <w:t>8,529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8,529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720" w:type="dxa"/>
            <w:vAlign w:val="bottom"/>
            <w:gridSpan w:val="3"/>
            <w:shd w:val="clear" w:color="auto" w:fill="CFF0FC"/>
          </w:tcPr>
          <w:p>
            <w:pPr>
              <w:ind w:left="34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1"/>
                <w:szCs w:val="11"/>
                <w:color w:val="auto"/>
                <w:w w:val="90"/>
              </w:rPr>
              <w:t>—</w:t>
            </w:r>
          </w:p>
        </w:tc>
        <w:tc>
          <w:tcPr>
            <w:tcW w:w="660" w:type="dxa"/>
            <w:vAlign w:val="bottom"/>
            <w:tcBorders>
              <w:right w:val="single" w:sz="8" w:color="CFF0FC"/>
            </w:tcBorders>
            <w:gridSpan w:val="3"/>
            <w:shd w:val="clear" w:color="auto" w:fill="CFF0FC"/>
          </w:tcPr>
          <w:p>
            <w:pPr>
              <w:ind w:left="3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tcBorders>
              <w:right w:val="single" w:sz="8" w:color="auto"/>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right w:val="single" w:sz="8" w:color="CFF0FC"/>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320" w:type="dxa"/>
            <w:vAlign w:val="bottom"/>
            <w:gridSpan w:val="2"/>
            <w:shd w:val="clear" w:color="auto" w:fill="CFF0FC"/>
          </w:tcPr>
          <w:p>
            <w:pPr>
              <w:jc w:val="right"/>
              <w:ind w:right="11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(4,272 )</w:t>
            </w:r>
          </w:p>
        </w:tc>
        <w:tc>
          <w:tcPr>
            <w:tcW w:w="220" w:type="dxa"/>
            <w:vAlign w:val="bottom"/>
            <w:tcBorders>
              <w:left w:val="single" w:sz="8" w:color="CFF0FC"/>
            </w:tcBorders>
            <w:shd w:val="clear" w:color="auto" w:fill="CFF0FC"/>
          </w:tcPr>
          <w:p>
            <w:pPr>
              <w:spacing w:after="0"/>
              <w:rPr>
                <w:sz w:val="11"/>
                <w:szCs w:val="11"/>
                <w:color w:val="auto"/>
              </w:rPr>
            </w:pPr>
          </w:p>
        </w:tc>
        <w:tc>
          <w:tcPr>
            <w:tcW w:w="160" w:type="dxa"/>
            <w:vAlign w:val="bottom"/>
            <w:tcBorders>
              <w:left w:val="single" w:sz="8" w:color="CFF0FC"/>
            </w:tcBorders>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(4,272 )</w:t>
            </w:r>
          </w:p>
        </w:tc>
        <w:tc>
          <w:tcPr>
            <w:tcW w:w="0" w:type="dxa"/>
            <w:vAlign w:val="bottom"/>
          </w:tcPr>
          <w:p>
            <w:pPr>
              <w:spacing w:after="0"/>
              <w:rPr>
                <w:sz w:val="1"/>
                <w:szCs w:val="1"/>
                <w:color w:val="auto"/>
              </w:rPr>
            </w:pPr>
          </w:p>
        </w:tc>
      </w:tr>
      <w:tr>
        <w:trPr>
          <w:trHeight w:val="102"/>
        </w:trPr>
        <w:tc>
          <w:tcPr>
            <w:tcW w:w="1320" w:type="dxa"/>
            <w:vAlign w:val="bottom"/>
            <w:tcBorders>
              <w:top w:val="single" w:sz="8" w:color="CFF0FC"/>
            </w:tcBorders>
          </w:tcPr>
          <w:p>
            <w:pPr>
              <w:ind w:left="20"/>
              <w:spacing w:after="0" w:line="102" w:lineRule="exact"/>
              <w:rPr>
                <w:sz w:val="20"/>
                <w:szCs w:val="20"/>
                <w:color w:val="auto"/>
              </w:rPr>
            </w:pPr>
            <w:r>
              <w:rPr>
                <w:rFonts w:ascii="Arial" w:cs="Arial" w:eastAsia="Arial" w:hAnsi="Arial"/>
                <w:sz w:val="11"/>
                <w:szCs w:val="11"/>
                <w:b w:val="1"/>
                <w:bCs w:val="1"/>
                <w:color w:val="auto"/>
              </w:rPr>
              <w:t>Balances at</w:t>
            </w: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60" w:type="dxa"/>
            <w:vAlign w:val="bottom"/>
            <w:tcBorders>
              <w:top w:val="single" w:sz="8" w:color="CFF0FC"/>
              <w:right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gridSpan w:val="3"/>
          </w:tcPr>
          <w:p>
            <w:pPr>
              <w:jc w:val="right"/>
              <w:spacing w:after="0" w:line="102" w:lineRule="exact"/>
              <w:rPr>
                <w:sz w:val="20"/>
                <w:szCs w:val="20"/>
                <w:color w:val="auto"/>
              </w:rPr>
            </w:pPr>
            <w:r>
              <w:rPr>
                <w:rFonts w:ascii="Arial" w:cs="Arial" w:eastAsia="Arial" w:hAnsi="Arial"/>
                <w:sz w:val="11"/>
                <w:szCs w:val="11"/>
                <w:color w:val="auto"/>
              </w:rPr>
              <w:t>106,593</w:t>
            </w:r>
          </w:p>
        </w:tc>
        <w:tc>
          <w:tcPr>
            <w:tcW w:w="24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2"/>
          </w:tcPr>
          <w:p>
            <w:pPr>
              <w:jc w:val="right"/>
              <w:spacing w:after="0" w:line="102" w:lineRule="exact"/>
              <w:rPr>
                <w:sz w:val="20"/>
                <w:szCs w:val="20"/>
                <w:color w:val="auto"/>
              </w:rPr>
            </w:pPr>
            <w:r>
              <w:rPr>
                <w:rFonts w:ascii="Arial" w:cs="Arial" w:eastAsia="Arial" w:hAnsi="Arial"/>
                <w:sz w:val="11"/>
                <w:szCs w:val="11"/>
                <w:color w:val="auto"/>
              </w:rPr>
              <w:t>4,608,</w:t>
            </w: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6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(74</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640,</w:t>
            </w: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(164,07</w:t>
            </w: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320" w:type="dxa"/>
            <w:vAlign w:val="bottom"/>
          </w:tcPr>
          <w:p>
            <w:pPr>
              <w:ind w:left="20"/>
              <w:spacing w:after="0"/>
              <w:rPr>
                <w:sz w:val="20"/>
                <w:szCs w:val="20"/>
                <w:color w:val="auto"/>
              </w:rPr>
            </w:pPr>
            <w:r>
              <w:rPr>
                <w:rFonts w:ascii="Arial" w:cs="Arial" w:eastAsia="Arial" w:hAnsi="Arial"/>
                <w:sz w:val="11"/>
                <w:szCs w:val="11"/>
                <w:b w:val="1"/>
                <w:bCs w:val="1"/>
                <w:color w:val="auto"/>
              </w:rPr>
              <w:t>September 30, 2022</w:t>
            </w:r>
          </w:p>
        </w:tc>
        <w:tc>
          <w:tcPr>
            <w:tcW w:w="460" w:type="dxa"/>
            <w:vAlign w:val="bottom"/>
          </w:tcPr>
          <w:p>
            <w:pPr>
              <w:ind w:left="340"/>
              <w:spacing w:after="0"/>
              <w:rPr>
                <w:sz w:val="20"/>
                <w:szCs w:val="20"/>
                <w:color w:val="auto"/>
              </w:rPr>
            </w:pPr>
            <w:r>
              <w:rPr>
                <w:rFonts w:ascii="Arial" w:cs="Arial" w:eastAsia="Arial" w:hAnsi="Arial"/>
                <w:sz w:val="11"/>
                <w:szCs w:val="11"/>
                <w:color w:val="auto"/>
                <w:w w:val="72"/>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186"/>
              <w:spacing w:after="0"/>
              <w:rPr>
                <w:sz w:val="20"/>
                <w:szCs w:val="20"/>
                <w:color w:val="auto"/>
              </w:rPr>
            </w:pPr>
            <w:r>
              <w:rPr>
                <w:rFonts w:ascii="Arial" w:cs="Arial" w:eastAsia="Arial" w:hAnsi="Arial"/>
                <w:sz w:val="10"/>
                <w:szCs w:val="10"/>
                <w:color w:val="auto"/>
                <w:w w:val="71"/>
              </w:rPr>
              <w:t>$</w:t>
            </w: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2"/>
                <w:szCs w:val="12"/>
                <w:color w:val="auto"/>
              </w:rPr>
            </w:pPr>
          </w:p>
        </w:tc>
        <w:tc>
          <w:tcPr>
            <w:tcW w:w="420" w:type="dxa"/>
            <w:vAlign w:val="bottom"/>
          </w:tcPr>
          <w:p>
            <w:pPr>
              <w:ind w:left="30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,518</w:t>
            </w:r>
          </w:p>
        </w:tc>
        <w:tc>
          <w:tcPr>
            <w:tcW w:w="24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1"/>
                <w:szCs w:val="11"/>
                <w:color w:val="auto"/>
                <w:w w:val="81"/>
              </w:rPr>
              <w:t>10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841</w:t>
            </w:r>
          </w:p>
        </w:tc>
        <w:tc>
          <w:tcPr>
            <w:tcW w:w="2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right"/>
              <w:ind w:right="180"/>
              <w:spacing w:after="0"/>
              <w:rPr>
                <w:sz w:val="20"/>
                <w:szCs w:val="20"/>
                <w:color w:val="auto"/>
              </w:rPr>
            </w:pPr>
            <w:r>
              <w:rPr>
                <w:rFonts w:ascii="Arial" w:cs="Arial" w:eastAsia="Arial" w:hAnsi="Arial"/>
                <w:sz w:val="11"/>
                <w:szCs w:val="11"/>
                <w:color w:val="auto"/>
              </w:rPr>
              <w:t>(2,317,722 )   $   8 )</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217</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(807 )</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5 )</w:t>
            </w:r>
          </w:p>
        </w:tc>
        <w:tc>
          <w:tcPr>
            <w:tcW w:w="22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474,598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5"/>
          </w:tcPr>
          <w:p>
            <w:pPr>
              <w:jc w:val="center"/>
              <w:ind w:right="280"/>
              <w:spacing w:after="0"/>
              <w:rPr>
                <w:sz w:val="20"/>
                <w:szCs w:val="20"/>
                <w:color w:val="auto"/>
              </w:rPr>
            </w:pPr>
            <w:r>
              <w:rPr>
                <w:rFonts w:ascii="Arial" w:cs="Arial" w:eastAsia="Arial" w:hAnsi="Arial"/>
                <w:sz w:val="11"/>
                <w:szCs w:val="11"/>
                <w:b w:val="1"/>
                <w:bCs w:val="1"/>
                <w:color w:val="auto"/>
                <w:w w:val="97"/>
              </w:rPr>
              <w:t>Three Months Ended September 30, 2021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vMerge w:val="restart"/>
          </w:tcPr>
          <w:p>
            <w:pPr>
              <w:jc w:val="center"/>
              <w:ind w:right="160"/>
              <w:spacing w:after="0"/>
              <w:rPr>
                <w:sz w:val="20"/>
                <w:szCs w:val="20"/>
                <w:color w:val="auto"/>
              </w:rPr>
            </w:pPr>
            <w:r>
              <w:rPr>
                <w:rFonts w:ascii="Arial" w:cs="Arial" w:eastAsia="Arial" w:hAnsi="Arial"/>
                <w:sz w:val="11"/>
                <w:szCs w:val="11"/>
                <w:b w:val="1"/>
                <w:bCs w:val="1"/>
                <w:color w:val="auto"/>
                <w:w w:val="99"/>
              </w:rPr>
              <w:t>Accumulate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88"/>
              </w:rPr>
              <w:t>d</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020" w:type="dxa"/>
            <w:vAlign w:val="bottom"/>
            <w:gridSpan w:val="5"/>
            <w:vMerge w:val="restart"/>
          </w:tcPr>
          <w:p>
            <w:pPr>
              <w:ind w:left="320"/>
              <w:spacing w:after="0"/>
              <w:rPr>
                <w:sz w:val="20"/>
                <w:szCs w:val="20"/>
                <w:color w:val="auto"/>
              </w:rPr>
            </w:pPr>
            <w:r>
              <w:rPr>
                <w:rFonts w:ascii="Arial" w:cs="Arial" w:eastAsia="Arial" w:hAnsi="Arial"/>
                <w:sz w:val="11"/>
                <w:szCs w:val="11"/>
                <w:b w:val="1"/>
                <w:bCs w:val="1"/>
                <w:color w:val="auto"/>
              </w:rPr>
              <w:t>Convertible</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gridSpan w:val="8"/>
          </w:tcPr>
          <w:p>
            <w:pPr>
              <w:ind w:left="300"/>
              <w:spacing w:after="0" w:line="122" w:lineRule="exact"/>
              <w:rPr>
                <w:sz w:val="20"/>
                <w:szCs w:val="20"/>
                <w:color w:val="auto"/>
              </w:rPr>
            </w:pPr>
            <w:r>
              <w:rPr>
                <w:rFonts w:ascii="Arial" w:cs="Arial" w:eastAsia="Arial" w:hAnsi="Arial"/>
                <w:sz w:val="11"/>
                <w:szCs w:val="11"/>
                <w:b w:val="1"/>
                <w:bCs w:val="1"/>
                <w:color w:val="auto"/>
              </w:rPr>
              <w:t>Redeemable</w:t>
            </w: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gridSpan w:val="4"/>
            <w:vMerge w:val="restart"/>
          </w:tcPr>
          <w:p>
            <w:pPr>
              <w:jc w:val="right"/>
              <w:ind w:right="131"/>
              <w:spacing w:after="0"/>
              <w:rPr>
                <w:sz w:val="20"/>
                <w:szCs w:val="20"/>
                <w:color w:val="auto"/>
              </w:rPr>
            </w:pPr>
            <w:r>
              <w:rPr>
                <w:rFonts w:ascii="Arial" w:cs="Arial" w:eastAsia="Arial" w:hAnsi="Arial"/>
                <w:sz w:val="11"/>
                <w:szCs w:val="11"/>
                <w:b w:val="1"/>
                <w:bCs w:val="1"/>
                <w:color w:val="auto"/>
              </w:rPr>
              <w:t>Voting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7"/>
              </w:rPr>
              <w:t>Non-Voting</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5"/>
            <w:vMerge w:val="restart"/>
          </w:tcPr>
          <w:p>
            <w:pPr>
              <w:jc w:val="right"/>
              <w:ind w:right="360"/>
              <w:spacing w:after="0"/>
              <w:rPr>
                <w:sz w:val="20"/>
                <w:szCs w:val="20"/>
                <w:color w:val="auto"/>
              </w:rPr>
            </w:pPr>
            <w:r>
              <w:rPr>
                <w:rFonts w:ascii="Arial" w:cs="Arial" w:eastAsia="Arial" w:hAnsi="Arial"/>
                <w:sz w:val="11"/>
                <w:szCs w:val="11"/>
                <w:b w:val="1"/>
                <w:bCs w:val="1"/>
                <w:color w:val="auto"/>
              </w:rPr>
              <w:t>Treasury Voting</w:t>
            </w:r>
          </w:p>
        </w:tc>
        <w:tc>
          <w:tcPr>
            <w:tcW w:w="6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Additio</w:t>
            </w:r>
          </w:p>
        </w:tc>
        <w:tc>
          <w:tcPr>
            <w:tcW w:w="100" w:type="dxa"/>
            <w:vAlign w:val="bottom"/>
          </w:tcPr>
          <w:p>
            <w:pPr>
              <w:spacing w:after="0"/>
              <w:rPr>
                <w:sz w:val="10"/>
                <w:szCs w:val="10"/>
                <w:color w:val="auto"/>
              </w:rPr>
            </w:pPr>
          </w:p>
        </w:tc>
        <w:tc>
          <w:tcPr>
            <w:tcW w:w="7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5"/>
              </w:rPr>
              <w:t>Other</w:t>
            </w:r>
          </w:p>
        </w:tc>
        <w:tc>
          <w:tcPr>
            <w:tcW w:w="7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Accumula</w:t>
            </w:r>
          </w:p>
        </w:tc>
        <w:tc>
          <w:tcPr>
            <w:tcW w:w="16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10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gridSpan w:val="8"/>
          </w:tcPr>
          <w:p>
            <w:pPr>
              <w:ind w:left="320"/>
              <w:spacing w:after="0" w:line="108" w:lineRule="exact"/>
              <w:rPr>
                <w:sz w:val="20"/>
                <w:szCs w:val="20"/>
                <w:color w:val="auto"/>
              </w:rPr>
            </w:pPr>
            <w:r>
              <w:rPr>
                <w:rFonts w:ascii="Arial" w:cs="Arial" w:eastAsia="Arial" w:hAnsi="Arial"/>
                <w:sz w:val="11"/>
                <w:szCs w:val="11"/>
                <w:b w:val="1"/>
                <w:bCs w:val="1"/>
                <w:color w:val="auto"/>
              </w:rPr>
              <w:t>Convertible</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4"/>
          </w:tcPr>
          <w:p>
            <w:pPr>
              <w:jc w:val="center"/>
              <w:spacing w:after="0" w:line="108" w:lineRule="exact"/>
              <w:rPr>
                <w:sz w:val="20"/>
                <w:szCs w:val="20"/>
                <w:color w:val="auto"/>
              </w:rPr>
            </w:pPr>
            <w:r>
              <w:rPr>
                <w:rFonts w:ascii="Arial" w:cs="Arial" w:eastAsia="Arial" w:hAnsi="Arial"/>
                <w:sz w:val="11"/>
                <w:szCs w:val="11"/>
                <w:b w:val="1"/>
                <w:bCs w:val="1"/>
                <w:color w:val="auto"/>
                <w:w w:val="96"/>
              </w:rPr>
              <w:t>Common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nal</w:t>
            </w:r>
          </w:p>
        </w:tc>
        <w:tc>
          <w:tcPr>
            <w:tcW w:w="860" w:type="dxa"/>
            <w:vAlign w:val="bottom"/>
            <w:gridSpan w:val="3"/>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Comprehen</w:t>
            </w:r>
          </w:p>
        </w:tc>
        <w:tc>
          <w:tcPr>
            <w:tcW w:w="740" w:type="dxa"/>
            <w:vAlign w:val="bottom"/>
            <w:gridSpan w:val="3"/>
            <w:vMerge w:val="continue"/>
          </w:tcPr>
          <w:p>
            <w:pPr>
              <w:spacing w:after="0"/>
              <w:rPr>
                <w:sz w:val="9"/>
                <w:szCs w:val="9"/>
                <w:color w:val="auto"/>
              </w:rPr>
            </w:pPr>
          </w:p>
        </w:tc>
        <w:tc>
          <w:tcPr>
            <w:tcW w:w="820" w:type="dxa"/>
            <w:vAlign w:val="bottom"/>
            <w:gridSpan w:val="3"/>
          </w:tcPr>
          <w:p>
            <w:pPr>
              <w:jc w:val="center"/>
              <w:ind w:right="40"/>
              <w:spacing w:after="0" w:line="108" w:lineRule="exact"/>
              <w:rPr>
                <w:sz w:val="20"/>
                <w:szCs w:val="20"/>
                <w:color w:val="auto"/>
              </w:rPr>
            </w:pPr>
            <w:r>
              <w:rPr>
                <w:rFonts w:ascii="Arial" w:cs="Arial" w:eastAsia="Arial" w:hAnsi="Arial"/>
                <w:sz w:val="11"/>
                <w:szCs w:val="11"/>
                <w:b w:val="1"/>
                <w:bCs w:val="1"/>
                <w:color w:val="auto"/>
                <w:w w:val="97"/>
              </w:rPr>
              <w:t>Stockholde</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020" w:type="dxa"/>
            <w:vAlign w:val="bottom"/>
            <w:gridSpan w:val="5"/>
          </w:tcPr>
          <w:p>
            <w:pPr>
              <w:ind w:left="220"/>
              <w:spacing w:after="0"/>
              <w:rPr>
                <w:sz w:val="20"/>
                <w:szCs w:val="20"/>
                <w:color w:val="auto"/>
              </w:rPr>
            </w:pPr>
            <w:r>
              <w:rPr>
                <w:rFonts w:ascii="Arial" w:cs="Arial" w:eastAsia="Arial" w:hAnsi="Arial"/>
                <w:sz w:val="11"/>
                <w:szCs w:val="11"/>
                <w:b w:val="1"/>
                <w:bCs w:val="1"/>
                <w:color w:val="auto"/>
                <w:w w:val="95"/>
              </w:rPr>
              <w:t>Preferred Stock</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8"/>
          </w:tcPr>
          <w:p>
            <w:pPr>
              <w:ind w:left="220"/>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7"/>
          </w:tcPr>
          <w:p>
            <w:pPr>
              <w:jc w:val="right"/>
              <w:ind w:right="12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4"/>
          </w:tcPr>
          <w:p>
            <w:pPr>
              <w:jc w:val="center"/>
              <w:spacing w:after="0"/>
              <w:rPr>
                <w:sz w:val="20"/>
                <w:szCs w:val="20"/>
                <w:color w:val="auto"/>
              </w:rPr>
            </w:pPr>
            <w:r>
              <w:rPr>
                <w:rFonts w:ascii="Arial" w:cs="Arial" w:eastAsia="Arial" w:hAnsi="Arial"/>
                <w:sz w:val="11"/>
                <w:szCs w:val="11"/>
                <w:b w:val="1"/>
                <w:bCs w:val="1"/>
                <w:color w:val="auto"/>
                <w:w w:val="99"/>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1"/>
                <w:szCs w:val="11"/>
                <w:b w:val="1"/>
                <w:bCs w:val="1"/>
                <w:color w:val="auto"/>
              </w:rPr>
              <w:t>Common Stock</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sive</w:t>
            </w:r>
          </w:p>
        </w:tc>
        <w:tc>
          <w:tcPr>
            <w:tcW w:w="120" w:type="dxa"/>
            <w:vAlign w:val="bottom"/>
          </w:tcPr>
          <w:p>
            <w:pPr>
              <w:spacing w:after="0"/>
              <w:rPr>
                <w:sz w:val="12"/>
                <w:szCs w:val="1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ted</w:t>
            </w:r>
          </w:p>
        </w:tc>
        <w:tc>
          <w:tcPr>
            <w:tcW w:w="16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rs’</w:t>
            </w:r>
          </w:p>
        </w:tc>
        <w:tc>
          <w:tcPr>
            <w:tcW w:w="0" w:type="dxa"/>
            <w:vAlign w:val="bottom"/>
          </w:tcPr>
          <w:p>
            <w:pPr>
              <w:spacing w:after="0"/>
              <w:rPr>
                <w:sz w:val="1"/>
                <w:szCs w:val="1"/>
                <w:color w:val="auto"/>
              </w:rPr>
            </w:pPr>
          </w:p>
        </w:tc>
      </w:tr>
      <w:tr>
        <w:trPr>
          <w:trHeight w:val="94"/>
        </w:trPr>
        <w:tc>
          <w:tcPr>
            <w:tcW w:w="13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3"/>
          </w:tcPr>
          <w:p>
            <w:pPr>
              <w:jc w:val="right"/>
              <w:spacing w:after="0" w:line="94" w:lineRule="exact"/>
              <w:rPr>
                <w:sz w:val="20"/>
                <w:szCs w:val="20"/>
                <w:color w:val="auto"/>
              </w:rPr>
            </w:pPr>
            <w:r>
              <w:rPr>
                <w:rFonts w:ascii="Arial" w:cs="Arial" w:eastAsia="Arial" w:hAnsi="Arial"/>
                <w:sz w:val="10"/>
                <w:szCs w:val="10"/>
                <w:b w:val="1"/>
                <w:bCs w:val="1"/>
                <w:color w:val="auto"/>
              </w:rPr>
              <w:t>Amo</w:t>
            </w: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3"/>
          </w:tcPr>
          <w:p>
            <w:pPr>
              <w:jc w:val="right"/>
              <w:ind w:right="40"/>
              <w:spacing w:after="0" w:line="94" w:lineRule="exact"/>
              <w:rPr>
                <w:sz w:val="20"/>
                <w:szCs w:val="20"/>
                <w:color w:val="auto"/>
              </w:rPr>
            </w:pPr>
            <w:r>
              <w:rPr>
                <w:rFonts w:ascii="Arial" w:cs="Arial" w:eastAsia="Arial" w:hAnsi="Arial"/>
                <w:sz w:val="10"/>
                <w:szCs w:val="10"/>
                <w:b w:val="1"/>
                <w:bCs w:val="1"/>
                <w:color w:val="auto"/>
              </w:rPr>
              <w:t>Amo</w:t>
            </w:r>
          </w:p>
        </w:tc>
        <w:tc>
          <w:tcPr>
            <w:tcW w:w="2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2"/>
          </w:tcPr>
          <w:p>
            <w:pPr>
              <w:jc w:val="center"/>
              <w:spacing w:after="0" w:line="94" w:lineRule="exact"/>
              <w:rPr>
                <w:sz w:val="20"/>
                <w:szCs w:val="20"/>
                <w:color w:val="auto"/>
              </w:rPr>
            </w:pPr>
            <w:r>
              <w:rPr>
                <w:rFonts w:ascii="Arial" w:cs="Arial" w:eastAsia="Arial" w:hAnsi="Arial"/>
                <w:sz w:val="10"/>
                <w:szCs w:val="10"/>
                <w:b w:val="1"/>
                <w:bCs w:val="1"/>
                <w:color w:val="auto"/>
              </w:rPr>
              <w:t>Amo</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300"/>
              <w:spacing w:after="0" w:line="94" w:lineRule="exact"/>
              <w:rPr>
                <w:sz w:val="20"/>
                <w:szCs w:val="20"/>
                <w:color w:val="auto"/>
              </w:rPr>
            </w:pPr>
            <w:r>
              <w:rPr>
                <w:rFonts w:ascii="Arial" w:cs="Arial" w:eastAsia="Arial" w:hAnsi="Arial"/>
                <w:sz w:val="10"/>
                <w:szCs w:val="10"/>
                <w:b w:val="1"/>
                <w:bCs w:val="1"/>
                <w:color w:val="auto"/>
              </w:rPr>
              <w:t>Income</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00" w:type="dxa"/>
            <w:vAlign w:val="bottom"/>
            <w:gridSpan w:val="4"/>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w w:val="81"/>
              </w:rPr>
              <w:t>unt</w:t>
            </w:r>
          </w:p>
        </w:tc>
        <w:tc>
          <w:tcPr>
            <w:tcW w:w="220" w:type="dxa"/>
            <w:vAlign w:val="bottom"/>
          </w:tcPr>
          <w:p>
            <w:pPr>
              <w:spacing w:after="0"/>
              <w:rPr>
                <w:sz w:val="13"/>
                <w:szCs w:val="13"/>
                <w:color w:val="auto"/>
              </w:rPr>
            </w:pPr>
          </w:p>
        </w:tc>
        <w:tc>
          <w:tcPr>
            <w:tcW w:w="500" w:type="dxa"/>
            <w:vAlign w:val="bottom"/>
            <w:gridSpan w:val="3"/>
          </w:tcPr>
          <w:p>
            <w:pPr>
              <w:jc w:val="right"/>
              <w:ind w:right="48"/>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unt</w:t>
            </w:r>
          </w:p>
        </w:tc>
        <w:tc>
          <w:tcPr>
            <w:tcW w:w="22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3"/>
              </w:rPr>
              <w:t>unt</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(Loss)</w:t>
            </w: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94"/>
        </w:trPr>
        <w:tc>
          <w:tcPr>
            <w:tcW w:w="1320" w:type="dxa"/>
            <w:vAlign w:val="bottom"/>
          </w:tcPr>
          <w:p>
            <w:pPr>
              <w:ind w:left="20"/>
              <w:spacing w:after="0" w:line="94" w:lineRule="exact"/>
              <w:rPr>
                <w:sz w:val="20"/>
                <w:szCs w:val="20"/>
                <w:color w:val="auto"/>
              </w:rPr>
            </w:pPr>
            <w:r>
              <w:rPr>
                <w:rFonts w:ascii="Arial" w:cs="Arial" w:eastAsia="Arial" w:hAnsi="Arial"/>
                <w:sz w:val="10"/>
                <w:szCs w:val="10"/>
                <w:b w:val="1"/>
                <w:bCs w:val="1"/>
                <w:color w:val="auto"/>
              </w:rPr>
              <w:t>Balances at June 30,</w:t>
            </w:r>
          </w:p>
        </w:tc>
        <w:tc>
          <w:tcPr>
            <w:tcW w:w="4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gridSpan w:val="2"/>
          </w:tcPr>
          <w:p>
            <w:pPr>
              <w:jc w:val="right"/>
              <w:spacing w:after="0" w:line="94" w:lineRule="exact"/>
              <w:rPr>
                <w:sz w:val="20"/>
                <w:szCs w:val="20"/>
                <w:color w:val="auto"/>
              </w:rPr>
            </w:pPr>
            <w:r>
              <w:rPr>
                <w:rFonts w:ascii="Arial" w:cs="Arial" w:eastAsia="Arial" w:hAnsi="Arial"/>
                <w:sz w:val="10"/>
                <w:szCs w:val="10"/>
                <w:color w:val="auto"/>
              </w:rPr>
              <w:t>100,995,</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top w:val="single" w:sz="8" w:color="auto"/>
            </w:tcBorders>
            <w:gridSpan w:val="3"/>
          </w:tcPr>
          <w:p>
            <w:pPr>
              <w:jc w:val="right"/>
              <w:ind w:right="8"/>
              <w:spacing w:after="0" w:line="94" w:lineRule="exact"/>
              <w:rPr>
                <w:sz w:val="20"/>
                <w:szCs w:val="20"/>
                <w:color w:val="auto"/>
              </w:rPr>
            </w:pPr>
            <w:r>
              <w:rPr>
                <w:rFonts w:ascii="Arial" w:cs="Arial" w:eastAsia="Arial" w:hAnsi="Arial"/>
                <w:sz w:val="10"/>
                <w:szCs w:val="10"/>
                <w:color w:val="auto"/>
              </w:rPr>
              <w:t>5,988,</w:t>
            </w: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(2,317,</w:t>
            </w: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(74</w:t>
            </w: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600,2</w:t>
            </w: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color w:val="auto"/>
              </w:rPr>
              <w:t>(124,57</w:t>
            </w: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320" w:type="dxa"/>
            <w:vAlign w:val="bottom"/>
          </w:tcPr>
          <w:p>
            <w:pPr>
              <w:ind w:left="20"/>
              <w:spacing w:after="0"/>
              <w:rPr>
                <w:sz w:val="20"/>
                <w:szCs w:val="20"/>
                <w:color w:val="auto"/>
              </w:rPr>
            </w:pPr>
            <w:r>
              <w:rPr>
                <w:rFonts w:ascii="Arial" w:cs="Arial" w:eastAsia="Arial" w:hAnsi="Arial"/>
                <w:sz w:val="11"/>
                <w:szCs w:val="11"/>
                <w:b w:val="1"/>
                <w:bCs w:val="1"/>
                <w:color w:val="auto"/>
              </w:rPr>
              <w:t>2021</w:t>
            </w:r>
          </w:p>
        </w:tc>
        <w:tc>
          <w:tcPr>
            <w:tcW w:w="720" w:type="dxa"/>
            <w:vAlign w:val="bottom"/>
            <w:gridSpan w:val="3"/>
          </w:tcPr>
          <w:p>
            <w:pPr>
              <w:ind w:left="400"/>
              <w:spacing w:after="0"/>
              <w:rPr>
                <w:sz w:val="20"/>
                <w:szCs w:val="20"/>
                <w:color w:val="auto"/>
              </w:rPr>
            </w:pPr>
            <w:r>
              <w:rPr>
                <w:rFonts w:ascii="Arial" w:cs="Arial" w:eastAsia="Arial" w:hAnsi="Arial"/>
                <w:sz w:val="11"/>
                <w:szCs w:val="11"/>
                <w:color w:val="auto"/>
              </w:rPr>
              <w:t>—</w:t>
            </w:r>
          </w:p>
        </w:tc>
        <w:tc>
          <w:tcPr>
            <w:tcW w:w="3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60" w:type="dxa"/>
            <w:vAlign w:val="bottom"/>
            <w:gridSpan w:val="3"/>
          </w:tcPr>
          <w:p>
            <w:pPr>
              <w:ind w:left="400"/>
              <w:spacing w:after="0"/>
              <w:rPr>
                <w:sz w:val="20"/>
                <w:szCs w:val="20"/>
                <w:color w:val="auto"/>
              </w:rPr>
            </w:pPr>
            <w:r>
              <w:rPr>
                <w:rFonts w:ascii="Arial" w:cs="Arial" w:eastAsia="Arial" w:hAnsi="Arial"/>
                <w:sz w:val="11"/>
                <w:szCs w:val="11"/>
                <w:color w:val="auto"/>
              </w:rPr>
              <w:t>—</w:t>
            </w:r>
          </w:p>
        </w:tc>
        <w:tc>
          <w:tcPr>
            <w:tcW w:w="2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Arial" w:cs="Arial" w:eastAsia="Arial" w:hAnsi="Arial"/>
                <w:sz w:val="11"/>
                <w:szCs w:val="11"/>
                <w:color w:val="auto"/>
              </w:rPr>
              <w:t>903</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jc w:val="right"/>
              <w:ind w:right="8"/>
              <w:spacing w:after="0"/>
              <w:rPr>
                <w:sz w:val="20"/>
                <w:szCs w:val="20"/>
                <w:color w:val="auto"/>
              </w:rPr>
            </w:pPr>
            <w:r>
              <w:rPr>
                <w:rFonts w:ascii="Arial" w:cs="Arial" w:eastAsia="Arial" w:hAnsi="Arial"/>
                <w:sz w:val="11"/>
                <w:szCs w:val="11"/>
                <w:color w:val="auto"/>
              </w:rPr>
              <w:t>378</w:t>
            </w:r>
          </w:p>
        </w:tc>
        <w:tc>
          <w:tcPr>
            <w:tcW w:w="320" w:type="dxa"/>
            <w:vAlign w:val="bottom"/>
            <w:gridSpan w:val="2"/>
          </w:tcPr>
          <w:p>
            <w:pPr>
              <w:jc w:val="right"/>
              <w:ind w:right="3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c>
          <w:tcPr>
            <w:tcW w:w="940" w:type="dxa"/>
            <w:vAlign w:val="bottom"/>
            <w:gridSpan w:val="3"/>
          </w:tcPr>
          <w:p>
            <w:pPr>
              <w:jc w:val="right"/>
              <w:ind w:right="180"/>
              <w:spacing w:after="0"/>
              <w:rPr>
                <w:sz w:val="20"/>
                <w:szCs w:val="20"/>
                <w:color w:val="auto"/>
              </w:rPr>
            </w:pPr>
            <w:r>
              <w:rPr>
                <w:rFonts w:ascii="Arial" w:cs="Arial" w:eastAsia="Arial" w:hAnsi="Arial"/>
                <w:sz w:val="11"/>
                <w:szCs w:val="11"/>
                <w:color w:val="auto"/>
              </w:rPr>
              <w:t>722 )</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8 )</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w:t>
            </w:r>
          </w:p>
        </w:tc>
        <w:tc>
          <w:tcPr>
            <w:tcW w:w="220" w:type="dxa"/>
            <w:vAlign w:val="bottom"/>
          </w:tcPr>
          <w:p>
            <w:pPr>
              <w:spacing w:after="0"/>
              <w:rPr>
                <w:sz w:val="13"/>
                <w:szCs w:val="13"/>
                <w:color w:val="auto"/>
              </w:rPr>
            </w:pP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0 )</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474,978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320" w:type="dxa"/>
            <w:vAlign w:val="bottom"/>
            <w:tcBorders>
              <w:right w:val="single" w:sz="8" w:color="CFF0FC"/>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460" w:type="dxa"/>
            <w:vAlign w:val="bottom"/>
            <w:shd w:val="clear" w:color="auto" w:fill="CFF0FC"/>
          </w:tcPr>
          <w:p>
            <w:pPr>
              <w:spacing w:after="0"/>
              <w:rPr>
                <w:sz w:val="9"/>
                <w:szCs w:val="9"/>
                <w:color w:val="auto"/>
              </w:rPr>
            </w:pPr>
          </w:p>
        </w:tc>
        <w:tc>
          <w:tcPr>
            <w:tcW w:w="18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tcBorders>
              <w:left w:val="single" w:sz="8" w:color="CFF0FC"/>
              <w:right w:val="single" w:sz="8" w:color="CFF0FC"/>
            </w:tcBorders>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6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20" w:type="dxa"/>
            <w:vAlign w:val="bottom"/>
            <w:tcBorders>
              <w:right w:val="single" w:sz="8" w:color="CFF0FC"/>
            </w:tcBorders>
            <w:shd w:val="clear" w:color="auto" w:fill="CFF0FC"/>
          </w:tcPr>
          <w:p>
            <w:pPr>
              <w:ind w:left="120"/>
              <w:spacing w:after="0" w:line="108" w:lineRule="exact"/>
              <w:rPr>
                <w:sz w:val="20"/>
                <w:szCs w:val="20"/>
                <w:color w:val="auto"/>
              </w:rPr>
            </w:pPr>
            <w:r>
              <w:rPr>
                <w:rFonts w:ascii="Arial" w:cs="Arial" w:eastAsia="Arial" w:hAnsi="Arial"/>
                <w:sz w:val="11"/>
                <w:szCs w:val="11"/>
                <w:color w:val="auto"/>
              </w:rPr>
              <w:t>stock upon exercise</w:t>
            </w:r>
          </w:p>
        </w:tc>
        <w:tc>
          <w:tcPr>
            <w:tcW w:w="460" w:type="dxa"/>
            <w:vAlign w:val="bottom"/>
            <w:shd w:val="clear" w:color="auto" w:fill="CFF0FC"/>
          </w:tcPr>
          <w:p>
            <w:pPr>
              <w:spacing w:after="0"/>
              <w:rPr>
                <w:sz w:val="9"/>
                <w:szCs w:val="9"/>
                <w:color w:val="auto"/>
              </w:rPr>
            </w:pPr>
          </w:p>
        </w:tc>
        <w:tc>
          <w:tcPr>
            <w:tcW w:w="18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tcBorders>
              <w:left w:val="single" w:sz="8" w:color="CFF0FC"/>
              <w:right w:val="single" w:sz="8" w:color="CFF0FC"/>
            </w:tcBorders>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6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32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of stock options</w:t>
            </w:r>
          </w:p>
        </w:tc>
        <w:tc>
          <w:tcPr>
            <w:tcW w:w="720" w:type="dxa"/>
            <w:vAlign w:val="bottom"/>
            <w:gridSpan w:val="3"/>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40" w:type="dxa"/>
            <w:vAlign w:val="bottom"/>
            <w:tcBorders>
              <w:right w:val="single" w:sz="8" w:color="CFF0FC"/>
            </w:tcBorders>
            <w:gridSpan w:val="2"/>
            <w:shd w:val="clear" w:color="auto" w:fill="CFF0FC"/>
          </w:tcPr>
          <w:p>
            <w:pPr>
              <w:ind w:left="80"/>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FF0FC"/>
            </w:tcBorders>
            <w:gridSpan w:val="3"/>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13"/>
                <w:szCs w:val="13"/>
                <w:color w:val="auto"/>
              </w:rPr>
            </w:pPr>
          </w:p>
        </w:tc>
        <w:tc>
          <w:tcPr>
            <w:tcW w:w="7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205,563</w:t>
            </w: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305</w:t>
            </w:r>
          </w:p>
        </w:tc>
        <w:tc>
          <w:tcPr>
            <w:tcW w:w="22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left w:val="single" w:sz="8" w:color="CFF0FC"/>
            </w:tcBorders>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320" w:type="dxa"/>
            <w:vAlign w:val="bottom"/>
          </w:tcPr>
          <w:p>
            <w:pPr>
              <w:ind w:left="20"/>
              <w:spacing w:after="0" w:line="105" w:lineRule="exact"/>
              <w:rPr>
                <w:sz w:val="20"/>
                <w:szCs w:val="20"/>
                <w:color w:val="auto"/>
              </w:rPr>
            </w:pPr>
            <w:r>
              <w:rPr>
                <w:rFonts w:ascii="Arial" w:cs="Arial" w:eastAsia="Arial" w:hAnsi="Arial"/>
                <w:sz w:val="11"/>
                <w:szCs w:val="11"/>
                <w:color w:val="auto"/>
              </w:rPr>
              <w:t>Foreign currency</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320" w:type="dxa"/>
            <w:vAlign w:val="bottom"/>
          </w:tcPr>
          <w:p>
            <w:pPr>
              <w:ind w:left="120"/>
              <w:spacing w:after="0"/>
              <w:rPr>
                <w:sz w:val="20"/>
                <w:szCs w:val="20"/>
                <w:color w:val="auto"/>
              </w:rPr>
            </w:pPr>
            <w:r>
              <w:rPr>
                <w:rFonts w:ascii="Arial" w:cs="Arial" w:eastAsia="Arial" w:hAnsi="Arial"/>
                <w:sz w:val="11"/>
                <w:szCs w:val="11"/>
                <w:color w:val="auto"/>
              </w:rPr>
              <w:t>translation adjustment</w:t>
            </w:r>
          </w:p>
        </w:tc>
        <w:tc>
          <w:tcPr>
            <w:tcW w:w="720" w:type="dxa"/>
            <w:vAlign w:val="bottom"/>
            <w:gridSpan w:val="3"/>
          </w:tcPr>
          <w:p>
            <w:pPr>
              <w:ind w:left="4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60" w:type="dxa"/>
            <w:vAlign w:val="bottom"/>
            <w:gridSpan w:val="3"/>
          </w:tcPr>
          <w:p>
            <w:pPr>
              <w:ind w:left="4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8"/>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(343 )</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(343 )</w:t>
            </w:r>
          </w:p>
        </w:tc>
        <w:tc>
          <w:tcPr>
            <w:tcW w:w="0" w:type="dxa"/>
            <w:vAlign w:val="bottom"/>
          </w:tcPr>
          <w:p>
            <w:pPr>
              <w:spacing w:after="0"/>
              <w:rPr>
                <w:sz w:val="1"/>
                <w:szCs w:val="1"/>
                <w:color w:val="auto"/>
              </w:rPr>
            </w:pPr>
          </w:p>
        </w:tc>
      </w:tr>
      <w:tr>
        <w:trPr>
          <w:trHeight w:val="109"/>
        </w:trPr>
        <w:tc>
          <w:tcPr>
            <w:tcW w:w="1320" w:type="dxa"/>
            <w:vAlign w:val="bottom"/>
            <w:tcBorders>
              <w:right w:val="single" w:sz="8" w:color="CFF0FC"/>
            </w:tcBorders>
            <w:shd w:val="clear" w:color="auto" w:fill="CFF0FC"/>
          </w:tcPr>
          <w:p>
            <w:pPr>
              <w:ind w:left="20"/>
              <w:spacing w:after="0" w:line="109" w:lineRule="exact"/>
              <w:rPr>
                <w:sz w:val="20"/>
                <w:szCs w:val="20"/>
                <w:color w:val="auto"/>
              </w:rPr>
            </w:pPr>
            <w:r>
              <w:rPr>
                <w:rFonts w:ascii="Arial" w:cs="Arial" w:eastAsia="Arial" w:hAnsi="Arial"/>
                <w:sz w:val="11"/>
                <w:szCs w:val="11"/>
                <w:color w:val="auto"/>
              </w:rPr>
              <w:t>Stock-based</w:t>
            </w:r>
          </w:p>
        </w:tc>
        <w:tc>
          <w:tcPr>
            <w:tcW w:w="460" w:type="dxa"/>
            <w:vAlign w:val="bottom"/>
            <w:shd w:val="clear" w:color="auto" w:fill="CFF0FC"/>
          </w:tcPr>
          <w:p>
            <w:pPr>
              <w:spacing w:after="0"/>
              <w:rPr>
                <w:sz w:val="9"/>
                <w:szCs w:val="9"/>
                <w:color w:val="auto"/>
              </w:rPr>
            </w:pPr>
          </w:p>
        </w:tc>
        <w:tc>
          <w:tcPr>
            <w:tcW w:w="18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tcBorders>
              <w:left w:val="single" w:sz="8" w:color="CFF0FC"/>
              <w:right w:val="single" w:sz="8" w:color="CFF0FC"/>
            </w:tcBorders>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6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20" w:type="dxa"/>
            <w:vAlign w:val="bottom"/>
            <w:tcBorders>
              <w:right w:val="single" w:sz="8" w:color="CFF0FC"/>
            </w:tcBorders>
            <w:shd w:val="clear" w:color="auto" w:fill="CFF0FC"/>
          </w:tcPr>
          <w:p>
            <w:pPr>
              <w:ind w:left="120"/>
              <w:spacing w:after="0" w:line="108" w:lineRule="exact"/>
              <w:rPr>
                <w:sz w:val="20"/>
                <w:szCs w:val="20"/>
                <w:color w:val="auto"/>
              </w:rPr>
            </w:pPr>
            <w:r>
              <w:rPr>
                <w:rFonts w:ascii="Arial" w:cs="Arial" w:eastAsia="Arial" w:hAnsi="Arial"/>
                <w:sz w:val="11"/>
                <w:szCs w:val="11"/>
                <w:color w:val="auto"/>
              </w:rPr>
              <w:t>compensation</w:t>
            </w:r>
          </w:p>
        </w:tc>
        <w:tc>
          <w:tcPr>
            <w:tcW w:w="460" w:type="dxa"/>
            <w:vAlign w:val="bottom"/>
            <w:shd w:val="clear" w:color="auto" w:fill="CFF0FC"/>
          </w:tcPr>
          <w:p>
            <w:pPr>
              <w:spacing w:after="0"/>
              <w:rPr>
                <w:sz w:val="9"/>
                <w:szCs w:val="9"/>
                <w:color w:val="auto"/>
              </w:rPr>
            </w:pPr>
          </w:p>
        </w:tc>
        <w:tc>
          <w:tcPr>
            <w:tcW w:w="180" w:type="dxa"/>
            <w:vAlign w:val="bottom"/>
            <w:tcBorders>
              <w:left w:val="single" w:sz="8" w:color="CFF0FC"/>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tcBorders>
              <w:left w:val="single" w:sz="8" w:color="CFF0FC"/>
              <w:right w:val="single" w:sz="8" w:color="CFF0FC"/>
            </w:tcBorders>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20" w:type="dxa"/>
            <w:vAlign w:val="bottom"/>
            <w:tcBorders>
              <w:left w:val="single" w:sz="8" w:color="CFF0FC"/>
            </w:tcBorders>
            <w:shd w:val="clear" w:color="auto" w:fill="CFF0FC"/>
          </w:tcPr>
          <w:p>
            <w:pPr>
              <w:spacing w:after="0"/>
              <w:rPr>
                <w:sz w:val="9"/>
                <w:szCs w:val="9"/>
                <w:color w:val="auto"/>
              </w:rPr>
            </w:pPr>
          </w:p>
        </w:tc>
        <w:tc>
          <w:tcPr>
            <w:tcW w:w="160" w:type="dxa"/>
            <w:vAlign w:val="bottom"/>
            <w:tcBorders>
              <w:left w:val="single" w:sz="8" w:color="CFF0FC"/>
            </w:tcBorders>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32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720" w:type="dxa"/>
            <w:vAlign w:val="bottom"/>
            <w:gridSpan w:val="3"/>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40" w:type="dxa"/>
            <w:vAlign w:val="bottom"/>
            <w:tcBorders>
              <w:right w:val="single" w:sz="8" w:color="CFF0FC"/>
            </w:tcBorders>
            <w:gridSpan w:val="2"/>
            <w:shd w:val="clear" w:color="auto" w:fill="CFF0FC"/>
          </w:tcPr>
          <w:p>
            <w:pPr>
              <w:ind w:left="80"/>
              <w:spacing w:after="0"/>
              <w:rPr>
                <w:sz w:val="20"/>
                <w:szCs w:val="20"/>
                <w:color w:val="auto"/>
              </w:rPr>
            </w:pPr>
            <w:r>
              <w:rPr>
                <w:rFonts w:ascii="Arial" w:cs="Arial" w:eastAsia="Arial" w:hAnsi="Arial"/>
                <w:sz w:val="11"/>
                <w:szCs w:val="11"/>
                <w:color w:val="auto"/>
              </w:rPr>
              <w:t>—</w:t>
            </w:r>
          </w:p>
        </w:tc>
        <w:tc>
          <w:tcPr>
            <w:tcW w:w="660" w:type="dxa"/>
            <w:vAlign w:val="bottom"/>
            <w:tcBorders>
              <w:right w:val="single" w:sz="8" w:color="CFF0FC"/>
            </w:tcBorders>
            <w:gridSpan w:val="3"/>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2,778</w:t>
            </w:r>
          </w:p>
        </w:tc>
        <w:tc>
          <w:tcPr>
            <w:tcW w:w="22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left w:val="single" w:sz="8" w:color="CFF0FC"/>
            </w:tcBorders>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3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720" w:type="dxa"/>
            <w:vAlign w:val="bottom"/>
            <w:gridSpan w:val="3"/>
          </w:tcPr>
          <w:p>
            <w:pPr>
              <w:ind w:left="4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60" w:type="dxa"/>
            <w:vAlign w:val="bottom"/>
            <w:gridSpan w:val="3"/>
          </w:tcPr>
          <w:p>
            <w:pPr>
              <w:ind w:left="4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8"/>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9,994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9,994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20" w:type="dxa"/>
            <w:vAlign w:val="bottom"/>
            <w:tcBorders>
              <w:right w:val="single" w:sz="8" w:color="CFF0FC"/>
            </w:tcBorders>
            <w:shd w:val="clear" w:color="auto" w:fill="CFF0FC"/>
          </w:tcPr>
          <w:p>
            <w:pPr>
              <w:ind w:left="20"/>
              <w:spacing w:after="0" w:line="93" w:lineRule="exact"/>
              <w:rPr>
                <w:sz w:val="20"/>
                <w:szCs w:val="20"/>
                <w:color w:val="auto"/>
              </w:rPr>
            </w:pPr>
            <w:r>
              <w:rPr>
                <w:rFonts w:ascii="Arial" w:cs="Arial" w:eastAsia="Arial" w:hAnsi="Arial"/>
                <w:sz w:val="10"/>
                <w:szCs w:val="10"/>
                <w:b w:val="1"/>
                <w:bCs w:val="1"/>
                <w:color w:val="auto"/>
              </w:rPr>
              <w:t>Balances at</w:t>
            </w:r>
          </w:p>
        </w:tc>
        <w:tc>
          <w:tcPr>
            <w:tcW w:w="460" w:type="dxa"/>
            <w:vAlign w:val="bottom"/>
            <w:tcBorders>
              <w:top w:val="single" w:sz="8" w:color="auto"/>
            </w:tcBorders>
            <w:shd w:val="clear" w:color="auto" w:fill="CFF0FC"/>
          </w:tcPr>
          <w:p>
            <w:pPr>
              <w:spacing w:after="0"/>
              <w:rPr>
                <w:sz w:val="8"/>
                <w:szCs w:val="8"/>
                <w:color w:val="auto"/>
              </w:rPr>
            </w:pPr>
          </w:p>
        </w:tc>
        <w:tc>
          <w:tcPr>
            <w:tcW w:w="180" w:type="dxa"/>
            <w:vAlign w:val="bottom"/>
            <w:tcBorders>
              <w:left w:val="single" w:sz="8" w:color="CFF0FC"/>
              <w:right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300" w:type="dxa"/>
            <w:vAlign w:val="bottom"/>
            <w:tcBorders>
              <w:left w:val="single" w:sz="8" w:color="CFF0FC"/>
              <w:right w:val="single" w:sz="8" w:color="CFF0FC"/>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tcBorders>
              <w:top w:val="single" w:sz="8" w:color="auto"/>
              <w:right w:val="single" w:sz="8" w:color="CFF0FC"/>
            </w:tcBorders>
            <w:gridSpan w:val="2"/>
            <w:shd w:val="clear" w:color="auto" w:fill="CFF0FC"/>
          </w:tcPr>
          <w:p>
            <w:pPr>
              <w:jc w:val="right"/>
              <w:spacing w:after="0" w:line="93" w:lineRule="exact"/>
              <w:rPr>
                <w:sz w:val="20"/>
                <w:szCs w:val="20"/>
                <w:color w:val="auto"/>
              </w:rPr>
            </w:pPr>
            <w:r>
              <w:rPr>
                <w:rFonts w:ascii="Arial" w:cs="Arial" w:eastAsia="Arial" w:hAnsi="Arial"/>
                <w:sz w:val="10"/>
                <w:szCs w:val="10"/>
                <w:color w:val="auto"/>
              </w:rPr>
              <w:t>101,201,</w:t>
            </w:r>
          </w:p>
        </w:tc>
        <w:tc>
          <w:tcPr>
            <w:tcW w:w="120" w:type="dxa"/>
            <w:vAlign w:val="bottom"/>
            <w:shd w:val="clear" w:color="auto" w:fill="CFF0FC"/>
          </w:tcPr>
          <w:p>
            <w:pPr>
              <w:spacing w:after="0"/>
              <w:rPr>
                <w:sz w:val="8"/>
                <w:szCs w:val="8"/>
                <w:color w:val="auto"/>
              </w:rPr>
            </w:pPr>
          </w:p>
        </w:tc>
        <w:tc>
          <w:tcPr>
            <w:tcW w:w="140" w:type="dxa"/>
            <w:vAlign w:val="bottom"/>
            <w:tcBorders>
              <w:right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00" w:type="dxa"/>
            <w:vAlign w:val="bottom"/>
            <w:tcBorders>
              <w:top w:val="single" w:sz="8" w:color="auto"/>
              <w:right w:val="single" w:sz="8" w:color="CFF0FC"/>
            </w:tcBorders>
            <w:gridSpan w:val="3"/>
            <w:shd w:val="clear" w:color="auto" w:fill="CFF0FC"/>
          </w:tcPr>
          <w:p>
            <w:pPr>
              <w:jc w:val="right"/>
              <w:ind w:right="8"/>
              <w:spacing w:after="0" w:line="93" w:lineRule="exact"/>
              <w:rPr>
                <w:sz w:val="20"/>
                <w:szCs w:val="20"/>
                <w:color w:val="auto"/>
              </w:rPr>
            </w:pPr>
            <w:r>
              <w:rPr>
                <w:rFonts w:ascii="Arial" w:cs="Arial" w:eastAsia="Arial" w:hAnsi="Arial"/>
                <w:sz w:val="10"/>
                <w:szCs w:val="10"/>
                <w:color w:val="auto"/>
              </w:rPr>
              <w:t>5,988,</w:t>
            </w:r>
          </w:p>
        </w:tc>
        <w:tc>
          <w:tcPr>
            <w:tcW w:w="18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tcBorders>
              <w:top w:val="single" w:sz="8" w:color="auto"/>
              <w:right w:val="single" w:sz="8" w:color="CFF0FC"/>
            </w:tcBorders>
            <w:shd w:val="clear" w:color="auto" w:fill="CFF0FC"/>
          </w:tcPr>
          <w:p>
            <w:pPr>
              <w:jc w:val="right"/>
              <w:spacing w:after="0" w:line="93" w:lineRule="exact"/>
              <w:rPr>
                <w:sz w:val="20"/>
                <w:szCs w:val="20"/>
                <w:color w:val="auto"/>
              </w:rPr>
            </w:pPr>
            <w:r>
              <w:rPr>
                <w:rFonts w:ascii="Arial" w:cs="Arial" w:eastAsia="Arial" w:hAnsi="Arial"/>
                <w:sz w:val="10"/>
                <w:szCs w:val="10"/>
                <w:color w:val="auto"/>
              </w:rPr>
              <w:t>(2,317,</w:t>
            </w:r>
          </w:p>
        </w:tc>
        <w:tc>
          <w:tcPr>
            <w:tcW w:w="2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00" w:type="dxa"/>
            <w:vAlign w:val="bottom"/>
            <w:tcBorders>
              <w:top w:val="single" w:sz="8" w:color="auto"/>
            </w:tcBorders>
            <w:shd w:val="clear" w:color="auto" w:fill="CFF0FC"/>
          </w:tcPr>
          <w:p>
            <w:pPr>
              <w:jc w:val="right"/>
              <w:spacing w:after="0" w:line="93" w:lineRule="exact"/>
              <w:rPr>
                <w:sz w:val="20"/>
                <w:szCs w:val="20"/>
                <w:color w:val="auto"/>
              </w:rPr>
            </w:pPr>
            <w:r>
              <w:rPr>
                <w:rFonts w:ascii="Arial" w:cs="Arial" w:eastAsia="Arial" w:hAnsi="Arial"/>
                <w:sz w:val="10"/>
                <w:szCs w:val="10"/>
                <w:color w:val="auto"/>
              </w:rPr>
              <w:t>(74</w:t>
            </w: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jc w:val="right"/>
              <w:spacing w:after="0" w:line="93" w:lineRule="exact"/>
              <w:rPr>
                <w:sz w:val="20"/>
                <w:szCs w:val="20"/>
                <w:color w:val="auto"/>
              </w:rPr>
            </w:pPr>
            <w:r>
              <w:rPr>
                <w:rFonts w:ascii="Arial" w:cs="Arial" w:eastAsia="Arial" w:hAnsi="Arial"/>
                <w:sz w:val="10"/>
                <w:szCs w:val="10"/>
                <w:color w:val="auto"/>
              </w:rPr>
              <w:t>603,3</w:t>
            </w:r>
          </w:p>
        </w:tc>
        <w:tc>
          <w:tcPr>
            <w:tcW w:w="220" w:type="dxa"/>
            <w:vAlign w:val="bottom"/>
            <w:tcBorders>
              <w:left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220" w:type="dxa"/>
            <w:vAlign w:val="bottom"/>
            <w:tcBorders>
              <w:left w:val="single" w:sz="8" w:color="CFF0FC"/>
            </w:tcBorders>
            <w:shd w:val="clear" w:color="auto" w:fill="CFF0FC"/>
          </w:tcPr>
          <w:p>
            <w:pPr>
              <w:spacing w:after="0"/>
              <w:rPr>
                <w:sz w:val="8"/>
                <w:szCs w:val="8"/>
                <w:color w:val="auto"/>
              </w:rPr>
            </w:pPr>
          </w:p>
        </w:tc>
        <w:tc>
          <w:tcPr>
            <w:tcW w:w="120" w:type="dxa"/>
            <w:vAlign w:val="bottom"/>
            <w:tcBorders>
              <w:top w:val="single" w:sz="8" w:color="auto"/>
              <w:left w:val="single" w:sz="8" w:color="CFF0FC"/>
            </w:tcBorders>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jc w:val="right"/>
              <w:spacing w:after="0" w:line="93" w:lineRule="exact"/>
              <w:rPr>
                <w:sz w:val="20"/>
                <w:szCs w:val="20"/>
                <w:color w:val="auto"/>
              </w:rPr>
            </w:pPr>
            <w:r>
              <w:rPr>
                <w:rFonts w:ascii="Arial" w:cs="Arial" w:eastAsia="Arial" w:hAnsi="Arial"/>
                <w:sz w:val="10"/>
                <w:szCs w:val="10"/>
                <w:color w:val="auto"/>
              </w:rPr>
              <w:t>(114,57</w:t>
            </w:r>
          </w:p>
        </w:tc>
        <w:tc>
          <w:tcPr>
            <w:tcW w:w="220" w:type="dxa"/>
            <w:vAlign w:val="bottom"/>
            <w:tcBorders>
              <w:left w:val="single" w:sz="8" w:color="CFF0FC"/>
            </w:tcBorders>
            <w:shd w:val="clear" w:color="auto" w:fill="CFF0FC"/>
          </w:tcPr>
          <w:p>
            <w:pPr>
              <w:spacing w:after="0"/>
              <w:rPr>
                <w:sz w:val="8"/>
                <w:szCs w:val="8"/>
                <w:color w:val="auto"/>
              </w:rPr>
            </w:pPr>
          </w:p>
        </w:tc>
        <w:tc>
          <w:tcPr>
            <w:tcW w:w="160" w:type="dxa"/>
            <w:vAlign w:val="bottom"/>
            <w:tcBorders>
              <w:top w:val="single" w:sz="8" w:color="auto"/>
              <w:left w:val="single" w:sz="8" w:color="CFF0FC"/>
            </w:tcBorders>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3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September 30, 2021</w:t>
            </w:r>
          </w:p>
        </w:tc>
        <w:tc>
          <w:tcPr>
            <w:tcW w:w="460" w:type="dxa"/>
            <w:vAlign w:val="bottom"/>
            <w:shd w:val="clear" w:color="auto" w:fill="CFF0FC"/>
          </w:tcPr>
          <w:p>
            <w:pPr>
              <w:ind w:left="400"/>
              <w:spacing w:after="0"/>
              <w:rPr>
                <w:sz w:val="20"/>
                <w:szCs w:val="20"/>
                <w:color w:val="auto"/>
              </w:rPr>
            </w:pPr>
            <w:r>
              <w:rPr>
                <w:rFonts w:ascii="Arial" w:cs="Arial" w:eastAsia="Arial" w:hAnsi="Arial"/>
                <w:sz w:val="2"/>
                <w:szCs w:val="2"/>
                <w:color w:val="auto"/>
                <w:w w:val="97"/>
              </w:rPr>
              <w:t>—</w:t>
            </w:r>
          </w:p>
        </w:tc>
        <w:tc>
          <w:tcPr>
            <w:tcW w:w="180" w:type="dxa"/>
            <w:vAlign w:val="bottom"/>
            <w:tcBorders>
              <w:left w:val="single" w:sz="8" w:color="CFF0FC"/>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ind w:left="80"/>
              <w:spacing w:after="0"/>
              <w:rPr>
                <w:sz w:val="20"/>
                <w:szCs w:val="20"/>
                <w:color w:val="auto"/>
              </w:rPr>
            </w:pPr>
            <w:r>
              <w:rPr>
                <w:rFonts w:ascii="Arial" w:cs="Arial" w:eastAsia="Arial" w:hAnsi="Arial"/>
                <w:sz w:val="2"/>
                <w:szCs w:val="2"/>
                <w:color w:val="auto"/>
                <w:w w:val="97"/>
              </w:rPr>
              <w:t>—</w:t>
            </w:r>
          </w:p>
        </w:tc>
        <w:tc>
          <w:tcPr>
            <w:tcW w:w="300" w:type="dxa"/>
            <w:vAlign w:val="bottom"/>
            <w:tcBorders>
              <w:left w:val="single" w:sz="8" w:color="CFF0FC"/>
              <w:right w:val="single" w:sz="8" w:color="CFF0FC"/>
            </w:tcBorders>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ind w:left="400"/>
              <w:spacing w:after="0"/>
              <w:rPr>
                <w:sz w:val="20"/>
                <w:szCs w:val="20"/>
                <w:color w:val="auto"/>
              </w:rPr>
            </w:pPr>
            <w:r>
              <w:rPr>
                <w:rFonts w:ascii="Arial" w:cs="Arial" w:eastAsia="Arial" w:hAnsi="Arial"/>
                <w:sz w:val="11"/>
                <w:szCs w:val="11"/>
                <w:color w:val="auto"/>
                <w:w w:val="90"/>
              </w:rPr>
              <w:t>—</w:t>
            </w:r>
          </w:p>
        </w:tc>
        <w:tc>
          <w:tcPr>
            <w:tcW w:w="120" w:type="dxa"/>
            <w:vAlign w:val="bottom"/>
            <w:tcBorders>
              <w:right w:val="single" w:sz="8" w:color="CFF0FC"/>
            </w:tcBorders>
            <w:shd w:val="clear" w:color="auto" w:fill="CFF0FC"/>
          </w:tcPr>
          <w:p>
            <w:pPr>
              <w:spacing w:after="0"/>
              <w:rPr>
                <w:sz w:val="13"/>
                <w:szCs w:val="13"/>
                <w:color w:val="auto"/>
              </w:rPr>
            </w:pP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466</w:t>
            </w:r>
          </w:p>
        </w:tc>
        <w:tc>
          <w:tcPr>
            <w:tcW w:w="1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1"/>
                <w:szCs w:val="11"/>
                <w:color w:val="auto"/>
              </w:rPr>
              <w:t>378</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722 )</w:t>
            </w: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8 )</w:t>
            </w: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22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(294 )</w:t>
            </w:r>
          </w:p>
        </w:tc>
        <w:tc>
          <w:tcPr>
            <w:tcW w:w="12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6 )</w:t>
            </w:r>
          </w:p>
        </w:tc>
        <w:tc>
          <w:tcPr>
            <w:tcW w:w="1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487,712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CFF0FC"/>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-2002790</wp:posOffset>
            </wp:positionV>
            <wp:extent cx="76835"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-2002790</wp:posOffset>
            </wp:positionV>
            <wp:extent cx="76835"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-2002790</wp:posOffset>
            </wp:positionV>
            <wp:extent cx="76835"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-2002790</wp:posOffset>
            </wp:positionV>
            <wp:extent cx="76835"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-2002790</wp:posOffset>
            </wp:positionV>
            <wp:extent cx="6858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-2002790</wp:posOffset>
            </wp:positionV>
            <wp:extent cx="6858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-2002790</wp:posOffset>
            </wp:positionV>
            <wp:extent cx="685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-2002790</wp:posOffset>
            </wp:positionV>
            <wp:extent cx="6858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-2002790</wp:posOffset>
            </wp:positionV>
            <wp:extent cx="6858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-2002790</wp:posOffset>
            </wp:positionV>
            <wp:extent cx="6858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-2002790</wp:posOffset>
            </wp:positionV>
            <wp:extent cx="6858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-2002790</wp:posOffset>
            </wp:positionV>
            <wp:extent cx="6858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-2002790</wp:posOffset>
            </wp:positionV>
            <wp:extent cx="685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-2002790</wp:posOffset>
            </wp:positionV>
            <wp:extent cx="6858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-7620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-7620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15"/>
          </w:tcPr>
          <w:p>
            <w:pPr>
              <w:ind w:left="40"/>
              <w:spacing w:after="0"/>
              <w:rPr>
                <w:sz w:val="20"/>
                <w:szCs w:val="20"/>
                <w:color w:val="auto"/>
              </w:rPr>
            </w:pPr>
            <w:r>
              <w:rPr>
                <w:rFonts w:ascii="Arial" w:cs="Arial" w:eastAsia="Arial" w:hAnsi="Arial"/>
                <w:sz w:val="11"/>
                <w:szCs w:val="11"/>
                <w:b w:val="1"/>
                <w:bCs w:val="1"/>
                <w:color w:val="auto"/>
              </w:rPr>
              <w:t>Nine Months Ended September 30, 2022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5"/>
            <w:vMerge w:val="restart"/>
          </w:tcPr>
          <w:p>
            <w:pPr>
              <w:jc w:val="center"/>
              <w:ind w:right="171"/>
              <w:spacing w:after="0"/>
              <w:rPr>
                <w:sz w:val="20"/>
                <w:szCs w:val="20"/>
                <w:color w:val="auto"/>
              </w:rPr>
            </w:pPr>
            <w:r>
              <w:rPr>
                <w:rFonts w:ascii="Arial" w:cs="Arial" w:eastAsia="Arial" w:hAnsi="Arial"/>
                <w:sz w:val="11"/>
                <w:szCs w:val="11"/>
                <w:b w:val="1"/>
                <w:bCs w:val="1"/>
                <w:color w:val="auto"/>
                <w:w w:val="99"/>
              </w:rPr>
              <w:t>Accumulate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260" w:type="dxa"/>
            <w:vAlign w:val="bottom"/>
            <w:tcBorders>
              <w:right w:val="single" w:sz="8" w:color="auto"/>
            </w:tcBorders>
            <w:gridSpan w:val="22"/>
          </w:tcPr>
          <w:p>
            <w:pPr>
              <w:spacing w:after="0"/>
              <w:rPr>
                <w:sz w:val="8"/>
                <w:szCs w:val="8"/>
                <w:color w:val="auto"/>
              </w:rPr>
            </w:pPr>
          </w:p>
        </w:tc>
        <w:tc>
          <w:tcPr>
            <w:tcW w:w="4520" w:type="dxa"/>
            <w:vAlign w:val="bottom"/>
            <w:gridSpan w:val="28"/>
          </w:tcPr>
          <w:p>
            <w:pPr>
              <w:spacing w:after="0"/>
              <w:rPr>
                <w:sz w:val="8"/>
                <w:szCs w:val="8"/>
                <w:color w:val="auto"/>
              </w:rPr>
            </w:pPr>
          </w:p>
        </w:tc>
        <w:tc>
          <w:tcPr>
            <w:tcW w:w="880" w:type="dxa"/>
            <w:vAlign w:val="bottom"/>
            <w:gridSpan w:val="5"/>
            <w:vMerge w:val="continue"/>
          </w:tcPr>
          <w:p>
            <w:pPr>
              <w:spacing w:after="0"/>
              <w:rPr>
                <w:sz w:val="8"/>
                <w:szCs w:val="8"/>
                <w:color w:val="auto"/>
              </w:rPr>
            </w:pPr>
          </w:p>
        </w:tc>
        <w:tc>
          <w:tcPr>
            <w:tcW w:w="1580" w:type="dxa"/>
            <w:vAlign w:val="bottom"/>
            <w:gridSpan w:val="9"/>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Borders>
              <w:right w:val="single" w:sz="8" w:color="auto"/>
            </w:tcBorders>
            <w:gridSpan w:val="10"/>
            <w:vMerge w:val="restart"/>
          </w:tcPr>
          <w:p>
            <w:pPr>
              <w:jc w:val="center"/>
              <w:ind w:right="460"/>
              <w:spacing w:after="0"/>
              <w:rPr>
                <w:sz w:val="20"/>
                <w:szCs w:val="20"/>
                <w:color w:val="auto"/>
              </w:rPr>
            </w:pPr>
            <w:r>
              <w:rPr>
                <w:rFonts w:ascii="Arial" w:cs="Arial" w:eastAsia="Arial" w:hAnsi="Arial"/>
                <w:sz w:val="11"/>
                <w:szCs w:val="11"/>
                <w:b w:val="1"/>
                <w:bCs w:val="1"/>
                <w:color w:val="auto"/>
                <w:w w:val="95"/>
              </w:rPr>
              <w:t>Redeemable</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5"/>
            <w:vMerge w:val="restart"/>
          </w:tcPr>
          <w:p>
            <w:pPr>
              <w:jc w:val="center"/>
              <w:ind w:left="127"/>
              <w:spacing w:after="0"/>
              <w:rPr>
                <w:sz w:val="20"/>
                <w:szCs w:val="20"/>
                <w:color w:val="auto"/>
              </w:rPr>
            </w:pPr>
            <w:r>
              <w:rPr>
                <w:rFonts w:ascii="Arial" w:cs="Arial" w:eastAsia="Arial" w:hAnsi="Arial"/>
                <w:sz w:val="11"/>
                <w:szCs w:val="11"/>
                <w:b w:val="1"/>
                <w:bCs w:val="1"/>
                <w:color w:val="auto"/>
                <w:w w:val="97"/>
              </w:rPr>
              <w:t>Non-Voting</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351"/>
              <w:spacing w:after="0" w:line="120" w:lineRule="exact"/>
              <w:rPr>
                <w:sz w:val="20"/>
                <w:szCs w:val="20"/>
                <w:color w:val="auto"/>
              </w:rPr>
            </w:pPr>
            <w:r>
              <w:rPr>
                <w:rFonts w:ascii="Arial" w:cs="Arial" w:eastAsia="Arial" w:hAnsi="Arial"/>
                <w:sz w:val="11"/>
                <w:szCs w:val="11"/>
                <w:b w:val="1"/>
                <w:bCs w:val="1"/>
                <w:color w:val="auto"/>
                <w:w w:val="88"/>
              </w:rPr>
              <w:t>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6"/>
            <w:vMerge w:val="restart"/>
          </w:tcPr>
          <w:p>
            <w:pPr>
              <w:ind w:left="240"/>
              <w:spacing w:after="0"/>
              <w:rPr>
                <w:sz w:val="20"/>
                <w:szCs w:val="20"/>
                <w:color w:val="auto"/>
              </w:rPr>
            </w:pPr>
            <w:r>
              <w:rPr>
                <w:rFonts w:ascii="Arial" w:cs="Arial" w:eastAsia="Arial" w:hAnsi="Arial"/>
                <w:sz w:val="11"/>
                <w:szCs w:val="11"/>
                <w:b w:val="1"/>
                <w:bCs w:val="1"/>
                <w:color w:val="auto"/>
              </w:rPr>
              <w:t>Convertible</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Borders>
              <w:right w:val="single" w:sz="8" w:color="auto"/>
            </w:tcBorders>
            <w:gridSpan w:val="10"/>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4"/>
            <w:vMerge w:val="restart"/>
          </w:tcPr>
          <w:p>
            <w:pPr>
              <w:jc w:val="center"/>
              <w:ind w:left="247"/>
              <w:spacing w:after="0"/>
              <w:rPr>
                <w:sz w:val="20"/>
                <w:szCs w:val="20"/>
                <w:color w:val="auto"/>
              </w:rPr>
            </w:pPr>
            <w:r>
              <w:rPr>
                <w:rFonts w:ascii="Arial" w:cs="Arial" w:eastAsia="Arial" w:hAnsi="Arial"/>
                <w:sz w:val="11"/>
                <w:szCs w:val="11"/>
                <w:b w:val="1"/>
                <w:bCs w:val="1"/>
                <w:color w:val="auto"/>
                <w:w w:val="99"/>
              </w:rPr>
              <w:t>Voting</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5"/>
            <w:vMerge w:val="restart"/>
          </w:tcPr>
          <w:p>
            <w:pPr>
              <w:jc w:val="right"/>
              <w:ind w:right="280"/>
              <w:spacing w:after="0"/>
              <w:rPr>
                <w:sz w:val="20"/>
                <w:szCs w:val="20"/>
                <w:color w:val="auto"/>
              </w:rPr>
            </w:pPr>
            <w:r>
              <w:rPr>
                <w:rFonts w:ascii="Arial" w:cs="Arial" w:eastAsia="Arial" w:hAnsi="Arial"/>
                <w:sz w:val="11"/>
                <w:szCs w:val="11"/>
                <w:b w:val="1"/>
                <w:bCs w:val="1"/>
                <w:color w:val="auto"/>
              </w:rPr>
              <w:t>Treasury Voting</w:t>
            </w:r>
          </w:p>
        </w:tc>
        <w:tc>
          <w:tcPr>
            <w:tcW w:w="680" w:type="dxa"/>
            <w:vAlign w:val="bottom"/>
            <w:gridSpan w:val="4"/>
          </w:tcPr>
          <w:p>
            <w:pPr>
              <w:ind w:left="60"/>
              <w:spacing w:after="0" w:line="110" w:lineRule="exact"/>
              <w:rPr>
                <w:sz w:val="20"/>
                <w:szCs w:val="20"/>
                <w:color w:val="auto"/>
              </w:rPr>
            </w:pPr>
            <w:r>
              <w:rPr>
                <w:rFonts w:ascii="Arial" w:cs="Arial" w:eastAsia="Arial" w:hAnsi="Arial"/>
                <w:sz w:val="11"/>
                <w:szCs w:val="11"/>
                <w:b w:val="1"/>
                <w:bCs w:val="1"/>
                <w:color w:val="auto"/>
              </w:rPr>
              <w:t>Additio</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center"/>
              <w:ind w:right="351"/>
              <w:spacing w:after="0" w:line="110" w:lineRule="exact"/>
              <w:rPr>
                <w:sz w:val="20"/>
                <w:szCs w:val="20"/>
                <w:color w:val="auto"/>
              </w:rPr>
            </w:pPr>
            <w:r>
              <w:rPr>
                <w:rFonts w:ascii="Arial" w:cs="Arial" w:eastAsia="Arial" w:hAnsi="Arial"/>
                <w:sz w:val="11"/>
                <w:szCs w:val="11"/>
                <w:b w:val="1"/>
                <w:bCs w:val="1"/>
                <w:color w:val="auto"/>
              </w:rPr>
              <w:t>Other</w:t>
            </w:r>
          </w:p>
        </w:tc>
        <w:tc>
          <w:tcPr>
            <w:tcW w:w="740" w:type="dxa"/>
            <w:vAlign w:val="bottom"/>
            <w:gridSpan w:val="5"/>
            <w:vMerge w:val="restart"/>
          </w:tcPr>
          <w:p>
            <w:pPr>
              <w:jc w:val="center"/>
              <w:ind w:right="200"/>
              <w:spacing w:after="0"/>
              <w:rPr>
                <w:sz w:val="20"/>
                <w:szCs w:val="20"/>
                <w:color w:val="auto"/>
              </w:rPr>
            </w:pPr>
            <w:r>
              <w:rPr>
                <w:rFonts w:ascii="Arial" w:cs="Arial" w:eastAsia="Arial" w:hAnsi="Arial"/>
                <w:sz w:val="11"/>
                <w:szCs w:val="11"/>
                <w:b w:val="1"/>
                <w:bCs w:val="1"/>
                <w:color w:val="auto"/>
                <w:w w:val="98"/>
              </w:rPr>
              <w:t>Accumul</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Borders>
              <w:right w:val="single" w:sz="8" w:color="auto"/>
            </w:tcBorders>
            <w:gridSpan w:val="10"/>
          </w:tcPr>
          <w:p>
            <w:pPr>
              <w:jc w:val="center"/>
              <w:ind w:right="460"/>
              <w:spacing w:after="0" w:line="108" w:lineRule="exact"/>
              <w:rPr>
                <w:sz w:val="20"/>
                <w:szCs w:val="20"/>
                <w:color w:val="auto"/>
              </w:rPr>
            </w:pPr>
            <w:r>
              <w:rPr>
                <w:rFonts w:ascii="Arial" w:cs="Arial" w:eastAsia="Arial" w:hAnsi="Arial"/>
                <w:sz w:val="11"/>
                <w:szCs w:val="11"/>
                <w:b w:val="1"/>
                <w:bCs w:val="1"/>
                <w:color w:val="auto"/>
                <w:w w:val="95"/>
              </w:rPr>
              <w:t>Convertible</w:t>
            </w:r>
          </w:p>
        </w:tc>
        <w:tc>
          <w:tcPr>
            <w:tcW w:w="12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5"/>
          </w:tcPr>
          <w:p>
            <w:pPr>
              <w:jc w:val="center"/>
              <w:ind w:left="127"/>
              <w:spacing w:after="0" w:line="108" w:lineRule="exact"/>
              <w:rPr>
                <w:sz w:val="20"/>
                <w:szCs w:val="20"/>
                <w:color w:val="auto"/>
              </w:rPr>
            </w:pPr>
            <w:r>
              <w:rPr>
                <w:rFonts w:ascii="Arial" w:cs="Arial" w:eastAsia="Arial" w:hAnsi="Arial"/>
                <w:sz w:val="11"/>
                <w:szCs w:val="11"/>
                <w:b w:val="1"/>
                <w:bCs w:val="1"/>
                <w:color w:val="auto"/>
                <w:w w:val="96"/>
              </w:rPr>
              <w:t>Common</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3"/>
          </w:tcPr>
          <w:p>
            <w:pPr>
              <w:jc w:val="right"/>
              <w:ind w:right="340"/>
              <w:spacing w:after="0" w:line="108" w:lineRule="exact"/>
              <w:rPr>
                <w:sz w:val="20"/>
                <w:szCs w:val="20"/>
                <w:color w:val="auto"/>
              </w:rPr>
            </w:pPr>
            <w:r>
              <w:rPr>
                <w:rFonts w:ascii="Arial" w:cs="Arial" w:eastAsia="Arial" w:hAnsi="Arial"/>
                <w:sz w:val="11"/>
                <w:szCs w:val="11"/>
                <w:b w:val="1"/>
                <w:bCs w:val="1"/>
                <w:color w:val="auto"/>
              </w:rPr>
              <w:t>nal</w:t>
            </w:r>
          </w:p>
        </w:tc>
        <w:tc>
          <w:tcPr>
            <w:tcW w:w="880" w:type="dxa"/>
            <w:vAlign w:val="bottom"/>
            <w:gridSpan w:val="5"/>
          </w:tcPr>
          <w:p>
            <w:pPr>
              <w:jc w:val="center"/>
              <w:ind w:right="151"/>
              <w:spacing w:after="0" w:line="108" w:lineRule="exact"/>
              <w:rPr>
                <w:sz w:val="20"/>
                <w:szCs w:val="20"/>
                <w:color w:val="auto"/>
              </w:rPr>
            </w:pPr>
            <w:r>
              <w:rPr>
                <w:rFonts w:ascii="Arial" w:cs="Arial" w:eastAsia="Arial" w:hAnsi="Arial"/>
                <w:sz w:val="11"/>
                <w:szCs w:val="11"/>
                <w:b w:val="1"/>
                <w:bCs w:val="1"/>
                <w:color w:val="auto"/>
                <w:w w:val="98"/>
              </w:rPr>
              <w:t>Comprehen</w:t>
            </w:r>
          </w:p>
        </w:tc>
        <w:tc>
          <w:tcPr>
            <w:tcW w:w="740" w:type="dxa"/>
            <w:vAlign w:val="bottom"/>
            <w:gridSpan w:val="5"/>
            <w:vMerge w:val="continue"/>
          </w:tcPr>
          <w:p>
            <w:pPr>
              <w:spacing w:after="0"/>
              <w:rPr>
                <w:sz w:val="9"/>
                <w:szCs w:val="9"/>
                <w:color w:val="auto"/>
              </w:rPr>
            </w:pPr>
          </w:p>
        </w:tc>
        <w:tc>
          <w:tcPr>
            <w:tcW w:w="840" w:type="dxa"/>
            <w:vAlign w:val="bottom"/>
            <w:gridSpan w:val="4"/>
          </w:tcPr>
          <w:p>
            <w:pPr>
              <w:jc w:val="center"/>
              <w:ind w:right="120"/>
              <w:spacing w:after="0" w:line="108" w:lineRule="exact"/>
              <w:rPr>
                <w:sz w:val="20"/>
                <w:szCs w:val="20"/>
                <w:color w:val="auto"/>
              </w:rPr>
            </w:pPr>
            <w:r>
              <w:rPr>
                <w:rFonts w:ascii="Arial" w:cs="Arial" w:eastAsia="Arial" w:hAnsi="Arial"/>
                <w:sz w:val="11"/>
                <w:szCs w:val="11"/>
                <w:b w:val="1"/>
                <w:bCs w:val="1"/>
                <w:color w:val="auto"/>
                <w:w w:val="97"/>
              </w:rPr>
              <w:t>Stockholders</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9"/>
          </w:tcPr>
          <w:p>
            <w:pPr>
              <w:jc w:val="right"/>
              <w:ind w:right="360"/>
              <w:spacing w:after="0"/>
              <w:rPr>
                <w:sz w:val="20"/>
                <w:szCs w:val="20"/>
                <w:color w:val="auto"/>
              </w:rPr>
            </w:pPr>
            <w:r>
              <w:rPr>
                <w:rFonts w:ascii="Arial" w:cs="Arial" w:eastAsia="Arial" w:hAnsi="Arial"/>
                <w:sz w:val="11"/>
                <w:szCs w:val="11"/>
                <w:b w:val="1"/>
                <w:bCs w:val="1"/>
                <w:color w:val="auto"/>
              </w:rPr>
              <w:t>Preferred Stock</w:t>
            </w:r>
          </w:p>
        </w:tc>
        <w:tc>
          <w:tcPr>
            <w:tcW w:w="160" w:type="dxa"/>
            <w:vAlign w:val="bottom"/>
          </w:tcPr>
          <w:p>
            <w:pPr>
              <w:spacing w:after="0"/>
              <w:rPr>
                <w:sz w:val="12"/>
                <w:szCs w:val="12"/>
                <w:color w:val="auto"/>
              </w:rPr>
            </w:pPr>
          </w:p>
        </w:tc>
        <w:tc>
          <w:tcPr>
            <w:tcW w:w="1480" w:type="dxa"/>
            <w:vAlign w:val="bottom"/>
            <w:tcBorders>
              <w:right w:val="single" w:sz="8" w:color="auto"/>
            </w:tcBorders>
            <w:gridSpan w:val="10"/>
          </w:tcPr>
          <w:p>
            <w:pPr>
              <w:jc w:val="center"/>
              <w:ind w:right="460"/>
              <w:spacing w:after="0"/>
              <w:rPr>
                <w:sz w:val="20"/>
                <w:szCs w:val="20"/>
                <w:color w:val="auto"/>
              </w:rPr>
            </w:pPr>
            <w:r>
              <w:rPr>
                <w:rFonts w:ascii="Arial" w:cs="Arial" w:eastAsia="Arial" w:hAnsi="Arial"/>
                <w:sz w:val="11"/>
                <w:szCs w:val="11"/>
                <w:b w:val="1"/>
                <w:bCs w:val="1"/>
                <w:color w:val="auto"/>
              </w:rPr>
              <w:t>Preferred Stock</w:t>
            </w:r>
          </w:p>
        </w:tc>
        <w:tc>
          <w:tcPr>
            <w:tcW w:w="120" w:type="dxa"/>
            <w:vAlign w:val="bottom"/>
          </w:tcPr>
          <w:p>
            <w:pPr>
              <w:spacing w:after="0"/>
              <w:rPr>
                <w:sz w:val="12"/>
                <w:szCs w:val="12"/>
                <w:color w:val="auto"/>
              </w:rPr>
            </w:pPr>
          </w:p>
        </w:tc>
        <w:tc>
          <w:tcPr>
            <w:tcW w:w="960" w:type="dxa"/>
            <w:vAlign w:val="bottom"/>
            <w:gridSpan w:val="6"/>
          </w:tcPr>
          <w:p>
            <w:pPr>
              <w:jc w:val="center"/>
              <w:ind w:left="47"/>
              <w:spacing w:after="0"/>
              <w:rPr>
                <w:sz w:val="20"/>
                <w:szCs w:val="20"/>
                <w:color w:val="auto"/>
              </w:rPr>
            </w:pPr>
            <w:r>
              <w:rPr>
                <w:rFonts w:ascii="Arial" w:cs="Arial" w:eastAsia="Arial" w:hAnsi="Arial"/>
                <w:sz w:val="11"/>
                <w:szCs w:val="11"/>
                <w:b w:val="1"/>
                <w:bCs w:val="1"/>
                <w:color w:val="auto"/>
                <w:w w:val="96"/>
              </w:rPr>
              <w:t>Common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center"/>
              <w:ind w:left="287"/>
              <w:spacing w:after="0"/>
              <w:rPr>
                <w:sz w:val="20"/>
                <w:szCs w:val="20"/>
                <w:color w:val="auto"/>
              </w:rPr>
            </w:pPr>
            <w:r>
              <w:rPr>
                <w:rFonts w:ascii="Arial" w:cs="Arial" w:eastAsia="Arial" w:hAnsi="Arial"/>
                <w:sz w:val="11"/>
                <w:szCs w:val="11"/>
                <w:b w:val="1"/>
                <w:bCs w:val="1"/>
                <w:color w:val="auto"/>
                <w:w w:val="99"/>
              </w:rPr>
              <w:t>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1"/>
                <w:szCs w:val="11"/>
                <w:b w:val="1"/>
                <w:bCs w:val="1"/>
                <w:color w:val="auto"/>
              </w:rPr>
              <w:t>Common Stock</w:t>
            </w:r>
          </w:p>
        </w:tc>
        <w:tc>
          <w:tcPr>
            <w:tcW w:w="680" w:type="dxa"/>
            <w:vAlign w:val="bottom"/>
            <w:gridSpan w:val="4"/>
          </w:tcPr>
          <w:p>
            <w:pPr>
              <w:ind w:left="80"/>
              <w:spacing w:after="0"/>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351"/>
              <w:spacing w:after="0"/>
              <w:rPr>
                <w:sz w:val="20"/>
                <w:szCs w:val="20"/>
                <w:color w:val="auto"/>
              </w:rPr>
            </w:pPr>
            <w:r>
              <w:rPr>
                <w:rFonts w:ascii="Arial" w:cs="Arial" w:eastAsia="Arial" w:hAnsi="Arial"/>
                <w:sz w:val="11"/>
                <w:szCs w:val="11"/>
                <w:b w:val="1"/>
                <w:bCs w:val="1"/>
                <w:color w:val="auto"/>
              </w:rPr>
              <w:t>sive</w:t>
            </w:r>
          </w:p>
        </w:tc>
        <w:tc>
          <w:tcPr>
            <w:tcW w:w="120" w:type="dxa"/>
            <w:vAlign w:val="bottom"/>
          </w:tcPr>
          <w:p>
            <w:pPr>
              <w:spacing w:after="0"/>
              <w:rPr>
                <w:sz w:val="12"/>
                <w:szCs w:val="12"/>
                <w:color w:val="auto"/>
              </w:rPr>
            </w:pPr>
          </w:p>
        </w:tc>
        <w:tc>
          <w:tcPr>
            <w:tcW w:w="620" w:type="dxa"/>
            <w:vAlign w:val="bottom"/>
            <w:gridSpan w:val="4"/>
          </w:tcPr>
          <w:p>
            <w:pPr>
              <w:jc w:val="center"/>
              <w:ind w:right="320"/>
              <w:spacing w:after="0"/>
              <w:rPr>
                <w:sz w:val="20"/>
                <w:szCs w:val="20"/>
                <w:color w:val="auto"/>
              </w:rPr>
            </w:pPr>
            <w:r>
              <w:rPr>
                <w:rFonts w:ascii="Arial" w:cs="Arial" w:eastAsia="Arial" w:hAnsi="Arial"/>
                <w:sz w:val="11"/>
                <w:szCs w:val="11"/>
                <w:b w:val="1"/>
                <w:bCs w:val="1"/>
                <w:color w:val="auto"/>
                <w:w w:val="97"/>
              </w:rPr>
              <w:t>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70"/>
              </w:rPr>
              <w:t>’</w:t>
            </w:r>
          </w:p>
        </w:tc>
        <w:tc>
          <w:tcPr>
            <w:tcW w:w="0" w:type="dxa"/>
            <w:vAlign w:val="bottom"/>
          </w:tcPr>
          <w:p>
            <w:pPr>
              <w:spacing w:after="0"/>
              <w:rPr>
                <w:sz w:val="1"/>
                <w:szCs w:val="1"/>
                <w:color w:val="auto"/>
              </w:rPr>
            </w:pPr>
          </w:p>
        </w:tc>
      </w:tr>
      <w:tr>
        <w:trPr>
          <w:trHeight w:val="88"/>
        </w:trPr>
        <w:tc>
          <w:tcPr>
            <w:tcW w:w="1320" w:type="dxa"/>
            <w:vAlign w:val="bottom"/>
            <w:gridSpan w:val="2"/>
          </w:tcPr>
          <w:p>
            <w:pPr>
              <w:spacing w:after="0"/>
              <w:rPr>
                <w:sz w:val="7"/>
                <w:szCs w:val="7"/>
                <w:color w:val="auto"/>
              </w:rPr>
            </w:pPr>
          </w:p>
        </w:tc>
        <w:tc>
          <w:tcPr>
            <w:tcW w:w="1040" w:type="dxa"/>
            <w:vAlign w:val="bottom"/>
            <w:tcBorders>
              <w:top w:val="single" w:sz="8" w:color="auto"/>
            </w:tcBorders>
            <w:gridSpan w:val="7"/>
          </w:tcPr>
          <w:p>
            <w:pPr>
              <w:spacing w:after="0"/>
              <w:rPr>
                <w:sz w:val="20"/>
                <w:szCs w:val="20"/>
                <w:color w:val="auto"/>
              </w:rPr>
            </w:pPr>
            <w:r>
              <w:rPr>
                <w:rFonts w:ascii="Arial" w:cs="Arial" w:eastAsia="Arial" w:hAnsi="Arial"/>
                <w:sz w:val="10"/>
                <w:szCs w:val="10"/>
                <w:b w:val="1"/>
                <w:bCs w:val="1"/>
                <w:color w:val="auto"/>
              </w:rPr>
              <w:t>Amou</w:t>
            </w:r>
          </w:p>
        </w:tc>
        <w:tc>
          <w:tcPr>
            <w:tcW w:w="260" w:type="dxa"/>
            <w:vAlign w:val="bottom"/>
            <w:gridSpan w:val="2"/>
          </w:tcPr>
          <w:p>
            <w:pPr>
              <w:spacing w:after="0"/>
              <w:rPr>
                <w:sz w:val="7"/>
                <w:szCs w:val="7"/>
                <w:color w:val="auto"/>
              </w:rPr>
            </w:pPr>
          </w:p>
        </w:tc>
        <w:tc>
          <w:tcPr>
            <w:tcW w:w="1360" w:type="dxa"/>
            <w:vAlign w:val="bottom"/>
            <w:tcBorders>
              <w:top w:val="single" w:sz="8" w:color="auto"/>
            </w:tcBorders>
            <w:gridSpan w:val="8"/>
          </w:tcPr>
          <w:p>
            <w:pPr>
              <w:spacing w:after="0"/>
              <w:rPr>
                <w:sz w:val="7"/>
                <w:szCs w:val="7"/>
                <w:color w:val="auto"/>
              </w:rPr>
            </w:pPr>
          </w:p>
        </w:tc>
        <w:tc>
          <w:tcPr>
            <w:tcW w:w="280" w:type="dxa"/>
            <w:vAlign w:val="bottom"/>
            <w:tcBorders>
              <w:right w:val="single" w:sz="8" w:color="auto"/>
            </w:tcBorders>
            <w:gridSpan w:val="3"/>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Borders>
              <w:top w:val="single" w:sz="8" w:color="auto"/>
            </w:tcBorders>
            <w:gridSpan w:val="7"/>
          </w:tcPr>
          <w:p>
            <w:pPr>
              <w:spacing w:after="0"/>
              <w:rPr>
                <w:sz w:val="20"/>
                <w:szCs w:val="20"/>
                <w:color w:val="auto"/>
              </w:rPr>
            </w:pPr>
            <w:r>
              <w:rPr>
                <w:rFonts w:ascii="Arial" w:cs="Arial" w:eastAsia="Arial" w:hAnsi="Arial"/>
                <w:sz w:val="10"/>
                <w:szCs w:val="10"/>
                <w:b w:val="1"/>
                <w:bCs w:val="1"/>
                <w:color w:val="auto"/>
              </w:rPr>
              <w:t>Amou</w:t>
            </w:r>
          </w:p>
        </w:tc>
        <w:tc>
          <w:tcPr>
            <w:tcW w:w="240" w:type="dxa"/>
            <w:vAlign w:val="bottom"/>
            <w:gridSpan w:val="3"/>
          </w:tcPr>
          <w:p>
            <w:pPr>
              <w:spacing w:after="0"/>
              <w:rPr>
                <w:sz w:val="7"/>
                <w:szCs w:val="7"/>
                <w:color w:val="auto"/>
              </w:rPr>
            </w:pPr>
          </w:p>
        </w:tc>
        <w:tc>
          <w:tcPr>
            <w:tcW w:w="980" w:type="dxa"/>
            <w:vAlign w:val="bottom"/>
            <w:tcBorders>
              <w:top w:val="single" w:sz="8" w:color="auto"/>
            </w:tcBorders>
            <w:gridSpan w:val="6"/>
          </w:tcPr>
          <w:p>
            <w:pPr>
              <w:spacing w:after="0"/>
              <w:rPr>
                <w:sz w:val="20"/>
                <w:szCs w:val="20"/>
                <w:color w:val="auto"/>
              </w:rPr>
            </w:pPr>
            <w:r>
              <w:rPr>
                <w:rFonts w:ascii="Arial" w:cs="Arial" w:eastAsia="Arial" w:hAnsi="Arial"/>
                <w:sz w:val="10"/>
                <w:szCs w:val="10"/>
                <w:b w:val="1"/>
                <w:bCs w:val="1"/>
                <w:color w:val="auto"/>
              </w:rPr>
              <w:t>Amo</w:t>
            </w:r>
          </w:p>
        </w:tc>
        <w:tc>
          <w:tcPr>
            <w:tcW w:w="220" w:type="dxa"/>
            <w:vAlign w:val="bottom"/>
            <w:gridSpan w:val="2"/>
          </w:tcPr>
          <w:p>
            <w:pPr>
              <w:spacing w:after="0"/>
              <w:rPr>
                <w:sz w:val="7"/>
                <w:szCs w:val="7"/>
                <w:color w:val="auto"/>
              </w:rPr>
            </w:pPr>
          </w:p>
        </w:tc>
        <w:tc>
          <w:tcPr>
            <w:tcW w:w="1020" w:type="dxa"/>
            <w:vAlign w:val="bottom"/>
            <w:tcBorders>
              <w:top w:val="single" w:sz="8" w:color="auto"/>
            </w:tcBorders>
            <w:gridSpan w:val="4"/>
          </w:tcPr>
          <w:p>
            <w:pPr>
              <w:spacing w:after="0"/>
              <w:rPr>
                <w:sz w:val="20"/>
                <w:szCs w:val="20"/>
                <w:color w:val="auto"/>
              </w:rPr>
            </w:pPr>
            <w:r>
              <w:rPr>
                <w:rFonts w:ascii="Arial" w:cs="Arial" w:eastAsia="Arial" w:hAnsi="Arial"/>
                <w:sz w:val="10"/>
                <w:szCs w:val="10"/>
                <w:b w:val="1"/>
                <w:bCs w:val="1"/>
                <w:color w:val="auto"/>
              </w:rPr>
              <w:t>Amo</w:t>
            </w:r>
          </w:p>
        </w:tc>
        <w:tc>
          <w:tcPr>
            <w:tcW w:w="3300" w:type="dxa"/>
            <w:vAlign w:val="bottom"/>
            <w:gridSpan w:val="19"/>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520" w:type="dxa"/>
            <w:vAlign w:val="bottom"/>
            <w:gridSpan w:val="4"/>
          </w:tcPr>
          <w:p>
            <w:pPr>
              <w:jc w:val="right"/>
              <w:ind w:right="380"/>
              <w:spacing w:after="0"/>
              <w:rPr>
                <w:sz w:val="20"/>
                <w:szCs w:val="20"/>
                <w:color w:val="auto"/>
              </w:rPr>
            </w:pPr>
            <w:r>
              <w:rPr>
                <w:rFonts w:ascii="Arial" w:cs="Arial" w:eastAsia="Arial" w:hAnsi="Arial"/>
                <w:sz w:val="11"/>
                <w:szCs w:val="11"/>
                <w:b w:val="1"/>
                <w:bCs w:val="1"/>
                <w:color w:val="auto"/>
              </w:rPr>
              <w:t>nt</w:t>
            </w:r>
          </w:p>
        </w:tc>
        <w:tc>
          <w:tcPr>
            <w:tcW w:w="70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right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320" w:type="dxa"/>
            <w:vAlign w:val="bottom"/>
            <w:gridSpan w:val="2"/>
          </w:tcPr>
          <w:p>
            <w:pPr>
              <w:jc w:val="right"/>
              <w:ind w:right="66"/>
              <w:spacing w:after="0"/>
              <w:rPr>
                <w:sz w:val="20"/>
                <w:szCs w:val="20"/>
                <w:color w:val="auto"/>
              </w:rPr>
            </w:pPr>
            <w:r>
              <w:rPr>
                <w:rFonts w:ascii="Arial" w:cs="Arial" w:eastAsia="Arial" w:hAnsi="Arial"/>
                <w:sz w:val="11"/>
                <w:szCs w:val="11"/>
                <w:b w:val="1"/>
                <w:bCs w:val="1"/>
                <w:color w:val="auto"/>
              </w:rPr>
              <w:t>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3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unt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3"/>
              </w:rPr>
              <w:t>unt</w:t>
            </w:r>
          </w:p>
        </w:tc>
        <w:tc>
          <w:tcPr>
            <w:tcW w:w="680" w:type="dxa"/>
            <w:vAlign w:val="bottom"/>
            <w:gridSpan w:val="4"/>
          </w:tcPr>
          <w:p>
            <w:pPr>
              <w:ind w:left="8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3"/>
                <w:szCs w:val="13"/>
                <w:color w:val="auto"/>
              </w:rPr>
            </w:pPr>
          </w:p>
        </w:tc>
        <w:tc>
          <w:tcPr>
            <w:tcW w:w="780" w:type="dxa"/>
            <w:vAlign w:val="bottom"/>
            <w:gridSpan w:val="4"/>
          </w:tcPr>
          <w:p>
            <w:pPr>
              <w:jc w:val="center"/>
              <w:ind w:right="271"/>
              <w:spacing w:after="0"/>
              <w:rPr>
                <w:sz w:val="20"/>
                <w:szCs w:val="20"/>
                <w:color w:val="auto"/>
              </w:rPr>
            </w:pPr>
            <w:r>
              <w:rPr>
                <w:rFonts w:ascii="Arial" w:cs="Arial" w:eastAsia="Arial" w:hAnsi="Arial"/>
                <w:sz w:val="11"/>
                <w:szCs w:val="11"/>
                <w:b w:val="1"/>
                <w:bCs w:val="1"/>
                <w:color w:val="auto"/>
              </w:rPr>
              <w:t>(Loss)</w:t>
            </w:r>
          </w:p>
        </w:tc>
        <w:tc>
          <w:tcPr>
            <w:tcW w:w="74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94"/>
        </w:trPr>
        <w:tc>
          <w:tcPr>
            <w:tcW w:w="1320" w:type="dxa"/>
            <w:vAlign w:val="bottom"/>
            <w:gridSpan w:val="2"/>
            <w:shd w:val="clear" w:color="auto" w:fill="CFF0FC"/>
          </w:tcPr>
          <w:p>
            <w:pPr>
              <w:ind w:left="20"/>
              <w:spacing w:after="0" w:line="94" w:lineRule="exact"/>
              <w:rPr>
                <w:sz w:val="20"/>
                <w:szCs w:val="20"/>
                <w:color w:val="auto"/>
              </w:rPr>
            </w:pPr>
            <w:r>
              <w:rPr>
                <w:rFonts w:ascii="Arial" w:cs="Arial" w:eastAsia="Arial" w:hAnsi="Arial"/>
                <w:sz w:val="10"/>
                <w:szCs w:val="10"/>
                <w:b w:val="1"/>
                <w:bCs w:val="1"/>
                <w:color w:val="auto"/>
              </w:rPr>
              <w:t>Balances at</w:t>
            </w:r>
          </w:p>
        </w:tc>
        <w:tc>
          <w:tcPr>
            <w:tcW w:w="460" w:type="dxa"/>
            <w:vAlign w:val="bottom"/>
            <w:tcBorders>
              <w:top w:val="single" w:sz="8" w:color="auto"/>
            </w:tcBorders>
            <w:shd w:val="clear" w:color="auto" w:fill="CFF0FC"/>
          </w:tcPr>
          <w:p>
            <w:pPr>
              <w:spacing w:after="0"/>
              <w:rPr>
                <w:sz w:val="8"/>
                <w:szCs w:val="8"/>
                <w:color w:val="auto"/>
              </w:rPr>
            </w:pPr>
          </w:p>
        </w:tc>
        <w:tc>
          <w:tcPr>
            <w:tcW w:w="260" w:type="dxa"/>
            <w:vAlign w:val="bottom"/>
            <w:gridSpan w:val="3"/>
            <w:shd w:val="clear" w:color="auto" w:fill="CFF0FC"/>
          </w:tcPr>
          <w:p>
            <w:pPr>
              <w:spacing w:after="0"/>
              <w:rPr>
                <w:sz w:val="8"/>
                <w:szCs w:val="8"/>
                <w:color w:val="auto"/>
              </w:rPr>
            </w:pPr>
          </w:p>
        </w:tc>
        <w:tc>
          <w:tcPr>
            <w:tcW w:w="320" w:type="dxa"/>
            <w:vAlign w:val="bottom"/>
            <w:tcBorders>
              <w:top w:val="single" w:sz="8" w:color="auto"/>
            </w:tcBorders>
            <w:gridSpan w:val="3"/>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tcBorders>
              <w:top w:val="single" w:sz="8" w:color="auto"/>
            </w:tcBorders>
            <w:gridSpan w:val="2"/>
            <w:shd w:val="clear" w:color="auto" w:fill="CFF0FC"/>
          </w:tcPr>
          <w:p>
            <w:pPr>
              <w:spacing w:after="0"/>
              <w:rPr>
                <w:sz w:val="8"/>
                <w:szCs w:val="8"/>
                <w:color w:val="auto"/>
              </w:rPr>
            </w:pPr>
          </w:p>
        </w:tc>
        <w:tc>
          <w:tcPr>
            <w:tcW w:w="260" w:type="dxa"/>
            <w:vAlign w:val="bottom"/>
            <w:gridSpan w:val="2"/>
            <w:shd w:val="clear" w:color="auto" w:fill="CFF0FC"/>
          </w:tcPr>
          <w:p>
            <w:pPr>
              <w:spacing w:after="0"/>
              <w:rPr>
                <w:sz w:val="8"/>
                <w:szCs w:val="8"/>
                <w:color w:val="auto"/>
              </w:rPr>
            </w:pPr>
          </w:p>
        </w:tc>
        <w:tc>
          <w:tcPr>
            <w:tcW w:w="660" w:type="dxa"/>
            <w:vAlign w:val="bottom"/>
            <w:tcBorders>
              <w:top w:val="single" w:sz="8" w:color="auto"/>
            </w:tcBorders>
            <w:gridSpan w:val="4"/>
            <w:shd w:val="clear" w:color="auto" w:fill="CFF0FC"/>
          </w:tcPr>
          <w:p>
            <w:pPr>
              <w:spacing w:after="0"/>
              <w:rPr>
                <w:sz w:val="8"/>
                <w:szCs w:val="8"/>
                <w:color w:val="auto"/>
              </w:rPr>
            </w:pPr>
          </w:p>
        </w:tc>
        <w:tc>
          <w:tcPr>
            <w:tcW w:w="280" w:type="dxa"/>
            <w:vAlign w:val="bottom"/>
            <w:tcBorders>
              <w:right w:val="single" w:sz="8" w:color="auto"/>
            </w:tcBorders>
            <w:gridSpan w:val="3"/>
            <w:shd w:val="clear" w:color="auto" w:fill="CFF0FC"/>
          </w:tcPr>
          <w:p>
            <w:pPr>
              <w:spacing w:after="0"/>
              <w:rPr>
                <w:sz w:val="8"/>
                <w:szCs w:val="8"/>
                <w:color w:val="auto"/>
              </w:rPr>
            </w:pPr>
          </w:p>
        </w:tc>
        <w:tc>
          <w:tcPr>
            <w:tcW w:w="120" w:type="dxa"/>
            <w:vAlign w:val="bottom"/>
            <w:tcBorders>
              <w:right w:val="single" w:sz="8" w:color="CFF0FC"/>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spacing w:after="0" w:line="94" w:lineRule="exact"/>
              <w:rPr>
                <w:sz w:val="20"/>
                <w:szCs w:val="20"/>
                <w:color w:val="auto"/>
              </w:rPr>
            </w:pPr>
            <w:r>
              <w:rPr>
                <w:rFonts w:ascii="Arial" w:cs="Arial" w:eastAsia="Arial" w:hAnsi="Arial"/>
                <w:sz w:val="10"/>
                <w:szCs w:val="10"/>
                <w:color w:val="auto"/>
              </w:rPr>
              <w:t>102,771</w:t>
            </w:r>
          </w:p>
        </w:tc>
        <w:tc>
          <w:tcPr>
            <w:tcW w:w="240" w:type="dxa"/>
            <w:vAlign w:val="bottom"/>
            <w:gridSpan w:val="3"/>
            <w:shd w:val="clear" w:color="auto" w:fill="CFF0FC"/>
          </w:tcPr>
          <w:p>
            <w:pPr>
              <w:spacing w:after="0"/>
              <w:rPr>
                <w:sz w:val="8"/>
                <w:szCs w:val="8"/>
                <w:color w:val="auto"/>
              </w:rPr>
            </w:pPr>
          </w:p>
        </w:tc>
        <w:tc>
          <w:tcPr>
            <w:tcW w:w="340" w:type="dxa"/>
            <w:vAlign w:val="bottom"/>
            <w:tcBorders>
              <w:top w:val="single" w:sz="8" w:color="auto"/>
              <w:right w:val="single" w:sz="8" w:color="CFF0FC"/>
            </w:tcBorders>
            <w:gridSpan w:val="3"/>
            <w:shd w:val="clear" w:color="auto" w:fill="CFF0FC"/>
          </w:tcPr>
          <w:p>
            <w:pPr>
              <w:spacing w:after="0"/>
              <w:rPr>
                <w:sz w:val="8"/>
                <w:szCs w:val="8"/>
                <w:color w:val="auto"/>
              </w:rPr>
            </w:pPr>
          </w:p>
        </w:tc>
        <w:tc>
          <w:tcPr>
            <w:tcW w:w="240" w:type="dxa"/>
            <w:vAlign w:val="bottom"/>
            <w:gridSpan w:val="3"/>
            <w:shd w:val="clear" w:color="auto" w:fill="CFF0FC"/>
          </w:tcPr>
          <w:p>
            <w:pPr>
              <w:spacing w:after="0"/>
              <w:rPr>
                <w:sz w:val="8"/>
                <w:szCs w:val="8"/>
                <w:color w:val="auto"/>
              </w:rPr>
            </w:pPr>
          </w:p>
        </w:tc>
        <w:tc>
          <w:tcPr>
            <w:tcW w:w="460" w:type="dxa"/>
            <w:vAlign w:val="bottom"/>
            <w:tcBorders>
              <w:top w:val="single" w:sz="8" w:color="auto"/>
              <w:right w:val="single" w:sz="8" w:color="CFF0FC"/>
            </w:tcBorders>
            <w:shd w:val="clear" w:color="auto" w:fill="CFF0FC"/>
          </w:tcPr>
          <w:p>
            <w:pPr>
              <w:jc w:val="right"/>
              <w:spacing w:after="0" w:line="94" w:lineRule="exact"/>
              <w:rPr>
                <w:sz w:val="20"/>
                <w:szCs w:val="20"/>
                <w:color w:val="auto"/>
              </w:rPr>
            </w:pPr>
            <w:r>
              <w:rPr>
                <w:rFonts w:ascii="Arial" w:cs="Arial" w:eastAsia="Arial" w:hAnsi="Arial"/>
                <w:sz w:val="10"/>
                <w:szCs w:val="10"/>
                <w:color w:val="auto"/>
              </w:rPr>
              <w:t>5,988,</w:t>
            </w:r>
          </w:p>
        </w:tc>
        <w:tc>
          <w:tcPr>
            <w:tcW w:w="160" w:type="dxa"/>
            <w:vAlign w:val="bottom"/>
            <w:tcBorders>
              <w:right w:val="single" w:sz="8" w:color="CFF0FC"/>
            </w:tcBorders>
            <w:shd w:val="clear" w:color="auto" w:fill="CFF0FC"/>
          </w:tcPr>
          <w:p>
            <w:pPr>
              <w:spacing w:after="0"/>
              <w:rPr>
                <w:sz w:val="8"/>
                <w:szCs w:val="8"/>
                <w:color w:val="auto"/>
              </w:rPr>
            </w:pPr>
          </w:p>
        </w:tc>
        <w:tc>
          <w:tcPr>
            <w:tcW w:w="60" w:type="dxa"/>
            <w:vAlign w:val="bottom"/>
            <w:gridSpan w:val="2"/>
            <w:shd w:val="clear" w:color="auto" w:fill="CFF0FC"/>
          </w:tcPr>
          <w:p>
            <w:pPr>
              <w:spacing w:after="0"/>
              <w:rPr>
                <w:sz w:val="8"/>
                <w:szCs w:val="8"/>
                <w:color w:val="auto"/>
              </w:rPr>
            </w:pPr>
          </w:p>
        </w:tc>
        <w:tc>
          <w:tcPr>
            <w:tcW w:w="300" w:type="dxa"/>
            <w:vAlign w:val="bottom"/>
            <w:tcBorders>
              <w:top w:val="single" w:sz="8" w:color="auto"/>
              <w:right w:val="single" w:sz="8" w:color="CFF0FC"/>
            </w:tcBorders>
            <w:gridSpan w:val="2"/>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80" w:type="dxa"/>
            <w:vAlign w:val="bottom"/>
            <w:tcBorders>
              <w:top w:val="single" w:sz="8" w:color="auto"/>
              <w:right w:val="single" w:sz="8" w:color="CFF0FC"/>
            </w:tcBorders>
            <w:shd w:val="clear" w:color="auto" w:fill="CFF0FC"/>
          </w:tcPr>
          <w:p>
            <w:pPr>
              <w:jc w:val="right"/>
              <w:spacing w:after="0" w:line="94" w:lineRule="exact"/>
              <w:rPr>
                <w:sz w:val="20"/>
                <w:szCs w:val="20"/>
                <w:color w:val="auto"/>
              </w:rPr>
            </w:pPr>
            <w:r>
              <w:rPr>
                <w:rFonts w:ascii="Arial" w:cs="Arial" w:eastAsia="Arial" w:hAnsi="Arial"/>
                <w:sz w:val="10"/>
                <w:szCs w:val="10"/>
                <w:color w:val="auto"/>
              </w:rPr>
              <w:t>(2,317,</w:t>
            </w:r>
          </w:p>
        </w:tc>
        <w:tc>
          <w:tcPr>
            <w:tcW w:w="160" w:type="dxa"/>
            <w:vAlign w:val="bottom"/>
            <w:tcBorders>
              <w:right w:val="single" w:sz="8" w:color="CFF0FC"/>
            </w:tcBorders>
            <w:shd w:val="clear" w:color="auto" w:fill="CFF0FC"/>
          </w:tcPr>
          <w:p>
            <w:pPr>
              <w:spacing w:after="0"/>
              <w:rPr>
                <w:sz w:val="8"/>
                <w:szCs w:val="8"/>
                <w:color w:val="auto"/>
              </w:rPr>
            </w:pPr>
          </w:p>
        </w:tc>
        <w:tc>
          <w:tcPr>
            <w:tcW w:w="380" w:type="dxa"/>
            <w:vAlign w:val="bottom"/>
            <w:tcBorders>
              <w:top w:val="single" w:sz="8" w:color="auto"/>
              <w:left w:val="single" w:sz="8" w:color="CFF0FC"/>
              <w:right w:val="single" w:sz="8" w:color="CFF0FC"/>
            </w:tcBorders>
            <w:gridSpan w:val="2"/>
            <w:shd w:val="clear" w:color="auto" w:fill="CFF0FC"/>
          </w:tcPr>
          <w:p>
            <w:pPr>
              <w:jc w:val="right"/>
              <w:ind w:right="326"/>
              <w:spacing w:after="0"/>
              <w:rPr>
                <w:sz w:val="20"/>
                <w:szCs w:val="20"/>
                <w:color w:val="auto"/>
              </w:rPr>
            </w:pPr>
            <w:r>
              <w:rPr>
                <w:rFonts w:ascii="Arial" w:cs="Arial" w:eastAsia="Arial" w:hAnsi="Arial"/>
                <w:sz w:val="10"/>
                <w:szCs w:val="10"/>
                <w:color w:val="auto"/>
              </w:rPr>
              <w:t>(74</w:t>
            </w:r>
          </w:p>
        </w:tc>
        <w:tc>
          <w:tcPr>
            <w:tcW w:w="160" w:type="dxa"/>
            <w:vAlign w:val="bottom"/>
            <w:tcBorders>
              <w:right w:val="single" w:sz="8" w:color="CFF0FC"/>
            </w:tcBorders>
            <w:shd w:val="clear" w:color="auto" w:fill="CFF0FC"/>
          </w:tcPr>
          <w:p>
            <w:pPr>
              <w:spacing w:after="0"/>
              <w:rPr>
                <w:sz w:val="8"/>
                <w:szCs w:val="8"/>
                <w:color w:val="auto"/>
              </w:rPr>
            </w:pPr>
          </w:p>
        </w:tc>
        <w:tc>
          <w:tcPr>
            <w:tcW w:w="460" w:type="dxa"/>
            <w:vAlign w:val="bottom"/>
            <w:tcBorders>
              <w:top w:val="single" w:sz="8" w:color="auto"/>
              <w:left w:val="single" w:sz="8" w:color="CFF0FC"/>
            </w:tcBorders>
            <w:gridSpan w:val="2"/>
            <w:shd w:val="clear" w:color="auto" w:fill="CFF0FC"/>
          </w:tcPr>
          <w:p>
            <w:pPr>
              <w:jc w:val="right"/>
              <w:ind w:right="406"/>
              <w:spacing w:after="0"/>
              <w:rPr>
                <w:sz w:val="20"/>
                <w:szCs w:val="20"/>
                <w:color w:val="auto"/>
              </w:rPr>
            </w:pPr>
            <w:r>
              <w:rPr>
                <w:rFonts w:ascii="Arial" w:cs="Arial" w:eastAsia="Arial" w:hAnsi="Arial"/>
                <w:sz w:val="10"/>
                <w:szCs w:val="10"/>
                <w:color w:val="auto"/>
              </w:rPr>
              <w:t>609,</w:t>
            </w:r>
          </w:p>
        </w:tc>
        <w:tc>
          <w:tcPr>
            <w:tcW w:w="220" w:type="dxa"/>
            <w:vAlign w:val="bottom"/>
            <w:gridSpan w:val="2"/>
            <w:shd w:val="clear" w:color="auto" w:fill="CFF0FC"/>
          </w:tcPr>
          <w:p>
            <w:pPr>
              <w:spacing w:after="0"/>
              <w:rPr>
                <w:sz w:val="8"/>
                <w:szCs w:val="8"/>
                <w:color w:val="auto"/>
              </w:rPr>
            </w:pPr>
          </w:p>
        </w:tc>
        <w:tc>
          <w:tcPr>
            <w:tcW w:w="660" w:type="dxa"/>
            <w:vAlign w:val="bottom"/>
            <w:tcBorders>
              <w:top w:val="single" w:sz="8" w:color="auto"/>
            </w:tcBorders>
            <w:gridSpan w:val="3"/>
            <w:shd w:val="clear" w:color="auto" w:fill="CFF0FC"/>
          </w:tcPr>
          <w:p>
            <w:pPr>
              <w:spacing w:after="0"/>
              <w:rPr>
                <w:sz w:val="8"/>
                <w:szCs w:val="8"/>
                <w:color w:val="auto"/>
              </w:rPr>
            </w:pPr>
          </w:p>
        </w:tc>
        <w:tc>
          <w:tcPr>
            <w:tcW w:w="220" w:type="dxa"/>
            <w:vAlign w:val="bottom"/>
            <w:gridSpan w:val="2"/>
            <w:shd w:val="clear" w:color="auto" w:fill="CFF0FC"/>
          </w:tcPr>
          <w:p>
            <w:pPr>
              <w:spacing w:after="0"/>
              <w:rPr>
                <w:sz w:val="8"/>
                <w:szCs w:val="8"/>
                <w:color w:val="auto"/>
              </w:rPr>
            </w:pPr>
          </w:p>
        </w:tc>
        <w:tc>
          <w:tcPr>
            <w:tcW w:w="520" w:type="dxa"/>
            <w:vAlign w:val="bottom"/>
            <w:tcBorders>
              <w:top w:val="single" w:sz="8" w:color="auto"/>
            </w:tcBorders>
            <w:gridSpan w:val="3"/>
            <w:shd w:val="clear" w:color="auto" w:fill="CFF0FC"/>
          </w:tcPr>
          <w:p>
            <w:pPr>
              <w:jc w:val="right"/>
              <w:spacing w:after="0" w:line="94" w:lineRule="exact"/>
              <w:rPr>
                <w:sz w:val="20"/>
                <w:szCs w:val="20"/>
                <w:color w:val="auto"/>
              </w:rPr>
            </w:pPr>
            <w:r>
              <w:rPr>
                <w:rFonts w:ascii="Arial" w:cs="Arial" w:eastAsia="Arial" w:hAnsi="Arial"/>
                <w:sz w:val="10"/>
                <w:szCs w:val="10"/>
                <w:color w:val="auto"/>
              </w:rPr>
              <w:t>(125,85</w:t>
            </w:r>
          </w:p>
        </w:tc>
        <w:tc>
          <w:tcPr>
            <w:tcW w:w="220" w:type="dxa"/>
            <w:vAlign w:val="bottom"/>
            <w:gridSpan w:val="2"/>
            <w:shd w:val="clear" w:color="auto" w:fill="CFF0FC"/>
          </w:tcPr>
          <w:p>
            <w:pPr>
              <w:spacing w:after="0"/>
              <w:rPr>
                <w:sz w:val="8"/>
                <w:szCs w:val="8"/>
                <w:color w:val="auto"/>
              </w:rPr>
            </w:pPr>
          </w:p>
        </w:tc>
        <w:tc>
          <w:tcPr>
            <w:tcW w:w="740" w:type="dxa"/>
            <w:vAlign w:val="bottom"/>
            <w:tcBorders>
              <w:top w:val="single" w:sz="8" w:color="auto"/>
            </w:tcBorders>
            <w:gridSpan w:val="3"/>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320" w:type="dxa"/>
            <w:vAlign w:val="bottom"/>
            <w:gridSpan w:val="2"/>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 2021</w:t>
            </w:r>
          </w:p>
        </w:tc>
        <w:tc>
          <w:tcPr>
            <w:tcW w:w="720" w:type="dxa"/>
            <w:vAlign w:val="bottom"/>
            <w:gridSpan w:val="4"/>
            <w:shd w:val="clear" w:color="auto" w:fill="CFF0FC"/>
          </w:tcPr>
          <w:p>
            <w:pPr>
              <w:ind w:left="34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w:t>
            </w:r>
          </w:p>
        </w:tc>
        <w:tc>
          <w:tcPr>
            <w:tcW w:w="38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4"/>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,899</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10</w:t>
            </w:r>
          </w:p>
        </w:tc>
        <w:tc>
          <w:tcPr>
            <w:tcW w:w="70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1"/>
                <w:szCs w:val="11"/>
                <w:color w:val="auto"/>
              </w:rPr>
              <w:t>378</w:t>
            </w:r>
          </w:p>
        </w:tc>
        <w:tc>
          <w:tcPr>
            <w:tcW w:w="160" w:type="dxa"/>
            <w:vAlign w:val="bottom"/>
            <w:tcBorders>
              <w:righ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60" w:type="dxa"/>
            <w:vAlign w:val="bottom"/>
            <w:tcBorders>
              <w:right w:val="single" w:sz="8" w:color="CFF0FC"/>
            </w:tcBorders>
            <w:gridSpan w:val="4"/>
            <w:shd w:val="clear" w:color="auto" w:fill="CFF0FC"/>
          </w:tcPr>
          <w:p>
            <w:pPr>
              <w:jc w:val="right"/>
              <w:ind w:right="120"/>
              <w:spacing w:after="0"/>
              <w:rPr>
                <w:sz w:val="20"/>
                <w:szCs w:val="20"/>
                <w:color w:val="auto"/>
              </w:rPr>
            </w:pPr>
            <w:r>
              <w:rPr>
                <w:rFonts w:ascii="Arial" w:cs="Arial" w:eastAsia="Arial" w:hAnsi="Arial"/>
                <w:sz w:val="11"/>
                <w:szCs w:val="11"/>
                <w:color w:val="auto"/>
              </w:rPr>
              <w:t>722 )</w:t>
            </w:r>
          </w:p>
        </w:tc>
        <w:tc>
          <w:tcPr>
            <w:tcW w:w="12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8 )</w:t>
            </w:r>
          </w:p>
        </w:tc>
        <w:tc>
          <w:tcPr>
            <w:tcW w:w="140" w:type="dxa"/>
            <w:vAlign w:val="bottom"/>
            <w:tcBorders>
              <w:left w:val="single" w:sz="8" w:color="CFF0FC"/>
            </w:tcBorders>
            <w:shd w:val="clear" w:color="auto" w:fill="CFF0FC"/>
          </w:tcPr>
          <w:p>
            <w:pPr>
              <w:ind w:left="60"/>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(399 )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7 )</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482,201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260" w:type="dxa"/>
            <w:vAlign w:val="bottom"/>
            <w:tcBorders>
              <w:right w:val="single" w:sz="8" w:color="auto"/>
            </w:tcBorders>
            <w:gridSpan w:val="22"/>
          </w:tcPr>
          <w:p>
            <w:pPr>
              <w:ind w:left="20"/>
              <w:spacing w:after="0" w:line="105" w:lineRule="exact"/>
              <w:rPr>
                <w:sz w:val="20"/>
                <w:szCs w:val="20"/>
                <w:color w:val="auto"/>
              </w:rPr>
            </w:pPr>
            <w:r>
              <w:rPr>
                <w:rFonts w:ascii="Arial" w:cs="Arial" w:eastAsia="Arial" w:hAnsi="Arial"/>
                <w:sz w:val="11"/>
                <w:szCs w:val="11"/>
                <w:color w:val="auto"/>
              </w:rPr>
              <w:t>Issuance of common</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260" w:type="dxa"/>
            <w:vAlign w:val="bottom"/>
            <w:tcBorders>
              <w:right w:val="single" w:sz="8" w:color="auto"/>
            </w:tcBorders>
            <w:gridSpan w:val="22"/>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698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60" w:type="dxa"/>
            <w:vAlign w:val="bottom"/>
            <w:tcBorders>
              <w:right w:val="single" w:sz="8" w:color="auto"/>
            </w:tcBorders>
            <w:gridSpan w:val="22"/>
          </w:tcPr>
          <w:p>
            <w:pPr>
              <w:ind w:left="120"/>
              <w:spacing w:after="0" w:line="108" w:lineRule="exact"/>
              <w:rPr>
                <w:sz w:val="20"/>
                <w:szCs w:val="20"/>
                <w:color w:val="auto"/>
              </w:rPr>
            </w:pPr>
            <w:r>
              <w:rPr>
                <w:rFonts w:ascii="Arial" w:cs="Arial" w:eastAsia="Arial" w:hAnsi="Arial"/>
                <w:sz w:val="11"/>
                <w:szCs w:val="11"/>
                <w:color w:val="auto"/>
              </w:rPr>
              <w:t>of stock options, net</w:t>
            </w:r>
          </w:p>
        </w:tc>
        <w:tc>
          <w:tcPr>
            <w:tcW w:w="6980" w:type="dxa"/>
            <w:vAlign w:val="bottom"/>
            <w:gridSpan w:val="42"/>
          </w:tcPr>
          <w:p>
            <w:pPr>
              <w:jc w:val="right"/>
              <w:ind w:right="6980"/>
              <w:spacing w:after="0"/>
              <w:rPr>
                <w:sz w:val="20"/>
                <w:szCs w:val="20"/>
                <w:color w:val="auto"/>
              </w:rPr>
            </w:pPr>
            <w:r>
              <w:rPr>
                <w:rFonts w:ascii="Arial" w:cs="Arial" w:eastAsia="Arial" w:hAnsi="Arial"/>
                <w:sz w:val="11"/>
                <w:szCs w:val="11"/>
                <w:color w:val="auto"/>
              </w:rPr>
              <w:t>2,080,5</w:t>
            </w:r>
          </w:p>
        </w:tc>
        <w:tc>
          <w:tcPr>
            <w:tcW w:w="0" w:type="dxa"/>
            <w:vAlign w:val="bottom"/>
          </w:tcPr>
          <w:p>
            <w:pPr>
              <w:spacing w:after="0"/>
              <w:rPr>
                <w:sz w:val="1"/>
                <w:szCs w:val="1"/>
                <w:color w:val="auto"/>
              </w:rPr>
            </w:pPr>
          </w:p>
        </w:tc>
      </w:tr>
      <w:tr>
        <w:trPr>
          <w:trHeight w:val="143"/>
        </w:trPr>
        <w:tc>
          <w:tcPr>
            <w:tcW w:w="1320" w:type="dxa"/>
            <w:vAlign w:val="bottom"/>
            <w:gridSpan w:val="2"/>
          </w:tcPr>
          <w:p>
            <w:pPr>
              <w:ind w:left="120"/>
              <w:spacing w:after="0"/>
              <w:rPr>
                <w:sz w:val="20"/>
                <w:szCs w:val="20"/>
                <w:color w:val="auto"/>
              </w:rPr>
            </w:pPr>
            <w:r>
              <w:rPr>
                <w:rFonts w:ascii="Arial" w:cs="Arial" w:eastAsia="Arial" w:hAnsi="Arial"/>
                <w:sz w:val="11"/>
                <w:szCs w:val="11"/>
                <w:color w:val="auto"/>
              </w:rPr>
              <w:t>of shares withheld</w:t>
            </w:r>
          </w:p>
        </w:tc>
        <w:tc>
          <w:tcPr>
            <w:tcW w:w="720" w:type="dxa"/>
            <w:vAlign w:val="bottom"/>
            <w:gridSpan w:val="4"/>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tcPr>
          <w:p>
            <w:pPr>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40" w:type="dxa"/>
            <w:vAlign w:val="bottom"/>
            <w:gridSpan w:val="3"/>
          </w:tcPr>
          <w:p>
            <w:pPr>
              <w:jc w:val="right"/>
              <w:ind w:right="20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gridSpan w:val="4"/>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3,004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7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520" w:type="dxa"/>
            <w:vAlign w:val="bottom"/>
            <w:tcBorders>
              <w:right w:val="single" w:sz="8" w:color="CFF0FC"/>
            </w:tcBorders>
            <w:gridSpan w:val="10"/>
            <w:shd w:val="clear" w:color="auto" w:fill="CFF0FC"/>
          </w:tcPr>
          <w:p>
            <w:pPr>
              <w:ind w:left="20"/>
              <w:spacing w:after="0" w:line="113" w:lineRule="exact"/>
              <w:rPr>
                <w:sz w:val="20"/>
                <w:szCs w:val="20"/>
                <w:color w:val="auto"/>
              </w:rPr>
            </w:pPr>
            <w:r>
              <w:rPr>
                <w:rFonts w:ascii="Arial" w:cs="Arial" w:eastAsia="Arial" w:hAnsi="Arial"/>
                <w:sz w:val="11"/>
                <w:szCs w:val="11"/>
                <w:color w:val="auto"/>
              </w:rPr>
              <w:t>Conversion of non-</w:t>
            </w:r>
          </w:p>
        </w:tc>
        <w:tc>
          <w:tcPr>
            <w:tcW w:w="1740" w:type="dxa"/>
            <w:vAlign w:val="bottom"/>
            <w:tcBorders>
              <w:right w:val="single" w:sz="8" w:color="auto"/>
            </w:tcBorders>
            <w:gridSpan w:val="12"/>
            <w:shd w:val="clear" w:color="auto" w:fill="CFF0FC"/>
          </w:tcPr>
          <w:p>
            <w:pPr>
              <w:spacing w:after="0"/>
              <w:rPr>
                <w:sz w:val="9"/>
                <w:szCs w:val="9"/>
                <w:color w:val="auto"/>
              </w:rPr>
            </w:pPr>
          </w:p>
        </w:tc>
        <w:tc>
          <w:tcPr>
            <w:tcW w:w="120" w:type="dxa"/>
            <w:vAlign w:val="bottom"/>
            <w:tcBorders>
              <w:right w:val="single" w:sz="8" w:color="CFF0FC"/>
            </w:tcBorders>
          </w:tcPr>
          <w:p>
            <w:pPr>
              <w:spacing w:after="0"/>
              <w:rPr>
                <w:sz w:val="9"/>
                <w:szCs w:val="9"/>
                <w:color w:val="auto"/>
              </w:rPr>
            </w:pPr>
          </w:p>
        </w:tc>
        <w:tc>
          <w:tcPr>
            <w:tcW w:w="1100" w:type="dxa"/>
            <w:vAlign w:val="bottom"/>
            <w:tcBorders>
              <w:right w:val="single" w:sz="8" w:color="CFF0FC"/>
            </w:tcBorders>
            <w:gridSpan w:val="7"/>
            <w:shd w:val="clear" w:color="auto" w:fill="CFF0FC"/>
          </w:tcPr>
          <w:p>
            <w:pPr>
              <w:spacing w:after="0"/>
              <w:rPr>
                <w:sz w:val="9"/>
                <w:szCs w:val="9"/>
                <w:color w:val="auto"/>
              </w:rPr>
            </w:pPr>
          </w:p>
        </w:tc>
        <w:tc>
          <w:tcPr>
            <w:tcW w:w="700" w:type="dxa"/>
            <w:vAlign w:val="bottom"/>
            <w:tcBorders>
              <w:right w:val="single" w:sz="8" w:color="CFF0FC"/>
            </w:tcBorders>
            <w:gridSpan w:val="4"/>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20" w:type="dxa"/>
            <w:vAlign w:val="bottom"/>
            <w:tcBorders>
              <w:right w:val="single" w:sz="8" w:color="CFF0FC"/>
            </w:tcBorders>
            <w:gridSpan w:val="10"/>
            <w:shd w:val="clear" w:color="auto" w:fill="CFF0FC"/>
          </w:tcPr>
          <w:p>
            <w:pPr>
              <w:ind w:left="20"/>
              <w:spacing w:after="0" w:line="122" w:lineRule="exact"/>
              <w:rPr>
                <w:sz w:val="20"/>
                <w:szCs w:val="20"/>
                <w:color w:val="auto"/>
              </w:rPr>
            </w:pPr>
            <w:r>
              <w:rPr>
                <w:rFonts w:ascii="Arial" w:cs="Arial" w:eastAsia="Arial" w:hAnsi="Arial"/>
                <w:sz w:val="11"/>
                <w:szCs w:val="11"/>
                <w:color w:val="auto"/>
              </w:rPr>
              <w:t>voting</w:t>
            </w:r>
          </w:p>
        </w:tc>
        <w:tc>
          <w:tcPr>
            <w:tcW w:w="1740" w:type="dxa"/>
            <w:vAlign w:val="bottom"/>
            <w:tcBorders>
              <w:right w:val="single" w:sz="8" w:color="auto"/>
            </w:tcBorders>
            <w:gridSpan w:val="12"/>
            <w:shd w:val="clear" w:color="auto" w:fill="CFF0FC"/>
          </w:tcPr>
          <w:p>
            <w:pPr>
              <w:spacing w:after="0"/>
              <w:rPr>
                <w:sz w:val="10"/>
                <w:szCs w:val="10"/>
                <w:color w:val="auto"/>
              </w:rPr>
            </w:pPr>
          </w:p>
        </w:tc>
        <w:tc>
          <w:tcPr>
            <w:tcW w:w="120" w:type="dxa"/>
            <w:vAlign w:val="bottom"/>
            <w:tcBorders>
              <w:right w:val="single" w:sz="8" w:color="CFF0FC"/>
            </w:tcBorders>
          </w:tcPr>
          <w:p>
            <w:pPr>
              <w:spacing w:after="0"/>
              <w:rPr>
                <w:sz w:val="10"/>
                <w:szCs w:val="10"/>
                <w:color w:val="auto"/>
              </w:rPr>
            </w:pPr>
          </w:p>
        </w:tc>
        <w:tc>
          <w:tcPr>
            <w:tcW w:w="1100" w:type="dxa"/>
            <w:vAlign w:val="bottom"/>
            <w:tcBorders>
              <w:right w:val="single" w:sz="8" w:color="CFF0FC"/>
            </w:tcBorders>
            <w:gridSpan w:val="7"/>
            <w:shd w:val="clear" w:color="auto" w:fill="CFF0FC"/>
          </w:tcPr>
          <w:p>
            <w:pPr>
              <w:spacing w:after="0"/>
              <w:rPr>
                <w:sz w:val="10"/>
                <w:szCs w:val="10"/>
                <w:color w:val="auto"/>
              </w:rPr>
            </w:pPr>
          </w:p>
        </w:tc>
        <w:tc>
          <w:tcPr>
            <w:tcW w:w="700" w:type="dxa"/>
            <w:vAlign w:val="bottom"/>
            <w:tcBorders>
              <w:right w:val="single" w:sz="8" w:color="CFF0FC"/>
            </w:tcBorders>
            <w:gridSpan w:val="4"/>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gridSpan w:val="4"/>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520" w:type="dxa"/>
            <w:vAlign w:val="bottom"/>
            <w:tcBorders>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80" w:type="dxa"/>
            <w:vAlign w:val="bottom"/>
            <w:tcBorders>
              <w:left w:val="single" w:sz="8" w:color="CFF0FC"/>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140" w:type="dxa"/>
            <w:vAlign w:val="bottom"/>
            <w:tcBorders>
              <w:left w:val="single" w:sz="8" w:color="CFF0FC"/>
            </w:tcBorders>
            <w:gridSpan w:val="18"/>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Borders>
              <w:right w:val="single" w:sz="8" w:color="CFF0FC"/>
            </w:tcBorders>
            <w:gridSpan w:val="10"/>
            <w:shd w:val="clear" w:color="auto" w:fill="CFF0FC"/>
          </w:tcPr>
          <w:p>
            <w:pPr>
              <w:ind w:left="120"/>
              <w:spacing w:after="0" w:line="108" w:lineRule="exact"/>
              <w:rPr>
                <w:sz w:val="20"/>
                <w:szCs w:val="20"/>
                <w:color w:val="auto"/>
              </w:rPr>
            </w:pPr>
            <w:r>
              <w:rPr>
                <w:rFonts w:ascii="Arial" w:cs="Arial" w:eastAsia="Arial" w:hAnsi="Arial"/>
                <w:sz w:val="11"/>
                <w:szCs w:val="11"/>
                <w:color w:val="auto"/>
              </w:rPr>
              <w:t>common stock to</w:t>
            </w:r>
          </w:p>
        </w:tc>
        <w:tc>
          <w:tcPr>
            <w:tcW w:w="1740" w:type="dxa"/>
            <w:vAlign w:val="bottom"/>
            <w:tcBorders>
              <w:right w:val="single" w:sz="8" w:color="auto"/>
            </w:tcBorders>
            <w:gridSpan w:val="12"/>
            <w:shd w:val="clear" w:color="auto" w:fill="CFF0FC"/>
          </w:tcPr>
          <w:p>
            <w:pPr>
              <w:spacing w:after="0"/>
              <w:rPr>
                <w:sz w:val="9"/>
                <w:szCs w:val="9"/>
                <w:color w:val="auto"/>
              </w:rPr>
            </w:pPr>
          </w:p>
        </w:tc>
        <w:tc>
          <w:tcPr>
            <w:tcW w:w="120" w:type="dxa"/>
            <w:vAlign w:val="bottom"/>
            <w:tcBorders>
              <w:right w:val="single" w:sz="8" w:color="CFF0FC"/>
            </w:tcBorders>
          </w:tcPr>
          <w:p>
            <w:pPr>
              <w:spacing w:after="0"/>
              <w:rPr>
                <w:sz w:val="9"/>
                <w:szCs w:val="9"/>
                <w:color w:val="auto"/>
              </w:rPr>
            </w:pPr>
          </w:p>
        </w:tc>
        <w:tc>
          <w:tcPr>
            <w:tcW w:w="1100" w:type="dxa"/>
            <w:vAlign w:val="bottom"/>
            <w:tcBorders>
              <w:right w:val="single" w:sz="8" w:color="CFF0FC"/>
            </w:tcBorders>
            <w:gridSpan w:val="7"/>
            <w:shd w:val="clear" w:color="auto" w:fill="CFF0FC"/>
          </w:tcPr>
          <w:p>
            <w:pPr>
              <w:spacing w:after="0"/>
              <w:rPr>
                <w:sz w:val="9"/>
                <w:szCs w:val="9"/>
                <w:color w:val="auto"/>
              </w:rPr>
            </w:pPr>
          </w:p>
        </w:tc>
        <w:tc>
          <w:tcPr>
            <w:tcW w:w="700" w:type="dxa"/>
            <w:vAlign w:val="bottom"/>
            <w:tcBorders>
              <w:right w:val="single" w:sz="8" w:color="CFF0FC"/>
            </w:tcBorders>
            <w:gridSpan w:val="4"/>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right w:val="single" w:sz="8" w:color="CFF0FC"/>
            </w:tcBorders>
            <w:gridSpan w:val="10"/>
            <w:shd w:val="clear" w:color="auto" w:fill="CFF0FC"/>
          </w:tcPr>
          <w:p>
            <w:pPr>
              <w:ind w:left="20"/>
              <w:spacing w:after="0" w:line="108" w:lineRule="exact"/>
              <w:rPr>
                <w:sz w:val="20"/>
                <w:szCs w:val="20"/>
                <w:color w:val="auto"/>
              </w:rPr>
            </w:pPr>
            <w:r>
              <w:rPr>
                <w:rFonts w:ascii="Arial" w:cs="Arial" w:eastAsia="Arial" w:hAnsi="Arial"/>
                <w:sz w:val="11"/>
                <w:szCs w:val="11"/>
                <w:color w:val="auto"/>
              </w:rPr>
              <w:t>voting</w:t>
            </w:r>
          </w:p>
        </w:tc>
        <w:tc>
          <w:tcPr>
            <w:tcW w:w="1740" w:type="dxa"/>
            <w:vAlign w:val="bottom"/>
            <w:tcBorders>
              <w:right w:val="single" w:sz="8" w:color="auto"/>
            </w:tcBorders>
            <w:gridSpan w:val="12"/>
            <w:shd w:val="clear" w:color="auto" w:fill="CFF0FC"/>
          </w:tcPr>
          <w:p>
            <w:pPr>
              <w:spacing w:after="0"/>
              <w:rPr>
                <w:sz w:val="9"/>
                <w:szCs w:val="9"/>
                <w:color w:val="auto"/>
              </w:rPr>
            </w:pPr>
          </w:p>
        </w:tc>
        <w:tc>
          <w:tcPr>
            <w:tcW w:w="120" w:type="dxa"/>
            <w:vAlign w:val="bottom"/>
            <w:tcBorders>
              <w:right w:val="single" w:sz="8" w:color="CFF0FC"/>
            </w:tcBorders>
          </w:tcPr>
          <w:p>
            <w:pPr>
              <w:spacing w:after="0"/>
              <w:rPr>
                <w:sz w:val="9"/>
                <w:szCs w:val="9"/>
                <w:color w:val="auto"/>
              </w:rPr>
            </w:pPr>
          </w:p>
        </w:tc>
        <w:tc>
          <w:tcPr>
            <w:tcW w:w="1100" w:type="dxa"/>
            <w:vAlign w:val="bottom"/>
            <w:tcBorders>
              <w:right w:val="single" w:sz="8" w:color="CFF0FC"/>
            </w:tcBorders>
            <w:gridSpan w:val="7"/>
            <w:shd w:val="clear" w:color="auto" w:fill="CFF0FC"/>
          </w:tcPr>
          <w:p>
            <w:pPr>
              <w:jc w:val="right"/>
              <w:ind w:right="546"/>
              <w:spacing w:after="0" w:line="108" w:lineRule="exact"/>
              <w:rPr>
                <w:sz w:val="20"/>
                <w:szCs w:val="20"/>
                <w:color w:val="auto"/>
              </w:rPr>
            </w:pPr>
            <w:r>
              <w:rPr>
                <w:rFonts w:ascii="Arial" w:cs="Arial" w:eastAsia="Arial" w:hAnsi="Arial"/>
                <w:sz w:val="11"/>
                <w:szCs w:val="11"/>
                <w:color w:val="auto"/>
              </w:rPr>
              <w:t>1,379,5</w:t>
            </w:r>
          </w:p>
        </w:tc>
        <w:tc>
          <w:tcPr>
            <w:tcW w:w="700" w:type="dxa"/>
            <w:vAlign w:val="bottom"/>
            <w:tcBorders>
              <w:right w:val="single" w:sz="8" w:color="CFF0FC"/>
            </w:tcBorders>
            <w:gridSpan w:val="4"/>
            <w:shd w:val="clear" w:color="auto" w:fill="CFF0FC"/>
          </w:tcPr>
          <w:p>
            <w:pPr>
              <w:jc w:val="right"/>
              <w:spacing w:after="0" w:line="108" w:lineRule="exact"/>
              <w:rPr>
                <w:sz w:val="20"/>
                <w:szCs w:val="20"/>
                <w:color w:val="auto"/>
              </w:rPr>
            </w:pPr>
            <w:r>
              <w:rPr>
                <w:rFonts w:ascii="Arial" w:cs="Arial" w:eastAsia="Arial" w:hAnsi="Arial"/>
                <w:sz w:val="11"/>
                <w:szCs w:val="11"/>
                <w:color w:val="auto"/>
              </w:rPr>
              <w:t>(1,379,</w:t>
            </w: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2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common stock</w:t>
            </w:r>
          </w:p>
        </w:tc>
        <w:tc>
          <w:tcPr>
            <w:tcW w:w="120" w:type="dxa"/>
            <w:vAlign w:val="bottom"/>
          </w:tcPr>
          <w:p>
            <w:pPr>
              <w:spacing w:after="0"/>
              <w:rPr>
                <w:sz w:val="13"/>
                <w:szCs w:val="13"/>
                <w:color w:val="auto"/>
              </w:rPr>
            </w:pPr>
          </w:p>
        </w:tc>
        <w:tc>
          <w:tcPr>
            <w:tcW w:w="720" w:type="dxa"/>
            <w:vAlign w:val="bottom"/>
            <w:gridSpan w:val="4"/>
            <w:shd w:val="clear" w:color="auto" w:fill="CFF0FC"/>
          </w:tcPr>
          <w:p>
            <w:pPr>
              <w:ind w:left="3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540" w:type="dxa"/>
            <w:vAlign w:val="bottom"/>
            <w:gridSpan w:val="3"/>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gridSpan w:val="3"/>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auto"/>
            </w:tcBorders>
          </w:tcPr>
          <w:p>
            <w:pPr>
              <w:spacing w:after="0"/>
              <w:rPr>
                <w:sz w:val="13"/>
                <w:szCs w:val="13"/>
                <w:color w:val="auto"/>
              </w:rPr>
            </w:pPr>
          </w:p>
        </w:tc>
        <w:tc>
          <w:tcPr>
            <w:tcW w:w="120" w:type="dxa"/>
            <w:vAlign w:val="bottom"/>
            <w:tcBorders>
              <w:right w:val="single" w:sz="8" w:color="CFF0FC"/>
            </w:tcBorders>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860" w:type="dxa"/>
            <w:vAlign w:val="bottom"/>
            <w:tcBorders>
              <w:right w:val="single" w:sz="8" w:color="CFF0FC"/>
            </w:tcBorders>
            <w:gridSpan w:val="5"/>
            <w:shd w:val="clear" w:color="auto" w:fill="CFF0FC"/>
          </w:tcPr>
          <w:p>
            <w:pPr>
              <w:jc w:val="right"/>
              <w:ind w:right="100"/>
              <w:spacing w:after="0"/>
              <w:rPr>
                <w:sz w:val="20"/>
                <w:szCs w:val="20"/>
                <w:color w:val="auto"/>
              </w:rPr>
            </w:pPr>
            <w:r>
              <w:rPr>
                <w:rFonts w:ascii="Arial" w:cs="Arial" w:eastAsia="Arial" w:hAnsi="Arial"/>
                <w:sz w:val="11"/>
                <w:szCs w:val="11"/>
                <w:color w:val="auto"/>
              </w:rPr>
              <w:t>537 )</w:t>
            </w:r>
          </w:p>
        </w:tc>
        <w:tc>
          <w:tcPr>
            <w:tcW w:w="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54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ind w:right="171"/>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4260" w:type="dxa"/>
            <w:vAlign w:val="bottom"/>
            <w:tcBorders>
              <w:right w:val="single" w:sz="8" w:color="auto"/>
            </w:tcBorders>
            <w:gridSpan w:val="22"/>
          </w:tcPr>
          <w:p>
            <w:pPr>
              <w:ind w:left="20"/>
              <w:spacing w:after="0" w:line="105" w:lineRule="exact"/>
              <w:rPr>
                <w:sz w:val="20"/>
                <w:szCs w:val="20"/>
                <w:color w:val="auto"/>
              </w:rPr>
            </w:pPr>
            <w:r>
              <w:rPr>
                <w:rFonts w:ascii="Arial" w:cs="Arial" w:eastAsia="Arial" w:hAnsi="Arial"/>
                <w:sz w:val="11"/>
                <w:szCs w:val="11"/>
                <w:color w:val="auto"/>
              </w:rPr>
              <w:t>Issuance of common</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260" w:type="dxa"/>
            <w:vAlign w:val="bottom"/>
            <w:tcBorders>
              <w:right w:val="single" w:sz="8" w:color="auto"/>
            </w:tcBorders>
            <w:gridSpan w:val="22"/>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698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60" w:type="dxa"/>
            <w:vAlign w:val="bottom"/>
            <w:tcBorders>
              <w:right w:val="single" w:sz="8" w:color="auto"/>
            </w:tcBorders>
            <w:gridSpan w:val="22"/>
          </w:tcPr>
          <w:p>
            <w:pPr>
              <w:ind w:left="120"/>
              <w:spacing w:after="0" w:line="108" w:lineRule="exact"/>
              <w:rPr>
                <w:sz w:val="20"/>
                <w:szCs w:val="20"/>
                <w:color w:val="auto"/>
              </w:rPr>
            </w:pPr>
            <w:r>
              <w:rPr>
                <w:rFonts w:ascii="Arial" w:cs="Arial" w:eastAsia="Arial" w:hAnsi="Arial"/>
                <w:sz w:val="11"/>
                <w:szCs w:val="11"/>
                <w:color w:val="auto"/>
              </w:rPr>
              <w:t>of restricted stock</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320" w:type="dxa"/>
            <w:vAlign w:val="bottom"/>
            <w:gridSpan w:val="2"/>
          </w:tcPr>
          <w:p>
            <w:pPr>
              <w:ind w:left="120"/>
              <w:spacing w:after="0"/>
              <w:rPr>
                <w:sz w:val="20"/>
                <w:szCs w:val="20"/>
                <w:color w:val="auto"/>
              </w:rPr>
            </w:pPr>
            <w:r>
              <w:rPr>
                <w:rFonts w:ascii="Arial" w:cs="Arial" w:eastAsia="Arial" w:hAnsi="Arial"/>
                <w:sz w:val="11"/>
                <w:szCs w:val="11"/>
                <w:color w:val="auto"/>
              </w:rPr>
              <w:t>units</w:t>
            </w:r>
          </w:p>
        </w:tc>
        <w:tc>
          <w:tcPr>
            <w:tcW w:w="720" w:type="dxa"/>
            <w:vAlign w:val="bottom"/>
            <w:gridSpan w:val="4"/>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tcPr>
          <w:p>
            <w:pPr>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40" w:type="dxa"/>
            <w:vAlign w:val="bottom"/>
            <w:gridSpan w:val="3"/>
          </w:tcPr>
          <w:p>
            <w:pPr>
              <w:jc w:val="right"/>
              <w:ind w:right="20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gridSpan w:val="4"/>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76,399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7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520" w:type="dxa"/>
            <w:vAlign w:val="bottom"/>
            <w:tcBorders>
              <w:right w:val="single" w:sz="8" w:color="CFF0FC"/>
            </w:tcBorders>
            <w:gridSpan w:val="10"/>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1740" w:type="dxa"/>
            <w:vAlign w:val="bottom"/>
            <w:tcBorders>
              <w:right w:val="single" w:sz="8" w:color="auto"/>
            </w:tcBorders>
            <w:gridSpan w:val="12"/>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100" w:type="dxa"/>
            <w:vAlign w:val="bottom"/>
            <w:tcBorders>
              <w:right w:val="single" w:sz="8" w:color="CFF0FC"/>
            </w:tcBorders>
            <w:gridSpan w:val="7"/>
            <w:shd w:val="clear" w:color="auto" w:fill="CFF0FC"/>
          </w:tcPr>
          <w:p>
            <w:pPr>
              <w:spacing w:after="0"/>
              <w:rPr>
                <w:sz w:val="9"/>
                <w:szCs w:val="9"/>
                <w:color w:val="auto"/>
              </w:rPr>
            </w:pPr>
          </w:p>
        </w:tc>
        <w:tc>
          <w:tcPr>
            <w:tcW w:w="700" w:type="dxa"/>
            <w:vAlign w:val="bottom"/>
            <w:tcBorders>
              <w:right w:val="single" w:sz="8" w:color="CFF0FC"/>
            </w:tcBorders>
            <w:gridSpan w:val="4"/>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20" w:type="dxa"/>
            <w:vAlign w:val="bottom"/>
            <w:tcBorders>
              <w:right w:val="single" w:sz="8" w:color="CFF0FC"/>
            </w:tcBorders>
            <w:gridSpan w:val="10"/>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740" w:type="dxa"/>
            <w:vAlign w:val="bottom"/>
            <w:tcBorders>
              <w:right w:val="single" w:sz="8" w:color="auto"/>
            </w:tcBorders>
            <w:gridSpan w:val="12"/>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100" w:type="dxa"/>
            <w:vAlign w:val="bottom"/>
            <w:tcBorders>
              <w:right w:val="single" w:sz="8" w:color="CFF0FC"/>
            </w:tcBorders>
            <w:gridSpan w:val="7"/>
            <w:shd w:val="clear" w:color="auto" w:fill="CFF0FC"/>
          </w:tcPr>
          <w:p>
            <w:pPr>
              <w:spacing w:after="0"/>
              <w:rPr>
                <w:sz w:val="10"/>
                <w:szCs w:val="10"/>
                <w:color w:val="auto"/>
              </w:rPr>
            </w:pPr>
          </w:p>
        </w:tc>
        <w:tc>
          <w:tcPr>
            <w:tcW w:w="700" w:type="dxa"/>
            <w:vAlign w:val="bottom"/>
            <w:tcBorders>
              <w:right w:val="single" w:sz="8" w:color="CFF0FC"/>
            </w:tcBorders>
            <w:gridSpan w:val="4"/>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gridSpan w:val="4"/>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520" w:type="dxa"/>
            <w:vAlign w:val="bottom"/>
            <w:tcBorders>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80" w:type="dxa"/>
            <w:vAlign w:val="bottom"/>
            <w:tcBorders>
              <w:left w:val="single" w:sz="8" w:color="CFF0FC"/>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140" w:type="dxa"/>
            <w:vAlign w:val="bottom"/>
            <w:tcBorders>
              <w:left w:val="single" w:sz="8" w:color="CFF0FC"/>
            </w:tcBorders>
            <w:gridSpan w:val="18"/>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stock purchase plan</w:t>
            </w:r>
          </w:p>
        </w:tc>
        <w:tc>
          <w:tcPr>
            <w:tcW w:w="720" w:type="dxa"/>
            <w:vAlign w:val="bottom"/>
            <w:gridSpan w:val="4"/>
            <w:shd w:val="clear" w:color="auto" w:fill="CFF0FC"/>
          </w:tcPr>
          <w:p>
            <w:pPr>
              <w:ind w:left="3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tcBorders>
              <w:right w:val="single" w:sz="8" w:color="auto"/>
            </w:tcBorders>
            <w:gridSpan w:val="4"/>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84,812</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4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ind w:right="171"/>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260" w:type="dxa"/>
            <w:vAlign w:val="bottom"/>
            <w:tcBorders>
              <w:right w:val="single" w:sz="8" w:color="auto"/>
            </w:tcBorders>
            <w:gridSpan w:val="22"/>
          </w:tcPr>
          <w:p>
            <w:pPr>
              <w:ind w:left="20"/>
              <w:spacing w:after="0" w:line="105" w:lineRule="exact"/>
              <w:rPr>
                <w:sz w:val="20"/>
                <w:szCs w:val="20"/>
                <w:color w:val="auto"/>
              </w:rPr>
            </w:pPr>
            <w:r>
              <w:rPr>
                <w:rFonts w:ascii="Arial" w:cs="Arial" w:eastAsia="Arial" w:hAnsi="Arial"/>
                <w:sz w:val="11"/>
                <w:szCs w:val="11"/>
                <w:color w:val="auto"/>
              </w:rPr>
              <w:t>Issuance of common</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260" w:type="dxa"/>
            <w:vAlign w:val="bottom"/>
            <w:tcBorders>
              <w:right w:val="single" w:sz="8" w:color="auto"/>
            </w:tcBorders>
            <w:gridSpan w:val="22"/>
          </w:tcPr>
          <w:p>
            <w:pPr>
              <w:ind w:left="120"/>
              <w:spacing w:after="0" w:line="122" w:lineRule="exact"/>
              <w:rPr>
                <w:sz w:val="20"/>
                <w:szCs w:val="20"/>
                <w:color w:val="auto"/>
              </w:rPr>
            </w:pPr>
            <w:r>
              <w:rPr>
                <w:rFonts w:ascii="Arial" w:cs="Arial" w:eastAsia="Arial" w:hAnsi="Arial"/>
                <w:sz w:val="11"/>
                <w:szCs w:val="11"/>
                <w:color w:val="auto"/>
              </w:rPr>
              <w:t>stock as consideration</w:t>
            </w:r>
          </w:p>
        </w:tc>
        <w:tc>
          <w:tcPr>
            <w:tcW w:w="698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320" w:type="dxa"/>
            <w:vAlign w:val="bottom"/>
            <w:gridSpan w:val="2"/>
          </w:tcPr>
          <w:p>
            <w:pPr>
              <w:ind w:left="120"/>
              <w:spacing w:after="0"/>
              <w:rPr>
                <w:sz w:val="20"/>
                <w:szCs w:val="20"/>
                <w:color w:val="auto"/>
              </w:rPr>
            </w:pPr>
            <w:r>
              <w:rPr>
                <w:rFonts w:ascii="Arial" w:cs="Arial" w:eastAsia="Arial" w:hAnsi="Arial"/>
                <w:sz w:val="11"/>
                <w:szCs w:val="11"/>
                <w:color w:val="auto"/>
              </w:rPr>
              <w:t>for acquisition</w:t>
            </w:r>
          </w:p>
        </w:tc>
        <w:tc>
          <w:tcPr>
            <w:tcW w:w="720" w:type="dxa"/>
            <w:vAlign w:val="bottom"/>
            <w:gridSpan w:val="4"/>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3"/>
          </w:tcPr>
          <w:p>
            <w:pPr>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40" w:type="dxa"/>
            <w:vAlign w:val="bottom"/>
            <w:gridSpan w:val="3"/>
          </w:tcPr>
          <w:p>
            <w:pPr>
              <w:jc w:val="right"/>
              <w:ind w:right="20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gridSpan w:val="4"/>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200,314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4,287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7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520" w:type="dxa"/>
            <w:vAlign w:val="bottom"/>
            <w:tcBorders>
              <w:right w:val="single" w:sz="8" w:color="CFF0FC"/>
            </w:tcBorders>
            <w:gridSpan w:val="10"/>
            <w:shd w:val="clear" w:color="auto" w:fill="CFF0FC"/>
          </w:tcPr>
          <w:p>
            <w:pPr>
              <w:ind w:left="20"/>
              <w:spacing w:after="0" w:line="109" w:lineRule="exact"/>
              <w:rPr>
                <w:sz w:val="20"/>
                <w:szCs w:val="20"/>
                <w:color w:val="auto"/>
              </w:rPr>
            </w:pPr>
            <w:r>
              <w:rPr>
                <w:rFonts w:ascii="Arial" w:cs="Arial" w:eastAsia="Arial" w:hAnsi="Arial"/>
                <w:sz w:val="11"/>
                <w:szCs w:val="11"/>
                <w:color w:val="auto"/>
              </w:rPr>
              <w:t>Foreign currency</w:t>
            </w:r>
          </w:p>
        </w:tc>
        <w:tc>
          <w:tcPr>
            <w:tcW w:w="1740" w:type="dxa"/>
            <w:vAlign w:val="bottom"/>
            <w:tcBorders>
              <w:right w:val="single" w:sz="8" w:color="auto"/>
            </w:tcBorders>
            <w:gridSpan w:val="12"/>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100" w:type="dxa"/>
            <w:vAlign w:val="bottom"/>
            <w:tcBorders>
              <w:right w:val="single" w:sz="8" w:color="CFF0FC"/>
            </w:tcBorders>
            <w:gridSpan w:val="7"/>
            <w:shd w:val="clear" w:color="auto" w:fill="CFF0FC"/>
          </w:tcPr>
          <w:p>
            <w:pPr>
              <w:spacing w:after="0"/>
              <w:rPr>
                <w:sz w:val="9"/>
                <w:szCs w:val="9"/>
                <w:color w:val="auto"/>
              </w:rPr>
            </w:pPr>
          </w:p>
        </w:tc>
        <w:tc>
          <w:tcPr>
            <w:tcW w:w="700" w:type="dxa"/>
            <w:vAlign w:val="bottom"/>
            <w:tcBorders>
              <w:right w:val="single" w:sz="8" w:color="CFF0FC"/>
            </w:tcBorders>
            <w:gridSpan w:val="4"/>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3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translation adjustment</w:t>
            </w:r>
          </w:p>
        </w:tc>
        <w:tc>
          <w:tcPr>
            <w:tcW w:w="720" w:type="dxa"/>
            <w:vAlign w:val="bottom"/>
            <w:gridSpan w:val="4"/>
            <w:shd w:val="clear" w:color="auto" w:fill="CFF0FC"/>
          </w:tcPr>
          <w:p>
            <w:pPr>
              <w:ind w:left="3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540" w:type="dxa"/>
            <w:vAlign w:val="bottom"/>
            <w:gridSpan w:val="3"/>
            <w:shd w:val="clear" w:color="auto" w:fill="CFF0FC"/>
          </w:tcPr>
          <w:p>
            <w:pPr>
              <w:jc w:val="right"/>
              <w:ind w:right="206"/>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tcBorders>
              <w:right w:val="single" w:sz="8" w:color="auto"/>
            </w:tcBorders>
            <w:gridSpan w:val="4"/>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760" w:type="dxa"/>
            <w:vAlign w:val="bottom"/>
            <w:gridSpan w:val="4"/>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4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54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(408 )</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(408 )</w:t>
            </w:r>
          </w:p>
        </w:tc>
        <w:tc>
          <w:tcPr>
            <w:tcW w:w="0" w:type="dxa"/>
            <w:vAlign w:val="bottom"/>
          </w:tcPr>
          <w:p>
            <w:pPr>
              <w:spacing w:after="0"/>
              <w:rPr>
                <w:sz w:val="1"/>
                <w:szCs w:val="1"/>
                <w:color w:val="auto"/>
              </w:rPr>
            </w:pPr>
          </w:p>
        </w:tc>
      </w:tr>
      <w:tr>
        <w:trPr>
          <w:trHeight w:val="105"/>
        </w:trPr>
        <w:tc>
          <w:tcPr>
            <w:tcW w:w="4260" w:type="dxa"/>
            <w:vAlign w:val="bottom"/>
            <w:tcBorders>
              <w:right w:val="single" w:sz="8" w:color="auto"/>
            </w:tcBorders>
            <w:gridSpan w:val="22"/>
          </w:tcPr>
          <w:p>
            <w:pPr>
              <w:ind w:left="20"/>
              <w:spacing w:after="0" w:line="105" w:lineRule="exact"/>
              <w:rPr>
                <w:sz w:val="20"/>
                <w:szCs w:val="20"/>
                <w:color w:val="auto"/>
              </w:rPr>
            </w:pPr>
            <w:r>
              <w:rPr>
                <w:rFonts w:ascii="Arial" w:cs="Arial" w:eastAsia="Arial" w:hAnsi="Arial"/>
                <w:sz w:val="11"/>
                <w:szCs w:val="11"/>
                <w:color w:val="auto"/>
              </w:rPr>
              <w:t>Stock-based</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60" w:type="dxa"/>
            <w:vAlign w:val="bottom"/>
            <w:tcBorders>
              <w:right w:val="single" w:sz="8" w:color="auto"/>
            </w:tcBorders>
            <w:gridSpan w:val="22"/>
          </w:tcPr>
          <w:p>
            <w:pPr>
              <w:ind w:left="120"/>
              <w:spacing w:after="0" w:line="108" w:lineRule="exact"/>
              <w:rPr>
                <w:sz w:val="20"/>
                <w:szCs w:val="20"/>
                <w:color w:val="auto"/>
              </w:rPr>
            </w:pPr>
            <w:r>
              <w:rPr>
                <w:rFonts w:ascii="Arial" w:cs="Arial" w:eastAsia="Arial" w:hAnsi="Arial"/>
                <w:sz w:val="11"/>
                <w:szCs w:val="11"/>
                <w:color w:val="auto"/>
              </w:rPr>
              <w:t>compensation</w:t>
            </w:r>
          </w:p>
        </w:tc>
        <w:tc>
          <w:tcPr>
            <w:tcW w:w="6980" w:type="dxa"/>
            <w:vAlign w:val="bottom"/>
            <w:gridSpan w:val="42"/>
          </w:tcPr>
          <w:p>
            <w:pPr>
              <w:jc w:val="right"/>
              <w:ind w:right="6980"/>
              <w:spacing w:after="0"/>
              <w:rPr>
                <w:sz w:val="20"/>
                <w:szCs w:val="20"/>
                <w:color w:val="auto"/>
              </w:rPr>
            </w:pPr>
            <w:r>
              <w:rPr>
                <w:rFonts w:ascii="Arial" w:cs="Arial" w:eastAsia="Arial" w:hAnsi="Arial"/>
                <w:sz w:val="11"/>
                <w:szCs w:val="11"/>
                <w:color w:val="auto"/>
              </w:rPr>
              <w:t>22,4</w:t>
            </w:r>
          </w:p>
        </w:tc>
        <w:tc>
          <w:tcPr>
            <w:tcW w:w="0" w:type="dxa"/>
            <w:vAlign w:val="bottom"/>
          </w:tcPr>
          <w:p>
            <w:pPr>
              <w:spacing w:after="0"/>
              <w:rPr>
                <w:sz w:val="1"/>
                <w:szCs w:val="1"/>
                <w:color w:val="auto"/>
              </w:rPr>
            </w:pPr>
          </w:p>
        </w:tc>
      </w:tr>
      <w:tr>
        <w:trPr>
          <w:trHeight w:val="147"/>
        </w:trPr>
        <w:tc>
          <w:tcPr>
            <w:tcW w:w="1320" w:type="dxa"/>
            <w:vAlign w:val="bottom"/>
            <w:gridSpan w:val="2"/>
          </w:tcPr>
          <w:p>
            <w:pPr>
              <w:ind w:left="120"/>
              <w:spacing w:after="0"/>
              <w:rPr>
                <w:sz w:val="20"/>
                <w:szCs w:val="20"/>
                <w:color w:val="auto"/>
              </w:rPr>
            </w:pPr>
            <w:r>
              <w:rPr>
                <w:rFonts w:ascii="Arial" w:cs="Arial" w:eastAsia="Arial" w:hAnsi="Arial"/>
                <w:sz w:val="11"/>
                <w:szCs w:val="11"/>
                <w:color w:val="auto"/>
              </w:rPr>
              <w:t>expense</w:t>
            </w:r>
          </w:p>
        </w:tc>
        <w:tc>
          <w:tcPr>
            <w:tcW w:w="720" w:type="dxa"/>
            <w:vAlign w:val="bottom"/>
            <w:gridSpan w:val="4"/>
          </w:tcPr>
          <w:p>
            <w:pPr>
              <w:ind w:lef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tcPr>
          <w:p>
            <w:pPr>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540" w:type="dxa"/>
            <w:vAlign w:val="bottom"/>
            <w:gridSpan w:val="3"/>
          </w:tcPr>
          <w:p>
            <w:pPr>
              <w:jc w:val="right"/>
              <w:ind w:right="20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gridSpan w:val="4"/>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7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2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460" w:type="dxa"/>
            <w:vAlign w:val="bottom"/>
            <w:shd w:val="clear" w:color="auto" w:fill="CFF0FC"/>
          </w:tcPr>
          <w:p>
            <w:pPr>
              <w:ind w:left="340"/>
              <w:spacing w:after="0"/>
              <w:rPr>
                <w:sz w:val="20"/>
                <w:szCs w:val="20"/>
                <w:color w:val="auto"/>
              </w:rPr>
            </w:pPr>
            <w:r>
              <w:rPr>
                <w:rFonts w:ascii="Arial" w:cs="Arial" w:eastAsia="Arial" w:hAnsi="Arial"/>
                <w:sz w:val="11"/>
                <w:szCs w:val="11"/>
                <w:color w:val="auto"/>
                <w:w w:val="90"/>
              </w:rPr>
              <w:t>—</w:t>
            </w:r>
          </w:p>
        </w:tc>
        <w:tc>
          <w:tcPr>
            <w:tcW w:w="120" w:type="dxa"/>
            <w:vAlign w:val="bottom"/>
            <w:gridSpan w:val="2"/>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1"/>
                <w:szCs w:val="11"/>
                <w:color w:val="auto"/>
                <w:w w:val="90"/>
              </w:rPr>
              <w:t>—</w:t>
            </w: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0" w:type="dxa"/>
            <w:vAlign w:val="bottom"/>
            <w:shd w:val="clear" w:color="auto" w:fill="CFF0FC"/>
          </w:tcPr>
          <w:p>
            <w:pPr>
              <w:ind w:left="280"/>
              <w:spacing w:after="0"/>
              <w:rPr>
                <w:sz w:val="20"/>
                <w:szCs w:val="20"/>
                <w:color w:val="auto"/>
              </w:rPr>
            </w:pPr>
            <w:r>
              <w:rPr>
                <w:rFonts w:ascii="Arial" w:cs="Arial" w:eastAsia="Arial" w:hAnsi="Arial"/>
                <w:sz w:val="11"/>
                <w:szCs w:val="11"/>
                <w:color w:val="auto"/>
                <w:w w:val="90"/>
              </w:rPr>
              <w:t>—</w:t>
            </w:r>
          </w:p>
        </w:tc>
        <w:tc>
          <w:tcPr>
            <w:tcW w:w="280" w:type="dxa"/>
            <w:vAlign w:val="bottom"/>
            <w:tcBorders>
              <w:right w:val="single" w:sz="8" w:color="auto"/>
            </w:tcBorders>
            <w:gridSpan w:val="3"/>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gridSpan w:val="2"/>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140" w:type="dxa"/>
            <w:vAlign w:val="bottom"/>
            <w:tcBorders>
              <w:left w:val="single" w:sz="8" w:color="CFF0FC"/>
            </w:tcBorders>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4"/>
            <w:shd w:val="clear" w:color="auto" w:fill="CFF0FC"/>
          </w:tcPr>
          <w:p>
            <w:pPr>
              <w:jc w:val="right"/>
              <w:ind w:right="60"/>
              <w:spacing w:after="0"/>
              <w:rPr>
                <w:sz w:val="20"/>
                <w:szCs w:val="20"/>
                <w:color w:val="auto"/>
              </w:rPr>
            </w:pPr>
            <w:r>
              <w:rPr>
                <w:rFonts w:ascii="Arial" w:cs="Arial" w:eastAsia="Arial" w:hAnsi="Arial"/>
                <w:sz w:val="11"/>
                <w:szCs w:val="11"/>
                <w:color w:val="auto"/>
              </w:rPr>
              <w:t>(38,218 )</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(38,218 )</w:t>
            </w:r>
          </w:p>
        </w:tc>
        <w:tc>
          <w:tcPr>
            <w:tcW w:w="0" w:type="dxa"/>
            <w:vAlign w:val="bottom"/>
          </w:tcPr>
          <w:p>
            <w:pPr>
              <w:spacing w:after="0"/>
              <w:rPr>
                <w:sz w:val="1"/>
                <w:szCs w:val="1"/>
                <w:color w:val="auto"/>
              </w:rPr>
            </w:pPr>
          </w:p>
        </w:tc>
      </w:tr>
      <w:tr>
        <w:trPr>
          <w:trHeight w:val="90"/>
        </w:trPr>
        <w:tc>
          <w:tcPr>
            <w:tcW w:w="1320" w:type="dxa"/>
            <w:vAlign w:val="bottom"/>
            <w:tcBorders>
              <w:top w:val="single" w:sz="8" w:color="CFF0FC"/>
            </w:tcBorders>
            <w:gridSpan w:val="2"/>
          </w:tcPr>
          <w:p>
            <w:pPr>
              <w:ind w:left="20"/>
              <w:spacing w:after="0" w:line="91" w:lineRule="exact"/>
              <w:rPr>
                <w:sz w:val="20"/>
                <w:szCs w:val="20"/>
                <w:color w:val="auto"/>
              </w:rPr>
            </w:pPr>
            <w:r>
              <w:rPr>
                <w:rFonts w:ascii="Arial" w:cs="Arial" w:eastAsia="Arial" w:hAnsi="Arial"/>
                <w:sz w:val="10"/>
                <w:szCs w:val="10"/>
                <w:b w:val="1"/>
                <w:bCs w:val="1"/>
                <w:color w:val="auto"/>
              </w:rPr>
              <w:t>Balances at</w:t>
            </w:r>
          </w:p>
        </w:tc>
        <w:tc>
          <w:tcPr>
            <w:tcW w:w="46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gridSpan w:val="2"/>
          </w:tcPr>
          <w:p>
            <w:pPr>
              <w:spacing w:after="0"/>
              <w:rPr>
                <w:sz w:val="7"/>
                <w:szCs w:val="7"/>
                <w:color w:val="auto"/>
              </w:rPr>
            </w:pPr>
          </w:p>
        </w:tc>
        <w:tc>
          <w:tcPr>
            <w:tcW w:w="460" w:type="dxa"/>
            <w:vAlign w:val="bottom"/>
            <w:tcBorders>
              <w:top w:val="single" w:sz="8" w:color="auto"/>
            </w:tcBorders>
            <w:gridSpan w:val="4"/>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540" w:type="dxa"/>
            <w:vAlign w:val="bottom"/>
            <w:tcBorders>
              <w:top w:val="single" w:sz="8" w:color="auto"/>
            </w:tcBorders>
            <w:gridSpan w:val="3"/>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780" w:type="dxa"/>
            <w:vAlign w:val="bottom"/>
            <w:tcBorders>
              <w:top w:val="single" w:sz="8" w:color="auto"/>
            </w:tcBorders>
            <w:gridSpan w:val="5"/>
          </w:tcPr>
          <w:p>
            <w:pPr>
              <w:spacing w:after="0"/>
              <w:rPr>
                <w:sz w:val="7"/>
                <w:szCs w:val="7"/>
                <w:color w:val="auto"/>
              </w:rPr>
            </w:pPr>
          </w:p>
        </w:tc>
        <w:tc>
          <w:tcPr>
            <w:tcW w:w="280" w:type="dxa"/>
            <w:vAlign w:val="bottom"/>
            <w:tcBorders>
              <w:top w:val="single" w:sz="8" w:color="CFF0FC"/>
              <w:right w:val="single" w:sz="8" w:color="auto"/>
            </w:tcBorders>
            <w:gridSpan w:val="3"/>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20" w:type="dxa"/>
            <w:vAlign w:val="bottom"/>
            <w:tcBorders>
              <w:top w:val="single" w:sz="8" w:color="auto"/>
            </w:tcBorders>
          </w:tcPr>
          <w:p>
            <w:pPr>
              <w:jc w:val="right"/>
              <w:spacing w:after="0" w:line="91" w:lineRule="exact"/>
              <w:rPr>
                <w:sz w:val="20"/>
                <w:szCs w:val="20"/>
                <w:color w:val="auto"/>
              </w:rPr>
            </w:pPr>
            <w:r>
              <w:rPr>
                <w:rFonts w:ascii="Arial" w:cs="Arial" w:eastAsia="Arial" w:hAnsi="Arial"/>
                <w:sz w:val="10"/>
                <w:szCs w:val="10"/>
                <w:color w:val="auto"/>
              </w:rPr>
              <w:t>106,593</w:t>
            </w:r>
          </w:p>
        </w:tc>
        <w:tc>
          <w:tcPr>
            <w:tcW w:w="120" w:type="dxa"/>
            <w:vAlign w:val="bottom"/>
            <w:tcBorders>
              <w:top w:val="single" w:sz="8" w:color="CFF0FC"/>
            </w:tcBorders>
            <w:gridSpan w:val="2"/>
          </w:tcPr>
          <w:p>
            <w:pPr>
              <w:spacing w:after="0"/>
              <w:rPr>
                <w:sz w:val="7"/>
                <w:szCs w:val="7"/>
                <w:color w:val="auto"/>
              </w:rPr>
            </w:pPr>
          </w:p>
        </w:tc>
        <w:tc>
          <w:tcPr>
            <w:tcW w:w="460" w:type="dxa"/>
            <w:vAlign w:val="bottom"/>
            <w:tcBorders>
              <w:top w:val="single" w:sz="8" w:color="auto"/>
            </w:tcBorders>
            <w:gridSpan w:val="4"/>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580" w:type="dxa"/>
            <w:vAlign w:val="bottom"/>
            <w:tcBorders>
              <w:top w:val="single" w:sz="8" w:color="auto"/>
            </w:tcBorders>
            <w:gridSpan w:val="3"/>
          </w:tcPr>
          <w:p>
            <w:pPr>
              <w:jc w:val="right"/>
              <w:spacing w:after="0" w:line="91" w:lineRule="exact"/>
              <w:rPr>
                <w:sz w:val="20"/>
                <w:szCs w:val="20"/>
                <w:color w:val="auto"/>
              </w:rPr>
            </w:pPr>
            <w:r>
              <w:rPr>
                <w:rFonts w:ascii="Arial" w:cs="Arial" w:eastAsia="Arial" w:hAnsi="Arial"/>
                <w:sz w:val="10"/>
                <w:szCs w:val="10"/>
                <w:color w:val="auto"/>
              </w:rPr>
              <w:t>4,608,</w:t>
            </w:r>
          </w:p>
        </w:tc>
        <w:tc>
          <w:tcPr>
            <w:tcW w:w="160" w:type="dxa"/>
            <w:vAlign w:val="bottom"/>
            <w:tcBorders>
              <w:top w:val="single" w:sz="8" w:color="CFF0FC"/>
            </w:tcBorders>
          </w:tcPr>
          <w:p>
            <w:pPr>
              <w:spacing w:after="0"/>
              <w:rPr>
                <w:sz w:val="7"/>
                <w:szCs w:val="7"/>
                <w:color w:val="auto"/>
              </w:rPr>
            </w:pPr>
          </w:p>
        </w:tc>
        <w:tc>
          <w:tcPr>
            <w:tcW w:w="360" w:type="dxa"/>
            <w:vAlign w:val="bottom"/>
            <w:tcBorders>
              <w:top w:val="single" w:sz="8" w:color="auto"/>
            </w:tcBorders>
            <w:gridSpan w:val="4"/>
          </w:tcPr>
          <w:p>
            <w:pPr>
              <w:spacing w:after="0"/>
              <w:rPr>
                <w:sz w:val="7"/>
                <w:szCs w:val="7"/>
                <w:color w:val="auto"/>
              </w:rPr>
            </w:pPr>
          </w:p>
        </w:tc>
        <w:tc>
          <w:tcPr>
            <w:tcW w:w="180" w:type="dxa"/>
            <w:vAlign w:val="bottom"/>
            <w:tcBorders>
              <w:top w:val="single" w:sz="8" w:color="CFF0FC"/>
            </w:tcBorders>
          </w:tcPr>
          <w:p>
            <w:pPr>
              <w:spacing w:after="0"/>
              <w:rPr>
                <w:sz w:val="7"/>
                <w:szCs w:val="7"/>
                <w:color w:val="auto"/>
              </w:rPr>
            </w:pPr>
          </w:p>
        </w:tc>
        <w:tc>
          <w:tcPr>
            <w:tcW w:w="520" w:type="dxa"/>
            <w:vAlign w:val="bottom"/>
            <w:tcBorders>
              <w:top w:val="single" w:sz="8" w:color="auto"/>
            </w:tcBorders>
            <w:gridSpan w:val="2"/>
          </w:tcPr>
          <w:p>
            <w:pPr>
              <w:jc w:val="right"/>
              <w:spacing w:after="0" w:line="91" w:lineRule="exact"/>
              <w:rPr>
                <w:sz w:val="20"/>
                <w:szCs w:val="20"/>
                <w:color w:val="auto"/>
              </w:rPr>
            </w:pPr>
            <w:r>
              <w:rPr>
                <w:rFonts w:ascii="Arial" w:cs="Arial" w:eastAsia="Arial" w:hAnsi="Arial"/>
                <w:sz w:val="10"/>
                <w:szCs w:val="10"/>
                <w:color w:val="auto"/>
              </w:rPr>
              <w:t>(2,317,</w:t>
            </w:r>
          </w:p>
        </w:tc>
        <w:tc>
          <w:tcPr>
            <w:tcW w:w="160" w:type="dxa"/>
            <w:vAlign w:val="bottom"/>
            <w:tcBorders>
              <w:top w:val="single" w:sz="8" w:color="CFF0FC"/>
            </w:tcBorders>
          </w:tcPr>
          <w:p>
            <w:pPr>
              <w:spacing w:after="0"/>
              <w:rPr>
                <w:sz w:val="7"/>
                <w:szCs w:val="7"/>
                <w:color w:val="auto"/>
              </w:rPr>
            </w:pPr>
          </w:p>
        </w:tc>
        <w:tc>
          <w:tcPr>
            <w:tcW w:w="380" w:type="dxa"/>
            <w:vAlign w:val="bottom"/>
            <w:tcBorders>
              <w:top w:val="single" w:sz="8" w:color="auto"/>
            </w:tcBorders>
            <w:gridSpan w:val="2"/>
          </w:tcPr>
          <w:p>
            <w:pPr>
              <w:jc w:val="right"/>
              <w:ind w:right="326"/>
              <w:spacing w:after="0"/>
              <w:rPr>
                <w:sz w:val="20"/>
                <w:szCs w:val="20"/>
                <w:color w:val="auto"/>
              </w:rPr>
            </w:pPr>
            <w:r>
              <w:rPr>
                <w:rFonts w:ascii="Arial" w:cs="Arial" w:eastAsia="Arial" w:hAnsi="Arial"/>
                <w:sz w:val="10"/>
                <w:szCs w:val="10"/>
                <w:color w:val="auto"/>
              </w:rPr>
              <w:t>(74</w:t>
            </w:r>
          </w:p>
        </w:tc>
        <w:tc>
          <w:tcPr>
            <w:tcW w:w="160" w:type="dxa"/>
            <w:vAlign w:val="bottom"/>
            <w:tcBorders>
              <w:top w:val="single" w:sz="8" w:color="CFF0FC"/>
            </w:tcBorders>
          </w:tcPr>
          <w:p>
            <w:pPr>
              <w:spacing w:after="0"/>
              <w:rPr>
                <w:sz w:val="7"/>
                <w:szCs w:val="7"/>
                <w:color w:val="auto"/>
              </w:rPr>
            </w:pPr>
          </w:p>
        </w:tc>
        <w:tc>
          <w:tcPr>
            <w:tcW w:w="460" w:type="dxa"/>
            <w:vAlign w:val="bottom"/>
            <w:tcBorders>
              <w:top w:val="single" w:sz="8" w:color="auto"/>
            </w:tcBorders>
            <w:gridSpan w:val="2"/>
          </w:tcPr>
          <w:p>
            <w:pPr>
              <w:jc w:val="right"/>
              <w:ind w:right="406"/>
              <w:spacing w:after="0"/>
              <w:rPr>
                <w:sz w:val="20"/>
                <w:szCs w:val="20"/>
                <w:color w:val="auto"/>
              </w:rPr>
            </w:pPr>
            <w:r>
              <w:rPr>
                <w:rFonts w:ascii="Arial" w:cs="Arial" w:eastAsia="Arial" w:hAnsi="Arial"/>
                <w:sz w:val="10"/>
                <w:szCs w:val="10"/>
                <w:color w:val="auto"/>
              </w:rPr>
              <w:t>640,</w:t>
            </w:r>
          </w:p>
        </w:tc>
        <w:tc>
          <w:tcPr>
            <w:tcW w:w="100" w:type="dxa"/>
            <w:vAlign w:val="bottom"/>
            <w:tcBorders>
              <w:top w:val="single" w:sz="8" w:color="CFF0FC"/>
            </w:tcBorders>
          </w:tcPr>
          <w:p>
            <w:pPr>
              <w:spacing w:after="0"/>
              <w:rPr>
                <w:sz w:val="7"/>
                <w:szCs w:val="7"/>
                <w:color w:val="auto"/>
              </w:rPr>
            </w:pPr>
          </w:p>
        </w:tc>
        <w:tc>
          <w:tcPr>
            <w:tcW w:w="780" w:type="dxa"/>
            <w:vAlign w:val="bottom"/>
            <w:tcBorders>
              <w:top w:val="single" w:sz="8" w:color="auto"/>
            </w:tcBorders>
            <w:gridSpan w:val="4"/>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20" w:type="dxa"/>
            <w:vAlign w:val="bottom"/>
            <w:tcBorders>
              <w:top w:val="single" w:sz="8" w:color="auto"/>
            </w:tcBorders>
            <w:gridSpan w:val="4"/>
          </w:tcPr>
          <w:p>
            <w:pPr>
              <w:jc w:val="right"/>
              <w:ind w:right="566"/>
              <w:spacing w:after="0"/>
              <w:rPr>
                <w:sz w:val="20"/>
                <w:szCs w:val="20"/>
                <w:color w:val="auto"/>
              </w:rPr>
            </w:pPr>
            <w:r>
              <w:rPr>
                <w:rFonts w:ascii="Arial" w:cs="Arial" w:eastAsia="Arial" w:hAnsi="Arial"/>
                <w:sz w:val="10"/>
                <w:szCs w:val="10"/>
                <w:color w:val="auto"/>
              </w:rPr>
              <w:t>(164,07</w:t>
            </w:r>
          </w:p>
        </w:tc>
        <w:tc>
          <w:tcPr>
            <w:tcW w:w="120" w:type="dxa"/>
            <w:vAlign w:val="bottom"/>
            <w:tcBorders>
              <w:top w:val="single" w:sz="8" w:color="CFF0FC"/>
            </w:tcBorders>
          </w:tcPr>
          <w:p>
            <w:pPr>
              <w:spacing w:after="0"/>
              <w:rPr>
                <w:sz w:val="7"/>
                <w:szCs w:val="7"/>
                <w:color w:val="auto"/>
              </w:rPr>
            </w:pPr>
          </w:p>
        </w:tc>
        <w:tc>
          <w:tcPr>
            <w:tcW w:w="840" w:type="dxa"/>
            <w:vAlign w:val="bottom"/>
            <w:tcBorders>
              <w:top w:val="single" w:sz="8" w:color="auto"/>
            </w:tcBorders>
            <w:gridSpan w:val="4"/>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September 30, 2022</w:t>
            </w:r>
          </w:p>
        </w:tc>
        <w:tc>
          <w:tcPr>
            <w:tcW w:w="460" w:type="dxa"/>
            <w:vAlign w:val="bottom"/>
          </w:tcPr>
          <w:p>
            <w:pPr>
              <w:ind w:left="340"/>
              <w:spacing w:after="0"/>
              <w:rPr>
                <w:sz w:val="20"/>
                <w:szCs w:val="20"/>
                <w:color w:val="auto"/>
              </w:rPr>
            </w:pPr>
            <w:r>
              <w:rPr>
                <w:rFonts w:ascii="Arial" w:cs="Arial" w:eastAsia="Arial" w:hAnsi="Arial"/>
                <w:sz w:val="11"/>
                <w:szCs w:val="11"/>
                <w:color w:val="auto"/>
                <w:w w:val="90"/>
              </w:rPr>
              <w:t>—</w:t>
            </w:r>
          </w:p>
        </w:tc>
        <w:tc>
          <w:tcPr>
            <w:tcW w:w="1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3"/>
                <w:szCs w:val="13"/>
                <w:color w:val="auto"/>
              </w:rPr>
            </w:pPr>
          </w:p>
        </w:tc>
        <w:tc>
          <w:tcPr>
            <w:tcW w:w="400" w:type="dxa"/>
            <w:vAlign w:val="bottom"/>
          </w:tcPr>
          <w:p>
            <w:pPr>
              <w:ind w:left="280"/>
              <w:spacing w:after="0"/>
              <w:rPr>
                <w:sz w:val="20"/>
                <w:szCs w:val="20"/>
                <w:color w:val="auto"/>
              </w:rPr>
            </w:pPr>
            <w:r>
              <w:rPr>
                <w:rFonts w:ascii="Arial" w:cs="Arial" w:eastAsia="Arial" w:hAnsi="Arial"/>
                <w:sz w:val="11"/>
                <w:szCs w:val="11"/>
                <w:color w:val="auto"/>
                <w:w w:val="90"/>
              </w:rPr>
              <w:t>—</w:t>
            </w:r>
          </w:p>
        </w:tc>
        <w:tc>
          <w:tcPr>
            <w:tcW w:w="280" w:type="dxa"/>
            <w:vAlign w:val="bottom"/>
            <w:tcBorders>
              <w:right w:val="single" w:sz="8" w:color="auto"/>
            </w:tcBorders>
            <w:gridSpan w:val="3"/>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1"/>
                <w:szCs w:val="11"/>
                <w:color w:val="auto"/>
                <w:w w:val="81"/>
              </w:rPr>
              <w:t>10</w:t>
            </w:r>
          </w:p>
        </w:tc>
        <w:tc>
          <w:tcPr>
            <w:tcW w:w="12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1"/>
                <w:szCs w:val="11"/>
                <w:color w:val="auto"/>
              </w:rPr>
              <w:t>841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1"/>
                <w:szCs w:val="11"/>
                <w:color w:val="auto"/>
              </w:rPr>
              <w:t>722 )</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color w:val="auto"/>
              </w:rPr>
              <w:t>8 )</w:t>
            </w:r>
          </w:p>
        </w:tc>
        <w:tc>
          <w:tcPr>
            <w:tcW w:w="140" w:type="dxa"/>
            <w:vAlign w:val="bottom"/>
          </w:tcPr>
          <w:p>
            <w:pPr>
              <w:ind w:left="60"/>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217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(807 )</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474,598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Borders>
              <w:right w:val="single" w:sz="8" w:color="auto"/>
            </w:tcBorders>
            <w:gridSpan w:val="10"/>
          </w:tcPr>
          <w:p>
            <w:pPr>
              <w:spacing w:after="0" w:line="20" w:lineRule="exact"/>
              <w:rPr>
                <w:sz w:val="1"/>
                <w:szCs w:val="1"/>
                <w:color w:val="auto"/>
              </w:rPr>
            </w:pPr>
          </w:p>
        </w:tc>
        <w:tc>
          <w:tcPr>
            <w:tcW w:w="1740" w:type="dxa"/>
            <w:vAlign w:val="bottom"/>
            <w:tcBorders>
              <w:right w:val="single" w:sz="8" w:color="auto"/>
            </w:tcBorders>
            <w:gridSpan w:val="1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gridSpan w:val="7"/>
            <w:shd w:val="clear" w:color="auto" w:fill="000000"/>
          </w:tcPr>
          <w:p>
            <w:pPr>
              <w:spacing w:after="0" w:line="20" w:lineRule="exact"/>
              <w:rPr>
                <w:sz w:val="1"/>
                <w:szCs w:val="1"/>
                <w:color w:val="auto"/>
              </w:rPr>
            </w:pPr>
          </w:p>
        </w:tc>
        <w:tc>
          <w:tcPr>
            <w:tcW w:w="700" w:type="dxa"/>
            <w:vAlign w:val="bottom"/>
            <w:tcBorders>
              <w:right w:val="single" w:sz="8" w:color="auto"/>
            </w:tcBorders>
            <w:gridSpan w:val="4"/>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140" w:type="dxa"/>
            <w:vAlign w:val="bottom"/>
            <w:tcBorders>
              <w:left w:val="single" w:sz="8" w:color="auto"/>
            </w:tcBorders>
            <w:gridSpan w:val="18"/>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15"/>
          </w:tcPr>
          <w:p>
            <w:pPr>
              <w:ind w:left="40"/>
              <w:spacing w:after="0"/>
              <w:rPr>
                <w:sz w:val="20"/>
                <w:szCs w:val="20"/>
                <w:color w:val="auto"/>
              </w:rPr>
            </w:pPr>
            <w:r>
              <w:rPr>
                <w:rFonts w:ascii="Arial" w:cs="Arial" w:eastAsia="Arial" w:hAnsi="Arial"/>
                <w:sz w:val="11"/>
                <w:szCs w:val="11"/>
                <w:b w:val="1"/>
                <w:bCs w:val="1"/>
                <w:color w:val="auto"/>
              </w:rPr>
              <w:t>Nine Months Ended September 30, 2021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4"/>
            <w:vMerge w:val="restart"/>
          </w:tcPr>
          <w:p>
            <w:pPr>
              <w:jc w:val="center"/>
              <w:ind w:right="51"/>
              <w:spacing w:after="0"/>
              <w:rPr>
                <w:sz w:val="20"/>
                <w:szCs w:val="20"/>
                <w:color w:val="auto"/>
              </w:rPr>
            </w:pPr>
            <w:r>
              <w:rPr>
                <w:rFonts w:ascii="Arial" w:cs="Arial" w:eastAsia="Arial" w:hAnsi="Arial"/>
                <w:sz w:val="11"/>
                <w:szCs w:val="11"/>
                <w:b w:val="1"/>
                <w:bCs w:val="1"/>
                <w:color w:val="auto"/>
                <w:w w:val="96"/>
              </w:rPr>
              <w:t>Accumulate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60" w:type="dxa"/>
            <w:vAlign w:val="bottom"/>
            <w:tcBorders>
              <w:right w:val="single" w:sz="8" w:color="auto"/>
            </w:tcBorders>
            <w:gridSpan w:val="22"/>
          </w:tcPr>
          <w:p>
            <w:pPr>
              <w:spacing w:after="0"/>
              <w:rPr>
                <w:sz w:val="9"/>
                <w:szCs w:val="9"/>
                <w:color w:val="auto"/>
              </w:rPr>
            </w:pPr>
          </w:p>
        </w:tc>
        <w:tc>
          <w:tcPr>
            <w:tcW w:w="4620" w:type="dxa"/>
            <w:vAlign w:val="bottom"/>
            <w:gridSpan w:val="29"/>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15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Borders>
              <w:right w:val="single" w:sz="8" w:color="auto"/>
            </w:tcBorders>
            <w:gridSpan w:val="9"/>
            <w:vMerge w:val="restart"/>
          </w:tcPr>
          <w:p>
            <w:pPr>
              <w:jc w:val="center"/>
              <w:ind w:right="520"/>
              <w:spacing w:after="0"/>
              <w:rPr>
                <w:sz w:val="20"/>
                <w:szCs w:val="20"/>
                <w:color w:val="auto"/>
              </w:rPr>
            </w:pPr>
            <w:r>
              <w:rPr>
                <w:rFonts w:ascii="Arial" w:cs="Arial" w:eastAsia="Arial" w:hAnsi="Arial"/>
                <w:sz w:val="11"/>
                <w:szCs w:val="11"/>
                <w:b w:val="1"/>
                <w:bCs w:val="1"/>
                <w:color w:val="auto"/>
                <w:w w:val="98"/>
              </w:rPr>
              <w:t>Redeemable</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5"/>
            <w:vMerge w:val="restart"/>
          </w:tcPr>
          <w:p>
            <w:pPr>
              <w:ind w:left="160"/>
              <w:spacing w:after="0"/>
              <w:rPr>
                <w:sz w:val="20"/>
                <w:szCs w:val="20"/>
                <w:color w:val="auto"/>
              </w:rPr>
            </w:pPr>
            <w:r>
              <w:rPr>
                <w:rFonts w:ascii="Arial" w:cs="Arial" w:eastAsia="Arial" w:hAnsi="Arial"/>
                <w:sz w:val="11"/>
                <w:szCs w:val="11"/>
                <w:b w:val="1"/>
                <w:bCs w:val="1"/>
                <w:color w:val="auto"/>
              </w:rPr>
              <w:t>Non-Voting</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center"/>
              <w:ind w:right="131"/>
              <w:spacing w:after="0" w:line="110" w:lineRule="exact"/>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6"/>
            <w:vMerge w:val="restart"/>
          </w:tcPr>
          <w:p>
            <w:pPr>
              <w:ind w:left="320"/>
              <w:spacing w:after="0"/>
              <w:rPr>
                <w:sz w:val="20"/>
                <w:szCs w:val="20"/>
                <w:color w:val="auto"/>
              </w:rPr>
            </w:pPr>
            <w:r>
              <w:rPr>
                <w:rFonts w:ascii="Arial" w:cs="Arial" w:eastAsia="Arial" w:hAnsi="Arial"/>
                <w:sz w:val="11"/>
                <w:szCs w:val="11"/>
                <w:b w:val="1"/>
                <w:bCs w:val="1"/>
                <w:color w:val="auto"/>
                <w:w w:val="95"/>
              </w:rPr>
              <w:t>Convertible</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Borders>
              <w:right w:val="single" w:sz="8" w:color="auto"/>
            </w:tcBorders>
            <w:gridSpan w:val="9"/>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4"/>
            <w:vMerge w:val="restart"/>
          </w:tcPr>
          <w:p>
            <w:pPr>
              <w:jc w:val="center"/>
              <w:ind w:left="267"/>
              <w:spacing w:after="0"/>
              <w:rPr>
                <w:sz w:val="20"/>
                <w:szCs w:val="20"/>
                <w:color w:val="auto"/>
              </w:rPr>
            </w:pPr>
            <w:r>
              <w:rPr>
                <w:rFonts w:ascii="Arial" w:cs="Arial" w:eastAsia="Arial" w:hAnsi="Arial"/>
                <w:sz w:val="11"/>
                <w:szCs w:val="11"/>
                <w:b w:val="1"/>
                <w:bCs w:val="1"/>
                <w:color w:val="auto"/>
                <w:w w:val="93"/>
              </w:rPr>
              <w:t>Voting</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5"/>
            <w:vMerge w:val="restart"/>
          </w:tcPr>
          <w:p>
            <w:pPr>
              <w:jc w:val="right"/>
              <w:ind w:right="340"/>
              <w:spacing w:after="0"/>
              <w:rPr>
                <w:sz w:val="20"/>
                <w:szCs w:val="20"/>
                <w:color w:val="auto"/>
              </w:rPr>
            </w:pPr>
            <w:r>
              <w:rPr>
                <w:rFonts w:ascii="Arial" w:cs="Arial" w:eastAsia="Arial" w:hAnsi="Arial"/>
                <w:sz w:val="11"/>
                <w:szCs w:val="11"/>
                <w:b w:val="1"/>
                <w:bCs w:val="1"/>
                <w:color w:val="auto"/>
                <w:w w:val="97"/>
              </w:rPr>
              <w:t>Treasury Voting</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center"/>
              <w:ind w:right="131"/>
              <w:spacing w:after="0" w:line="108"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Borders>
              <w:right w:val="single" w:sz="8" w:color="auto"/>
            </w:tcBorders>
            <w:gridSpan w:val="9"/>
          </w:tcPr>
          <w:p>
            <w:pPr>
              <w:jc w:val="center"/>
              <w:ind w:right="540"/>
              <w:spacing w:after="0" w:line="122" w:lineRule="exact"/>
              <w:rPr>
                <w:sz w:val="20"/>
                <w:szCs w:val="20"/>
                <w:color w:val="auto"/>
              </w:rPr>
            </w:pPr>
            <w:r>
              <w:rPr>
                <w:rFonts w:ascii="Arial" w:cs="Arial" w:eastAsia="Arial" w:hAnsi="Arial"/>
                <w:sz w:val="11"/>
                <w:szCs w:val="11"/>
                <w:b w:val="1"/>
                <w:bCs w:val="1"/>
                <w:color w:val="auto"/>
                <w:w w:val="95"/>
              </w:rPr>
              <w:t>Convertible</w:t>
            </w:r>
          </w:p>
        </w:tc>
        <w:tc>
          <w:tcPr>
            <w:tcW w:w="12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5"/>
          </w:tcPr>
          <w:p>
            <w:pPr>
              <w:ind w:left="220"/>
              <w:spacing w:after="0" w:line="122" w:lineRule="exact"/>
              <w:rPr>
                <w:sz w:val="20"/>
                <w:szCs w:val="20"/>
                <w:color w:val="auto"/>
              </w:rPr>
            </w:pPr>
            <w:r>
              <w:rPr>
                <w:rFonts w:ascii="Arial" w:cs="Arial" w:eastAsia="Arial" w:hAnsi="Arial"/>
                <w:sz w:val="11"/>
                <w:szCs w:val="11"/>
                <w:b w:val="1"/>
                <w:bCs w:val="1"/>
                <w:color w:val="auto"/>
              </w:rPr>
              <w:t>Common</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6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0"/>
                <w:szCs w:val="10"/>
                <w:color w:val="auto"/>
              </w:rPr>
            </w:pPr>
          </w:p>
        </w:tc>
        <w:tc>
          <w:tcPr>
            <w:tcW w:w="780" w:type="dxa"/>
            <w:vAlign w:val="bottom"/>
            <w:gridSpan w:val="4"/>
          </w:tcPr>
          <w:p>
            <w:pPr>
              <w:jc w:val="center"/>
              <w:ind w:right="51"/>
              <w:spacing w:after="0" w:line="122" w:lineRule="exact"/>
              <w:rPr>
                <w:sz w:val="20"/>
                <w:szCs w:val="20"/>
                <w:color w:val="auto"/>
              </w:rPr>
            </w:pPr>
            <w:r>
              <w:rPr>
                <w:rFonts w:ascii="Arial" w:cs="Arial" w:eastAsia="Arial" w:hAnsi="Arial"/>
                <w:sz w:val="11"/>
                <w:szCs w:val="11"/>
                <w:b w:val="1"/>
                <w:bCs w:val="1"/>
                <w:color w:val="auto"/>
                <w:w w:val="98"/>
              </w:rPr>
              <w:t>Comprehen</w:t>
            </w:r>
          </w:p>
        </w:tc>
        <w:tc>
          <w:tcPr>
            <w:tcW w:w="120" w:type="dxa"/>
            <w:vAlign w:val="bottom"/>
          </w:tcPr>
          <w:p>
            <w:pPr>
              <w:spacing w:after="0"/>
              <w:rPr>
                <w:sz w:val="10"/>
                <w:szCs w:val="10"/>
                <w:color w:val="auto"/>
              </w:rPr>
            </w:pPr>
          </w:p>
        </w:tc>
        <w:tc>
          <w:tcPr>
            <w:tcW w:w="62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Accumul</w:t>
            </w:r>
          </w:p>
        </w:tc>
        <w:tc>
          <w:tcPr>
            <w:tcW w:w="120" w:type="dxa"/>
            <w:vAlign w:val="bottom"/>
          </w:tcPr>
          <w:p>
            <w:pPr>
              <w:spacing w:after="0"/>
              <w:rPr>
                <w:sz w:val="10"/>
                <w:szCs w:val="10"/>
                <w:color w:val="auto"/>
              </w:rPr>
            </w:pPr>
          </w:p>
        </w:tc>
        <w:tc>
          <w:tcPr>
            <w:tcW w:w="7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Stockholde</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9"/>
          </w:tcPr>
          <w:p>
            <w:pPr>
              <w:jc w:val="right"/>
              <w:ind w:right="280"/>
              <w:spacing w:after="0"/>
              <w:rPr>
                <w:sz w:val="20"/>
                <w:szCs w:val="20"/>
                <w:color w:val="auto"/>
              </w:rPr>
            </w:pPr>
            <w:r>
              <w:rPr>
                <w:rFonts w:ascii="Arial" w:cs="Arial" w:eastAsia="Arial" w:hAnsi="Arial"/>
                <w:sz w:val="11"/>
                <w:szCs w:val="11"/>
                <w:b w:val="1"/>
                <w:bCs w:val="1"/>
                <w:color w:val="auto"/>
              </w:rPr>
              <w:t>Preferred Stock</w:t>
            </w:r>
          </w:p>
        </w:tc>
        <w:tc>
          <w:tcPr>
            <w:tcW w:w="160" w:type="dxa"/>
            <w:vAlign w:val="bottom"/>
          </w:tcPr>
          <w:p>
            <w:pPr>
              <w:spacing w:after="0"/>
              <w:rPr>
                <w:sz w:val="11"/>
                <w:szCs w:val="11"/>
                <w:color w:val="auto"/>
              </w:rPr>
            </w:pPr>
          </w:p>
        </w:tc>
        <w:tc>
          <w:tcPr>
            <w:tcW w:w="1480" w:type="dxa"/>
            <w:vAlign w:val="bottom"/>
            <w:tcBorders>
              <w:right w:val="single" w:sz="8" w:color="auto"/>
            </w:tcBorders>
            <w:gridSpan w:val="10"/>
          </w:tcPr>
          <w:p>
            <w:pPr>
              <w:jc w:val="center"/>
              <w:ind w:right="240"/>
              <w:spacing w:after="0"/>
              <w:rPr>
                <w:sz w:val="20"/>
                <w:szCs w:val="20"/>
                <w:color w:val="auto"/>
              </w:rPr>
            </w:pPr>
            <w:r>
              <w:rPr>
                <w:rFonts w:ascii="Arial" w:cs="Arial" w:eastAsia="Arial" w:hAnsi="Arial"/>
                <w:sz w:val="11"/>
                <w:szCs w:val="11"/>
                <w:b w:val="1"/>
                <w:bCs w:val="1"/>
                <w:color w:val="auto"/>
                <w:w w:val="97"/>
              </w:rPr>
              <w:t>Preferred Stock</w:t>
            </w:r>
          </w:p>
        </w:tc>
        <w:tc>
          <w:tcPr>
            <w:tcW w:w="120" w:type="dxa"/>
            <w:vAlign w:val="bottom"/>
          </w:tcPr>
          <w:p>
            <w:pPr>
              <w:spacing w:after="0"/>
              <w:rPr>
                <w:sz w:val="11"/>
                <w:szCs w:val="11"/>
                <w:color w:val="auto"/>
              </w:rPr>
            </w:pPr>
          </w:p>
        </w:tc>
        <w:tc>
          <w:tcPr>
            <w:tcW w:w="960" w:type="dxa"/>
            <w:vAlign w:val="bottom"/>
            <w:gridSpan w:val="6"/>
          </w:tcPr>
          <w:p>
            <w:pPr>
              <w:jc w:val="center"/>
              <w:ind w:left="67"/>
              <w:spacing w:after="0"/>
              <w:rPr>
                <w:sz w:val="20"/>
                <w:szCs w:val="20"/>
                <w:color w:val="auto"/>
              </w:rPr>
            </w:pPr>
            <w:r>
              <w:rPr>
                <w:rFonts w:ascii="Arial" w:cs="Arial" w:eastAsia="Arial" w:hAnsi="Arial"/>
                <w:sz w:val="11"/>
                <w:szCs w:val="11"/>
                <w:b w:val="1"/>
                <w:bCs w:val="1"/>
                <w:color w:val="auto"/>
                <w:w w:val="99"/>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300"/>
              <w:spacing w:after="0"/>
              <w:rPr>
                <w:sz w:val="20"/>
                <w:szCs w:val="20"/>
                <w:color w:val="auto"/>
              </w:rPr>
            </w:pPr>
            <w:r>
              <w:rPr>
                <w:rFonts w:ascii="Arial" w:cs="Arial" w:eastAsia="Arial" w:hAnsi="Arial"/>
                <w:sz w:val="11"/>
                <w:szCs w:val="11"/>
                <w:b w:val="1"/>
                <w:bCs w:val="1"/>
                <w:color w:val="auto"/>
              </w:rPr>
              <w:t>Stock</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5"/>
          </w:tcPr>
          <w:p>
            <w:pPr>
              <w:jc w:val="right"/>
              <w:ind w:right="320"/>
              <w:spacing w:after="0"/>
              <w:rPr>
                <w:sz w:val="20"/>
                <w:szCs w:val="20"/>
                <w:color w:val="auto"/>
              </w:rPr>
            </w:pPr>
            <w:r>
              <w:rPr>
                <w:rFonts w:ascii="Arial" w:cs="Arial" w:eastAsia="Arial" w:hAnsi="Arial"/>
                <w:sz w:val="11"/>
                <w:szCs w:val="11"/>
                <w:b w:val="1"/>
                <w:bCs w:val="1"/>
                <w:color w:val="auto"/>
              </w:rPr>
              <w:t>Common Stock</w:t>
            </w:r>
          </w:p>
        </w:tc>
        <w:tc>
          <w:tcPr>
            <w:tcW w:w="6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131"/>
              <w:spacing w:after="0"/>
              <w:rPr>
                <w:sz w:val="20"/>
                <w:szCs w:val="20"/>
                <w:color w:val="auto"/>
              </w:rPr>
            </w:pPr>
            <w:r>
              <w:rPr>
                <w:rFonts w:ascii="Arial" w:cs="Arial" w:eastAsia="Arial" w:hAnsi="Arial"/>
                <w:sz w:val="11"/>
                <w:szCs w:val="11"/>
                <w:b w:val="1"/>
                <w:bCs w:val="1"/>
                <w:color w:val="auto"/>
                <w:w w:val="93"/>
              </w:rPr>
              <w:t>sive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7"/>
              </w:rPr>
              <w:t>ated</w:t>
            </w:r>
          </w:p>
        </w:tc>
        <w:tc>
          <w:tcPr>
            <w:tcW w:w="120" w:type="dxa"/>
            <w:vAlign w:val="bottom"/>
          </w:tcPr>
          <w:p>
            <w:pPr>
              <w:spacing w:after="0"/>
              <w:rPr>
                <w:sz w:val="11"/>
                <w:szCs w:val="11"/>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5"/>
              </w:rPr>
              <w:t>rs’ Equity</w:t>
            </w:r>
          </w:p>
        </w:tc>
        <w:tc>
          <w:tcPr>
            <w:tcW w:w="0" w:type="dxa"/>
            <w:vAlign w:val="bottom"/>
          </w:tcPr>
          <w:p>
            <w:pPr>
              <w:spacing w:after="0"/>
              <w:rPr>
                <w:sz w:val="1"/>
                <w:szCs w:val="1"/>
                <w:color w:val="auto"/>
              </w:rPr>
            </w:pPr>
          </w:p>
        </w:tc>
      </w:tr>
      <w:tr>
        <w:trPr>
          <w:trHeight w:val="100"/>
        </w:trPr>
        <w:tc>
          <w:tcPr>
            <w:tcW w:w="1320" w:type="dxa"/>
            <w:vAlign w:val="bottom"/>
            <w:gridSpan w:val="2"/>
          </w:tcPr>
          <w:p>
            <w:pPr>
              <w:spacing w:after="0"/>
              <w:rPr>
                <w:sz w:val="8"/>
                <w:szCs w:val="8"/>
                <w:color w:val="auto"/>
              </w:rPr>
            </w:pPr>
          </w:p>
        </w:tc>
        <w:tc>
          <w:tcPr>
            <w:tcW w:w="1200" w:type="dxa"/>
            <w:vAlign w:val="bottom"/>
            <w:tcBorders>
              <w:top w:val="single" w:sz="8" w:color="auto"/>
            </w:tcBorders>
            <w:gridSpan w:val="8"/>
          </w:tcPr>
          <w:p>
            <w:pPr>
              <w:spacing w:after="0"/>
              <w:rPr>
                <w:sz w:val="20"/>
                <w:szCs w:val="20"/>
                <w:color w:val="auto"/>
              </w:rPr>
            </w:pPr>
            <w:r>
              <w:rPr>
                <w:rFonts w:ascii="Arial" w:cs="Arial" w:eastAsia="Arial" w:hAnsi="Arial"/>
                <w:sz w:val="11"/>
                <w:szCs w:val="11"/>
                <w:b w:val="1"/>
                <w:bCs w:val="1"/>
                <w:color w:val="auto"/>
              </w:rPr>
              <w:t>Amoun</w:t>
            </w:r>
          </w:p>
        </w:tc>
        <w:tc>
          <w:tcPr>
            <w:tcW w:w="260" w:type="dxa"/>
            <w:vAlign w:val="bottom"/>
            <w:gridSpan w:val="2"/>
          </w:tcPr>
          <w:p>
            <w:pPr>
              <w:spacing w:after="0"/>
              <w:rPr>
                <w:sz w:val="8"/>
                <w:szCs w:val="8"/>
                <w:color w:val="auto"/>
              </w:rPr>
            </w:pPr>
          </w:p>
        </w:tc>
        <w:tc>
          <w:tcPr>
            <w:tcW w:w="1240" w:type="dxa"/>
            <w:vAlign w:val="bottom"/>
            <w:tcBorders>
              <w:top w:val="single" w:sz="8" w:color="auto"/>
            </w:tcBorders>
            <w:gridSpan w:val="8"/>
          </w:tcPr>
          <w:p>
            <w:pPr>
              <w:spacing w:after="0"/>
              <w:rPr>
                <w:sz w:val="20"/>
                <w:szCs w:val="20"/>
                <w:color w:val="auto"/>
              </w:rPr>
            </w:pPr>
            <w:r>
              <w:rPr>
                <w:rFonts w:ascii="Arial" w:cs="Arial" w:eastAsia="Arial" w:hAnsi="Arial"/>
                <w:sz w:val="11"/>
                <w:szCs w:val="11"/>
                <w:b w:val="1"/>
                <w:bCs w:val="1"/>
                <w:color w:val="auto"/>
              </w:rPr>
              <w:t>Amoun</w:t>
            </w:r>
          </w:p>
        </w:tc>
        <w:tc>
          <w:tcPr>
            <w:tcW w:w="240" w:type="dxa"/>
            <w:vAlign w:val="bottom"/>
            <w:tcBorders>
              <w:right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Borders>
              <w:top w:val="single" w:sz="8" w:color="auto"/>
            </w:tcBorders>
            <w:gridSpan w:val="7"/>
          </w:tcPr>
          <w:p>
            <w:pPr>
              <w:spacing w:after="0"/>
              <w:rPr>
                <w:sz w:val="20"/>
                <w:szCs w:val="20"/>
                <w:color w:val="auto"/>
              </w:rPr>
            </w:pPr>
            <w:r>
              <w:rPr>
                <w:rFonts w:ascii="Arial" w:cs="Arial" w:eastAsia="Arial" w:hAnsi="Arial"/>
                <w:sz w:val="11"/>
                <w:szCs w:val="11"/>
                <w:b w:val="1"/>
                <w:bCs w:val="1"/>
                <w:color w:val="auto"/>
              </w:rPr>
              <w:t>Amo</w:t>
            </w:r>
          </w:p>
        </w:tc>
        <w:tc>
          <w:tcPr>
            <w:tcW w:w="200" w:type="dxa"/>
            <w:vAlign w:val="bottom"/>
            <w:gridSpan w:val="2"/>
          </w:tcPr>
          <w:p>
            <w:pPr>
              <w:spacing w:after="0"/>
              <w:rPr>
                <w:sz w:val="8"/>
                <w:szCs w:val="8"/>
                <w:color w:val="auto"/>
              </w:rPr>
            </w:pPr>
          </w:p>
        </w:tc>
        <w:tc>
          <w:tcPr>
            <w:tcW w:w="1020" w:type="dxa"/>
            <w:vAlign w:val="bottom"/>
            <w:tcBorders>
              <w:top w:val="single" w:sz="8" w:color="auto"/>
            </w:tcBorders>
            <w:gridSpan w:val="7"/>
          </w:tcPr>
          <w:p>
            <w:pPr>
              <w:spacing w:after="0"/>
              <w:rPr>
                <w:sz w:val="20"/>
                <w:szCs w:val="20"/>
                <w:color w:val="auto"/>
              </w:rPr>
            </w:pPr>
            <w:r>
              <w:rPr>
                <w:rFonts w:ascii="Arial" w:cs="Arial" w:eastAsia="Arial" w:hAnsi="Arial"/>
                <w:sz w:val="11"/>
                <w:szCs w:val="11"/>
                <w:b w:val="1"/>
                <w:bCs w:val="1"/>
                <w:color w:val="auto"/>
              </w:rPr>
              <w:t>Amo</w:t>
            </w:r>
          </w:p>
        </w:tc>
        <w:tc>
          <w:tcPr>
            <w:tcW w:w="180" w:type="dxa"/>
            <w:vAlign w:val="bottom"/>
          </w:tcPr>
          <w:p>
            <w:pPr>
              <w:spacing w:after="0"/>
              <w:rPr>
                <w:sz w:val="8"/>
                <w:szCs w:val="8"/>
                <w:color w:val="auto"/>
              </w:rPr>
            </w:pPr>
          </w:p>
        </w:tc>
        <w:tc>
          <w:tcPr>
            <w:tcW w:w="1060" w:type="dxa"/>
            <w:vAlign w:val="bottom"/>
            <w:tcBorders>
              <w:top w:val="single" w:sz="8" w:color="auto"/>
            </w:tcBorders>
            <w:gridSpan w:val="5"/>
          </w:tcPr>
          <w:p>
            <w:pPr>
              <w:spacing w:after="0"/>
              <w:rPr>
                <w:sz w:val="20"/>
                <w:szCs w:val="20"/>
                <w:color w:val="auto"/>
              </w:rPr>
            </w:pPr>
            <w:r>
              <w:rPr>
                <w:rFonts w:ascii="Arial" w:cs="Arial" w:eastAsia="Arial" w:hAnsi="Arial"/>
                <w:sz w:val="11"/>
                <w:szCs w:val="11"/>
                <w:b w:val="1"/>
                <w:bCs w:val="1"/>
                <w:color w:val="auto"/>
              </w:rPr>
              <w:t>Amo</w:t>
            </w:r>
          </w:p>
        </w:tc>
        <w:tc>
          <w:tcPr>
            <w:tcW w:w="3300" w:type="dxa"/>
            <w:vAlign w:val="bottom"/>
            <w:gridSpan w:val="19"/>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rPr>
              <w:t>t</w:t>
            </w:r>
          </w:p>
        </w:tc>
        <w:tc>
          <w:tcPr>
            <w:tcW w:w="160" w:type="dxa"/>
            <w:vAlign w:val="bottom"/>
          </w:tcPr>
          <w:p>
            <w:pPr>
              <w:spacing w:after="0"/>
              <w:rPr>
                <w:sz w:val="12"/>
                <w:szCs w:val="12"/>
                <w:color w:val="auto"/>
              </w:rPr>
            </w:pPr>
          </w:p>
        </w:tc>
        <w:tc>
          <w:tcPr>
            <w:tcW w:w="54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gridSpan w:val="4"/>
          </w:tcPr>
          <w:p>
            <w:pPr>
              <w:ind w:left="200"/>
              <w:spacing w:after="0"/>
              <w:rPr>
                <w:sz w:val="20"/>
                <w:szCs w:val="20"/>
                <w:color w:val="auto"/>
              </w:rPr>
            </w:pPr>
            <w:r>
              <w:rPr>
                <w:rFonts w:ascii="Arial" w:cs="Arial" w:eastAsia="Arial" w:hAnsi="Arial"/>
                <w:sz w:val="11"/>
                <w:szCs w:val="11"/>
                <w:b w:val="1"/>
                <w:bCs w:val="1"/>
                <w:color w:val="auto"/>
              </w:rPr>
              <w:t>t</w:t>
            </w:r>
          </w:p>
        </w:tc>
        <w:tc>
          <w:tcPr>
            <w:tcW w:w="120" w:type="dxa"/>
            <w:vAlign w:val="bottom"/>
          </w:tcPr>
          <w:p>
            <w:pPr>
              <w:spacing w:after="0"/>
              <w:rPr>
                <w:sz w:val="12"/>
                <w:szCs w:val="12"/>
                <w:color w:val="auto"/>
              </w:rPr>
            </w:pPr>
          </w:p>
        </w:tc>
        <w:tc>
          <w:tcPr>
            <w:tcW w:w="76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32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rPr>
              <w:t>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300" w:type="dxa"/>
            <w:vAlign w:val="bottom"/>
            <w:gridSpan w:val="2"/>
          </w:tcPr>
          <w:p>
            <w:pPr>
              <w:ind w:left="20"/>
              <w:spacing w:after="0"/>
              <w:rPr>
                <w:sz w:val="20"/>
                <w:szCs w:val="20"/>
                <w:color w:val="auto"/>
              </w:rPr>
            </w:pPr>
            <w:r>
              <w:rPr>
                <w:rFonts w:ascii="Arial" w:cs="Arial" w:eastAsia="Arial" w:hAnsi="Arial"/>
                <w:sz w:val="11"/>
                <w:szCs w:val="11"/>
                <w:b w:val="1"/>
                <w:bCs w:val="1"/>
                <w:color w:val="auto"/>
              </w:rPr>
              <w:t>unt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2"/>
              </w:rPr>
              <w:t>Shares</w:t>
            </w:r>
          </w:p>
        </w:tc>
        <w:tc>
          <w:tcPr>
            <w:tcW w:w="540" w:type="dxa"/>
            <w:vAlign w:val="bottom"/>
            <w:gridSpan w:val="3"/>
          </w:tcPr>
          <w:p>
            <w:pPr>
              <w:ind w:left="80"/>
              <w:spacing w:after="0"/>
              <w:rPr>
                <w:sz w:val="20"/>
                <w:szCs w:val="20"/>
                <w:color w:val="auto"/>
              </w:rPr>
            </w:pPr>
            <w:r>
              <w:rPr>
                <w:rFonts w:ascii="Arial" w:cs="Arial" w:eastAsia="Arial" w:hAnsi="Arial"/>
                <w:sz w:val="11"/>
                <w:szCs w:val="11"/>
                <w:b w:val="1"/>
                <w:bCs w:val="1"/>
                <w:color w:val="auto"/>
              </w:rPr>
              <w:t>unt</w:t>
            </w:r>
          </w:p>
        </w:tc>
        <w:tc>
          <w:tcPr>
            <w:tcW w:w="6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131"/>
              <w:spacing w:after="0"/>
              <w:rPr>
                <w:sz w:val="20"/>
                <w:szCs w:val="20"/>
                <w:color w:val="auto"/>
              </w:rPr>
            </w:pPr>
            <w:r>
              <w:rPr>
                <w:rFonts w:ascii="Arial" w:cs="Arial" w:eastAsia="Arial" w:hAnsi="Arial"/>
                <w:sz w:val="11"/>
                <w:szCs w:val="11"/>
                <w:b w:val="1"/>
                <w:bCs w:val="1"/>
                <w:color w:val="auto"/>
                <w:w w:val="93"/>
              </w:rPr>
              <w:t>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106"/>
        </w:trPr>
        <w:tc>
          <w:tcPr>
            <w:tcW w:w="1320" w:type="dxa"/>
            <w:vAlign w:val="bottom"/>
            <w:gridSpan w:val="2"/>
            <w:shd w:val="clear" w:color="auto" w:fill="CFF0FC"/>
          </w:tcPr>
          <w:p>
            <w:pPr>
              <w:ind w:left="20"/>
              <w:spacing w:after="0" w:line="106" w:lineRule="exact"/>
              <w:rPr>
                <w:sz w:val="20"/>
                <w:szCs w:val="20"/>
                <w:color w:val="auto"/>
              </w:rPr>
            </w:pPr>
            <w:r>
              <w:rPr>
                <w:rFonts w:ascii="Arial" w:cs="Arial" w:eastAsia="Arial" w:hAnsi="Arial"/>
                <w:sz w:val="11"/>
                <w:szCs w:val="11"/>
                <w:b w:val="1"/>
                <w:bCs w:val="1"/>
                <w:color w:val="auto"/>
              </w:rPr>
              <w:t>Balances at</w:t>
            </w:r>
          </w:p>
        </w:tc>
        <w:tc>
          <w:tcPr>
            <w:tcW w:w="540" w:type="dxa"/>
            <w:vAlign w:val="bottom"/>
            <w:tcBorders>
              <w:top w:val="single" w:sz="8" w:color="auto"/>
            </w:tcBorders>
            <w:gridSpan w:val="2"/>
            <w:shd w:val="clear" w:color="auto" w:fill="CFF0FC"/>
          </w:tcPr>
          <w:p>
            <w:pPr>
              <w:jc w:val="right"/>
              <w:ind w:right="20"/>
              <w:spacing w:after="0" w:line="106" w:lineRule="exact"/>
              <w:rPr>
                <w:sz w:val="20"/>
                <w:szCs w:val="20"/>
                <w:color w:val="auto"/>
              </w:rPr>
            </w:pPr>
            <w:r>
              <w:rPr>
                <w:rFonts w:ascii="Arial" w:cs="Arial" w:eastAsia="Arial" w:hAnsi="Arial"/>
                <w:sz w:val="11"/>
                <w:szCs w:val="11"/>
                <w:color w:val="auto"/>
              </w:rPr>
              <w:t>54,208,</w:t>
            </w:r>
          </w:p>
        </w:tc>
        <w:tc>
          <w:tcPr>
            <w:tcW w:w="240" w:type="dxa"/>
            <w:vAlign w:val="bottom"/>
            <w:gridSpan w:val="3"/>
            <w:shd w:val="clear" w:color="auto" w:fill="CFF0FC"/>
          </w:tcPr>
          <w:p>
            <w:pPr>
              <w:spacing w:after="0"/>
              <w:rPr>
                <w:sz w:val="9"/>
                <w:szCs w:val="9"/>
                <w:color w:val="auto"/>
              </w:rPr>
            </w:pPr>
          </w:p>
        </w:tc>
        <w:tc>
          <w:tcPr>
            <w:tcW w:w="420" w:type="dxa"/>
            <w:vAlign w:val="bottom"/>
            <w:tcBorders>
              <w:top w:val="single" w:sz="8" w:color="auto"/>
              <w:right w:val="single" w:sz="8" w:color="CFF0FC"/>
            </w:tcBorders>
            <w:gridSpan w:val="3"/>
            <w:shd w:val="clear" w:color="auto" w:fill="CFF0FC"/>
          </w:tcPr>
          <w:p>
            <w:pPr>
              <w:jc w:val="right"/>
              <w:ind w:right="366"/>
              <w:spacing w:after="0"/>
              <w:rPr>
                <w:sz w:val="20"/>
                <w:szCs w:val="20"/>
                <w:color w:val="auto"/>
              </w:rPr>
            </w:pPr>
            <w:r>
              <w:rPr>
                <w:rFonts w:ascii="Arial" w:cs="Arial" w:eastAsia="Arial" w:hAnsi="Arial"/>
                <w:sz w:val="11"/>
                <w:szCs w:val="11"/>
                <w:color w:val="auto"/>
              </w:rPr>
              <w:t>110,4</w:t>
            </w:r>
          </w:p>
        </w:tc>
        <w:tc>
          <w:tcPr>
            <w:tcW w:w="260" w:type="dxa"/>
            <w:vAlign w:val="bottom"/>
            <w:gridSpan w:val="2"/>
            <w:shd w:val="clear" w:color="auto" w:fill="CFF0FC"/>
          </w:tcPr>
          <w:p>
            <w:pPr>
              <w:spacing w:after="0"/>
              <w:rPr>
                <w:sz w:val="9"/>
                <w:szCs w:val="9"/>
                <w:color w:val="auto"/>
              </w:rPr>
            </w:pPr>
          </w:p>
        </w:tc>
        <w:tc>
          <w:tcPr>
            <w:tcW w:w="560" w:type="dxa"/>
            <w:vAlign w:val="bottom"/>
            <w:tcBorders>
              <w:top w:val="single" w:sz="8" w:color="auto"/>
            </w:tcBorders>
            <w:gridSpan w:val="4"/>
            <w:shd w:val="clear" w:color="auto" w:fill="CFF0FC"/>
          </w:tcPr>
          <w:p>
            <w:pPr>
              <w:jc w:val="right"/>
              <w:spacing w:after="0" w:line="106" w:lineRule="exact"/>
              <w:rPr>
                <w:sz w:val="20"/>
                <w:szCs w:val="20"/>
                <w:color w:val="auto"/>
              </w:rPr>
            </w:pPr>
            <w:r>
              <w:rPr>
                <w:rFonts w:ascii="Arial" w:cs="Arial" w:eastAsia="Arial" w:hAnsi="Arial"/>
                <w:sz w:val="11"/>
                <w:szCs w:val="11"/>
                <w:color w:val="auto"/>
              </w:rPr>
              <w:t>11,239,</w:t>
            </w:r>
          </w:p>
        </w:tc>
        <w:tc>
          <w:tcPr>
            <w:tcW w:w="240" w:type="dxa"/>
            <w:vAlign w:val="bottom"/>
            <w:gridSpan w:val="2"/>
            <w:shd w:val="clear" w:color="auto" w:fill="CFF0FC"/>
          </w:tcPr>
          <w:p>
            <w:pPr>
              <w:spacing w:after="0"/>
              <w:rPr>
                <w:sz w:val="9"/>
                <w:szCs w:val="9"/>
                <w:color w:val="auto"/>
              </w:rPr>
            </w:pPr>
          </w:p>
        </w:tc>
        <w:tc>
          <w:tcPr>
            <w:tcW w:w="440" w:type="dxa"/>
            <w:vAlign w:val="bottom"/>
            <w:tcBorders>
              <w:top w:val="single" w:sz="8" w:color="auto"/>
            </w:tcBorders>
            <w:gridSpan w:val="2"/>
            <w:shd w:val="clear" w:color="auto" w:fill="CFF0FC"/>
          </w:tcPr>
          <w:p>
            <w:pPr>
              <w:jc w:val="right"/>
              <w:ind w:right="20"/>
              <w:spacing w:after="0" w:line="106" w:lineRule="exact"/>
              <w:rPr>
                <w:sz w:val="20"/>
                <w:szCs w:val="20"/>
                <w:color w:val="auto"/>
              </w:rPr>
            </w:pPr>
            <w:r>
              <w:rPr>
                <w:rFonts w:ascii="Arial" w:cs="Arial" w:eastAsia="Arial" w:hAnsi="Arial"/>
                <w:sz w:val="11"/>
                <w:szCs w:val="11"/>
                <w:color w:val="auto"/>
              </w:rPr>
              <w:t>119,7</w:t>
            </w:r>
          </w:p>
        </w:tc>
        <w:tc>
          <w:tcPr>
            <w:tcW w:w="240" w:type="dxa"/>
            <w:vAlign w:val="bottom"/>
            <w:tcBorders>
              <w:right w:val="single" w:sz="8" w:color="auto"/>
            </w:tcBorders>
            <w:gridSpan w:val="2"/>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560" w:type="dxa"/>
            <w:vAlign w:val="bottom"/>
            <w:tcBorders>
              <w:top w:val="single" w:sz="8" w:color="auto"/>
            </w:tcBorders>
            <w:gridSpan w:val="2"/>
            <w:shd w:val="clear" w:color="auto" w:fill="CFF0FC"/>
          </w:tcPr>
          <w:p>
            <w:pPr>
              <w:jc w:val="right"/>
              <w:ind w:right="20"/>
              <w:spacing w:after="0" w:line="106" w:lineRule="exact"/>
              <w:rPr>
                <w:sz w:val="20"/>
                <w:szCs w:val="20"/>
                <w:color w:val="auto"/>
              </w:rPr>
            </w:pPr>
            <w:r>
              <w:rPr>
                <w:rFonts w:ascii="Arial" w:cs="Arial" w:eastAsia="Arial" w:hAnsi="Arial"/>
                <w:sz w:val="11"/>
                <w:szCs w:val="11"/>
                <w:color w:val="auto"/>
              </w:rPr>
              <w:t>22,240,</w:t>
            </w:r>
          </w:p>
        </w:tc>
        <w:tc>
          <w:tcPr>
            <w:tcW w:w="220" w:type="dxa"/>
            <w:vAlign w:val="bottom"/>
            <w:gridSpan w:val="3"/>
            <w:shd w:val="clear" w:color="auto" w:fill="CFF0FC"/>
          </w:tcPr>
          <w:p>
            <w:pPr>
              <w:spacing w:after="0"/>
              <w:rPr>
                <w:sz w:val="9"/>
                <w:szCs w:val="9"/>
                <w:color w:val="auto"/>
              </w:rPr>
            </w:pPr>
          </w:p>
        </w:tc>
        <w:tc>
          <w:tcPr>
            <w:tcW w:w="320" w:type="dxa"/>
            <w:vAlign w:val="bottom"/>
            <w:tcBorders>
              <w:top w:val="single" w:sz="8" w:color="auto"/>
              <w:right w:val="single" w:sz="8" w:color="CFF0FC"/>
            </w:tcBorders>
            <w:gridSpan w:val="2"/>
            <w:shd w:val="clear" w:color="auto" w:fill="CFF0FC"/>
          </w:tcPr>
          <w:p>
            <w:pPr>
              <w:spacing w:after="0"/>
              <w:rPr>
                <w:sz w:val="9"/>
                <w:szCs w:val="9"/>
                <w:color w:val="auto"/>
              </w:rPr>
            </w:pPr>
          </w:p>
        </w:tc>
        <w:tc>
          <w:tcPr>
            <w:tcW w:w="200" w:type="dxa"/>
            <w:vAlign w:val="bottom"/>
            <w:gridSpan w:val="2"/>
            <w:shd w:val="clear" w:color="auto" w:fill="CFF0FC"/>
          </w:tcPr>
          <w:p>
            <w:pPr>
              <w:spacing w:after="0"/>
              <w:rPr>
                <w:sz w:val="9"/>
                <w:szCs w:val="9"/>
                <w:color w:val="auto"/>
              </w:rPr>
            </w:pPr>
          </w:p>
        </w:tc>
        <w:tc>
          <w:tcPr>
            <w:tcW w:w="500" w:type="dxa"/>
            <w:vAlign w:val="bottom"/>
            <w:tcBorders>
              <w:top w:val="single" w:sz="8" w:color="auto"/>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top w:val="single" w:sz="8" w:color="auto"/>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top w:val="single" w:sz="8" w:color="auto"/>
              <w:right w:val="single" w:sz="8" w:color="CFF0FC"/>
            </w:tcBorders>
            <w:gridSpan w:val="2"/>
            <w:shd w:val="clear" w:color="auto" w:fill="CFF0FC"/>
          </w:tcPr>
          <w:p>
            <w:pPr>
              <w:jc w:val="right"/>
              <w:ind w:right="7"/>
              <w:spacing w:after="0" w:line="106" w:lineRule="exact"/>
              <w:rPr>
                <w:sz w:val="20"/>
                <w:szCs w:val="20"/>
                <w:color w:val="auto"/>
              </w:rPr>
            </w:pPr>
            <w:r>
              <w:rPr>
                <w:rFonts w:ascii="Arial" w:cs="Arial" w:eastAsia="Arial" w:hAnsi="Arial"/>
                <w:sz w:val="11"/>
                <w:szCs w:val="11"/>
                <w:color w:val="auto"/>
              </w:rPr>
              <w:t>(2,317,</w:t>
            </w: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top w:val="single" w:sz="8" w:color="auto"/>
              <w:left w:val="single" w:sz="8" w:color="CFF0FC"/>
              <w:right w:val="single" w:sz="8" w:color="CFF0FC"/>
            </w:tcBorders>
            <w:gridSpan w:val="2"/>
            <w:shd w:val="clear" w:color="auto" w:fill="CFF0FC"/>
          </w:tcPr>
          <w:p>
            <w:pPr>
              <w:jc w:val="right"/>
              <w:ind w:right="326"/>
              <w:spacing w:after="0"/>
              <w:rPr>
                <w:sz w:val="20"/>
                <w:szCs w:val="20"/>
                <w:color w:val="auto"/>
              </w:rPr>
            </w:pPr>
            <w:r>
              <w:rPr>
                <w:rFonts w:ascii="Arial" w:cs="Arial" w:eastAsia="Arial" w:hAnsi="Arial"/>
                <w:sz w:val="11"/>
                <w:szCs w:val="11"/>
                <w:color w:val="auto"/>
              </w:rPr>
              <w:t>(74</w:t>
            </w:r>
          </w:p>
        </w:tc>
        <w:tc>
          <w:tcPr>
            <w:tcW w:w="160" w:type="dxa"/>
            <w:vAlign w:val="bottom"/>
            <w:tcBorders>
              <w:right w:val="single" w:sz="8" w:color="CFF0FC"/>
            </w:tcBorders>
            <w:shd w:val="clear" w:color="auto" w:fill="CFF0FC"/>
          </w:tcPr>
          <w:p>
            <w:pPr>
              <w:spacing w:after="0"/>
              <w:rPr>
                <w:sz w:val="9"/>
                <w:szCs w:val="9"/>
                <w:color w:val="auto"/>
              </w:rPr>
            </w:pPr>
          </w:p>
        </w:tc>
        <w:tc>
          <w:tcPr>
            <w:tcW w:w="560" w:type="dxa"/>
            <w:vAlign w:val="bottom"/>
            <w:tcBorders>
              <w:top w:val="single" w:sz="8" w:color="auto"/>
              <w:left w:val="single" w:sz="8" w:color="CFF0FC"/>
            </w:tcBorders>
            <w:gridSpan w:val="3"/>
            <w:shd w:val="clear" w:color="auto" w:fill="CFF0FC"/>
          </w:tcPr>
          <w:p>
            <w:pPr>
              <w:spacing w:after="0"/>
              <w:rPr>
                <w:sz w:val="9"/>
                <w:szCs w:val="9"/>
                <w:color w:val="auto"/>
              </w:rPr>
            </w:pPr>
          </w:p>
        </w:tc>
        <w:tc>
          <w:tcPr>
            <w:tcW w:w="220" w:type="dxa"/>
            <w:vAlign w:val="bottom"/>
            <w:gridSpan w:val="2"/>
            <w:shd w:val="clear" w:color="auto" w:fill="CFF0FC"/>
          </w:tcPr>
          <w:p>
            <w:pPr>
              <w:spacing w:after="0"/>
              <w:rPr>
                <w:sz w:val="9"/>
                <w:szCs w:val="9"/>
                <w:color w:val="auto"/>
              </w:rPr>
            </w:pPr>
          </w:p>
        </w:tc>
        <w:tc>
          <w:tcPr>
            <w:tcW w:w="680" w:type="dxa"/>
            <w:vAlign w:val="bottom"/>
            <w:tcBorders>
              <w:top w:val="single" w:sz="8" w:color="auto"/>
            </w:tcBorders>
            <w:gridSpan w:val="3"/>
            <w:shd w:val="clear" w:color="auto" w:fill="CFF0FC"/>
          </w:tcPr>
          <w:p>
            <w:pPr>
              <w:spacing w:after="0"/>
              <w:rPr>
                <w:sz w:val="9"/>
                <w:szCs w:val="9"/>
                <w:color w:val="auto"/>
              </w:rPr>
            </w:pPr>
          </w:p>
        </w:tc>
        <w:tc>
          <w:tcPr>
            <w:tcW w:w="220" w:type="dxa"/>
            <w:vAlign w:val="bottom"/>
            <w:gridSpan w:val="2"/>
            <w:shd w:val="clear" w:color="auto" w:fill="CFF0FC"/>
          </w:tcPr>
          <w:p>
            <w:pPr>
              <w:spacing w:after="0"/>
              <w:rPr>
                <w:sz w:val="9"/>
                <w:szCs w:val="9"/>
                <w:color w:val="auto"/>
              </w:rPr>
            </w:pPr>
          </w:p>
        </w:tc>
        <w:tc>
          <w:tcPr>
            <w:tcW w:w="520" w:type="dxa"/>
            <w:vAlign w:val="bottom"/>
            <w:tcBorders>
              <w:top w:val="single" w:sz="8" w:color="auto"/>
            </w:tcBorders>
            <w:gridSpan w:val="3"/>
            <w:shd w:val="clear" w:color="auto" w:fill="CFF0FC"/>
          </w:tcPr>
          <w:p>
            <w:pPr>
              <w:spacing w:after="0"/>
              <w:rPr>
                <w:sz w:val="9"/>
                <w:szCs w:val="9"/>
                <w:color w:val="auto"/>
              </w:rPr>
            </w:pPr>
          </w:p>
        </w:tc>
        <w:tc>
          <w:tcPr>
            <w:tcW w:w="220" w:type="dxa"/>
            <w:vAlign w:val="bottom"/>
            <w:gridSpan w:val="2"/>
            <w:shd w:val="clear" w:color="auto" w:fill="CFF0FC"/>
          </w:tcPr>
          <w:p>
            <w:pPr>
              <w:spacing w:after="0"/>
              <w:rPr>
                <w:sz w:val="9"/>
                <w:szCs w:val="9"/>
                <w:color w:val="auto"/>
              </w:rPr>
            </w:pPr>
          </w:p>
        </w:tc>
        <w:tc>
          <w:tcPr>
            <w:tcW w:w="620" w:type="dxa"/>
            <w:vAlign w:val="bottom"/>
            <w:tcBorders>
              <w:top w:val="single" w:sz="8" w:color="auto"/>
            </w:tcBorders>
            <w:gridSpan w:val="2"/>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320" w:type="dxa"/>
            <w:vAlign w:val="bottom"/>
            <w:gridSpan w:val="2"/>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 2020</w:t>
            </w:r>
          </w:p>
        </w:tc>
        <w:tc>
          <w:tcPr>
            <w:tcW w:w="540" w:type="dxa"/>
            <w:vAlign w:val="bottom"/>
            <w:gridSpan w:val="2"/>
            <w:shd w:val="clear" w:color="auto" w:fill="CFF0FC"/>
          </w:tcPr>
          <w:p>
            <w:pPr>
              <w:ind w:left="340"/>
              <w:spacing w:after="0"/>
              <w:rPr>
                <w:sz w:val="20"/>
                <w:szCs w:val="20"/>
                <w:color w:val="auto"/>
              </w:rPr>
            </w:pPr>
            <w:r>
              <w:rPr>
                <w:rFonts w:ascii="Arial" w:cs="Arial" w:eastAsia="Arial" w:hAnsi="Arial"/>
                <w:sz w:val="11"/>
                <w:szCs w:val="11"/>
                <w:color w:val="auto"/>
                <w:w w:val="97"/>
              </w:rPr>
              <w:t>461</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FF0FC"/>
          </w:tcPr>
          <w:p>
            <w:pPr>
              <w:spacing w:after="0"/>
              <w:rPr>
                <w:sz w:val="13"/>
                <w:szCs w:val="13"/>
                <w:color w:val="auto"/>
              </w:rPr>
            </w:pP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1"/>
                <w:szCs w:val="11"/>
                <w:color w:val="auto"/>
              </w:rPr>
              <w:t>920</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w w:val="97"/>
              </w:rPr>
              <w:t>$69</w:t>
            </w:r>
          </w:p>
        </w:tc>
        <w:tc>
          <w:tcPr>
            <w:tcW w:w="8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872</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40" w:type="dxa"/>
            <w:vAlign w:val="bottom"/>
            <w:gridSpan w:val="3"/>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0"/>
              </w:rPr>
              <w:t>—</w:t>
            </w:r>
          </w:p>
        </w:tc>
        <w:tc>
          <w:tcPr>
            <w:tcW w:w="70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722 )</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8 )</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16,970</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FF0FC"/>
          </w:tcPr>
          <w:p>
            <w:pPr>
              <w:jc w:val="right"/>
              <w:ind w:right="11"/>
              <w:spacing w:after="0"/>
              <w:rPr>
                <w:sz w:val="20"/>
                <w:szCs w:val="20"/>
                <w:color w:val="auto"/>
              </w:rPr>
            </w:pPr>
            <w:r>
              <w:rPr>
                <w:rFonts w:ascii="Arial" w:cs="Arial" w:eastAsia="Arial" w:hAnsi="Arial"/>
                <w:sz w:val="11"/>
                <w:szCs w:val="11"/>
                <w:color w:val="auto"/>
              </w:rPr>
              <w:t>(214 )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(97,772 )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(81,762 )</w:t>
            </w:r>
          </w:p>
        </w:tc>
        <w:tc>
          <w:tcPr>
            <w:tcW w:w="0" w:type="dxa"/>
            <w:vAlign w:val="bottom"/>
          </w:tcPr>
          <w:p>
            <w:pPr>
              <w:spacing w:after="0"/>
              <w:rPr>
                <w:sz w:val="1"/>
                <w:szCs w:val="1"/>
                <w:color w:val="auto"/>
              </w:rPr>
            </w:pPr>
          </w:p>
        </w:tc>
      </w:tr>
      <w:tr>
        <w:trPr>
          <w:trHeight w:val="118"/>
        </w:trPr>
        <w:tc>
          <w:tcPr>
            <w:tcW w:w="4260" w:type="dxa"/>
            <w:vAlign w:val="bottom"/>
            <w:tcBorders>
              <w:right w:val="single" w:sz="8" w:color="auto"/>
            </w:tcBorders>
            <w:gridSpan w:val="22"/>
          </w:tcPr>
          <w:p>
            <w:pPr>
              <w:ind w:left="20"/>
              <w:spacing w:after="0" w:line="119" w:lineRule="exact"/>
              <w:rPr>
                <w:sz w:val="20"/>
                <w:szCs w:val="20"/>
                <w:color w:val="auto"/>
              </w:rPr>
            </w:pPr>
            <w:r>
              <w:rPr>
                <w:rFonts w:ascii="Arial" w:cs="Arial" w:eastAsia="Arial" w:hAnsi="Arial"/>
                <w:sz w:val="11"/>
                <w:szCs w:val="11"/>
                <w:color w:val="auto"/>
              </w:rPr>
              <w:t>Issuance of common</w:t>
            </w:r>
          </w:p>
        </w:tc>
        <w:tc>
          <w:tcPr>
            <w:tcW w:w="698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60" w:type="dxa"/>
            <w:vAlign w:val="bottom"/>
            <w:tcBorders>
              <w:right w:val="single" w:sz="8" w:color="auto"/>
            </w:tcBorders>
            <w:gridSpan w:val="22"/>
          </w:tcPr>
          <w:p>
            <w:pPr>
              <w:ind w:left="120"/>
              <w:spacing w:after="0" w:line="108" w:lineRule="exact"/>
              <w:rPr>
                <w:sz w:val="20"/>
                <w:szCs w:val="20"/>
                <w:color w:val="auto"/>
              </w:rPr>
            </w:pPr>
            <w:r>
              <w:rPr>
                <w:rFonts w:ascii="Arial" w:cs="Arial" w:eastAsia="Arial" w:hAnsi="Arial"/>
                <w:sz w:val="11"/>
                <w:szCs w:val="11"/>
                <w:color w:val="auto"/>
              </w:rPr>
              <w:t>stock in connection</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60" w:type="dxa"/>
            <w:vAlign w:val="bottom"/>
            <w:tcBorders>
              <w:right w:val="single" w:sz="8" w:color="auto"/>
            </w:tcBorders>
            <w:gridSpan w:val="22"/>
          </w:tcPr>
          <w:p>
            <w:pPr>
              <w:ind w:left="120"/>
              <w:spacing w:after="0" w:line="108" w:lineRule="exact"/>
              <w:rPr>
                <w:sz w:val="20"/>
                <w:szCs w:val="20"/>
                <w:color w:val="auto"/>
              </w:rPr>
            </w:pPr>
            <w:r>
              <w:rPr>
                <w:rFonts w:ascii="Arial" w:cs="Arial" w:eastAsia="Arial" w:hAnsi="Arial"/>
                <w:sz w:val="11"/>
                <w:szCs w:val="11"/>
                <w:color w:val="auto"/>
              </w:rPr>
              <w:t>with initial public</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260" w:type="dxa"/>
            <w:vAlign w:val="bottom"/>
            <w:tcBorders>
              <w:right w:val="single" w:sz="8" w:color="auto"/>
            </w:tcBorders>
            <w:gridSpan w:val="22"/>
          </w:tcPr>
          <w:p>
            <w:pPr>
              <w:ind w:left="120"/>
              <w:spacing w:after="0" w:line="122" w:lineRule="exact"/>
              <w:rPr>
                <w:sz w:val="20"/>
                <w:szCs w:val="20"/>
                <w:color w:val="auto"/>
              </w:rPr>
            </w:pPr>
            <w:r>
              <w:rPr>
                <w:rFonts w:ascii="Arial" w:cs="Arial" w:eastAsia="Arial" w:hAnsi="Arial"/>
                <w:sz w:val="11"/>
                <w:szCs w:val="11"/>
                <w:color w:val="auto"/>
              </w:rPr>
              <w:t>offering, net of</w:t>
            </w:r>
          </w:p>
        </w:tc>
        <w:tc>
          <w:tcPr>
            <w:tcW w:w="698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60" w:type="dxa"/>
            <w:vAlign w:val="bottom"/>
            <w:tcBorders>
              <w:right w:val="single" w:sz="8" w:color="auto"/>
            </w:tcBorders>
            <w:gridSpan w:val="22"/>
          </w:tcPr>
          <w:p>
            <w:pPr>
              <w:ind w:left="120"/>
              <w:spacing w:after="0" w:line="108" w:lineRule="exact"/>
              <w:rPr>
                <w:sz w:val="20"/>
                <w:szCs w:val="20"/>
                <w:color w:val="auto"/>
              </w:rPr>
            </w:pPr>
            <w:r>
              <w:rPr>
                <w:rFonts w:ascii="Arial" w:cs="Arial" w:eastAsia="Arial" w:hAnsi="Arial"/>
                <w:sz w:val="11"/>
                <w:szCs w:val="11"/>
                <w:color w:val="auto"/>
              </w:rPr>
              <w:t>underwriting</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260" w:type="dxa"/>
            <w:vAlign w:val="bottom"/>
            <w:tcBorders>
              <w:right w:val="single" w:sz="8" w:color="auto"/>
            </w:tcBorders>
            <w:gridSpan w:val="22"/>
          </w:tcPr>
          <w:p>
            <w:pPr>
              <w:ind w:left="120"/>
              <w:spacing w:after="0" w:line="122" w:lineRule="exact"/>
              <w:rPr>
                <w:sz w:val="20"/>
                <w:szCs w:val="20"/>
                <w:color w:val="auto"/>
              </w:rPr>
            </w:pPr>
            <w:r>
              <w:rPr>
                <w:rFonts w:ascii="Arial" w:cs="Arial" w:eastAsia="Arial" w:hAnsi="Arial"/>
                <w:sz w:val="11"/>
                <w:szCs w:val="11"/>
                <w:color w:val="auto"/>
              </w:rPr>
              <w:t>discounts and</w:t>
            </w:r>
          </w:p>
        </w:tc>
        <w:tc>
          <w:tcPr>
            <w:tcW w:w="6980" w:type="dxa"/>
            <w:vAlign w:val="bottom"/>
            <w:gridSpan w:val="42"/>
          </w:tcPr>
          <w:p>
            <w:pPr>
              <w:jc w:val="right"/>
              <w:ind w:right="6980"/>
              <w:spacing w:after="0"/>
              <w:rPr>
                <w:sz w:val="20"/>
                <w:szCs w:val="20"/>
                <w:color w:val="auto"/>
              </w:rPr>
            </w:pPr>
            <w:r>
              <w:rPr>
                <w:rFonts w:ascii="Arial" w:cs="Arial" w:eastAsia="Arial" w:hAnsi="Arial"/>
                <w:sz w:val="11"/>
                <w:szCs w:val="11"/>
                <w:color w:val="auto"/>
              </w:rPr>
              <w:t>12,006,</w:t>
            </w:r>
          </w:p>
        </w:tc>
        <w:tc>
          <w:tcPr>
            <w:tcW w:w="0" w:type="dxa"/>
            <w:vAlign w:val="bottom"/>
          </w:tcPr>
          <w:p>
            <w:pPr>
              <w:spacing w:after="0"/>
              <w:rPr>
                <w:sz w:val="1"/>
                <w:szCs w:val="1"/>
                <w:color w:val="auto"/>
              </w:rPr>
            </w:pPr>
          </w:p>
        </w:tc>
      </w:tr>
      <w:tr>
        <w:trPr>
          <w:trHeight w:val="134"/>
        </w:trPr>
        <w:tc>
          <w:tcPr>
            <w:tcW w:w="1320" w:type="dxa"/>
            <w:vAlign w:val="bottom"/>
            <w:gridSpan w:val="2"/>
          </w:tcPr>
          <w:p>
            <w:pPr>
              <w:ind w:left="120"/>
              <w:spacing w:after="0"/>
              <w:rPr>
                <w:sz w:val="20"/>
                <w:szCs w:val="20"/>
                <w:color w:val="auto"/>
              </w:rPr>
            </w:pPr>
            <w:r>
              <w:rPr>
                <w:rFonts w:ascii="Arial" w:cs="Arial" w:eastAsia="Arial" w:hAnsi="Arial"/>
                <w:sz w:val="11"/>
                <w:szCs w:val="11"/>
                <w:color w:val="auto"/>
              </w:rPr>
              <w:t>commissions</w:t>
            </w:r>
          </w:p>
        </w:tc>
        <w:tc>
          <w:tcPr>
            <w:tcW w:w="720" w:type="dxa"/>
            <w:vAlign w:val="bottom"/>
            <w:gridSpan w:val="4"/>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gridSpan w:val="4"/>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268,693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7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268,694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20" w:type="dxa"/>
            <w:vAlign w:val="bottom"/>
            <w:tcBorders>
              <w:right w:val="single" w:sz="8" w:color="CFF0FC"/>
            </w:tcBorders>
            <w:gridSpan w:val="10"/>
            <w:shd w:val="clear" w:color="auto" w:fill="CFF0FC"/>
          </w:tcPr>
          <w:p>
            <w:pPr>
              <w:ind w:left="20"/>
              <w:spacing w:after="0" w:line="123" w:lineRule="exact"/>
              <w:rPr>
                <w:sz w:val="20"/>
                <w:szCs w:val="20"/>
                <w:color w:val="auto"/>
              </w:rPr>
            </w:pPr>
            <w:r>
              <w:rPr>
                <w:rFonts w:ascii="Arial" w:cs="Arial" w:eastAsia="Arial" w:hAnsi="Arial"/>
                <w:sz w:val="11"/>
                <w:szCs w:val="11"/>
                <w:color w:val="auto"/>
              </w:rPr>
              <w:t>Costs incurred in</w:t>
            </w:r>
          </w:p>
        </w:tc>
        <w:tc>
          <w:tcPr>
            <w:tcW w:w="1740" w:type="dxa"/>
            <w:vAlign w:val="bottom"/>
            <w:tcBorders>
              <w:right w:val="single" w:sz="8" w:color="auto"/>
            </w:tcBorders>
            <w:gridSpan w:val="12"/>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100" w:type="dxa"/>
            <w:vAlign w:val="bottom"/>
            <w:tcBorders>
              <w:right w:val="single" w:sz="8" w:color="CFF0FC"/>
            </w:tcBorders>
            <w:gridSpan w:val="7"/>
            <w:shd w:val="clear" w:color="auto" w:fill="CFF0FC"/>
          </w:tcPr>
          <w:p>
            <w:pPr>
              <w:spacing w:after="0"/>
              <w:rPr>
                <w:sz w:val="10"/>
                <w:szCs w:val="10"/>
                <w:color w:val="auto"/>
              </w:rPr>
            </w:pPr>
          </w:p>
        </w:tc>
        <w:tc>
          <w:tcPr>
            <w:tcW w:w="700" w:type="dxa"/>
            <w:vAlign w:val="bottom"/>
            <w:tcBorders>
              <w:right w:val="single" w:sz="8" w:color="CFF0FC"/>
            </w:tcBorders>
            <w:gridSpan w:val="4"/>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gridSpan w:val="4"/>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520" w:type="dxa"/>
            <w:vAlign w:val="bottom"/>
            <w:tcBorders>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80" w:type="dxa"/>
            <w:vAlign w:val="bottom"/>
            <w:tcBorders>
              <w:left w:val="single" w:sz="8" w:color="CFF0FC"/>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140" w:type="dxa"/>
            <w:vAlign w:val="bottom"/>
            <w:tcBorders>
              <w:left w:val="single" w:sz="8" w:color="CFF0FC"/>
            </w:tcBorders>
            <w:gridSpan w:val="18"/>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Borders>
              <w:right w:val="single" w:sz="8" w:color="CFF0FC"/>
            </w:tcBorders>
            <w:gridSpan w:val="10"/>
            <w:shd w:val="clear" w:color="auto" w:fill="CFF0FC"/>
          </w:tcPr>
          <w:p>
            <w:pPr>
              <w:ind w:left="120"/>
              <w:spacing w:after="0" w:line="108" w:lineRule="exact"/>
              <w:rPr>
                <w:sz w:val="20"/>
                <w:szCs w:val="20"/>
                <w:color w:val="auto"/>
              </w:rPr>
            </w:pPr>
            <w:r>
              <w:rPr>
                <w:rFonts w:ascii="Arial" w:cs="Arial" w:eastAsia="Arial" w:hAnsi="Arial"/>
                <w:sz w:val="11"/>
                <w:szCs w:val="11"/>
                <w:color w:val="auto"/>
              </w:rPr>
              <w:t>connection with</w:t>
            </w:r>
          </w:p>
        </w:tc>
        <w:tc>
          <w:tcPr>
            <w:tcW w:w="1740" w:type="dxa"/>
            <w:vAlign w:val="bottom"/>
            <w:tcBorders>
              <w:right w:val="single" w:sz="8" w:color="auto"/>
            </w:tcBorders>
            <w:gridSpan w:val="12"/>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100" w:type="dxa"/>
            <w:vAlign w:val="bottom"/>
            <w:tcBorders>
              <w:right w:val="single" w:sz="8" w:color="CFF0FC"/>
            </w:tcBorders>
            <w:gridSpan w:val="7"/>
            <w:shd w:val="clear" w:color="auto" w:fill="CFF0FC"/>
          </w:tcPr>
          <w:p>
            <w:pPr>
              <w:spacing w:after="0"/>
              <w:rPr>
                <w:sz w:val="9"/>
                <w:szCs w:val="9"/>
                <w:color w:val="auto"/>
              </w:rPr>
            </w:pPr>
          </w:p>
        </w:tc>
        <w:tc>
          <w:tcPr>
            <w:tcW w:w="700" w:type="dxa"/>
            <w:vAlign w:val="bottom"/>
            <w:tcBorders>
              <w:right w:val="single" w:sz="8" w:color="CFF0FC"/>
            </w:tcBorders>
            <w:gridSpan w:val="4"/>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3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initial public offering</w:t>
            </w:r>
          </w:p>
        </w:tc>
        <w:tc>
          <w:tcPr>
            <w:tcW w:w="720" w:type="dxa"/>
            <w:vAlign w:val="bottom"/>
            <w:gridSpan w:val="4"/>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tcBorders>
              <w:right w:val="single" w:sz="8" w:color="auto"/>
            </w:tcBorders>
            <w:gridSpan w:val="4"/>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760" w:type="dxa"/>
            <w:vAlign w:val="bottom"/>
            <w:gridSpan w:val="4"/>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3"/>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0"/>
              </w:rPr>
              <w:t>—</w:t>
            </w:r>
          </w:p>
        </w:tc>
        <w:tc>
          <w:tcPr>
            <w:tcW w:w="1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54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(4,860 )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(4,860 )</w:t>
            </w:r>
          </w:p>
        </w:tc>
        <w:tc>
          <w:tcPr>
            <w:tcW w:w="0" w:type="dxa"/>
            <w:vAlign w:val="bottom"/>
          </w:tcPr>
          <w:p>
            <w:pPr>
              <w:spacing w:after="0"/>
              <w:rPr>
                <w:sz w:val="1"/>
                <w:szCs w:val="1"/>
                <w:color w:val="auto"/>
              </w:rPr>
            </w:pPr>
          </w:p>
        </w:tc>
      </w:tr>
      <w:tr>
        <w:trPr>
          <w:trHeight w:val="118"/>
        </w:trPr>
        <w:tc>
          <w:tcPr>
            <w:tcW w:w="4260" w:type="dxa"/>
            <w:vAlign w:val="bottom"/>
            <w:tcBorders>
              <w:right w:val="single" w:sz="8" w:color="auto"/>
            </w:tcBorders>
            <w:gridSpan w:val="22"/>
          </w:tcPr>
          <w:p>
            <w:pPr>
              <w:ind w:left="20"/>
              <w:spacing w:after="0" w:line="119" w:lineRule="exact"/>
              <w:rPr>
                <w:sz w:val="20"/>
                <w:szCs w:val="20"/>
                <w:color w:val="auto"/>
              </w:rPr>
            </w:pPr>
            <w:r>
              <w:rPr>
                <w:rFonts w:ascii="Arial" w:cs="Arial" w:eastAsia="Arial" w:hAnsi="Arial"/>
                <w:sz w:val="11"/>
                <w:szCs w:val="11"/>
                <w:color w:val="auto"/>
              </w:rPr>
              <w:t>Accretion of</w:t>
            </w:r>
          </w:p>
        </w:tc>
        <w:tc>
          <w:tcPr>
            <w:tcW w:w="698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60" w:type="dxa"/>
            <w:vAlign w:val="bottom"/>
            <w:tcBorders>
              <w:right w:val="single" w:sz="8" w:color="auto"/>
            </w:tcBorders>
            <w:gridSpan w:val="22"/>
          </w:tcPr>
          <w:p>
            <w:pPr>
              <w:ind w:left="120"/>
              <w:spacing w:after="0" w:line="108" w:lineRule="exact"/>
              <w:rPr>
                <w:sz w:val="20"/>
                <w:szCs w:val="20"/>
                <w:color w:val="auto"/>
              </w:rPr>
            </w:pPr>
            <w:r>
              <w:rPr>
                <w:rFonts w:ascii="Arial" w:cs="Arial" w:eastAsia="Arial" w:hAnsi="Arial"/>
                <w:sz w:val="11"/>
                <w:szCs w:val="11"/>
                <w:color w:val="auto"/>
              </w:rPr>
              <w:t>redeemable</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60" w:type="dxa"/>
            <w:vAlign w:val="bottom"/>
            <w:tcBorders>
              <w:right w:val="single" w:sz="8" w:color="auto"/>
            </w:tcBorders>
            <w:gridSpan w:val="22"/>
          </w:tcPr>
          <w:p>
            <w:pPr>
              <w:ind w:left="120"/>
              <w:spacing w:after="0" w:line="108" w:lineRule="exact"/>
              <w:rPr>
                <w:sz w:val="20"/>
                <w:szCs w:val="20"/>
                <w:color w:val="auto"/>
              </w:rPr>
            </w:pPr>
            <w:r>
              <w:rPr>
                <w:rFonts w:ascii="Arial" w:cs="Arial" w:eastAsia="Arial" w:hAnsi="Arial"/>
                <w:sz w:val="11"/>
                <w:szCs w:val="11"/>
                <w:color w:val="auto"/>
              </w:rPr>
              <w:t>convertible</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320" w:type="dxa"/>
            <w:vAlign w:val="bottom"/>
            <w:gridSpan w:val="2"/>
          </w:tcPr>
          <w:p>
            <w:pPr>
              <w:ind w:left="120"/>
              <w:spacing w:after="0"/>
              <w:rPr>
                <w:sz w:val="20"/>
                <w:szCs w:val="20"/>
                <w:color w:val="auto"/>
              </w:rPr>
            </w:pPr>
            <w:r>
              <w:rPr>
                <w:rFonts w:ascii="Arial" w:cs="Arial" w:eastAsia="Arial" w:hAnsi="Arial"/>
                <w:sz w:val="11"/>
                <w:szCs w:val="11"/>
                <w:color w:val="auto"/>
              </w:rPr>
              <w:t>preferred stock</w:t>
            </w:r>
          </w:p>
        </w:tc>
        <w:tc>
          <w:tcPr>
            <w:tcW w:w="720" w:type="dxa"/>
            <w:vAlign w:val="bottom"/>
            <w:gridSpan w:val="4"/>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1"/>
                <w:szCs w:val="11"/>
                <w:color w:val="auto"/>
              </w:rPr>
              <w:t>(13 )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7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22"/>
        </w:trPr>
        <w:tc>
          <w:tcPr>
            <w:tcW w:w="2520" w:type="dxa"/>
            <w:vAlign w:val="bottom"/>
            <w:tcBorders>
              <w:right w:val="single" w:sz="8" w:color="CFF0FC"/>
            </w:tcBorders>
            <w:gridSpan w:val="10"/>
            <w:shd w:val="clear" w:color="auto" w:fill="CFF0FC"/>
          </w:tcPr>
          <w:p>
            <w:pPr>
              <w:ind w:left="20"/>
              <w:spacing w:after="0" w:line="123" w:lineRule="exact"/>
              <w:rPr>
                <w:sz w:val="20"/>
                <w:szCs w:val="20"/>
                <w:color w:val="auto"/>
              </w:rPr>
            </w:pPr>
            <w:r>
              <w:rPr>
                <w:rFonts w:ascii="Arial" w:cs="Arial" w:eastAsia="Arial" w:hAnsi="Arial"/>
                <w:sz w:val="11"/>
                <w:szCs w:val="11"/>
                <w:color w:val="auto"/>
              </w:rPr>
              <w:t>Issuance of Series F-1</w:t>
            </w:r>
          </w:p>
        </w:tc>
        <w:tc>
          <w:tcPr>
            <w:tcW w:w="1740" w:type="dxa"/>
            <w:vAlign w:val="bottom"/>
            <w:tcBorders>
              <w:right w:val="single" w:sz="8" w:color="auto"/>
            </w:tcBorders>
            <w:gridSpan w:val="12"/>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100" w:type="dxa"/>
            <w:vAlign w:val="bottom"/>
            <w:tcBorders>
              <w:right w:val="single" w:sz="8" w:color="CFF0FC"/>
            </w:tcBorders>
            <w:gridSpan w:val="7"/>
            <w:shd w:val="clear" w:color="auto" w:fill="CFF0FC"/>
          </w:tcPr>
          <w:p>
            <w:pPr>
              <w:spacing w:after="0"/>
              <w:rPr>
                <w:sz w:val="10"/>
                <w:szCs w:val="10"/>
                <w:color w:val="auto"/>
              </w:rPr>
            </w:pPr>
          </w:p>
        </w:tc>
        <w:tc>
          <w:tcPr>
            <w:tcW w:w="700" w:type="dxa"/>
            <w:vAlign w:val="bottom"/>
            <w:tcBorders>
              <w:right w:val="single" w:sz="8" w:color="CFF0FC"/>
            </w:tcBorders>
            <w:gridSpan w:val="4"/>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gridSpan w:val="4"/>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520" w:type="dxa"/>
            <w:vAlign w:val="bottom"/>
            <w:tcBorders>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80" w:type="dxa"/>
            <w:vAlign w:val="bottom"/>
            <w:tcBorders>
              <w:left w:val="single" w:sz="8" w:color="CFF0FC"/>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140" w:type="dxa"/>
            <w:vAlign w:val="bottom"/>
            <w:tcBorders>
              <w:left w:val="single" w:sz="8" w:color="CFF0FC"/>
            </w:tcBorders>
            <w:gridSpan w:val="18"/>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Borders>
              <w:right w:val="single" w:sz="8" w:color="CFF0FC"/>
            </w:tcBorders>
            <w:gridSpan w:val="10"/>
            <w:shd w:val="clear" w:color="auto" w:fill="CFF0FC"/>
          </w:tcPr>
          <w:p>
            <w:pPr>
              <w:ind w:left="120"/>
              <w:spacing w:after="0" w:line="108" w:lineRule="exact"/>
              <w:rPr>
                <w:sz w:val="20"/>
                <w:szCs w:val="20"/>
                <w:color w:val="auto"/>
              </w:rPr>
            </w:pPr>
            <w:r>
              <w:rPr>
                <w:rFonts w:ascii="Arial" w:cs="Arial" w:eastAsia="Arial" w:hAnsi="Arial"/>
                <w:sz w:val="11"/>
                <w:szCs w:val="11"/>
                <w:color w:val="auto"/>
              </w:rPr>
              <w:t>redeemable</w:t>
            </w:r>
          </w:p>
        </w:tc>
        <w:tc>
          <w:tcPr>
            <w:tcW w:w="1740" w:type="dxa"/>
            <w:vAlign w:val="bottom"/>
            <w:tcBorders>
              <w:right w:val="single" w:sz="8" w:color="auto"/>
            </w:tcBorders>
            <w:gridSpan w:val="12"/>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100" w:type="dxa"/>
            <w:vAlign w:val="bottom"/>
            <w:tcBorders>
              <w:right w:val="single" w:sz="8" w:color="CFF0FC"/>
            </w:tcBorders>
            <w:gridSpan w:val="7"/>
            <w:shd w:val="clear" w:color="auto" w:fill="CFF0FC"/>
          </w:tcPr>
          <w:p>
            <w:pPr>
              <w:spacing w:after="0"/>
              <w:rPr>
                <w:sz w:val="9"/>
                <w:szCs w:val="9"/>
                <w:color w:val="auto"/>
              </w:rPr>
            </w:pPr>
          </w:p>
        </w:tc>
        <w:tc>
          <w:tcPr>
            <w:tcW w:w="700" w:type="dxa"/>
            <w:vAlign w:val="bottom"/>
            <w:tcBorders>
              <w:right w:val="single" w:sz="8" w:color="CFF0FC"/>
            </w:tcBorders>
            <w:gridSpan w:val="4"/>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right w:val="single" w:sz="8" w:color="CFF0FC"/>
            </w:tcBorders>
            <w:gridSpan w:val="10"/>
            <w:shd w:val="clear" w:color="auto" w:fill="CFF0FC"/>
          </w:tcPr>
          <w:p>
            <w:pPr>
              <w:ind w:left="120"/>
              <w:spacing w:after="0" w:line="108" w:lineRule="exact"/>
              <w:rPr>
                <w:sz w:val="20"/>
                <w:szCs w:val="20"/>
                <w:color w:val="auto"/>
              </w:rPr>
            </w:pPr>
            <w:r>
              <w:rPr>
                <w:rFonts w:ascii="Arial" w:cs="Arial" w:eastAsia="Arial" w:hAnsi="Arial"/>
                <w:sz w:val="11"/>
                <w:szCs w:val="11"/>
                <w:color w:val="auto"/>
              </w:rPr>
              <w:t>convertible</w:t>
            </w:r>
          </w:p>
        </w:tc>
        <w:tc>
          <w:tcPr>
            <w:tcW w:w="1740" w:type="dxa"/>
            <w:vAlign w:val="bottom"/>
            <w:tcBorders>
              <w:right w:val="single" w:sz="8" w:color="auto"/>
            </w:tcBorders>
            <w:gridSpan w:val="12"/>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100" w:type="dxa"/>
            <w:vAlign w:val="bottom"/>
            <w:tcBorders>
              <w:right w:val="single" w:sz="8" w:color="CFF0FC"/>
            </w:tcBorders>
            <w:gridSpan w:val="7"/>
            <w:shd w:val="clear" w:color="auto" w:fill="CFF0FC"/>
          </w:tcPr>
          <w:p>
            <w:pPr>
              <w:spacing w:after="0"/>
              <w:rPr>
                <w:sz w:val="9"/>
                <w:szCs w:val="9"/>
                <w:color w:val="auto"/>
              </w:rPr>
            </w:pPr>
          </w:p>
        </w:tc>
        <w:tc>
          <w:tcPr>
            <w:tcW w:w="700" w:type="dxa"/>
            <w:vAlign w:val="bottom"/>
            <w:tcBorders>
              <w:right w:val="single" w:sz="8" w:color="CFF0FC"/>
            </w:tcBorders>
            <w:gridSpan w:val="4"/>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20" w:type="dxa"/>
            <w:vAlign w:val="bottom"/>
            <w:tcBorders>
              <w:right w:val="single" w:sz="8" w:color="CFF0FC"/>
            </w:tcBorders>
            <w:gridSpan w:val="10"/>
            <w:shd w:val="clear" w:color="auto" w:fill="CFF0FC"/>
          </w:tcPr>
          <w:p>
            <w:pPr>
              <w:ind w:left="120"/>
              <w:spacing w:after="0" w:line="122" w:lineRule="exact"/>
              <w:rPr>
                <w:sz w:val="20"/>
                <w:szCs w:val="20"/>
                <w:color w:val="auto"/>
              </w:rPr>
            </w:pPr>
            <w:r>
              <w:rPr>
                <w:rFonts w:ascii="Arial" w:cs="Arial" w:eastAsia="Arial" w:hAnsi="Arial"/>
                <w:sz w:val="11"/>
                <w:szCs w:val="11"/>
                <w:color w:val="auto"/>
              </w:rPr>
              <w:t>preferred stock, net of</w:t>
            </w:r>
          </w:p>
        </w:tc>
        <w:tc>
          <w:tcPr>
            <w:tcW w:w="100" w:type="dxa"/>
            <w:vAlign w:val="bottom"/>
            <w:shd w:val="clear" w:color="auto" w:fill="CFF0FC"/>
          </w:tcPr>
          <w:p>
            <w:pPr>
              <w:spacing w:after="0"/>
              <w:rPr>
                <w:sz w:val="10"/>
                <w:szCs w:val="10"/>
                <w:color w:val="auto"/>
              </w:rPr>
            </w:pPr>
          </w:p>
        </w:tc>
        <w:tc>
          <w:tcPr>
            <w:tcW w:w="700" w:type="dxa"/>
            <w:vAlign w:val="bottom"/>
            <w:gridSpan w:val="4"/>
            <w:vMerge w:val="restart"/>
            <w:shd w:val="clear" w:color="auto" w:fill="CFF0FC"/>
          </w:tcPr>
          <w:p>
            <w:pPr>
              <w:jc w:val="right"/>
              <w:spacing w:after="0"/>
              <w:rPr>
                <w:sz w:val="20"/>
                <w:szCs w:val="20"/>
                <w:color w:val="auto"/>
              </w:rPr>
            </w:pPr>
            <w:r>
              <w:rPr>
                <w:rFonts w:ascii="Arial" w:cs="Arial" w:eastAsia="Arial" w:hAnsi="Arial"/>
                <w:sz w:val="11"/>
                <w:szCs w:val="11"/>
                <w:color w:val="auto"/>
              </w:rPr>
              <w:t>2,571,9</w:t>
            </w:r>
          </w:p>
        </w:tc>
        <w:tc>
          <w:tcPr>
            <w:tcW w:w="100" w:type="dxa"/>
            <w:vAlign w:val="bottom"/>
            <w:gridSpan w:val="2"/>
            <w:shd w:val="clear" w:color="auto" w:fill="CFF0FC"/>
          </w:tcPr>
          <w:p>
            <w:pPr>
              <w:spacing w:after="0"/>
              <w:rPr>
                <w:sz w:val="10"/>
                <w:szCs w:val="10"/>
                <w:color w:val="auto"/>
              </w:rPr>
            </w:pPr>
          </w:p>
        </w:tc>
        <w:tc>
          <w:tcPr>
            <w:tcW w:w="6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1"/>
                <w:szCs w:val="11"/>
                <w:color w:val="auto"/>
              </w:rPr>
              <w:t>59,73</w:t>
            </w:r>
          </w:p>
        </w:tc>
        <w:tc>
          <w:tcPr>
            <w:tcW w:w="240" w:type="dxa"/>
            <w:vAlign w:val="bottom"/>
            <w:tcBorders>
              <w:right w:val="single" w:sz="8" w:color="auto"/>
            </w:tcBorders>
            <w:gridSpan w:val="2"/>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100" w:type="dxa"/>
            <w:vAlign w:val="bottom"/>
            <w:tcBorders>
              <w:right w:val="single" w:sz="8" w:color="CFF0FC"/>
            </w:tcBorders>
            <w:gridSpan w:val="7"/>
            <w:shd w:val="clear" w:color="auto" w:fill="CFF0FC"/>
          </w:tcPr>
          <w:p>
            <w:pPr>
              <w:spacing w:after="0"/>
              <w:rPr>
                <w:sz w:val="10"/>
                <w:szCs w:val="10"/>
                <w:color w:val="auto"/>
              </w:rPr>
            </w:pPr>
          </w:p>
        </w:tc>
        <w:tc>
          <w:tcPr>
            <w:tcW w:w="700" w:type="dxa"/>
            <w:vAlign w:val="bottom"/>
            <w:tcBorders>
              <w:right w:val="single" w:sz="8" w:color="CFF0FC"/>
            </w:tcBorders>
            <w:gridSpan w:val="4"/>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gridSpan w:val="4"/>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520" w:type="dxa"/>
            <w:vAlign w:val="bottom"/>
            <w:tcBorders>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80" w:type="dxa"/>
            <w:vAlign w:val="bottom"/>
            <w:tcBorders>
              <w:left w:val="single" w:sz="8" w:color="CFF0FC"/>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140" w:type="dxa"/>
            <w:vAlign w:val="bottom"/>
            <w:tcBorders>
              <w:left w:val="single" w:sz="8" w:color="CFF0FC"/>
            </w:tcBorders>
            <w:gridSpan w:val="18"/>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Borders>
              <w:right w:val="single" w:sz="8" w:color="CFF0FC"/>
            </w:tcBorders>
            <w:gridSpan w:val="10"/>
            <w:shd w:val="clear" w:color="auto" w:fill="CFF0FC"/>
          </w:tcPr>
          <w:p>
            <w:pPr>
              <w:ind w:left="120"/>
              <w:spacing w:after="0" w:line="108" w:lineRule="exact"/>
              <w:rPr>
                <w:sz w:val="20"/>
                <w:szCs w:val="20"/>
                <w:color w:val="auto"/>
              </w:rPr>
            </w:pPr>
            <w:r>
              <w:rPr>
                <w:rFonts w:ascii="Arial" w:cs="Arial" w:eastAsia="Arial" w:hAnsi="Arial"/>
                <w:sz w:val="11"/>
                <w:szCs w:val="11"/>
                <w:color w:val="auto"/>
              </w:rPr>
              <w:t>issuance costs</w:t>
            </w:r>
          </w:p>
        </w:tc>
        <w:tc>
          <w:tcPr>
            <w:tcW w:w="100" w:type="dxa"/>
            <w:vAlign w:val="bottom"/>
            <w:shd w:val="clear" w:color="auto" w:fill="CFF0FC"/>
          </w:tcPr>
          <w:p>
            <w:pPr>
              <w:spacing w:after="0"/>
              <w:rPr>
                <w:sz w:val="9"/>
                <w:szCs w:val="9"/>
                <w:color w:val="auto"/>
              </w:rPr>
            </w:pPr>
          </w:p>
        </w:tc>
        <w:tc>
          <w:tcPr>
            <w:tcW w:w="700" w:type="dxa"/>
            <w:vAlign w:val="bottom"/>
            <w:gridSpan w:val="4"/>
            <w:vMerge w:val="continue"/>
            <w:shd w:val="clear" w:color="auto" w:fill="CFF0FC"/>
          </w:tcPr>
          <w:p>
            <w:pPr>
              <w:spacing w:after="0"/>
              <w:rPr>
                <w:sz w:val="9"/>
                <w:szCs w:val="9"/>
                <w:color w:val="auto"/>
              </w:rPr>
            </w:pPr>
          </w:p>
        </w:tc>
        <w:tc>
          <w:tcPr>
            <w:tcW w:w="100" w:type="dxa"/>
            <w:vAlign w:val="bottom"/>
            <w:gridSpan w:val="2"/>
            <w:shd w:val="clear" w:color="auto" w:fill="CFF0FC"/>
          </w:tcPr>
          <w:p>
            <w:pPr>
              <w:spacing w:after="0"/>
              <w:rPr>
                <w:sz w:val="9"/>
                <w:szCs w:val="9"/>
                <w:color w:val="auto"/>
              </w:rPr>
            </w:pPr>
          </w:p>
        </w:tc>
        <w:tc>
          <w:tcPr>
            <w:tcW w:w="600" w:type="dxa"/>
            <w:vAlign w:val="bottom"/>
            <w:gridSpan w:val="3"/>
            <w:vMerge w:val="continue"/>
            <w:shd w:val="clear" w:color="auto" w:fill="CFF0FC"/>
          </w:tcPr>
          <w:p>
            <w:pPr>
              <w:spacing w:after="0"/>
              <w:rPr>
                <w:sz w:val="9"/>
                <w:szCs w:val="9"/>
                <w:color w:val="auto"/>
              </w:rPr>
            </w:pPr>
          </w:p>
        </w:tc>
        <w:tc>
          <w:tcPr>
            <w:tcW w:w="240" w:type="dxa"/>
            <w:vAlign w:val="bottom"/>
            <w:tcBorders>
              <w:right w:val="single" w:sz="8" w:color="auto"/>
            </w:tcBorders>
            <w:gridSpan w:val="2"/>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100" w:type="dxa"/>
            <w:vAlign w:val="bottom"/>
            <w:tcBorders>
              <w:right w:val="single" w:sz="8" w:color="CFF0FC"/>
            </w:tcBorders>
            <w:gridSpan w:val="7"/>
            <w:shd w:val="clear" w:color="auto" w:fill="CFF0FC"/>
          </w:tcPr>
          <w:p>
            <w:pPr>
              <w:spacing w:after="0"/>
              <w:rPr>
                <w:sz w:val="9"/>
                <w:szCs w:val="9"/>
                <w:color w:val="auto"/>
              </w:rPr>
            </w:pPr>
          </w:p>
        </w:tc>
        <w:tc>
          <w:tcPr>
            <w:tcW w:w="700" w:type="dxa"/>
            <w:vAlign w:val="bottom"/>
            <w:tcBorders>
              <w:right w:val="single" w:sz="8" w:color="CFF0FC"/>
            </w:tcBorders>
            <w:gridSpan w:val="4"/>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3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of $256</w:t>
            </w:r>
          </w:p>
        </w:tc>
        <w:tc>
          <w:tcPr>
            <w:tcW w:w="720" w:type="dxa"/>
            <w:vAlign w:val="bottom"/>
            <w:gridSpan w:val="4"/>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1"/>
                <w:szCs w:val="11"/>
                <w:color w:val="auto"/>
              </w:rPr>
              <w:t>36</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5</w:t>
            </w:r>
          </w:p>
        </w:tc>
        <w:tc>
          <w:tcPr>
            <w:tcW w:w="8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760" w:type="dxa"/>
            <w:vAlign w:val="bottom"/>
            <w:gridSpan w:val="4"/>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gridSpan w:val="3"/>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0"/>
              </w:rPr>
              <w:t>—</w:t>
            </w:r>
          </w:p>
        </w:tc>
        <w:tc>
          <w:tcPr>
            <w:tcW w:w="18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left w:val="single" w:sz="8" w:color="CFF0FC"/>
            </w:tcBorders>
            <w:shd w:val="clear" w:color="auto" w:fill="CFF0FC"/>
          </w:tcPr>
          <w:p>
            <w:pPr>
              <w:spacing w:after="0"/>
              <w:rPr>
                <w:sz w:val="12"/>
                <w:szCs w:val="12"/>
                <w:color w:val="auto"/>
              </w:rPr>
            </w:pP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4260" w:type="dxa"/>
            <w:vAlign w:val="bottom"/>
            <w:tcBorders>
              <w:right w:val="single" w:sz="8" w:color="auto"/>
            </w:tcBorders>
            <w:gridSpan w:val="22"/>
          </w:tcPr>
          <w:p>
            <w:pPr>
              <w:ind w:left="20"/>
              <w:spacing w:after="0" w:line="119" w:lineRule="exact"/>
              <w:rPr>
                <w:sz w:val="20"/>
                <w:szCs w:val="20"/>
                <w:color w:val="auto"/>
              </w:rPr>
            </w:pPr>
            <w:r>
              <w:rPr>
                <w:rFonts w:ascii="Arial" w:cs="Arial" w:eastAsia="Arial" w:hAnsi="Arial"/>
                <w:sz w:val="11"/>
                <w:szCs w:val="11"/>
                <w:color w:val="auto"/>
              </w:rPr>
              <w:t>Issuance of Series C</w:t>
            </w:r>
          </w:p>
        </w:tc>
        <w:tc>
          <w:tcPr>
            <w:tcW w:w="698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60" w:type="dxa"/>
            <w:vAlign w:val="bottom"/>
            <w:tcBorders>
              <w:right w:val="single" w:sz="8" w:color="auto"/>
            </w:tcBorders>
            <w:gridSpan w:val="22"/>
          </w:tcPr>
          <w:p>
            <w:pPr>
              <w:ind w:left="120"/>
              <w:spacing w:after="0" w:line="108" w:lineRule="exact"/>
              <w:rPr>
                <w:sz w:val="20"/>
                <w:szCs w:val="20"/>
                <w:color w:val="auto"/>
              </w:rPr>
            </w:pPr>
            <w:r>
              <w:rPr>
                <w:rFonts w:ascii="Arial" w:cs="Arial" w:eastAsia="Arial" w:hAnsi="Arial"/>
                <w:sz w:val="11"/>
                <w:szCs w:val="11"/>
                <w:color w:val="auto"/>
              </w:rPr>
              <w:t>Convertible Preferred</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20" w:type="dxa"/>
            <w:vAlign w:val="bottom"/>
            <w:gridSpan w:val="2"/>
          </w:tcPr>
          <w:p>
            <w:pPr>
              <w:ind w:left="120"/>
              <w:spacing w:after="0" w:line="108" w:lineRule="exact"/>
              <w:rPr>
                <w:sz w:val="20"/>
                <w:szCs w:val="20"/>
                <w:color w:val="auto"/>
              </w:rPr>
            </w:pPr>
            <w:r>
              <w:rPr>
                <w:rFonts w:ascii="Arial" w:cs="Arial" w:eastAsia="Arial" w:hAnsi="Arial"/>
                <w:sz w:val="11"/>
                <w:szCs w:val="11"/>
                <w:color w:val="auto"/>
              </w:rPr>
              <w:t>Stock upon net</w:t>
            </w:r>
          </w:p>
        </w:tc>
        <w:tc>
          <w:tcPr>
            <w:tcW w:w="2940" w:type="dxa"/>
            <w:vAlign w:val="bottom"/>
            <w:tcBorders>
              <w:right w:val="single" w:sz="8" w:color="auto"/>
            </w:tcBorders>
            <w:gridSpan w:val="20"/>
          </w:tcPr>
          <w:p>
            <w:pPr>
              <w:jc w:val="right"/>
              <w:ind w:right="2420"/>
              <w:spacing w:after="0" w:line="108" w:lineRule="exact"/>
              <w:rPr>
                <w:sz w:val="20"/>
                <w:szCs w:val="20"/>
                <w:color w:val="auto"/>
              </w:rPr>
            </w:pPr>
            <w:r>
              <w:rPr>
                <w:rFonts w:ascii="Arial" w:cs="Arial" w:eastAsia="Arial" w:hAnsi="Arial"/>
                <w:sz w:val="11"/>
                <w:szCs w:val="11"/>
                <w:color w:val="auto"/>
              </w:rPr>
              <w:t>182,46</w:t>
            </w:r>
          </w:p>
        </w:tc>
        <w:tc>
          <w:tcPr>
            <w:tcW w:w="6980" w:type="dxa"/>
            <w:vAlign w:val="bottom"/>
            <w:gridSpan w:val="42"/>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320" w:type="dxa"/>
            <w:vAlign w:val="bottom"/>
            <w:gridSpan w:val="2"/>
          </w:tcPr>
          <w:p>
            <w:pPr>
              <w:ind w:left="120"/>
              <w:spacing w:after="0"/>
              <w:rPr>
                <w:sz w:val="20"/>
                <w:szCs w:val="20"/>
                <w:color w:val="auto"/>
              </w:rPr>
            </w:pPr>
            <w:r>
              <w:rPr>
                <w:rFonts w:ascii="Arial" w:cs="Arial" w:eastAsia="Arial" w:hAnsi="Arial"/>
                <w:sz w:val="11"/>
                <w:szCs w:val="11"/>
                <w:color w:val="auto"/>
              </w:rPr>
              <w:t>exercise of warrants</w:t>
            </w:r>
          </w:p>
        </w:tc>
        <w:tc>
          <w:tcPr>
            <w:tcW w:w="540" w:type="dxa"/>
            <w:vAlign w:val="bottom"/>
            <w:gridSpan w:val="2"/>
          </w:tcPr>
          <w:p>
            <w:pPr>
              <w:jc w:val="right"/>
              <w:ind w:right="20"/>
              <w:spacing w:after="0"/>
              <w:rPr>
                <w:sz w:val="20"/>
                <w:szCs w:val="20"/>
                <w:color w:val="auto"/>
              </w:rPr>
            </w:pPr>
            <w:r>
              <w:rPr>
                <w:rFonts w:ascii="Arial" w:cs="Arial" w:eastAsia="Arial" w:hAnsi="Arial"/>
                <w:sz w:val="11"/>
                <w:szCs w:val="11"/>
                <w:color w:val="auto"/>
              </w:rPr>
              <w:t>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Arial" w:cs="Arial" w:eastAsia="Arial" w:hAnsi="Arial"/>
                <w:sz w:val="11"/>
                <w:szCs w:val="11"/>
                <w:color w:val="auto"/>
                <w:w w:val="87"/>
              </w:rPr>
              <w:t>6,417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gridSpan w:val="4"/>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60" w:type="dxa"/>
            <w:vAlign w:val="bottom"/>
            <w:gridSpan w:val="4"/>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ind w:left="2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ind w:right="6"/>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7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520" w:type="dxa"/>
            <w:vAlign w:val="bottom"/>
            <w:tcBorders>
              <w:right w:val="single" w:sz="8" w:color="CFF0FC"/>
            </w:tcBorders>
            <w:gridSpan w:val="10"/>
            <w:shd w:val="clear" w:color="auto" w:fill="CFF0FC"/>
          </w:tcPr>
          <w:p>
            <w:pPr>
              <w:ind w:left="20"/>
              <w:spacing w:after="0" w:line="123" w:lineRule="exact"/>
              <w:rPr>
                <w:sz w:val="20"/>
                <w:szCs w:val="20"/>
                <w:color w:val="auto"/>
              </w:rPr>
            </w:pPr>
            <w:r>
              <w:rPr>
                <w:rFonts w:ascii="Arial" w:cs="Arial" w:eastAsia="Arial" w:hAnsi="Arial"/>
                <w:sz w:val="11"/>
                <w:szCs w:val="11"/>
                <w:color w:val="auto"/>
              </w:rPr>
              <w:t>Conversion of</w:t>
            </w:r>
          </w:p>
        </w:tc>
        <w:tc>
          <w:tcPr>
            <w:tcW w:w="1740" w:type="dxa"/>
            <w:vAlign w:val="bottom"/>
            <w:tcBorders>
              <w:right w:val="single" w:sz="8" w:color="auto"/>
            </w:tcBorders>
            <w:gridSpan w:val="12"/>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100" w:type="dxa"/>
            <w:vAlign w:val="bottom"/>
            <w:tcBorders>
              <w:right w:val="single" w:sz="8" w:color="CFF0FC"/>
            </w:tcBorders>
            <w:gridSpan w:val="7"/>
            <w:shd w:val="clear" w:color="auto" w:fill="CFF0FC"/>
          </w:tcPr>
          <w:p>
            <w:pPr>
              <w:spacing w:after="0"/>
              <w:rPr>
                <w:sz w:val="10"/>
                <w:szCs w:val="10"/>
                <w:color w:val="auto"/>
              </w:rPr>
            </w:pPr>
          </w:p>
        </w:tc>
        <w:tc>
          <w:tcPr>
            <w:tcW w:w="700" w:type="dxa"/>
            <w:vAlign w:val="bottom"/>
            <w:tcBorders>
              <w:right w:val="single" w:sz="8" w:color="CFF0FC"/>
            </w:tcBorders>
            <w:gridSpan w:val="4"/>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60" w:type="dxa"/>
            <w:vAlign w:val="bottom"/>
            <w:tcBorders>
              <w:right w:val="single" w:sz="8" w:color="CFF0FC"/>
            </w:tcBorders>
            <w:gridSpan w:val="4"/>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520" w:type="dxa"/>
            <w:vAlign w:val="bottom"/>
            <w:tcBorders>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80" w:type="dxa"/>
            <w:vAlign w:val="bottom"/>
            <w:tcBorders>
              <w:left w:val="single" w:sz="8" w:color="CFF0FC"/>
              <w:right w:val="single" w:sz="8" w:color="CFF0FC"/>
            </w:tcBorders>
            <w:gridSpan w:val="2"/>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3140" w:type="dxa"/>
            <w:vAlign w:val="bottom"/>
            <w:tcBorders>
              <w:left w:val="single" w:sz="8" w:color="CFF0FC"/>
            </w:tcBorders>
            <w:gridSpan w:val="18"/>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Borders>
              <w:right w:val="single" w:sz="8" w:color="CFF0FC"/>
            </w:tcBorders>
            <w:gridSpan w:val="10"/>
            <w:shd w:val="clear" w:color="auto" w:fill="CFF0FC"/>
          </w:tcPr>
          <w:p>
            <w:pPr>
              <w:ind w:left="120"/>
              <w:spacing w:after="0" w:line="108" w:lineRule="exact"/>
              <w:rPr>
                <w:sz w:val="20"/>
                <w:szCs w:val="20"/>
                <w:color w:val="auto"/>
              </w:rPr>
            </w:pPr>
            <w:r>
              <w:rPr>
                <w:rFonts w:ascii="Arial" w:cs="Arial" w:eastAsia="Arial" w:hAnsi="Arial"/>
                <w:sz w:val="11"/>
                <w:szCs w:val="11"/>
                <w:color w:val="auto"/>
              </w:rPr>
              <w:t>convertible</w:t>
            </w:r>
          </w:p>
        </w:tc>
        <w:tc>
          <w:tcPr>
            <w:tcW w:w="1740" w:type="dxa"/>
            <w:vAlign w:val="bottom"/>
            <w:tcBorders>
              <w:right w:val="single" w:sz="8" w:color="auto"/>
            </w:tcBorders>
            <w:gridSpan w:val="12"/>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100" w:type="dxa"/>
            <w:vAlign w:val="bottom"/>
            <w:tcBorders>
              <w:right w:val="single" w:sz="8" w:color="CFF0FC"/>
            </w:tcBorders>
            <w:gridSpan w:val="7"/>
            <w:shd w:val="clear" w:color="auto" w:fill="CFF0FC"/>
          </w:tcPr>
          <w:p>
            <w:pPr>
              <w:spacing w:after="0"/>
              <w:rPr>
                <w:sz w:val="9"/>
                <w:szCs w:val="9"/>
                <w:color w:val="auto"/>
              </w:rPr>
            </w:pPr>
          </w:p>
        </w:tc>
        <w:tc>
          <w:tcPr>
            <w:tcW w:w="700" w:type="dxa"/>
            <w:vAlign w:val="bottom"/>
            <w:tcBorders>
              <w:right w:val="single" w:sz="8" w:color="CFF0FC"/>
            </w:tcBorders>
            <w:gridSpan w:val="4"/>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20" w:type="dxa"/>
            <w:vAlign w:val="bottom"/>
            <w:gridSpan w:val="2"/>
            <w:shd w:val="clear" w:color="auto" w:fill="CFF0FC"/>
          </w:tcPr>
          <w:p>
            <w:pPr>
              <w:ind w:left="120"/>
              <w:spacing w:after="0" w:line="108" w:lineRule="exact"/>
              <w:rPr>
                <w:sz w:val="20"/>
                <w:szCs w:val="20"/>
                <w:color w:val="auto"/>
              </w:rPr>
            </w:pPr>
            <w:r>
              <w:rPr>
                <w:rFonts w:ascii="Arial" w:cs="Arial" w:eastAsia="Arial" w:hAnsi="Arial"/>
                <w:sz w:val="11"/>
                <w:szCs w:val="11"/>
                <w:color w:val="auto"/>
              </w:rPr>
              <w:t>preferred stock upon</w:t>
            </w:r>
          </w:p>
        </w:tc>
        <w:tc>
          <w:tcPr>
            <w:tcW w:w="920" w:type="dxa"/>
            <w:vAlign w:val="bottom"/>
            <w:gridSpan w:val="6"/>
            <w:shd w:val="clear" w:color="auto" w:fill="CFF0FC"/>
          </w:tcPr>
          <w:p>
            <w:pPr>
              <w:jc w:val="right"/>
              <w:ind w:right="346"/>
              <w:spacing w:after="0" w:line="108" w:lineRule="exact"/>
              <w:rPr>
                <w:sz w:val="20"/>
                <w:szCs w:val="20"/>
                <w:color w:val="auto"/>
              </w:rPr>
            </w:pPr>
            <w:r>
              <w:rPr>
                <w:rFonts w:ascii="Arial" w:cs="Arial" w:eastAsia="Arial" w:hAnsi="Arial"/>
                <w:sz w:val="11"/>
                <w:szCs w:val="11"/>
                <w:color w:val="auto"/>
              </w:rPr>
              <w:t>(54,390</w:t>
            </w:r>
          </w:p>
        </w:tc>
        <w:tc>
          <w:tcPr>
            <w:tcW w:w="280" w:type="dxa"/>
            <w:vAlign w:val="bottom"/>
            <w:tcBorders>
              <w:right w:val="single" w:sz="8" w:color="CFF0FC"/>
            </w:tcBorders>
            <w:gridSpan w:val="2"/>
            <w:shd w:val="clear" w:color="auto" w:fill="CFF0FC"/>
          </w:tcPr>
          <w:p>
            <w:pPr>
              <w:jc w:val="right"/>
              <w:spacing w:after="0" w:line="108" w:lineRule="exact"/>
              <w:rPr>
                <w:sz w:val="20"/>
                <w:szCs w:val="20"/>
                <w:color w:val="auto"/>
              </w:rPr>
            </w:pPr>
            <w:r>
              <w:rPr>
                <w:rFonts w:ascii="Arial" w:cs="Arial" w:eastAsia="Arial" w:hAnsi="Arial"/>
                <w:sz w:val="11"/>
                <w:szCs w:val="11"/>
                <w:color w:val="auto"/>
              </w:rPr>
              <w:t>(116,</w:t>
            </w:r>
          </w:p>
        </w:tc>
        <w:tc>
          <w:tcPr>
            <w:tcW w:w="1740" w:type="dxa"/>
            <w:vAlign w:val="bottom"/>
            <w:tcBorders>
              <w:right w:val="single" w:sz="8" w:color="auto"/>
            </w:tcBorders>
            <w:gridSpan w:val="12"/>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1100" w:type="dxa"/>
            <w:vAlign w:val="bottom"/>
            <w:tcBorders>
              <w:right w:val="single" w:sz="8" w:color="CFF0FC"/>
            </w:tcBorders>
            <w:gridSpan w:val="7"/>
            <w:shd w:val="clear" w:color="auto" w:fill="CFF0FC"/>
          </w:tcPr>
          <w:p>
            <w:pPr>
              <w:jc w:val="right"/>
              <w:ind w:right="506"/>
              <w:spacing w:after="0" w:line="108" w:lineRule="exact"/>
              <w:rPr>
                <w:sz w:val="20"/>
                <w:szCs w:val="20"/>
                <w:color w:val="auto"/>
              </w:rPr>
            </w:pPr>
            <w:r>
              <w:rPr>
                <w:rFonts w:ascii="Arial" w:cs="Arial" w:eastAsia="Arial" w:hAnsi="Arial"/>
                <w:sz w:val="11"/>
                <w:szCs w:val="11"/>
                <w:color w:val="auto"/>
              </w:rPr>
              <w:t>54,390,</w:t>
            </w:r>
          </w:p>
        </w:tc>
        <w:tc>
          <w:tcPr>
            <w:tcW w:w="700" w:type="dxa"/>
            <w:vAlign w:val="bottom"/>
            <w:tcBorders>
              <w:right w:val="single" w:sz="8" w:color="CFF0FC"/>
            </w:tcBorders>
            <w:gridSpan w:val="4"/>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60" w:type="dxa"/>
            <w:vAlign w:val="bottom"/>
            <w:tcBorders>
              <w:right w:val="single" w:sz="8" w:color="CFF0FC"/>
            </w:tcBorders>
            <w:gridSpan w:val="4"/>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520" w:type="dxa"/>
            <w:vAlign w:val="bottom"/>
            <w:tcBorders>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80" w:type="dxa"/>
            <w:vAlign w:val="bottom"/>
            <w:tcBorders>
              <w:left w:val="single" w:sz="8" w:color="CFF0FC"/>
              <w:right w:val="single" w:sz="8" w:color="CFF0FC"/>
            </w:tcBorders>
            <w:gridSpan w:val="2"/>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3140" w:type="dxa"/>
            <w:vAlign w:val="bottom"/>
            <w:tcBorders>
              <w:left w:val="single" w:sz="8" w:color="CFF0FC"/>
            </w:tcBorders>
            <w:gridSpan w:val="18"/>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3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initial public offering</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,928 )</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gridSpan w:val="3"/>
            <w:shd w:val="clear" w:color="auto" w:fill="CFF0FC"/>
          </w:tcPr>
          <w:p>
            <w:pPr>
              <w:jc w:val="right"/>
              <w:ind w:right="40"/>
              <w:spacing w:after="0"/>
              <w:rPr>
                <w:sz w:val="20"/>
                <w:szCs w:val="20"/>
                <w:color w:val="auto"/>
              </w:rPr>
            </w:pPr>
            <w:r>
              <w:rPr>
                <w:rFonts w:ascii="Arial" w:cs="Arial" w:eastAsia="Arial" w:hAnsi="Arial"/>
                <w:sz w:val="11"/>
                <w:szCs w:val="11"/>
                <w:color w:val="auto"/>
              </w:rPr>
              <w:t>818 )</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tcBorders>
              <w:right w:val="single" w:sz="8" w:color="auto"/>
            </w:tcBorders>
            <w:gridSpan w:val="4"/>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928</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40" w:type="dxa"/>
            <w:vAlign w:val="bottom"/>
            <w:gridSpan w:val="3"/>
            <w:shd w:val="clear" w:color="auto" w:fill="CFF0FC"/>
          </w:tcPr>
          <w:p>
            <w:pPr>
              <w:ind w:left="2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0"/>
              </w:rPr>
              <w:t>—</w:t>
            </w:r>
          </w:p>
        </w:tc>
        <w:tc>
          <w:tcPr>
            <w:tcW w:w="18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116,813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3"/>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116,818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-3227705</wp:posOffset>
            </wp:positionV>
            <wp:extent cx="7683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-3227705</wp:posOffset>
            </wp:positionV>
            <wp:extent cx="76835"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-3227705</wp:posOffset>
            </wp:positionV>
            <wp:extent cx="7683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-3227705</wp:posOffset>
            </wp:positionV>
            <wp:extent cx="7683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-3227705</wp:posOffset>
            </wp:positionV>
            <wp:extent cx="7683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-3227705</wp:posOffset>
            </wp:positionV>
            <wp:extent cx="76835"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-3227705</wp:posOffset>
            </wp:positionV>
            <wp:extent cx="6858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-3227705</wp:posOffset>
            </wp:positionV>
            <wp:extent cx="685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-3227705</wp:posOffset>
            </wp:positionV>
            <wp:extent cx="68580"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-3227705</wp:posOffset>
            </wp:positionV>
            <wp:extent cx="6858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-3227705</wp:posOffset>
            </wp:positionV>
            <wp:extent cx="6858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-3227705</wp:posOffset>
            </wp:positionV>
            <wp:extent cx="6858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-3227705</wp:posOffset>
            </wp:positionV>
            <wp:extent cx="68580"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-3227705</wp:posOffset>
            </wp:positionV>
            <wp:extent cx="6858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5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00" w:type="dxa"/>
            <w:vAlign w:val="bottom"/>
            <w:tcBorders>
              <w:top w:val="single" w:sz="8" w:color="0000FF"/>
            </w:tcBorders>
            <w:gridSpan w:val="2"/>
            <w:vMerge w:val="restart"/>
          </w:tcPr>
          <w:p>
            <w:pPr>
              <w:ind w:left="20"/>
              <w:spacing w:after="0"/>
              <w:rPr>
                <w:sz w:val="20"/>
                <w:szCs w:val="20"/>
                <w:color w:val="auto"/>
              </w:rPr>
            </w:pPr>
            <w:r>
              <w:rPr>
                <w:rFonts w:ascii="Arial" w:cs="Arial" w:eastAsia="Arial" w:hAnsi="Arial"/>
                <w:sz w:val="11"/>
                <w:szCs w:val="11"/>
                <w:color w:val="auto"/>
              </w:rPr>
              <w:t>Conversion of</w:t>
            </w:r>
          </w:p>
        </w:tc>
        <w:tc>
          <w:tcPr>
            <w:tcW w:w="180" w:type="dxa"/>
            <w:vAlign w:val="bottom"/>
            <w:vMerge w:val="restart"/>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40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3"/>
          </w:tcPr>
          <w:p>
            <w:pPr>
              <w:ind w:left="120"/>
              <w:spacing w:after="0" w:line="108" w:lineRule="exact"/>
              <w:rPr>
                <w:sz w:val="20"/>
                <w:szCs w:val="20"/>
                <w:color w:val="auto"/>
              </w:rPr>
            </w:pPr>
            <w:r>
              <w:rPr>
                <w:rFonts w:ascii="Arial" w:cs="Arial" w:eastAsia="Arial" w:hAnsi="Arial"/>
                <w:sz w:val="11"/>
                <w:szCs w:val="11"/>
                <w:color w:val="auto"/>
              </w:rPr>
              <w:t>redeemable</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580" w:type="dxa"/>
            <w:vAlign w:val="bottom"/>
            <w:gridSpan w:val="3"/>
          </w:tcPr>
          <w:p>
            <w:pPr>
              <w:ind w:left="120"/>
              <w:spacing w:after="0" w:line="122" w:lineRule="exact"/>
              <w:rPr>
                <w:sz w:val="20"/>
                <w:szCs w:val="20"/>
                <w:color w:val="auto"/>
              </w:rPr>
            </w:pPr>
            <w:r>
              <w:rPr>
                <w:rFonts w:ascii="Arial" w:cs="Arial" w:eastAsia="Arial" w:hAnsi="Arial"/>
                <w:sz w:val="11"/>
                <w:szCs w:val="11"/>
                <w:color w:val="auto"/>
              </w:rPr>
              <w:t>convertible preferred</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gridSpan w:val="3"/>
          </w:tcPr>
          <w:p>
            <w:pPr>
              <w:ind w:left="120"/>
              <w:spacing w:after="0" w:line="108" w:lineRule="exact"/>
              <w:rPr>
                <w:sz w:val="20"/>
                <w:szCs w:val="20"/>
                <w:color w:val="auto"/>
              </w:rPr>
            </w:pPr>
            <w:r>
              <w:rPr>
                <w:rFonts w:ascii="Arial" w:cs="Arial" w:eastAsia="Arial" w:hAnsi="Arial"/>
                <w:sz w:val="11"/>
                <w:szCs w:val="11"/>
                <w:color w:val="auto"/>
              </w:rPr>
              <w:t>stock upon initial</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(13,811,</w:t>
            </w:r>
          </w:p>
        </w:tc>
        <w:tc>
          <w:tcPr>
            <w:tcW w:w="240" w:type="dxa"/>
            <w:vAlign w:val="bottom"/>
          </w:tcPr>
          <w:p>
            <w:pPr>
              <w:spacing w:after="0"/>
              <w:rPr>
                <w:sz w:val="9"/>
                <w:szCs w:val="9"/>
                <w:color w:val="auto"/>
              </w:rPr>
            </w:pPr>
          </w:p>
        </w:tc>
        <w:tc>
          <w:tcPr>
            <w:tcW w:w="440" w:type="dxa"/>
            <w:vAlign w:val="bottom"/>
          </w:tcPr>
          <w:p>
            <w:pPr>
              <w:jc w:val="right"/>
              <w:spacing w:after="0" w:line="108" w:lineRule="exact"/>
              <w:rPr>
                <w:sz w:val="20"/>
                <w:szCs w:val="20"/>
                <w:color w:val="auto"/>
              </w:rPr>
            </w:pPr>
            <w:r>
              <w:rPr>
                <w:rFonts w:ascii="Arial" w:cs="Arial" w:eastAsia="Arial" w:hAnsi="Arial"/>
                <w:sz w:val="11"/>
                <w:szCs w:val="11"/>
                <w:color w:val="auto"/>
              </w:rPr>
              <w:t>(179,</w:t>
            </w: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1"/>
                <w:szCs w:val="11"/>
                <w:color w:val="auto"/>
              </w:rPr>
              <w:t>7,823,4</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gridSpan w:val="2"/>
          </w:tcPr>
          <w:p>
            <w:pPr>
              <w:jc w:val="right"/>
              <w:spacing w:after="0" w:line="108" w:lineRule="exact"/>
              <w:rPr>
                <w:sz w:val="20"/>
                <w:szCs w:val="20"/>
                <w:color w:val="auto"/>
              </w:rPr>
            </w:pPr>
            <w:r>
              <w:rPr>
                <w:rFonts w:ascii="Arial" w:cs="Arial" w:eastAsia="Arial" w:hAnsi="Arial"/>
                <w:sz w:val="11"/>
                <w:szCs w:val="11"/>
                <w:color w:val="auto"/>
              </w:rPr>
              <w:t>5,988,</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580" w:type="dxa"/>
            <w:vAlign w:val="bottom"/>
            <w:gridSpan w:val="3"/>
          </w:tcPr>
          <w:p>
            <w:pPr>
              <w:ind w:left="120"/>
              <w:spacing w:after="0"/>
              <w:rPr>
                <w:sz w:val="20"/>
                <w:szCs w:val="20"/>
                <w:color w:val="auto"/>
              </w:rPr>
            </w:pPr>
            <w:r>
              <w:rPr>
                <w:rFonts w:ascii="Arial" w:cs="Arial" w:eastAsia="Arial" w:hAnsi="Arial"/>
                <w:sz w:val="11"/>
                <w:szCs w:val="11"/>
                <w:color w:val="auto"/>
              </w:rPr>
              <w:t>public offering</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1"/>
                <w:szCs w:val="11"/>
                <w:color w:val="auto"/>
              </w:rPr>
              <w:t>856 )</w:t>
            </w: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517 )</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w:t>
            </w: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378</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179,515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179,517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580" w:type="dxa"/>
            <w:vAlign w:val="bottom"/>
            <w:gridSpan w:val="3"/>
            <w:shd w:val="clear" w:color="auto" w:fill="CFF0FC"/>
          </w:tcPr>
          <w:p>
            <w:pPr>
              <w:ind w:left="20"/>
              <w:spacing w:after="0" w:line="109" w:lineRule="exact"/>
              <w:rPr>
                <w:sz w:val="20"/>
                <w:szCs w:val="20"/>
                <w:color w:val="auto"/>
              </w:rPr>
            </w:pPr>
            <w:r>
              <w:rPr>
                <w:rFonts w:ascii="Arial" w:cs="Arial" w:eastAsia="Arial" w:hAnsi="Arial"/>
                <w:sz w:val="11"/>
                <w:szCs w:val="11"/>
                <w:color w:val="auto"/>
              </w:rPr>
              <w:t>Issuance of common</w:t>
            </w:r>
          </w:p>
        </w:tc>
        <w:tc>
          <w:tcPr>
            <w:tcW w:w="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3"/>
            <w:shd w:val="clear" w:color="auto" w:fill="CFF0FC"/>
          </w:tcPr>
          <w:p>
            <w:pPr>
              <w:ind w:left="120"/>
              <w:spacing w:after="0" w:line="108" w:lineRule="exact"/>
              <w:rPr>
                <w:sz w:val="20"/>
                <w:szCs w:val="20"/>
                <w:color w:val="auto"/>
              </w:rPr>
            </w:pPr>
            <w:r>
              <w:rPr>
                <w:rFonts w:ascii="Arial" w:cs="Arial" w:eastAsia="Arial" w:hAnsi="Arial"/>
                <w:sz w:val="11"/>
                <w:szCs w:val="11"/>
                <w:color w:val="auto"/>
              </w:rPr>
              <w:t>stock upon exercise</w:t>
            </w:r>
          </w:p>
        </w:tc>
        <w:tc>
          <w:tcPr>
            <w:tcW w:w="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08" w:lineRule="exact"/>
              <w:rPr>
                <w:sz w:val="20"/>
                <w:szCs w:val="20"/>
                <w:color w:val="auto"/>
              </w:rPr>
            </w:pPr>
            <w:r>
              <w:rPr>
                <w:rFonts w:ascii="Arial" w:cs="Arial" w:eastAsia="Arial" w:hAnsi="Arial"/>
                <w:sz w:val="11"/>
                <w:szCs w:val="11"/>
                <w:color w:val="auto"/>
              </w:rPr>
              <w:t>4,323,1</w:t>
            </w: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58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of stock options</w:t>
            </w: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4,097</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580" w:type="dxa"/>
            <w:vAlign w:val="bottom"/>
            <w:gridSpan w:val="3"/>
          </w:tcPr>
          <w:p>
            <w:pPr>
              <w:ind w:left="20"/>
              <w:spacing w:after="0" w:line="105" w:lineRule="exact"/>
              <w:rPr>
                <w:sz w:val="20"/>
                <w:szCs w:val="20"/>
                <w:color w:val="auto"/>
              </w:rPr>
            </w:pPr>
            <w:r>
              <w:rPr>
                <w:rFonts w:ascii="Arial" w:cs="Arial" w:eastAsia="Arial" w:hAnsi="Arial"/>
                <w:sz w:val="11"/>
                <w:szCs w:val="11"/>
                <w:color w:val="auto"/>
              </w:rPr>
              <w:t>Reclassification of</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3"/>
          </w:tcPr>
          <w:p>
            <w:pPr>
              <w:ind w:left="120"/>
              <w:spacing w:after="0" w:line="108" w:lineRule="exact"/>
              <w:rPr>
                <w:sz w:val="20"/>
                <w:szCs w:val="20"/>
                <w:color w:val="auto"/>
              </w:rPr>
            </w:pPr>
            <w:r>
              <w:rPr>
                <w:rFonts w:ascii="Arial" w:cs="Arial" w:eastAsia="Arial" w:hAnsi="Arial"/>
                <w:sz w:val="11"/>
                <w:szCs w:val="11"/>
                <w:color w:val="auto"/>
              </w:rPr>
              <w:t>warrant liability</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580" w:type="dxa"/>
            <w:vAlign w:val="bottom"/>
            <w:gridSpan w:val="3"/>
          </w:tcPr>
          <w:p>
            <w:pPr>
              <w:ind w:left="120"/>
              <w:spacing w:after="0" w:line="122" w:lineRule="exact"/>
              <w:rPr>
                <w:sz w:val="20"/>
                <w:szCs w:val="20"/>
                <w:color w:val="auto"/>
              </w:rPr>
            </w:pPr>
            <w:r>
              <w:rPr>
                <w:rFonts w:ascii="Arial" w:cs="Arial" w:eastAsia="Arial" w:hAnsi="Arial"/>
                <w:sz w:val="11"/>
                <w:szCs w:val="11"/>
                <w:color w:val="auto"/>
              </w:rPr>
              <w:t>to additional</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gridSpan w:val="3"/>
          </w:tcPr>
          <w:p>
            <w:pPr>
              <w:ind w:left="120"/>
              <w:spacing w:after="0" w:line="108" w:lineRule="exact"/>
              <w:rPr>
                <w:sz w:val="20"/>
                <w:szCs w:val="20"/>
                <w:color w:val="auto"/>
              </w:rPr>
            </w:pPr>
            <w:r>
              <w:rPr>
                <w:rFonts w:ascii="Arial" w:cs="Arial" w:eastAsia="Arial" w:hAnsi="Arial"/>
                <w:sz w:val="11"/>
                <w:szCs w:val="11"/>
                <w:color w:val="auto"/>
              </w:rPr>
              <w:t>paid-in capital</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580" w:type="dxa"/>
            <w:vAlign w:val="bottom"/>
            <w:gridSpan w:val="3"/>
          </w:tcPr>
          <w:p>
            <w:pPr>
              <w:ind w:left="120"/>
              <w:spacing w:after="0" w:line="122" w:lineRule="exact"/>
              <w:rPr>
                <w:sz w:val="20"/>
                <w:szCs w:val="20"/>
                <w:color w:val="auto"/>
              </w:rPr>
            </w:pPr>
            <w:r>
              <w:rPr>
                <w:rFonts w:ascii="Arial" w:cs="Arial" w:eastAsia="Arial" w:hAnsi="Arial"/>
                <w:sz w:val="11"/>
                <w:szCs w:val="11"/>
                <w:color w:val="auto"/>
              </w:rPr>
              <w:t>upon initial public</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80" w:type="dxa"/>
            <w:vAlign w:val="bottom"/>
            <w:gridSpan w:val="3"/>
          </w:tcPr>
          <w:p>
            <w:pPr>
              <w:ind w:left="120"/>
              <w:spacing w:after="0"/>
              <w:rPr>
                <w:sz w:val="20"/>
                <w:szCs w:val="20"/>
                <w:color w:val="auto"/>
              </w:rPr>
            </w:pPr>
            <w:r>
              <w:rPr>
                <w:rFonts w:ascii="Arial" w:cs="Arial" w:eastAsia="Arial" w:hAnsi="Arial"/>
                <w:sz w:val="11"/>
                <w:szCs w:val="11"/>
                <w:color w:val="auto"/>
              </w:rPr>
              <w:t>offering</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6,272</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6,272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580" w:type="dxa"/>
            <w:vAlign w:val="bottom"/>
            <w:gridSpan w:val="3"/>
            <w:shd w:val="clear" w:color="auto" w:fill="CFF0FC"/>
          </w:tcPr>
          <w:p>
            <w:pPr>
              <w:ind w:left="20"/>
              <w:spacing w:after="0" w:line="109" w:lineRule="exact"/>
              <w:rPr>
                <w:sz w:val="20"/>
                <w:szCs w:val="20"/>
                <w:color w:val="auto"/>
              </w:rPr>
            </w:pPr>
            <w:r>
              <w:rPr>
                <w:rFonts w:ascii="Arial" w:cs="Arial" w:eastAsia="Arial" w:hAnsi="Arial"/>
                <w:sz w:val="11"/>
                <w:szCs w:val="11"/>
                <w:color w:val="auto"/>
              </w:rPr>
              <w:t>Exercise of common</w:t>
            </w:r>
          </w:p>
        </w:tc>
        <w:tc>
          <w:tcPr>
            <w:tcW w:w="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58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stock warrants</w:t>
            </w: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417,021</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580" w:type="dxa"/>
            <w:vAlign w:val="bottom"/>
            <w:gridSpan w:val="3"/>
          </w:tcPr>
          <w:p>
            <w:pPr>
              <w:ind w:left="20"/>
              <w:spacing w:after="0" w:line="105" w:lineRule="exact"/>
              <w:rPr>
                <w:sz w:val="20"/>
                <w:szCs w:val="20"/>
                <w:color w:val="auto"/>
              </w:rPr>
            </w:pPr>
            <w:r>
              <w:rPr>
                <w:rFonts w:ascii="Arial" w:cs="Arial" w:eastAsia="Arial" w:hAnsi="Arial"/>
                <w:sz w:val="11"/>
                <w:szCs w:val="11"/>
                <w:color w:val="auto"/>
              </w:rPr>
              <w:t>Foreign currency</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580" w:type="dxa"/>
            <w:vAlign w:val="bottom"/>
            <w:gridSpan w:val="3"/>
          </w:tcPr>
          <w:p>
            <w:pPr>
              <w:ind w:left="120"/>
              <w:spacing w:after="0"/>
              <w:rPr>
                <w:sz w:val="20"/>
                <w:szCs w:val="20"/>
                <w:color w:val="auto"/>
              </w:rPr>
            </w:pPr>
            <w:r>
              <w:rPr>
                <w:rFonts w:ascii="Arial" w:cs="Arial" w:eastAsia="Arial" w:hAnsi="Arial"/>
                <w:sz w:val="11"/>
                <w:szCs w:val="11"/>
                <w:color w:val="auto"/>
              </w:rPr>
              <w:t>translation adjustment</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(80 )</w:t>
            </w:r>
          </w:p>
        </w:tc>
        <w:tc>
          <w:tcPr>
            <w:tcW w:w="10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(80 )</w:t>
            </w:r>
          </w:p>
        </w:tc>
        <w:tc>
          <w:tcPr>
            <w:tcW w:w="0" w:type="dxa"/>
            <w:vAlign w:val="bottom"/>
          </w:tcPr>
          <w:p>
            <w:pPr>
              <w:spacing w:after="0"/>
              <w:rPr>
                <w:sz w:val="1"/>
                <w:szCs w:val="1"/>
                <w:color w:val="auto"/>
              </w:rPr>
            </w:pPr>
          </w:p>
        </w:tc>
      </w:tr>
      <w:tr>
        <w:trPr>
          <w:trHeight w:val="109"/>
        </w:trPr>
        <w:tc>
          <w:tcPr>
            <w:tcW w:w="1580" w:type="dxa"/>
            <w:vAlign w:val="bottom"/>
            <w:gridSpan w:val="3"/>
            <w:shd w:val="clear" w:color="auto" w:fill="CFF0FC"/>
          </w:tcPr>
          <w:p>
            <w:pPr>
              <w:ind w:left="20"/>
              <w:spacing w:after="0" w:line="109" w:lineRule="exact"/>
              <w:rPr>
                <w:sz w:val="20"/>
                <w:szCs w:val="20"/>
                <w:color w:val="auto"/>
              </w:rPr>
            </w:pPr>
            <w:r>
              <w:rPr>
                <w:rFonts w:ascii="Arial" w:cs="Arial" w:eastAsia="Arial" w:hAnsi="Arial"/>
                <w:sz w:val="11"/>
                <w:szCs w:val="11"/>
                <w:color w:val="auto"/>
              </w:rPr>
              <w:t>Stock-based</w:t>
            </w:r>
          </w:p>
        </w:tc>
        <w:tc>
          <w:tcPr>
            <w:tcW w:w="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3"/>
            <w:shd w:val="clear" w:color="auto" w:fill="CFF0FC"/>
          </w:tcPr>
          <w:p>
            <w:pPr>
              <w:ind w:left="120"/>
              <w:spacing w:after="0" w:line="108" w:lineRule="exact"/>
              <w:rPr>
                <w:sz w:val="20"/>
                <w:szCs w:val="20"/>
                <w:color w:val="auto"/>
              </w:rPr>
            </w:pPr>
            <w:r>
              <w:rPr>
                <w:rFonts w:ascii="Arial" w:cs="Arial" w:eastAsia="Arial" w:hAnsi="Arial"/>
                <w:sz w:val="11"/>
                <w:szCs w:val="11"/>
                <w:color w:val="auto"/>
              </w:rPr>
              <w:t>compensation</w:t>
            </w:r>
          </w:p>
        </w:tc>
        <w:tc>
          <w:tcPr>
            <w:tcW w:w="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58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15,538</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3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580" w:type="dxa"/>
            <w:vAlign w:val="bottom"/>
            <w:gridSpan w:val="3"/>
          </w:tcPr>
          <w:p>
            <w:pPr>
              <w:ind w:left="20"/>
              <w:spacing w:after="0"/>
              <w:rPr>
                <w:sz w:val="20"/>
                <w:szCs w:val="20"/>
                <w:color w:val="auto"/>
              </w:rPr>
            </w:pPr>
            <w:r>
              <w:rPr>
                <w:rFonts w:ascii="Arial" w:cs="Arial" w:eastAsia="Arial" w:hAnsi="Arial"/>
                <w:sz w:val="11"/>
                <w:szCs w:val="11"/>
                <w:color w:val="auto"/>
              </w:rPr>
              <w:t>Net loss</w:t>
            </w:r>
          </w:p>
        </w:tc>
        <w:tc>
          <w:tcPr>
            <w:tcW w:w="280" w:type="dxa"/>
            <w:vAlign w:val="bottom"/>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w w:val="99"/>
              </w:rPr>
              <w:t>(16,804 )</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(16,804 )</w:t>
            </w:r>
          </w:p>
        </w:tc>
        <w:tc>
          <w:tcPr>
            <w:tcW w:w="0" w:type="dxa"/>
            <w:vAlign w:val="bottom"/>
          </w:tcPr>
          <w:p>
            <w:pPr>
              <w:spacing w:after="0"/>
              <w:rPr>
                <w:sz w:val="1"/>
                <w:szCs w:val="1"/>
                <w:color w:val="auto"/>
              </w:rPr>
            </w:pPr>
          </w:p>
        </w:tc>
      </w:tr>
      <w:tr>
        <w:trPr>
          <w:trHeight w:val="93"/>
        </w:trPr>
        <w:tc>
          <w:tcPr>
            <w:tcW w:w="1320" w:type="dxa"/>
            <w:vAlign w:val="bottom"/>
            <w:shd w:val="clear" w:color="auto" w:fill="CFF0FC"/>
          </w:tcPr>
          <w:p>
            <w:pPr>
              <w:ind w:left="20"/>
              <w:spacing w:after="0" w:line="93" w:lineRule="exact"/>
              <w:rPr>
                <w:sz w:val="20"/>
                <w:szCs w:val="20"/>
                <w:color w:val="auto"/>
              </w:rPr>
            </w:pPr>
            <w:r>
              <w:rPr>
                <w:rFonts w:ascii="Arial" w:cs="Arial" w:eastAsia="Arial" w:hAnsi="Arial"/>
                <w:sz w:val="10"/>
                <w:szCs w:val="10"/>
                <w:b w:val="1"/>
                <w:bCs w:val="1"/>
                <w:color w:val="auto"/>
              </w:rPr>
              <w:t>Balances at</w:t>
            </w:r>
          </w:p>
        </w:tc>
        <w:tc>
          <w:tcPr>
            <w:tcW w:w="8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24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spacing w:after="0" w:line="93" w:lineRule="exact"/>
              <w:rPr>
                <w:sz w:val="20"/>
                <w:szCs w:val="20"/>
                <w:color w:val="auto"/>
              </w:rPr>
            </w:pPr>
            <w:r>
              <w:rPr>
                <w:rFonts w:ascii="Arial" w:cs="Arial" w:eastAsia="Arial" w:hAnsi="Arial"/>
                <w:sz w:val="10"/>
                <w:szCs w:val="10"/>
                <w:color w:val="auto"/>
              </w:rPr>
              <w:t>101,201</w:t>
            </w:r>
          </w:p>
        </w:tc>
        <w:tc>
          <w:tcPr>
            <w:tcW w:w="220" w:type="dxa"/>
            <w:vAlign w:val="bottom"/>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93" w:lineRule="exact"/>
              <w:rPr>
                <w:sz w:val="20"/>
                <w:szCs w:val="20"/>
                <w:color w:val="auto"/>
              </w:rPr>
            </w:pPr>
            <w:r>
              <w:rPr>
                <w:rFonts w:ascii="Arial" w:cs="Arial" w:eastAsia="Arial" w:hAnsi="Arial"/>
                <w:sz w:val="10"/>
                <w:szCs w:val="10"/>
                <w:color w:val="auto"/>
              </w:rPr>
              <w:t>5,988,</w:t>
            </w:r>
          </w:p>
        </w:tc>
        <w:tc>
          <w:tcPr>
            <w:tcW w:w="220" w:type="dxa"/>
            <w:vAlign w:val="bottom"/>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jc w:val="right"/>
              <w:spacing w:after="0" w:line="93" w:lineRule="exact"/>
              <w:rPr>
                <w:sz w:val="20"/>
                <w:szCs w:val="20"/>
                <w:color w:val="auto"/>
              </w:rPr>
            </w:pPr>
            <w:r>
              <w:rPr>
                <w:rFonts w:ascii="Arial" w:cs="Arial" w:eastAsia="Arial" w:hAnsi="Arial"/>
                <w:sz w:val="10"/>
                <w:szCs w:val="10"/>
                <w:color w:val="auto"/>
              </w:rPr>
              <w:t>(2,317,</w:t>
            </w:r>
          </w:p>
        </w:tc>
        <w:tc>
          <w:tcPr>
            <w:tcW w:w="220" w:type="dxa"/>
            <w:vAlign w:val="bottom"/>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jc w:val="right"/>
              <w:spacing w:after="0" w:line="93" w:lineRule="exact"/>
              <w:rPr>
                <w:sz w:val="20"/>
                <w:szCs w:val="20"/>
                <w:color w:val="auto"/>
              </w:rPr>
            </w:pPr>
            <w:r>
              <w:rPr>
                <w:rFonts w:ascii="Arial" w:cs="Arial" w:eastAsia="Arial" w:hAnsi="Arial"/>
                <w:sz w:val="10"/>
                <w:szCs w:val="10"/>
                <w:color w:val="auto"/>
              </w:rPr>
              <w:t>(74</w:t>
            </w:r>
          </w:p>
        </w:tc>
        <w:tc>
          <w:tcPr>
            <w:tcW w:w="22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jc w:val="right"/>
              <w:spacing w:after="0" w:line="93" w:lineRule="exact"/>
              <w:rPr>
                <w:sz w:val="20"/>
                <w:szCs w:val="20"/>
                <w:color w:val="auto"/>
              </w:rPr>
            </w:pPr>
            <w:r>
              <w:rPr>
                <w:rFonts w:ascii="Arial" w:cs="Arial" w:eastAsia="Arial" w:hAnsi="Arial"/>
                <w:sz w:val="10"/>
                <w:szCs w:val="10"/>
                <w:color w:val="auto"/>
              </w:rPr>
              <w:t>(114,57</w:t>
            </w:r>
          </w:p>
        </w:tc>
        <w:tc>
          <w:tcPr>
            <w:tcW w:w="2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3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September 30, 2021</w:t>
            </w:r>
          </w:p>
        </w:tc>
        <w:tc>
          <w:tcPr>
            <w:tcW w:w="260" w:type="dxa"/>
            <w:vAlign w:val="bottom"/>
            <w:gridSpan w:val="2"/>
            <w:shd w:val="clear" w:color="auto" w:fill="CFF0FC"/>
          </w:tcPr>
          <w:p>
            <w:pPr>
              <w:spacing w:after="0"/>
              <w:rPr>
                <w:sz w:val="13"/>
                <w:szCs w:val="13"/>
                <w:color w:val="auto"/>
              </w:rPr>
            </w:pPr>
          </w:p>
        </w:tc>
        <w:tc>
          <w:tcPr>
            <w:tcW w:w="280" w:type="dxa"/>
            <w:vAlign w:val="bottom"/>
            <w:shd w:val="clear" w:color="auto" w:fill="CFF0FC"/>
          </w:tcPr>
          <w:p>
            <w:pPr>
              <w:ind w:left="16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,466</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  10</w:t>
            </w:r>
          </w:p>
        </w:tc>
        <w:tc>
          <w:tcPr>
            <w:tcW w:w="2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378</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   1</w:t>
            </w:r>
          </w:p>
        </w:tc>
        <w:tc>
          <w:tcPr>
            <w:tcW w:w="2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722 )</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   8 )</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  603,319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3"/>
            <w:shd w:val="clear" w:color="auto" w:fill="CFF0FC"/>
          </w:tcPr>
          <w:p>
            <w:pPr>
              <w:jc w:val="right"/>
              <w:ind w:right="40"/>
              <w:spacing w:after="0"/>
              <w:rPr>
                <w:sz w:val="20"/>
                <w:szCs w:val="20"/>
                <w:color w:val="auto"/>
              </w:rPr>
            </w:pPr>
            <w:r>
              <w:rPr>
                <w:rFonts w:ascii="Arial" w:cs="Arial" w:eastAsia="Arial" w:hAnsi="Arial"/>
                <w:sz w:val="11"/>
                <w:szCs w:val="11"/>
                <w:color w:val="auto"/>
              </w:rPr>
              <w:t>(294 )   $</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6 )</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   487,712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41"/>
              <w:spacing w:after="0"/>
              <w:rPr>
                <w:sz w:val="20"/>
                <w:szCs w:val="20"/>
                <w:color w:val="auto"/>
              </w:rPr>
            </w:pPr>
            <w:r>
              <w:rPr>
                <w:rFonts w:ascii="Arial" w:cs="Arial" w:eastAsia="Arial" w:hAnsi="Arial"/>
                <w:sz w:val="18"/>
                <w:szCs w:val="18"/>
                <w:color w:val="auto"/>
              </w:rPr>
              <w:t>(38,218 )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(16,804 )</w:t>
            </w:r>
          </w:p>
        </w:tc>
      </w:tr>
      <w:tr>
        <w:trPr>
          <w:trHeight w:val="188"/>
        </w:trPr>
        <w:tc>
          <w:tcPr>
            <w:tcW w:w="7700" w:type="dxa"/>
            <w:vAlign w:val="bottom"/>
            <w:shd w:val="clear" w:color="auto" w:fill="CFF0FC"/>
          </w:tcPr>
          <w:p>
            <w:pPr>
              <w:ind w:left="20"/>
              <w:spacing w:after="0" w:line="188" w:lineRule="exact"/>
              <w:rPr>
                <w:sz w:val="20"/>
                <w:szCs w:val="20"/>
                <w:color w:val="auto"/>
              </w:rPr>
            </w:pPr>
            <w:r>
              <w:rPr>
                <w:rFonts w:ascii="Arial" w:cs="Arial" w:eastAsia="Arial" w:hAnsi="Arial"/>
                <w:sz w:val="18"/>
                <w:szCs w:val="18"/>
                <w:color w:val="auto"/>
              </w:rPr>
              <w:t>Adjustments to reconcile net loss to net cash (used in) provided by operating</w:t>
            </w: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7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9,186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Amortization of deferred contract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preferred stock warrant liability</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tax provision</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(527 )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interest expense</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5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Arial" w:cs="Arial" w:eastAsia="Arial" w:hAnsi="Arial"/>
                <w:sz w:val="18"/>
                <w:szCs w:val="18"/>
                <w:color w:val="auto"/>
              </w:rPr>
              <w:t>(4,316 )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(1,466 )</w:t>
            </w: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Unbilled receivables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(2,305 )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(62 )</w:t>
            </w: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Funds receivable from payment partners</w:t>
            </w:r>
          </w:p>
        </w:tc>
        <w:tc>
          <w:tcPr>
            <w:tcW w:w="3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Arial" w:cs="Arial" w:eastAsia="Arial" w:hAnsi="Arial"/>
                <w:sz w:val="18"/>
                <w:szCs w:val="18"/>
                <w:color w:val="auto"/>
              </w:rPr>
              <w:t>(2,090 )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Prepaid expenses, other current assets and other assets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(7,674 )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(7,410 )</w:t>
            </w: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Funds payable to clients</w:t>
            </w:r>
          </w:p>
        </w:tc>
        <w:tc>
          <w:tcPr>
            <w:tcW w:w="3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Arial" w:cs="Arial" w:eastAsia="Arial" w:hAnsi="Arial"/>
                <w:sz w:val="18"/>
                <w:szCs w:val="18"/>
                <w:color w:val="auto"/>
              </w:rPr>
              <w:t>(3,798 )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 accrued expenses and other current liabilities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Arial" w:cs="Arial" w:eastAsia="Arial" w:hAnsi="Arial"/>
                <w:sz w:val="18"/>
                <w:szCs w:val="18"/>
                <w:color w:val="auto"/>
              </w:rPr>
              <w:t>(4,524 )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(3,212 )</w:t>
            </w: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(446 )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(364 )</w:t>
            </w: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Arial" w:cs="Arial" w:eastAsia="Arial" w:hAnsi="Arial"/>
                <w:sz w:val="18"/>
                <w:szCs w:val="18"/>
                <w:color w:val="auto"/>
              </w:rPr>
              <w:t>(730 )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(27,728</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(5,188 )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(5,229 )</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3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Arial" w:cs="Arial" w:eastAsia="Arial" w:hAnsi="Arial"/>
                <w:sz w:val="18"/>
                <w:szCs w:val="18"/>
                <w:color w:val="auto"/>
              </w:rPr>
              <w:t>(16,923 )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 acquisition, net of cash acquired</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(119 )</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Arial" w:cs="Arial" w:eastAsia="Arial" w:hAnsi="Arial"/>
                <w:sz w:val="18"/>
                <w:szCs w:val="18"/>
                <w:color w:val="auto"/>
              </w:rPr>
              <w:t>(453 )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9"/>
        </w:trPr>
        <w:tc>
          <w:tcPr>
            <w:tcW w:w="77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(22,564</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7700" w:type="dxa"/>
            <w:vAlign w:val="bottom"/>
            <w:shd w:val="clear" w:color="auto" w:fill="CFF0FC"/>
          </w:tcPr>
          <w:p>
            <w:pPr>
              <w:ind w:left="20"/>
              <w:spacing w:after="0" w:line="188" w:lineRule="exact"/>
              <w:rPr>
                <w:sz w:val="20"/>
                <w:szCs w:val="20"/>
                <w:color w:val="auto"/>
              </w:rPr>
            </w:pPr>
            <w:r>
              <w:rPr>
                <w:rFonts w:ascii="Arial" w:cs="Arial" w:eastAsia="Arial" w:hAnsi="Arial"/>
                <w:sz w:val="18"/>
                <w:szCs w:val="18"/>
                <w:color w:val="auto"/>
              </w:rPr>
              <w:t>Proceeds from initial public offering, net of underwriting discounts</w:t>
            </w: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7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and commissions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268,694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Payment of deferred offering costs related to initial public offering</w:t>
            </w:r>
          </w:p>
        </w:tc>
        <w:tc>
          <w:tcPr>
            <w:tcW w:w="320" w:type="dxa"/>
            <w:vAlign w:val="bottom"/>
          </w:tcPr>
          <w:p>
            <w:pPr>
              <w:spacing w:after="0"/>
              <w:rPr>
                <w:sz w:val="18"/>
                <w:szCs w:val="18"/>
                <w:color w:val="auto"/>
              </w:rPr>
            </w:pPr>
          </w:p>
        </w:tc>
        <w:tc>
          <w:tcPr>
            <w:tcW w:w="15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(4,860 )</w:t>
            </w: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Payment of long-term debt issuance costs</w:t>
            </w:r>
          </w:p>
        </w:tc>
        <w:tc>
          <w:tcPr>
            <w:tcW w:w="320" w:type="dxa"/>
            <w:vAlign w:val="bottom"/>
          </w:tcPr>
          <w:p>
            <w:pPr>
              <w:spacing w:after="0"/>
              <w:rPr>
                <w:sz w:val="18"/>
                <w:szCs w:val="18"/>
                <w:color w:val="auto"/>
              </w:rPr>
            </w:pPr>
          </w:p>
        </w:tc>
        <w:tc>
          <w:tcPr>
            <w:tcW w:w="15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(418 )</w:t>
            </w: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 of long-term debt</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(25,000 )</w:t>
            </w:r>
          </w:p>
        </w:tc>
      </w:tr>
      <w:tr>
        <w:trPr>
          <w:trHeight w:val="188"/>
        </w:trPr>
        <w:tc>
          <w:tcPr>
            <w:tcW w:w="7700" w:type="dxa"/>
            <w:vAlign w:val="bottom"/>
          </w:tcPr>
          <w:p>
            <w:pPr>
              <w:ind w:left="20"/>
              <w:spacing w:after="0" w:line="188" w:lineRule="exact"/>
              <w:rPr>
                <w:sz w:val="20"/>
                <w:szCs w:val="20"/>
                <w:color w:val="auto"/>
              </w:rPr>
            </w:pPr>
            <w:r>
              <w:rPr>
                <w:rFonts w:ascii="Arial" w:cs="Arial" w:eastAsia="Arial" w:hAnsi="Arial"/>
                <w:sz w:val="18"/>
                <w:szCs w:val="18"/>
                <w:color w:val="auto"/>
              </w:rPr>
              <w:t>Proceeds from issuance of redeemable convertible preferred stock, net</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700" w:type="dxa"/>
            <w:vAlign w:val="bottom"/>
          </w:tcPr>
          <w:p>
            <w:pPr>
              <w:ind w:left="180"/>
              <w:spacing w:after="0"/>
              <w:rPr>
                <w:sz w:val="20"/>
                <w:szCs w:val="20"/>
                <w:color w:val="auto"/>
              </w:rPr>
            </w:pPr>
            <w:r>
              <w:rPr>
                <w:rFonts w:ascii="Arial" w:cs="Arial" w:eastAsia="Arial" w:hAnsi="Arial"/>
                <w:sz w:val="18"/>
                <w:szCs w:val="18"/>
                <w:color w:val="auto"/>
              </w:rPr>
              <w:t>of issuance costs</w:t>
            </w:r>
          </w:p>
        </w:tc>
        <w:tc>
          <w:tcPr>
            <w:tcW w:w="320" w:type="dxa"/>
            <w:vAlign w:val="bottom"/>
          </w:tcPr>
          <w:p>
            <w:pPr>
              <w:spacing w:after="0"/>
              <w:rPr>
                <w:sz w:val="18"/>
                <w:szCs w:val="18"/>
                <w:color w:val="auto"/>
              </w:rPr>
            </w:pPr>
          </w:p>
        </w:tc>
        <w:tc>
          <w:tcPr>
            <w:tcW w:w="15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59,735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warrants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2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Arial" w:cs="Arial" w:eastAsia="Arial" w:hAnsi="Arial"/>
                <w:sz w:val="18"/>
                <w:szCs w:val="18"/>
                <w:color w:val="auto"/>
              </w:rPr>
              <w:t>(3,320 )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(3,800 )</w:t>
            </w: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of tax withholdings for net settled option exercises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(2,564 )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Proceeds from the issuance of stock under Employee Stock Purchase Plan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5,222</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324,676</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59"/>
        </w:trPr>
        <w:tc>
          <w:tcPr>
            <w:tcW w:w="7700" w:type="dxa"/>
            <w:vAlign w:val="bottom"/>
          </w:tcPr>
          <w:p>
            <w:pPr>
              <w:ind w:left="20"/>
              <w:spacing w:after="0" w:line="159" w:lineRule="exact"/>
              <w:rPr>
                <w:sz w:val="20"/>
                <w:szCs w:val="20"/>
                <w:color w:val="auto"/>
              </w:rPr>
            </w:pPr>
            <w:r>
              <w:rPr>
                <w:rFonts w:ascii="Arial" w:cs="Arial" w:eastAsia="Arial" w:hAnsi="Arial"/>
                <w:sz w:val="18"/>
                <w:szCs w:val="18"/>
                <w:b w:val="1"/>
                <w:bCs w:val="1"/>
                <w:color w:val="auto"/>
              </w:rPr>
              <w:t>Net (decrease) increase in cash, cash equivalents and restricted</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7700" w:type="dxa"/>
            <w:vAlign w:val="bottom"/>
          </w:tcPr>
          <w:p>
            <w:pPr>
              <w:ind w:left="180"/>
              <w:spacing w:after="0"/>
              <w:rPr>
                <w:sz w:val="20"/>
                <w:szCs w:val="20"/>
                <w:color w:val="auto"/>
              </w:rPr>
            </w:pPr>
            <w:r>
              <w:rPr>
                <w:rFonts w:ascii="Arial" w:cs="Arial" w:eastAsia="Arial" w:hAnsi="Arial"/>
                <w:sz w:val="18"/>
                <w:szCs w:val="18"/>
                <w:b w:val="1"/>
                <w:bCs w:val="1"/>
                <w:color w:val="auto"/>
              </w:rPr>
              <w:t>cash</w:t>
            </w:r>
          </w:p>
        </w:tc>
        <w:tc>
          <w:tcPr>
            <w:tcW w:w="320" w:type="dxa"/>
            <w:vAlign w:val="bottom"/>
          </w:tcPr>
          <w:p>
            <w:pPr>
              <w:spacing w:after="0"/>
              <w:rPr>
                <w:sz w:val="20"/>
                <w:szCs w:val="20"/>
                <w:color w:val="auto"/>
              </w:rPr>
            </w:pPr>
          </w:p>
        </w:tc>
        <w:tc>
          <w:tcPr>
            <w:tcW w:w="1540" w:type="dxa"/>
            <w:vAlign w:val="bottom"/>
            <w:gridSpan w:val="2"/>
          </w:tcPr>
          <w:p>
            <w:pPr>
              <w:jc w:val="right"/>
              <w:ind w:right="141"/>
              <w:spacing w:after="0"/>
              <w:rPr>
                <w:sz w:val="20"/>
                <w:szCs w:val="20"/>
                <w:color w:val="auto"/>
              </w:rPr>
            </w:pPr>
            <w:r>
              <w:rPr>
                <w:rFonts w:ascii="Arial" w:cs="Arial" w:eastAsia="Arial" w:hAnsi="Arial"/>
                <w:sz w:val="18"/>
                <w:szCs w:val="18"/>
                <w:color w:val="auto"/>
              </w:rPr>
              <w:t>(38,130 )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344,078</w:t>
            </w:r>
          </w:p>
        </w:tc>
        <w:tc>
          <w:tcPr>
            <w:tcW w:w="100" w:type="dxa"/>
            <w:vAlign w:val="bottom"/>
          </w:tcPr>
          <w:p>
            <w:pPr>
              <w:spacing w:after="0"/>
              <w:rPr>
                <w:sz w:val="20"/>
                <w:szCs w:val="20"/>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389,360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351,230</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453,130</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-3595370</wp:posOffset>
            </wp:positionV>
            <wp:extent cx="6858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-3595370</wp:posOffset>
            </wp:positionV>
            <wp:extent cx="6858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-2756535</wp:posOffset>
            </wp:positionV>
            <wp:extent cx="6858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-2756535</wp:posOffset>
            </wp:positionV>
            <wp:extent cx="6858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-864235</wp:posOffset>
            </wp:positionV>
            <wp:extent cx="6858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-572770</wp:posOffset>
            </wp:positionV>
            <wp:extent cx="68580" cy="265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-572770</wp:posOffset>
            </wp:positionV>
            <wp:extent cx="68580" cy="265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-170815</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and noncash information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Cash paid during the period for interest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for acquisition</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Purchase of property and equipment in accounts payable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of redeemable convertible preferred stock</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(13 )</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Issuance of Series C convertible preferred stock upon net exercise of warrants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preferred stock warrants to common stock warrants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6,272</w:t>
            </w:r>
          </w:p>
        </w:tc>
        <w:tc>
          <w:tcPr>
            <w:tcW w:w="100" w:type="dxa"/>
            <w:vAlign w:val="bottom"/>
            <w:shd w:val="clear" w:color="auto" w:fill="CFF0FC"/>
          </w:tcPr>
          <w:p>
            <w:pPr>
              <w:spacing w:after="0"/>
              <w:rPr>
                <w:sz w:val="18"/>
                <w:szCs w:val="18"/>
                <w:color w:val="auto"/>
              </w:rPr>
            </w:pPr>
          </w:p>
        </w:tc>
      </w:tr>
      <w:tr>
        <w:trPr>
          <w:trHeight w:val="188"/>
        </w:trPr>
        <w:tc>
          <w:tcPr>
            <w:tcW w:w="7700" w:type="dxa"/>
            <w:vAlign w:val="bottom"/>
          </w:tcPr>
          <w:p>
            <w:pPr>
              <w:ind w:left="20"/>
              <w:spacing w:after="0" w:line="188" w:lineRule="exact"/>
              <w:rPr>
                <w:sz w:val="20"/>
                <w:szCs w:val="20"/>
                <w:color w:val="auto"/>
              </w:rPr>
            </w:pPr>
            <w:r>
              <w:rPr>
                <w:rFonts w:ascii="Arial" w:cs="Arial" w:eastAsia="Arial" w:hAnsi="Arial"/>
                <w:sz w:val="18"/>
                <w:szCs w:val="18"/>
                <w:color w:val="auto"/>
              </w:rPr>
              <w:t>Conversion of convertible preferred stock to common stock upon initial public</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700" w:type="dxa"/>
            <w:vAlign w:val="bottom"/>
          </w:tcPr>
          <w:p>
            <w:pPr>
              <w:ind w:left="180"/>
              <w:spacing w:after="0"/>
              <w:rPr>
                <w:sz w:val="20"/>
                <w:szCs w:val="20"/>
                <w:color w:val="auto"/>
              </w:rPr>
            </w:pPr>
            <w:r>
              <w:rPr>
                <w:rFonts w:ascii="Arial" w:cs="Arial" w:eastAsia="Arial" w:hAnsi="Arial"/>
                <w:sz w:val="18"/>
                <w:szCs w:val="18"/>
                <w:color w:val="auto"/>
              </w:rPr>
              <w:t>offering</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116,818</w:t>
            </w:r>
          </w:p>
        </w:tc>
        <w:tc>
          <w:tcPr>
            <w:tcW w:w="100" w:type="dxa"/>
            <w:vAlign w:val="bottom"/>
          </w:tcPr>
          <w:p>
            <w:pPr>
              <w:spacing w:after="0"/>
              <w:rPr>
                <w:sz w:val="18"/>
                <w:szCs w:val="18"/>
                <w:color w:val="auto"/>
              </w:rPr>
            </w:pPr>
          </w:p>
        </w:tc>
      </w:tr>
      <w:tr>
        <w:trPr>
          <w:trHeight w:val="188"/>
        </w:trPr>
        <w:tc>
          <w:tcPr>
            <w:tcW w:w="7700" w:type="dxa"/>
            <w:vAlign w:val="bottom"/>
            <w:shd w:val="clear" w:color="auto" w:fill="CFF0FC"/>
          </w:tcPr>
          <w:p>
            <w:pPr>
              <w:ind w:left="20"/>
              <w:spacing w:after="0" w:line="188" w:lineRule="exact"/>
              <w:rPr>
                <w:sz w:val="20"/>
                <w:szCs w:val="20"/>
                <w:color w:val="auto"/>
              </w:rPr>
            </w:pPr>
            <w:r>
              <w:rPr>
                <w:rFonts w:ascii="Arial" w:cs="Arial" w:eastAsia="Arial" w:hAnsi="Arial"/>
                <w:sz w:val="18"/>
                <w:szCs w:val="18"/>
                <w:color w:val="auto"/>
              </w:rPr>
              <w:t>Conversion of redeemable convertible preferred stock to common stock upon</w:t>
            </w: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7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initial public offering</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179,517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349,230</w:t>
            </w:r>
          </w:p>
        </w:tc>
        <w:tc>
          <w:tcPr>
            <w:tcW w:w="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449,130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Cash, cash equivalents and restricted cash</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351,230</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453,130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Overview and Summary of Significant Accounting Policies</w:t>
      </w:r>
    </w:p>
    <w:p>
      <w:pPr>
        <w:spacing w:after="0" w:line="193"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14 countries across 5 continents.</w:t>
      </w:r>
    </w:p>
    <w:p>
      <w:pPr>
        <w:spacing w:after="0" w:line="156"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w:t>
      </w:r>
    </w:p>
    <w:p>
      <w:pPr>
        <w:spacing w:after="0" w:line="1" w:lineRule="exact"/>
        <w:rPr>
          <w:sz w:val="20"/>
          <w:szCs w:val="20"/>
          <w:color w:val="auto"/>
        </w:rPr>
      </w:pPr>
    </w:p>
    <w:p>
      <w:pPr>
        <w:ind w:right="420" w:firstLine="8"/>
        <w:spacing w:after="0" w:line="245"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next-gen payments platform, (ii) a proprietary global payment network, and (iii) vertical-specific software backed by its deep industry expertise.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0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On May 28, 2021, in connection with the Company’s initial public offering (IPO), the Company filed an amended and restated certificate of incorporation, which became effective on that date. The amended and restated certificate of incorporation authorized the issuance of 2,000,000,000 shares of voting common stock, 10,000,000 shares of non-voting common stock and 10,000,000 shares of preferred stock. Each class of stock has a par value of $0.0001 per share.</w:t>
      </w:r>
    </w:p>
    <w:p>
      <w:pPr>
        <w:spacing w:after="0" w:line="160"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On May 28, 2021, the Company completed its IPO, in which the Company issued and sold 12,006,000 shares of voting common stock at a public offering price of $24.00 per share, which included 1,566,000 shares of voting common stock issued pursuant to the exercise in full of the underwriters' option to purchase additional shares. The Company received $263.8 million in net proceeds from the IPO, after deducting underwriting discounts and commissions of $19.4 million and other offering costs of $4.9 million.</w:t>
      </w:r>
    </w:p>
    <w:p>
      <w:pPr>
        <w:spacing w:after="0" w:line="173" w:lineRule="exact"/>
        <w:rPr>
          <w:sz w:val="20"/>
          <w:szCs w:val="20"/>
          <w:color w:val="auto"/>
        </w:rPr>
      </w:pPr>
    </w:p>
    <w:p>
      <w:pPr>
        <w:ind w:right="40" w:firstLine="509"/>
        <w:spacing w:after="0" w:line="256" w:lineRule="auto"/>
        <w:rPr>
          <w:sz w:val="20"/>
          <w:szCs w:val="20"/>
          <w:color w:val="auto"/>
        </w:rPr>
      </w:pPr>
      <w:r>
        <w:rPr>
          <w:rFonts w:ascii="Arial" w:cs="Arial" w:eastAsia="Arial" w:hAnsi="Arial"/>
          <w:sz w:val="17"/>
          <w:szCs w:val="17"/>
          <w:color w:val="auto"/>
        </w:rPr>
        <w:t>Immediately prior to the closing of the IPO, all shares of the Company’s outstanding convertible preferred stock and redeemable convertible preferred stock, including 182,467 shares of preferred stock issued upon exercise of a warrant immediately prior to the closing of the IPO, were converted into 62,214,406 shares of voting common stock and 5,988,378 shares of non-voting common stock. Prior to the closing of the IPO, the Company had warrants to purchase 190,500 shares of its convertible preferred stock outstanding, such warrants were converted immediately prior to the closing of the IPO into warrants to purchase 190,500 shares of the Company’s voting common stock and the associated preferred stock warrant liabilities were remeasured to its fair value of $6.3 million and reclassified to additional paid-in capital.</w:t>
      </w:r>
    </w:p>
    <w:p>
      <w:pPr>
        <w:spacing w:after="0" w:line="165"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Prior to the IPO, deferred offering costs, which consist of legal, accounting, consulting and other direct fees and costs relating to the IPO, were capitalized in other long-term assets. Upon the completion of the IPO, these costs were offset against the proceeds from the IPO and recorded as a reduction to additional paid-in capital.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0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May 2021, the Company filed an amendment to its amended and restated certificate of incorporation to effect a 3- for-1 forward stock split of its common stock, convertible preferred stock and redeemable convertible preferred stock. In connection with the forward stock split, each issued and outstanding share of common stock, automatically and without action on the part of the holders, became three shares of common stock, each issued and outstanding share of convertible preferred stock, automatically and without action on the part of the holders, became three shares of convertible preferred stock and each issued and outstanding share of redeemable convertible preferred stock, automatically and without action on the part of the holders, became three shares of redeemable convertible preferred stock. The par value per share of common stock, convertible preferred stock and redeemable convertible preferred stock was not adjusted. All references to the convertible preferred stock, redeemable convertible preferred stock, common stock, treasury stock, options to purchase common stock, restricted stock awards, warrants to purchase convertible preferred stock, warrants to purchase common stock, per share amounts and related information contained in the condensed consolidated financial statements have been retroactively adjusted to reflect the effect of the stock split for all periods presented.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0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Securities and Exchange Commission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(loss) income, changes in convertible preferred stock, redeemable convertible preferred stock and stockholders’ equity (deficit), and its cash flows for the periods presented.</w:t>
      </w:r>
    </w:p>
    <w:p>
      <w:pPr>
        <w:spacing w:after="0" w:line="175"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results of operations for the nine months ended September 30, 2022, are not necessarily indicative of results to be expected for the year ended December 31, 2022, any other interim periods or any future year or period. The accompanying consolidated balance sheet as of December 31, 2021 was derived from the Company’s audited consolidated financial statements for the year ended December 31, 2021. 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174"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included in the Company’s Annual Report on Form 10-K for the fiscal year ended December 31, 2021.</w:t>
      </w:r>
    </w:p>
    <w:p>
      <w:pPr>
        <w:spacing w:after="0" w:line="171"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The condensed consolidated financial statements include the accounts of Flywire Corporation and its wholly owned subsidiaries. All intercompany accounts and transactions have been eliminated upon consolidation.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06"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information regarding the Company's revenue by geographic area.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0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common stock and stock-based awards, the valuation of the preferred stock warrant liability up until the date of the Company’s IPO, impairment assessment of goodwill, intangibles and other long-lived assets, the valuation of acquired intangible assets and their useful lives, and the valuation of contingent consideration.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March 11, 2020, the World Health Organization declared the outbreak of a novel coronavirus (COVID-19) as a global pandemic. The unprecedented and rapid spread of COVID-19 (including its variants and sub-variants) as well as the shelter-in-place orders, promotion of social distancing measures, restrictions to businesses deemed non-essential, and travel restrictions implemented throughout the United States and globally significantly impacted the verticals in which the Company has been predominantly focused over the last decade, including payment volumes, sales cycles and time to implementation in those verticals. However, during this period, the Company had not experienced any significant client attrition and our net dollar-based retention rate remained strong.</w:t>
      </w:r>
    </w:p>
    <w:p>
      <w:pPr>
        <w:spacing w:after="0" w:line="17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response to the COVID-19 pandemic, the Company executed a reduction in force in May of 2020, cut corporate bonus programs, suspended corporate travel and reduced professional service and other fees. Further, the Company implemented remote working capabilities and measures focused on the safety of the Company’s employees, who Flywire calls FlyMates. During the nine months ended September 30, 2022, the Company observed recoveries in total payment volume and revenue compared to the nine months ended September 30, 2021. The growth in both total payment volume and revenue was primarily a result of economies continuing to reopen, and the resumption of global travel.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Company’s revenue growth from students originating from China may have been negatively impacted by the combination of a decline in visa issuance and COVID-19 related travel obstacles, as well as changes in education destinations. Additionally, the Company has resumed hiring across all departments to meet growth and public company challenges. The Company does not currently foresee the need to take additional actions; however, as variants or sub-variants of COVID-19 emerge, the Company continues to evaluate the nature and extent of these potential impacts to the Company's business, condensed consolidated financial statements, and liquidity.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93"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The Company does not have any operations, including long-lived assets, in Ukraine or Russia, and to the Company’s knowledge, clients do not receive material amounts of payments from payers in these regions. As of the issuance date of these condensed consolidated financial statements, the current conflict between Russia and Ukraine has not had a material impact on the Company’s revenue, results of operations or financial position. However, the Company notes Ukraine is a major engineering hub and the conflict may create a global challenge in outsourcing or hiring engineering talent. In addition, a prolonged conflict or the spill-over of war into other European countries may in the future have an impact on macroeconomic conditions which could significantly impact the verticals in which the Company has been predominantly focused over the last decade. The Company’s payment volumes, sales cycles and time to implementation could be negatively affected and consequently, the Company’s revenue or results of operations or financial position could be adversely impacted as well.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Inflation</w:t>
      </w:r>
    </w:p>
    <w:p>
      <w:pPr>
        <w:spacing w:after="0" w:line="206"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The Company does not believe that inflation had a material effect on its cash flows and results of operations during the three and nine months ended September 30,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206"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 evaluates credit worthiness of its clients and maintains allowances, to the extent necessary, for potential credit losses based upon the aging of its accounts receivable balances and known collection issues. The Company has not experienced any material credit losses for the three and nine months ended September 30, 2022.</w:t>
      </w:r>
    </w:p>
    <w:p>
      <w:pPr>
        <w:spacing w:after="0" w:line="179" w:lineRule="exact"/>
        <w:rPr>
          <w:sz w:val="20"/>
          <w:szCs w:val="20"/>
          <w:color w:val="auto"/>
        </w:rPr>
      </w:pPr>
    </w:p>
    <w:p>
      <w:pPr>
        <w:jc w:val="both"/>
        <w:ind w:right="480" w:firstLine="509"/>
        <w:spacing w:after="0"/>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insurance limit of $250,000. As part of the cash management process, the Company performs periodic reviews of the financial institution credit standing.</w:t>
      </w:r>
    </w:p>
    <w:p>
      <w:pPr>
        <w:spacing w:after="0" w:line="175"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60" w:type="dxa"/>
            <w:vAlign w:val="bottom"/>
          </w:tcPr>
          <w:p>
            <w:pPr>
              <w:spacing w:after="0"/>
              <w:rPr>
                <w:sz w:val="15"/>
                <w:szCs w:val="15"/>
                <w:color w:val="auto"/>
              </w:rPr>
            </w:pPr>
          </w:p>
        </w:tc>
        <w:tc>
          <w:tcPr>
            <w:tcW w:w="1440" w:type="dxa"/>
            <w:vAlign w:val="bottom"/>
          </w:tcPr>
          <w:p>
            <w:pPr>
              <w:jc w:val="center"/>
              <w:ind w:left="228"/>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9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7460" w:type="dxa"/>
            <w:vAlign w:val="bottom"/>
          </w:tcPr>
          <w:p>
            <w:pPr>
              <w:ind w:left="20"/>
              <w:spacing w:after="0"/>
              <w:rPr>
                <w:sz w:val="20"/>
                <w:szCs w:val="20"/>
                <w:color w:val="auto"/>
              </w:rPr>
            </w:pPr>
            <w:r>
              <w:rPr>
                <w:rFonts w:ascii="Arial" w:cs="Arial" w:eastAsia="Arial" w:hAnsi="Arial"/>
                <w:sz w:val="18"/>
                <w:szCs w:val="18"/>
                <w:color w:val="auto"/>
              </w:rPr>
              <w:t>Client A</w:t>
            </w:r>
          </w:p>
        </w:tc>
        <w:tc>
          <w:tcPr>
            <w:tcW w:w="1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17"/>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Client B</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12 %</w:t>
            </w:r>
          </w:p>
        </w:tc>
      </w:tr>
      <w:tr>
        <w:trPr>
          <w:trHeight w:val="216"/>
        </w:trPr>
        <w:tc>
          <w:tcPr>
            <w:tcW w:w="8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Client C</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855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84" w:lineRule="exact"/>
        <w:rPr>
          <w:sz w:val="20"/>
          <w:szCs w:val="20"/>
          <w:color w:val="auto"/>
        </w:rPr>
      </w:pPr>
    </w:p>
    <w:p>
      <w:pPr>
        <w:jc w:val="both"/>
        <w:ind w:right="460" w:firstLine="509"/>
        <w:spacing w:after="0"/>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60" w:type="dxa"/>
            <w:vAlign w:val="bottom"/>
          </w:tcPr>
          <w:p>
            <w:pPr>
              <w:spacing w:after="0"/>
              <w:rPr>
                <w:sz w:val="15"/>
                <w:szCs w:val="15"/>
                <w:color w:val="auto"/>
              </w:rPr>
            </w:pPr>
          </w:p>
        </w:tc>
        <w:tc>
          <w:tcPr>
            <w:tcW w:w="1440" w:type="dxa"/>
            <w:vAlign w:val="bottom"/>
          </w:tcPr>
          <w:p>
            <w:pPr>
              <w:ind w:left="3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900" w:type="dxa"/>
            <w:vAlign w:val="bottom"/>
            <w:gridSpan w:val="2"/>
          </w:tcPr>
          <w:p>
            <w:pPr>
              <w:ind w:left="816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r>
      <w:tr>
        <w:trPr>
          <w:trHeight w:val="208"/>
        </w:trPr>
        <w:tc>
          <w:tcPr>
            <w:tcW w:w="7460" w:type="dxa"/>
            <w:vAlign w:val="bottom"/>
          </w:tcPr>
          <w:p>
            <w:pPr>
              <w:ind w:left="20"/>
              <w:spacing w:after="0"/>
              <w:rPr>
                <w:sz w:val="20"/>
                <w:szCs w:val="20"/>
                <w:color w:val="auto"/>
              </w:rPr>
            </w:pPr>
            <w:r>
              <w:rPr>
                <w:rFonts w:ascii="Arial" w:cs="Arial" w:eastAsia="Arial" w:hAnsi="Arial"/>
                <w:sz w:val="18"/>
                <w:szCs w:val="18"/>
                <w:color w:val="auto"/>
              </w:rPr>
              <w:t>Partner A</w:t>
            </w:r>
          </w:p>
        </w:tc>
        <w:tc>
          <w:tcPr>
            <w:tcW w:w="1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Partner B</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16"/>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Partner C</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17"/>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Partner 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8559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and nine months ended September 30, 2022 and 2021, no clients accounted for 10% or more of revenue.</w:t>
      </w:r>
    </w:p>
    <w:p>
      <w:pPr>
        <w:spacing w:after="0" w:line="184" w:lineRule="exact"/>
        <w:rPr>
          <w:sz w:val="20"/>
          <w:szCs w:val="20"/>
          <w:color w:val="auto"/>
        </w:rPr>
      </w:pPr>
    </w:p>
    <w:p>
      <w:pPr>
        <w:ind w:right="480" w:firstLine="509"/>
        <w:spacing w:after="0" w:line="248" w:lineRule="auto"/>
        <w:rPr>
          <w:sz w:val="20"/>
          <w:szCs w:val="20"/>
          <w:color w:val="auto"/>
        </w:rPr>
      </w:pPr>
      <w:r>
        <w:rPr>
          <w:rFonts w:ascii="Arial" w:cs="Arial" w:eastAsia="Arial" w:hAnsi="Arial"/>
          <w:sz w:val="17"/>
          <w:szCs w:val="17"/>
          <w:color w:val="auto"/>
        </w:rPr>
        <w:t>During the three months ended September 30, 2022 and 2021, revenue from clients located outside of the United States in the aggregate accounted for 44.9% and 32.8% of the Company’s revenue, respectively, with the United Kingdom accounting for 20.9% and</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18.0%, respectively and Canada accounting for 9.5% and 9.7%, respectively. No other countries accounted for 10% or more of revenue for the three months ended September 30, 2022 and 2021.</w:t>
      </w:r>
    </w:p>
    <w:p>
      <w:pPr>
        <w:spacing w:after="0" w:line="143" w:lineRule="exact"/>
        <w:rPr>
          <w:sz w:val="20"/>
          <w:szCs w:val="20"/>
          <w:color w:val="auto"/>
        </w:rPr>
      </w:pPr>
    </w:p>
    <w:p>
      <w:pPr>
        <w:ind w:right="480" w:firstLine="509"/>
        <w:spacing w:after="0" w:line="256" w:lineRule="auto"/>
        <w:rPr>
          <w:sz w:val="20"/>
          <w:szCs w:val="20"/>
          <w:color w:val="auto"/>
        </w:rPr>
      </w:pPr>
      <w:r>
        <w:rPr>
          <w:rFonts w:ascii="Arial" w:cs="Arial" w:eastAsia="Arial" w:hAnsi="Arial"/>
          <w:sz w:val="17"/>
          <w:szCs w:val="17"/>
          <w:color w:val="auto"/>
        </w:rPr>
        <w:t>During the nine months ended September 30, 2022 and 2021, revenue from clients located outside of the United States in the aggregate accounted for 43.8% and 31.8% of the Company’s revenue, respectively, with the United Kingdom accounting for 18.7% and</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13.4%, respectively and Canada accounting for 12.4% and 13.0%, respectively. No other countries accounted for 10% or more of revenue for the nine months ended September 30, 2022 and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Note 1 - Business Overview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the notes and audited consolidated financial statements contained in the Company’s Annual Report on Form 10-K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year ended December 31, 2021. Effective January 1, 2022, Flywire changed its accounting policy for leases resulting from the adoption of Accounting Standards Codification (ASC) 842, Leases and subsequent related Accounting Standards Updates (ASUs). In addition to the Company’s adoption of ASC 842 described below, refer to </w:t>
      </w:r>
      <w:r>
        <w:rPr>
          <w:rFonts w:ascii="Arial" w:cs="Arial" w:eastAsia="Arial" w:hAnsi="Arial"/>
          <w:sz w:val="18"/>
          <w:szCs w:val="18"/>
          <w:i w:val="1"/>
          <w:iCs w:val="1"/>
          <w:color w:val="auto"/>
        </w:rPr>
        <w:t>Recently Accounting Pronouncements Adopted</w:t>
      </w:r>
      <w:r>
        <w:rPr>
          <w:rFonts w:ascii="Arial" w:cs="Arial" w:eastAsia="Arial" w:hAnsi="Arial"/>
          <w:sz w:val="18"/>
          <w:szCs w:val="18"/>
          <w:color w:val="auto"/>
        </w:rPr>
        <w:t xml:space="preserve"> section for other ASUs adopted in 2022. There were no other material changes to accounting policies during the quarter ended September 30,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 xml:space="preserve">On January 1, 2022, Flywire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subsequent related ASUs using January 1, 2022 as the date of initial application. The new lease standard sets out the principles for the recognition, measurement, presentation and disclosure of leases for both parties to a contract (i.e., lessees and lessors). The Company elected the modified retrospective transition option which allows for application of Topic 842 at the adoption date. Therefore, comparative prior period financial information was not adjusted and will continue to be reported under the previous accounting guidance of ASC 840, </w:t>
      </w:r>
      <w:r>
        <w:rPr>
          <w:rFonts w:ascii="Arial" w:cs="Arial" w:eastAsia="Arial" w:hAnsi="Arial"/>
          <w:sz w:val="18"/>
          <w:szCs w:val="18"/>
          <w:i w:val="1"/>
          <w:iCs w:val="1"/>
          <w:color w:val="auto"/>
        </w:rPr>
        <w:t>Leases</w:t>
      </w:r>
      <w:r>
        <w:rPr>
          <w:rFonts w:ascii="Arial" w:cs="Arial" w:eastAsia="Arial" w:hAnsi="Arial"/>
          <w:sz w:val="18"/>
          <w:szCs w:val="18"/>
          <w:color w:val="auto"/>
        </w:rPr>
        <w:t>. No cumulative-effect adjustment to the opening accumulated deficit balance as of January 1, 2022 was necessary as a result of adopting the new standard. The Company elected the “package of practical expedients” permitted under the transition guidance which allowed the Company not to reassess (i) whether any expired or existing contracts are, or contain, leases, (ii) the lease classification for any expired or existing leases and (iii) initial direct costs for any existing leases. The Company also elected the practical expedient not to separate lease and non-lease components, as well as the short-term lease recognition exemption and will not recognize right-of-use (ROU) assets or lease liabilities for leases with a term less than 12 months. As a result of the adoption, the Company recognized ROU assets of $3.0 million in Other assets and a corresponding lease liability of $3.6 million in Other liabilities as of January 1, 2022. The ROU assets were adjusted per Topic 842 transition guidance for the existing deferred rent balance.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 after the Adoption of ASC 842</w:t>
      </w:r>
    </w:p>
    <w:p>
      <w:pPr>
        <w:spacing w:after="0" w:line="18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new leasing standard requires recognition of leases on the consolidated balance sheets as ROU assets and lease liabilities. ROU assets represent the Company's right to use underlying assets for the lease terms and lease liabilities represent our obligation to make lease payments arising from the leases. ROU assets are included in Other assets and lease liabilities are included in Other liabilities. Lease classification is determined at commencement date. All of the Company's leases are accounted for as operating leases. ROU assets and lease liabilities are recognized at the lease commencement date based on the estimated present value of lease payments over the lease term. As the implicit rate of the leases is not determinable, the Company uses its incremental borrowing rate in determining the present value of the lease payments. ROU assets are adjusted for deferred rent and any lease incentives. Variable lease payments for maintenance, property taxes and other operating expenses are recognized as expense in the period in which the obligation for the payment is incurred. The operating lease expense associated with operating leases is recognized as a single lease cost on a straight-line basis over the lease term and is included in general and administrative expenses in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7"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 xml:space="preserve">condensed consolidated statements of operations and comprehensive (loss) income. Refer to </w:t>
      </w:r>
      <w:r>
        <w:rPr>
          <w:rFonts w:ascii="Arial" w:cs="Arial" w:eastAsia="Arial" w:hAnsi="Arial"/>
          <w:sz w:val="18"/>
          <w:szCs w:val="18"/>
          <w:i w:val="1"/>
          <w:iCs w:val="1"/>
          <w:color w:val="auto"/>
        </w:rPr>
        <w:t>Note 15 - Leases</w:t>
      </w:r>
      <w:r>
        <w:rPr>
          <w:rFonts w:ascii="Arial" w:cs="Arial" w:eastAsia="Arial" w:hAnsi="Arial"/>
          <w:sz w:val="18"/>
          <w:szCs w:val="18"/>
          <w:color w:val="auto"/>
        </w:rPr>
        <w:t xml:space="preserve"> for more details on the Company's operating leases.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 for Periods Prior to Adoption of ASC 842</w:t>
      </w:r>
    </w:p>
    <w:p>
      <w:pPr>
        <w:spacing w:after="0" w:line="202" w:lineRule="exact"/>
        <w:rPr>
          <w:sz w:val="20"/>
          <w:szCs w:val="20"/>
          <w:color w:val="auto"/>
        </w:rPr>
      </w:pPr>
    </w:p>
    <w:p>
      <w:pPr>
        <w:ind w:right="340" w:firstLine="509"/>
        <w:spacing w:after="0"/>
        <w:rPr>
          <w:sz w:val="20"/>
          <w:szCs w:val="20"/>
          <w:color w:val="auto"/>
        </w:rPr>
      </w:pPr>
      <w:r>
        <w:rPr>
          <w:rFonts w:ascii="Arial" w:cs="Arial" w:eastAsia="Arial" w:hAnsi="Arial"/>
          <w:sz w:val="18"/>
          <w:szCs w:val="18"/>
          <w:color w:val="auto"/>
        </w:rPr>
        <w:t>Prior to ASC 842 adoption, operating lease arrangements were recorded off-balance sheet and ROU assets and liabilities were not recognized. Operating lease expense was recognized on a straight-line basis over the term of each lease and free rent periods were recorded as a deferred rent liability.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condensed consolidated statements of operations and comprehensive (loss) income. Advertising expenses for the three months ended September 30, 2022 and 2021 were $0.9 million and $0.9 million, respectively. Advertising expenses for the nine months ended September 30, 2022 and 2021 were $3.8 million and $2.0 million,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6"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Other income (expense), net consists of interest income and gains and losses from the remeasurement of foreign currency transactions into their functional currency. For the three months ended September 30, 2022, other income (expense), net consisted of $1.2 million of interest income and $(7.5) million of losses from the remeasurement of foreign currency transactions into their functional currency. For the three months ended September 30, 2021, other income (expense), net consisted of $(0.2) million of losses from the remeasurement of foreign currency transactions into their functional currency. For the nine months ended September 30, 2022, other income (expense), net consisted of $1.4 million of interest income and $(15.1) million of losses from the remeasurement of foreign currency transactions into their functional currency. For the nine months ended September 30, 2021, other income (expense), net consisted of $(0.6) million of losses from the remeasurement of foreign currency transactions into their functional currency.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9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 currently qualifies as an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w:t>
      </w:r>
    </w:p>
    <w:p>
      <w:pPr>
        <w:spacing w:after="0" w:line="173"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 xml:space="preserve">As of June 30, 2022, the Company determined that it will become a large accelerated filer under Rule 12b-2 of the Securities Exchange Act of 1934, as amended (the Exchange Act) as of December 31, 2022 and will no longer be classified as an emerging growth company. Accordingly, the Company will be required to comply with the new or revised accounting pronouncements as of the effective dates applicable to public companies that are not emerging growth companies. Refer to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section below for details on accounting pronouncements that will be adopted in the Company’s Annual Report on Form 10-K for the year ended December 31, 2022 for which adoption had been previously deferred under the emerging growth company status.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8" w:lineRule="exact"/>
        <w:rPr>
          <w:sz w:val="20"/>
          <w:szCs w:val="20"/>
          <w:color w:val="auto"/>
        </w:rPr>
      </w:pPr>
    </w:p>
    <w:p>
      <w:pPr>
        <w:ind w:right="760" w:firstLine="509"/>
        <w:spacing w:after="0" w:line="266" w:lineRule="auto"/>
        <w:rPr>
          <w:sz w:val="20"/>
          <w:szCs w:val="20"/>
          <w:color w:val="auto"/>
        </w:rPr>
      </w:pPr>
      <w:r>
        <w:rPr>
          <w:rFonts w:ascii="Arial" w:cs="Arial" w:eastAsia="Arial" w:hAnsi="Arial"/>
          <w:sz w:val="18"/>
          <w:szCs w:val="18"/>
          <w:color w:val="auto"/>
        </w:rPr>
        <w:t xml:space="preserve">In addition to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described above, the following pronouncements were issued by the Financial Accounting Standards Board (FASB) and adopted by Flywire as of January 1, 2022:</w:t>
      </w:r>
    </w:p>
    <w:p>
      <w:pPr>
        <w:spacing w:after="0" w:line="13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 xml:space="preserve">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The adoption of this standard did not have a material impact on Flywire's consolidated financial statements and disclosures.</w:t>
      </w:r>
    </w:p>
    <w:p>
      <w:pPr>
        <w:spacing w:after="0" w:line="153"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 xml:space="preserve">ASU 2021-04, </w:t>
      </w:r>
      <w:r>
        <w:rPr>
          <w:rFonts w:ascii="Arial" w:cs="Arial" w:eastAsia="Arial" w:hAnsi="Arial"/>
          <w:sz w:val="17"/>
          <w:szCs w:val="17"/>
          <w:i w:val="1"/>
          <w:iCs w:val="1"/>
          <w:color w:val="auto"/>
        </w:rPr>
        <w:t>Earnings Per Share (Topic 260), Debt - Modifications and Extinguishments (Subtopic 470-50), 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and Derivatives and Hedging - Contracts in Entity’s Own Equity (Subtopic 815-40)</w:t>
      </w:r>
      <w:r>
        <w:rPr>
          <w:rFonts w:ascii="Arial" w:cs="Arial" w:eastAsia="Arial" w:hAnsi="Arial"/>
          <w:sz w:val="17"/>
          <w:szCs w:val="17"/>
          <w:color w:val="auto"/>
        </w:rPr>
        <w:t>: ASU 2021-04 requires issuers</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to account for modifications or exchanges of freestanding equity- classified written call options (e.g., warrants) that remain equity classified after the modification or exchange based on the substance of the modification or exchange (e.g., a financing transaction to raise equity versus one to raise debt).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adoption of this standard did not have any impact on Flywire's consolidated financial statements and disclosures as the Company currently does not have any freestanding equity-classified written call options within the scope of this standard.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ASUs were issued by the FASB and not yet adopted by Flywire: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and</w:t>
      </w:r>
    </w:p>
    <w:p>
      <w:pPr>
        <w:spacing w:after="0" w:line="2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subsequent related ASUs: ASU 2016-13 replaces the current incurred loss impairment model that recognizes losses when a probable threshold is met with a requirement to recognize lifetime expected credit losses immediately when a financial asset is originated or purchased. ASU 2016-13 is effective for emerging growth companies that have adopted the private company relief on January 1, 2023, with early adoption permitted. The Company will adopt ASU 2016-13 retroactively effective as of January 1, 2022 in the Company’s Annual Report on Form 10-K for the year ended December 31, 2022, as it will be designated a large accelerated filer on that date. The Company is currently evaluating the impact of this standard on its consolidated financial statements and disclosures.</w:t>
      </w:r>
    </w:p>
    <w:p>
      <w:pPr>
        <w:spacing w:after="0" w:line="161"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 xml:space="preserve">ASU 2020-06, </w:t>
      </w:r>
      <w:r>
        <w:rPr>
          <w:rFonts w:ascii="Arial" w:cs="Arial" w:eastAsia="Arial" w:hAnsi="Arial"/>
          <w:sz w:val="17"/>
          <w:szCs w:val="17"/>
          <w:i w:val="1"/>
          <w:iCs w:val="1"/>
          <w:color w:val="auto"/>
        </w:rPr>
        <w:t>Debt - Debt with Conversion and Other Options (Subtopic 470-20) and Derivatives and Hedging - Contracts in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Own Equity (Subtopic 815-40)</w:t>
      </w:r>
      <w:r>
        <w:rPr>
          <w:rFonts w:ascii="Arial" w:cs="Arial" w:eastAsia="Arial" w:hAnsi="Arial"/>
          <w:sz w:val="17"/>
          <w:szCs w:val="17"/>
          <w:color w:val="auto"/>
        </w:rPr>
        <w:t>: Accounting for Convertible Instruments and Contracts in an Entity’s Own Equity: ASU 2020-06 reduces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accounting models for convertible debt instruments and convertible preferred stock as well as amends the derivatives scope exception for contracts in an entity’s own equity. ASU 2020-06 is effective for emerging growth companies that have adopted the private company relief on January 1, 2024, with early adoption permitted. The Company will adopt ASU 2020-06 retroactively effective as of January 1, 2022 in the Company’s Annual Report on Form 10-K for the year ended December 31, 2022, as it will be designated a large accelerated filer on that date. The Company is currently evaluating the impact of this standard on its consolidated financial statements and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and Recognition</w:t>
      </w:r>
    </w:p>
    <w:p>
      <w:pPr>
        <w:spacing w:after="0" w:line="206" w:lineRule="exact"/>
        <w:rPr>
          <w:sz w:val="20"/>
          <w:szCs w:val="20"/>
          <w:color w:val="auto"/>
        </w:rPr>
      </w:pPr>
    </w:p>
    <w:p>
      <w:pPr>
        <w:ind w:right="540" w:firstLine="509"/>
        <w:spacing w:after="0" w:line="245" w:lineRule="auto"/>
        <w:rPr>
          <w:sz w:val="20"/>
          <w:szCs w:val="20"/>
          <w:color w:val="auto"/>
        </w:rPr>
      </w:pPr>
      <w:r>
        <w:rPr>
          <w:rFonts w:ascii="Arial" w:cs="Arial" w:eastAsia="Arial" w:hAnsi="Arial"/>
          <w:sz w:val="18"/>
          <w:szCs w:val="18"/>
          <w:color w:val="auto"/>
        </w:rPr>
        <w:t>The following tables present revenue disaggregated by geographical area and major solutions. The categorization of revenue by geographical location is determined based on location of where the client resides.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52,436</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45,555</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121,494</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Canada</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9,056</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United Kingdom</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19,858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12,217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40,461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Other countries </w:t>
            </w:r>
            <w:r>
              <w:rPr>
                <w:rFonts w:ascii="Arial" w:cs="Arial" w:eastAsia="Arial" w:hAnsi="Arial"/>
                <w:sz w:val="24"/>
                <w:szCs w:val="24"/>
                <w:color w:val="auto"/>
                <w:vertAlign w:val="superscript"/>
              </w:rPr>
              <w: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13,882</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27,625</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95,232</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67,788</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216,322</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149,755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Major solutions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Transactions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77,147</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53,032</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167,494</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Platform and usage-based fees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18,085</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48,828</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95,232</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67,788</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216,322</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149,755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4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-847090</wp:posOffset>
            </wp:positionV>
            <wp:extent cx="7683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-847090</wp:posOffset>
            </wp:positionV>
            <wp:extent cx="7683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-847090</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-264795</wp:posOffset>
            </wp:positionV>
            <wp:extent cx="7683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-264795</wp:posOffset>
            </wp:positionV>
            <wp:extent cx="7683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-264795</wp:posOffset>
            </wp:positionV>
            <wp:extent cx="6858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 No single country included in the "Other countries" category generated 10% or more of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Clients</w:t>
      </w:r>
    </w:p>
    <w:p>
      <w:pPr>
        <w:spacing w:after="0" w:line="206"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clients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9"/>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 of allowances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 current</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w:t>
            </w:r>
          </w:p>
        </w:tc>
        <w:tc>
          <w:tcPr>
            <w:tcW w:w="100" w:type="dxa"/>
            <w:vAlign w:val="bottom"/>
            <w:shd w:val="clear" w:color="auto" w:fill="CFF0FC"/>
          </w:tcPr>
          <w:p>
            <w:pPr>
              <w:spacing w:after="0"/>
              <w:rPr>
                <w:sz w:val="18"/>
                <w:szCs w:val="18"/>
                <w:color w:val="auto"/>
              </w:rPr>
            </w:pPr>
          </w:p>
        </w:tc>
      </w:tr>
      <w:tr>
        <w:trPr>
          <w:trHeight w:val="217"/>
        </w:trPr>
        <w:tc>
          <w:tcPr>
            <w:tcW w:w="7660" w:type="dxa"/>
            <w:vAlign w:val="bottom"/>
          </w:tcPr>
          <w:p>
            <w:pPr>
              <w:ind w:left="20"/>
              <w:spacing w:after="0"/>
              <w:rPr>
                <w:sz w:val="20"/>
                <w:szCs w:val="20"/>
                <w:color w:val="auto"/>
              </w:rPr>
            </w:pPr>
            <w:r>
              <w:rPr>
                <w:rFonts w:ascii="Arial" w:cs="Arial" w:eastAsia="Arial" w:hAnsi="Arial"/>
                <w:sz w:val="18"/>
                <w:szCs w:val="18"/>
                <w:color w:val="auto"/>
              </w:rPr>
              <w:t>Deferred revenue – non-current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r>
    </w:tbl>
    <w:p>
      <w:pPr>
        <w:spacing w:after="0" w:line="17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For the three months ended September 30, 2022 and 2021, the Company recognized $1.6 million and $0.2 million, respectively, of revenue from amounts that were included in deferred revenue as of June 30, 2022 and 2021. For the nine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months ended September 30, 2022 and 2021, the Company recognized $5.2 million and $0.9 million, respectively, of revenue from amounts that were included in deferred revenue as of December 31, 2021 and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Allowance for Doubtful Accounts</w:t>
      </w:r>
    </w:p>
    <w:p>
      <w:pPr>
        <w:spacing w:after="0" w:line="193"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Changes in the allowance for doubtful accounts for the three and nine months ended September 30, 2022 and 2021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1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Allowance for doubtful accounts at the beginning of the period</w:t>
            </w:r>
          </w:p>
        </w:tc>
        <w:tc>
          <w:tcPr>
            <w:tcW w:w="76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780" w:type="dxa"/>
            <w:vAlign w:val="bottom"/>
          </w:tcPr>
          <w:p>
            <w:pPr>
              <w:ind w:left="20"/>
              <w:spacing w:after="0"/>
              <w:rPr>
                <w:sz w:val="20"/>
                <w:szCs w:val="20"/>
                <w:color w:val="auto"/>
              </w:rPr>
            </w:pPr>
            <w:r>
              <w:rPr>
                <w:rFonts w:ascii="Arial" w:cs="Arial" w:eastAsia="Arial" w:hAnsi="Arial"/>
                <w:sz w:val="17"/>
                <w:szCs w:val="17"/>
                <w:color w:val="auto"/>
              </w:rPr>
              <w:t>Provisions</w:t>
            </w:r>
          </w:p>
        </w:tc>
        <w:tc>
          <w:tcPr>
            <w:tcW w:w="76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(13 )</w:t>
            </w:r>
          </w:p>
        </w:tc>
        <w:tc>
          <w:tcPr>
            <w:tcW w:w="760" w:type="dxa"/>
            <w:vAlign w:val="bottom"/>
          </w:tcPr>
          <w:p>
            <w:pPr>
              <w:spacing w:after="0"/>
              <w:rPr>
                <w:sz w:val="18"/>
                <w:szCs w:val="18"/>
                <w:color w:val="auto"/>
              </w:rPr>
            </w:pP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(10 )</w:t>
            </w:r>
          </w:p>
        </w:tc>
        <w:tc>
          <w:tcPr>
            <w:tcW w:w="2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(86 )</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16"/>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Write-offs, net of recoveries</w:t>
            </w:r>
          </w:p>
        </w:tc>
        <w:tc>
          <w:tcPr>
            <w:tcW w:w="7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7"/>
                <w:szCs w:val="17"/>
                <w:color w:val="auto"/>
              </w:rPr>
              <w:t>Allowance for doubtful accounts at the end of the period</w:t>
            </w:r>
          </w:p>
        </w:tc>
        <w:tc>
          <w:tcPr>
            <w:tcW w:w="760" w:type="dxa"/>
            <w:vAlign w:val="bottom"/>
          </w:tcPr>
          <w:p>
            <w:pPr>
              <w:jc w:val="right"/>
              <w:ind w:right="559"/>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(143 )</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(26 )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(143 )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-170815</wp:posOffset>
            </wp:positionV>
            <wp:extent cx="7683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-170815</wp:posOffset>
            </wp:positionV>
            <wp:extent cx="76835"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Fair Value Measurements</w:t>
      </w:r>
    </w:p>
    <w:p>
      <w:pPr>
        <w:spacing w:after="0" w:line="20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84"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56"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4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September 30, 2022 and December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gridSpan w:val="10"/>
          </w:tcPr>
          <w:p>
            <w:pPr>
              <w:jc w:val="right"/>
              <w:ind w:right="573"/>
              <w:spacing w:after="0"/>
              <w:rPr>
                <w:sz w:val="20"/>
                <w:szCs w:val="20"/>
                <w:color w:val="auto"/>
              </w:rPr>
            </w:pPr>
            <w:r>
              <w:rPr>
                <w:rFonts w:ascii="Arial" w:cs="Arial" w:eastAsia="Arial" w:hAnsi="Arial"/>
                <w:sz w:val="14"/>
                <w:szCs w:val="14"/>
                <w:b w:val="1"/>
                <w:bCs w:val="1"/>
                <w:color w:val="auto"/>
              </w:rPr>
              <w:t>Fair Value Measurements as of September 30, 2022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1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21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11,016</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21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10"/>
          </w:tcPr>
          <w:p>
            <w:pPr>
              <w:jc w:val="right"/>
              <w:ind w:right="593"/>
              <w:spacing w:after="0"/>
              <w:rPr>
                <w:sz w:val="20"/>
                <w:szCs w:val="20"/>
                <w:color w:val="auto"/>
              </w:rPr>
            </w:pPr>
            <w:r>
              <w:rPr>
                <w:rFonts w:ascii="Arial" w:cs="Arial" w:eastAsia="Arial" w:hAnsi="Arial"/>
                <w:sz w:val="14"/>
                <w:szCs w:val="14"/>
                <w:b w:val="1"/>
                <w:bCs w:val="1"/>
                <w:color w:val="auto"/>
              </w:rPr>
              <w:t>Fair Value Measurements as of December 31, 2021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1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1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11,309</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60" w:type="dxa"/>
            <w:vAlign w:val="bottom"/>
            <w:vMerge w:val="restart"/>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8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-2362835</wp:posOffset>
            </wp:positionV>
            <wp:extent cx="76835" cy="307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-2362835</wp:posOffset>
            </wp:positionV>
            <wp:extent cx="68580" cy="3079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-2362835</wp:posOffset>
            </wp:positionV>
            <wp:extent cx="68580" cy="3079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3079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020" w:firstLine="509"/>
        <w:spacing w:after="0" w:line="445" w:lineRule="auto"/>
        <w:rPr>
          <w:sz w:val="20"/>
          <w:szCs w:val="20"/>
          <w:color w:val="auto"/>
        </w:rPr>
      </w:pPr>
      <w:r>
        <w:rPr>
          <w:rFonts w:ascii="Arial" w:cs="Arial" w:eastAsia="Arial" w:hAnsi="Arial"/>
          <w:sz w:val="18"/>
          <w:szCs w:val="18"/>
          <w:color w:val="auto"/>
        </w:rPr>
        <w:t xml:space="preserve">During the three and nine months ended September 30, 2022, there were no transfers between Level 1, Level 2 or Level 3. </w:t>
      </w:r>
      <w:r>
        <w:rPr>
          <w:rFonts w:ascii="Arial" w:cs="Arial" w:eastAsia="Arial" w:hAnsi="Arial"/>
          <w:sz w:val="18"/>
          <w:szCs w:val="18"/>
          <w:b w:val="1"/>
          <w:bCs w:val="1"/>
          <w:i w:val="1"/>
          <w:iCs w:val="1"/>
          <w:color w:val="auto"/>
        </w:rPr>
        <w:t>Contingent consideration</w:t>
      </w:r>
    </w:p>
    <w:p>
      <w:pPr>
        <w:spacing w:after="0" w:line="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clients in the healthcare market. The acquisition of Simplee was accounted for as a business combination. Pursuant to the terms of the business combination agreement, the Company acquired all outstanding equity of Simplee for estimated total consideration of $86.5 million, which consisted of $79.4 million in cash, net of cash acquired and $7.1 million in estimated fair value of contingent consideration. Contingent consideration, which totaled up to $20.0 million was payable at various intervals provided that the Company retained key clients and achieved certain revenue and integration targets established for the years ended December 31, 2020 and 2021. A portion of the contingent consideration was also tied to continuing employment of certain key employees. During March 2022, the Company made the final payment of contingent consideration in the amount of $7.8 million. No additional contingent consideration is due or payable with respect to the Simplee acquisition.</w:t>
      </w:r>
    </w:p>
    <w:p>
      <w:pPr>
        <w:spacing w:after="0" w:line="182"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The following table presents the unobservable inputs incorporated into the valuation of contingent consideration related to the Simplee acquisition as of December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900" w:type="dxa"/>
            <w:vAlign w:val="bottom"/>
            <w:gridSpan w:val="2"/>
          </w:tcPr>
          <w:p>
            <w:pPr>
              <w:jc w:val="right"/>
              <w:ind w:right="97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400" w:type="dxa"/>
            <w:vAlign w:val="bottom"/>
          </w:tcPr>
          <w:p>
            <w:pPr>
              <w:spacing w:after="0"/>
              <w:rPr>
                <w:sz w:val="16"/>
                <w:szCs w:val="16"/>
                <w:color w:val="auto"/>
              </w:rPr>
            </w:pPr>
          </w:p>
        </w:tc>
        <w:tc>
          <w:tcPr>
            <w:tcW w:w="2740" w:type="dxa"/>
            <w:vAlign w:val="bottom"/>
            <w:tcBorders>
              <w:bottom w:val="single" w:sz="8" w:color="auto"/>
            </w:tcBorders>
          </w:tcPr>
          <w:p>
            <w:pPr>
              <w:jc w:val="right"/>
              <w:ind w:right="111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r>
      <w:tr>
        <w:trPr>
          <w:trHeight w:val="208"/>
        </w:trPr>
        <w:tc>
          <w:tcPr>
            <w:tcW w:w="84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7"/>
        </w:trPr>
        <w:tc>
          <w:tcPr>
            <w:tcW w:w="8400" w:type="dxa"/>
            <w:vAlign w:val="bottom"/>
          </w:tcPr>
          <w:p>
            <w:pPr>
              <w:ind w:left="20"/>
              <w:spacing w:after="0"/>
              <w:rPr>
                <w:sz w:val="20"/>
                <w:szCs w:val="20"/>
                <w:color w:val="auto"/>
              </w:rPr>
            </w:pPr>
            <w:r>
              <w:rPr>
                <w:rFonts w:ascii="Arial" w:cs="Arial" w:eastAsia="Arial" w:hAnsi="Arial"/>
                <w:sz w:val="18"/>
                <w:szCs w:val="18"/>
                <w:color w:val="auto"/>
              </w:rPr>
              <w:t>Probability of successful achievement*</w:t>
            </w:r>
          </w:p>
        </w:tc>
        <w:tc>
          <w:tcPr>
            <w:tcW w:w="2740" w:type="dxa"/>
            <w:vAlign w:val="bottom"/>
          </w:tcPr>
          <w:p>
            <w:pPr>
              <w:jc w:val="right"/>
              <w:spacing w:after="0"/>
              <w:rPr>
                <w:sz w:val="20"/>
                <w:szCs w:val="20"/>
                <w:color w:val="auto"/>
              </w:rPr>
            </w:pPr>
            <w:r>
              <w:rPr>
                <w:rFonts w:ascii="Arial" w:cs="Arial" w:eastAsia="Arial" w:hAnsi="Arial"/>
                <w:sz w:val="18"/>
                <w:szCs w:val="18"/>
                <w:color w:val="auto"/>
              </w:rPr>
              <w:t>0% - 100%</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70" w:lineRule="exact"/>
        <w:rPr>
          <w:sz w:val="20"/>
          <w:szCs w:val="20"/>
          <w:color w:val="auto"/>
        </w:rPr>
      </w:pPr>
    </w:p>
    <w:p>
      <w:pPr>
        <w:jc w:val="both"/>
        <w:ind w:right="200" w:firstLine="509"/>
        <w:spacing w:after="0" w:line="247" w:lineRule="auto"/>
        <w:rPr>
          <w:sz w:val="20"/>
          <w:szCs w:val="20"/>
          <w:color w:val="auto"/>
        </w:rPr>
      </w:pPr>
      <w:r>
        <w:rPr>
          <w:rFonts w:ascii="Arial" w:cs="Arial" w:eastAsia="Arial" w:hAnsi="Arial"/>
          <w:sz w:val="18"/>
          <w:szCs w:val="18"/>
          <w:color w:val="auto"/>
        </w:rPr>
        <w:t>Increases or decreases in any of the probabilities of success in which revenue targets were expected to be achieved would result in a higher or lower fair value measurement, respectively. Increases or decreases in the discount rate would result in a lower or higher fair value measurement, respectively.</w:t>
      </w:r>
    </w:p>
    <w:p>
      <w:pPr>
        <w:spacing w:after="0" w:line="156"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 xml:space="preserve">The following table presents the unobservable inputs incorporated into the valuation of contingent consideration related to the WPM Group Ltd. (WPM) acquisition as of the dates presented.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WPM acquisition.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38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September 30,</w:t>
            </w:r>
          </w:p>
        </w:tc>
        <w:tc>
          <w:tcPr>
            <w:tcW w:w="22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640" w:type="dxa"/>
            <w:vAlign w:val="bottom"/>
            <w:vMerge w:val="restart"/>
          </w:tcPr>
          <w:p>
            <w:pPr>
              <w:ind w:left="20"/>
              <w:spacing w:after="0"/>
              <w:rPr>
                <w:sz w:val="20"/>
                <w:szCs w:val="20"/>
                <w:color w:val="auto"/>
              </w:rPr>
            </w:pPr>
            <w:r>
              <w:rPr>
                <w:rFonts w:ascii="Arial" w:cs="Arial" w:eastAsia="Arial" w:hAnsi="Arial"/>
                <w:sz w:val="18"/>
                <w:szCs w:val="18"/>
                <w:color w:val="auto"/>
              </w:rPr>
              <w:t>Market price of risk adjustment for revenue</w:t>
            </w:r>
          </w:p>
        </w:tc>
        <w:tc>
          <w:tcPr>
            <w:tcW w:w="214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12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8"/>
        </w:trPr>
        <w:tc>
          <w:tcPr>
            <w:tcW w:w="6640" w:type="dxa"/>
            <w:vAlign w:val="bottom"/>
            <w:vMerge w:val="continue"/>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8"/>
                <w:szCs w:val="18"/>
                <w:color w:val="auto"/>
              </w:rPr>
              <w:t>Revenue volatility</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24.2 %</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Probability of successful achievement*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 - 100%</w:t>
            </w:r>
          </w:p>
        </w:tc>
        <w:tc>
          <w:tcPr>
            <w:tcW w:w="24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- 100%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8"/>
                <w:szCs w:val="18"/>
                <w:color w:val="auto"/>
              </w:rPr>
              <w:t>Performance period</w:t>
            </w:r>
          </w:p>
        </w:tc>
        <w:tc>
          <w:tcPr>
            <w:tcW w:w="2380" w:type="dxa"/>
            <w:vAlign w:val="bottom"/>
            <w:gridSpan w:val="2"/>
          </w:tcPr>
          <w:p>
            <w:pPr>
              <w:jc w:val="right"/>
              <w:ind w:right="150"/>
              <w:spacing w:after="0"/>
              <w:rPr>
                <w:sz w:val="20"/>
                <w:szCs w:val="20"/>
                <w:color w:val="auto"/>
              </w:rPr>
            </w:pPr>
            <w:r>
              <w:rPr>
                <w:rFonts w:ascii="Arial" w:cs="Arial" w:eastAsia="Arial" w:hAnsi="Arial"/>
                <w:sz w:val="18"/>
                <w:szCs w:val="18"/>
                <w:color w:val="auto"/>
              </w:rPr>
              <w:t>1.5 years</w:t>
            </w:r>
          </w:p>
        </w:tc>
        <w:tc>
          <w:tcPr>
            <w:tcW w:w="2220" w:type="dxa"/>
            <w:vAlign w:val="bottom"/>
            <w:gridSpan w:val="2"/>
          </w:tcPr>
          <w:p>
            <w:pPr>
              <w:ind w:left="1260"/>
              <w:spacing w:after="0"/>
              <w:rPr>
                <w:sz w:val="20"/>
                <w:szCs w:val="20"/>
                <w:color w:val="auto"/>
              </w:rPr>
            </w:pPr>
            <w:r>
              <w:rPr>
                <w:rFonts w:ascii="Arial" w:cs="Arial" w:eastAsia="Arial" w:hAnsi="Arial"/>
                <w:sz w:val="18"/>
                <w:szCs w:val="18"/>
                <w:color w:val="auto"/>
              </w:rPr>
              <w:t>2.25 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855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8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Increases or decreases in expectations regarding the level at which payment volumes are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73" w:lineRule="exact"/>
        <w:rPr>
          <w:sz w:val="20"/>
          <w:szCs w:val="20"/>
          <w:color w:val="auto"/>
        </w:rPr>
      </w:pPr>
    </w:p>
    <w:p>
      <w:pPr>
        <w:jc w:val="both"/>
        <w:ind w:right="240" w:firstLine="509"/>
        <w:spacing w:after="0"/>
        <w:rPr>
          <w:sz w:val="20"/>
          <w:szCs w:val="20"/>
          <w:color w:val="auto"/>
        </w:rPr>
      </w:pPr>
      <w:r>
        <w:rPr>
          <w:rFonts w:ascii="Arial" w:cs="Arial" w:eastAsia="Arial" w:hAnsi="Arial"/>
          <w:sz w:val="18"/>
          <w:szCs w:val="18"/>
          <w:color w:val="auto"/>
        </w:rPr>
        <w:t xml:space="preserve">The following table presents the unobservable inputs incorporated into the valuation of contingent consideration related to the Cohort Solutions Pty Ltd. (Cohort Go) acquisition as of September 30, 2022.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Cohort Go acquisition.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860" w:type="dxa"/>
            <w:vAlign w:val="bottom"/>
            <w:gridSpan w:val="2"/>
          </w:tcPr>
          <w:p>
            <w:pPr>
              <w:jc w:val="right"/>
              <w:ind w:right="930"/>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8440" w:type="dxa"/>
            <w:vAlign w:val="bottom"/>
          </w:tcPr>
          <w:p>
            <w:pPr>
              <w:spacing w:after="0"/>
              <w:rPr>
                <w:sz w:val="16"/>
                <w:szCs w:val="16"/>
                <w:color w:val="auto"/>
              </w:rPr>
            </w:pPr>
          </w:p>
        </w:tc>
        <w:tc>
          <w:tcPr>
            <w:tcW w:w="2700" w:type="dxa"/>
            <w:vAlign w:val="bottom"/>
            <w:tcBorders>
              <w:bottom w:val="single" w:sz="8" w:color="auto"/>
            </w:tcBorders>
          </w:tcPr>
          <w:p>
            <w:pPr>
              <w:jc w:val="right"/>
              <w:ind w:right="111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r>
      <w:tr>
        <w:trPr>
          <w:trHeight w:val="208"/>
        </w:trPr>
        <w:tc>
          <w:tcPr>
            <w:tcW w:w="84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70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7"/>
        </w:trPr>
        <w:tc>
          <w:tcPr>
            <w:tcW w:w="8440" w:type="dxa"/>
            <w:vAlign w:val="bottom"/>
          </w:tcPr>
          <w:p>
            <w:pPr>
              <w:ind w:left="20"/>
              <w:spacing w:after="0"/>
              <w:rPr>
                <w:sz w:val="20"/>
                <w:szCs w:val="20"/>
                <w:color w:val="auto"/>
              </w:rPr>
            </w:pPr>
            <w:r>
              <w:rPr>
                <w:rFonts w:ascii="Arial" w:cs="Arial" w:eastAsia="Arial" w:hAnsi="Arial"/>
                <w:sz w:val="18"/>
                <w:szCs w:val="18"/>
                <w:color w:val="auto"/>
              </w:rPr>
              <w:t>Probability of successful achievement*</w:t>
            </w:r>
          </w:p>
        </w:tc>
        <w:tc>
          <w:tcPr>
            <w:tcW w:w="2700" w:type="dxa"/>
            <w:vAlign w:val="bottom"/>
          </w:tcPr>
          <w:p>
            <w:pPr>
              <w:jc w:val="right"/>
              <w:spacing w:after="0"/>
              <w:rPr>
                <w:sz w:val="20"/>
                <w:szCs w:val="20"/>
                <w:color w:val="auto"/>
              </w:rPr>
            </w:pPr>
            <w:r>
              <w:rPr>
                <w:rFonts w:ascii="Arial" w:cs="Arial" w:eastAsia="Arial" w:hAnsi="Arial"/>
                <w:sz w:val="18"/>
                <w:szCs w:val="18"/>
                <w:color w:val="auto"/>
              </w:rPr>
              <w:t>75% - 100%</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8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Increases or decreases in any of the probabilities of success in which the specific post-acquisition milestones were expected to be achieved would result in a higher or lower fair value measurement, respectively. Increases or decreases in the discount rate would result in a lower or higher fair value measurement, respectively.</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value of the contingent consideration for the three and nine months ended</w:t>
      </w:r>
    </w:p>
    <w:p>
      <w:pPr>
        <w:spacing w:after="0"/>
        <w:rPr>
          <w:sz w:val="20"/>
          <w:szCs w:val="20"/>
          <w:color w:val="auto"/>
        </w:rPr>
      </w:pPr>
      <w:r>
        <w:rPr>
          <w:rFonts w:ascii="Arial" w:cs="Arial" w:eastAsia="Arial" w:hAnsi="Arial"/>
          <w:sz w:val="18"/>
          <w:szCs w:val="18"/>
          <w:color w:val="auto"/>
        </w:rPr>
        <w:t>September 30, 2022 and 2021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3"/>
                <w:szCs w:val="13"/>
                <w:color w:val="auto"/>
              </w:rPr>
            </w:pPr>
          </w:p>
        </w:tc>
        <w:tc>
          <w:tcPr>
            <w:tcW w:w="1080" w:type="dxa"/>
            <w:vAlign w:val="bottom"/>
          </w:tcPr>
          <w:p>
            <w:pPr>
              <w:jc w:val="center"/>
              <w:ind w:right="79"/>
              <w:spacing w:after="0"/>
              <w:rPr>
                <w:sz w:val="20"/>
                <w:szCs w:val="20"/>
                <w:color w:val="auto"/>
              </w:rPr>
            </w:pPr>
            <w:r>
              <w:rPr>
                <w:rFonts w:ascii="Arial" w:cs="Arial" w:eastAsia="Arial" w:hAnsi="Arial"/>
                <w:sz w:val="13"/>
                <w:szCs w:val="13"/>
                <w:b w:val="1"/>
                <w:bCs w:val="1"/>
                <w:color w:val="auto"/>
              </w:rPr>
              <w:t>Three Months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Nine Months</w:t>
            </w:r>
          </w:p>
        </w:tc>
        <w:tc>
          <w:tcPr>
            <w:tcW w:w="14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Nine Months</w:t>
            </w:r>
          </w:p>
        </w:tc>
      </w:tr>
      <w:tr>
        <w:trPr>
          <w:trHeight w:val="145"/>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20"/>
              <w:spacing w:after="0" w:line="146"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080" w:type="dxa"/>
            <w:vAlign w:val="bottom"/>
          </w:tcPr>
          <w:p>
            <w:pPr>
              <w:jc w:val="center"/>
              <w:ind w:right="59"/>
              <w:spacing w:after="0" w:line="146" w:lineRule="exact"/>
              <w:rPr>
                <w:sz w:val="20"/>
                <w:szCs w:val="20"/>
                <w:color w:val="auto"/>
              </w:rPr>
            </w:pPr>
            <w:r>
              <w:rPr>
                <w:rFonts w:ascii="Arial" w:cs="Arial" w:eastAsia="Arial" w:hAnsi="Arial"/>
                <w:sz w:val="13"/>
                <w:szCs w:val="13"/>
                <w:b w:val="1"/>
                <w:bCs w:val="1"/>
                <w:color w:val="auto"/>
              </w:rPr>
              <w:t>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rPr>
              <w:t>Ended</w:t>
            </w:r>
          </w:p>
        </w:tc>
      </w:tr>
      <w:tr>
        <w:trPr>
          <w:trHeight w:val="138"/>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40"/>
              <w:spacing w:after="0" w:line="138"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2"/>
                <w:szCs w:val="12"/>
                <w:color w:val="auto"/>
              </w:rPr>
            </w:pPr>
          </w:p>
        </w:tc>
        <w:tc>
          <w:tcPr>
            <w:tcW w:w="1080" w:type="dxa"/>
            <w:vAlign w:val="bottom"/>
          </w:tcPr>
          <w:p>
            <w:pPr>
              <w:jc w:val="center"/>
              <w:ind w:right="79"/>
              <w:spacing w:after="0" w:line="138"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2"/>
                <w:szCs w:val="12"/>
                <w:color w:val="auto"/>
              </w:rPr>
            </w:pPr>
          </w:p>
        </w:tc>
        <w:tc>
          <w:tcPr>
            <w:tcW w:w="1380" w:type="dxa"/>
            <w:vAlign w:val="bottom"/>
            <w:gridSpan w:val="3"/>
          </w:tcPr>
          <w:p>
            <w:pPr>
              <w:jc w:val="center"/>
              <w:ind w:right="260"/>
              <w:spacing w:after="0" w:line="138" w:lineRule="exact"/>
              <w:rPr>
                <w:sz w:val="20"/>
                <w:szCs w:val="20"/>
                <w:color w:val="auto"/>
              </w:rPr>
            </w:pPr>
            <w:r>
              <w:rPr>
                <w:rFonts w:ascii="Arial" w:cs="Arial" w:eastAsia="Arial" w:hAnsi="Arial"/>
                <w:sz w:val="13"/>
                <w:szCs w:val="13"/>
                <w:b w:val="1"/>
                <w:bCs w:val="1"/>
                <w:color w:val="auto"/>
              </w:rPr>
              <w:t>September 30,</w:t>
            </w:r>
          </w:p>
        </w:tc>
        <w:tc>
          <w:tcPr>
            <w:tcW w:w="126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rPr>
              <w:t>September 30,</w:t>
            </w:r>
          </w:p>
        </w:tc>
      </w:tr>
      <w:tr>
        <w:trPr>
          <w:trHeight w:val="183"/>
        </w:trPr>
        <w:tc>
          <w:tcPr>
            <w:tcW w:w="5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215"/>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Contingent consideration paid *</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(453 )</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(8,297 )</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(7,012 )</w:t>
            </w: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(270 )</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(581 )</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Borders>
              <w:top w:val="single" w:sz="8" w:color="CFF0FC"/>
            </w:tcBorders>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-170815</wp:posOffset>
            </wp:positionV>
            <wp:extent cx="7683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-170815</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47" w:lineRule="exact"/>
        <w:rPr>
          <w:sz w:val="20"/>
          <w:szCs w:val="20"/>
          <w:color w:val="auto"/>
        </w:rPr>
      </w:pPr>
    </w:p>
    <w:p>
      <w:pPr>
        <w:ind w:firstLine="8"/>
        <w:spacing w:after="0" w:line="248"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months ended September 30, 2022, contingent consideration paid within three months after the acquisition date of Cohort Go of $453 thousand was classified as investing cash flows in the condensed consolidated statement of cash flows given the proximity to the acquisition date. For the nine months ended September 30, 2022 and 2021, the timing of contingent consideration paid was in excess of three months of the acquisition date; accordingly, the cash payments have been bifurcated between the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Instruments</w:t>
      </w:r>
    </w:p>
    <w:p>
      <w:pPr>
        <w:spacing w:after="0" w:line="193"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September 30, 2022 and December 31, 2021, the Company had 1,784 and 8,653 open foreign exchange contracts, respectively. As of September 30, 2022 and December 31, 2021, the Company had foreign currency forward contracts outstanding with a notional amount of $28.2 million and $27.9 million, respectively.</w:t>
      </w:r>
    </w:p>
    <w:p>
      <w:pPr>
        <w:spacing w:after="0" w:line="16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The Company records all derivative instruments in the condensed consolidated balance sheets at their fair values. As of September 30, 2022, the Company recorded a liability of less than $0.1 million and as of December 31, 2021, the Company recorded an asset of less than $0.1 million related to outstanding foreign exchange contracts. The Company recognized a loss of $1.3 million and $1.9 million during the three and nine months ended September 30, 2022, respectively. The Company recognized a loss of less than $0.1 million during the three and nine months ended September 30, 2021. Gain and losses are included as a component of general and administrative expense within the condensed consolidated statements of operations and comprehensive (loss) income.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75"/>
        </w:trPr>
        <w:tc>
          <w:tcPr>
            <w:tcW w:w="7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 and related taxes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income and other non-employee related taxes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29,992</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22,726</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7,414</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(8,161 )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(6,131 )</w:t>
            </w:r>
          </w:p>
        </w:tc>
      </w:tr>
      <w:tr>
        <w:trPr>
          <w:trHeight w:val="209"/>
        </w:trPr>
        <w:tc>
          <w:tcPr>
            <w:tcW w:w="76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12,098</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4"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Depreciation and amortization expense for the three months ended September 30, 2022 and 2021 was $1.4 million and $0.4 million, respectively. Depreciation and amortization expense for the nine months ended September 30, 2022 and 2021 was $2.9 million and $1.4 million, respectively.</w:t>
      </w:r>
    </w:p>
    <w:p>
      <w:pPr>
        <w:spacing w:after="0" w:line="156"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During the nine months ended September 30, 2021, the Company sold $0.1 million of property and equipment with accumulated depreciation of $0.1 million. The Company recognized a gain on the sale of the fixed assets of less than $0.1 million.</w:t>
      </w:r>
    </w:p>
    <w:p>
      <w:pPr>
        <w:spacing w:after="0" w:line="14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Company capitalized $4.1 million and $5.6 million in costs related to internal-use software during the nine months ended September 30, 2022 and the year ended December 31, 2021, respectively. Software developed for internal use is amortized on a straight-line basis over its estimated useful life of five years.</w:t>
      </w:r>
    </w:p>
    <w:p>
      <w:pPr>
        <w:spacing w:after="0" w:line="156"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As of September 30, 2022 and December 31, 2021, the carrying value of internal-use software was $9.5 million and $6.5 million, respectively. Amortization expense related to internal-use software for the three months ended September 30, 2022 and 2021 was $0.5 million and $0.2 million, respectively. Amortization expense related to internal-use software for the nine months ended September 30, 2022 and 2021 was $1.2 million and $0.4 million,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Business Combinations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Cohort Go</w:t>
      </w:r>
    </w:p>
    <w:p>
      <w:pPr>
        <w:spacing w:after="0" w:line="202"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On July 13, 2022, Flywire acquired all of the issued and outstanding shares of Cohort Go, an Australian-based education payments provider that simplifies the student recruitment process by bringing together students, agents and essential student services such as health insurance into one platform. The acquisition of Cohort Go contributed to the Company's global expansion and accelerated the growth of Flywire's agent related revenue, in which Flywire partners with agents who refer students to the Company. The agent related revenue is reported as transaction revenue for Flywire, while the health insurance related revenue is reported as platform revenue. The acquisition of Cohort Go has been accounted for as a business combination.</w:t>
      </w:r>
    </w:p>
    <w:p>
      <w:pPr>
        <w:spacing w:after="0" w:line="15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While the Company uses its best estimates and assumptions as part of the purchase price allocation process to value the assets acquired and liabilities assumed on the acquisition date, its estimates and assumptions are subject to refinement. The net fair value of the acquired intangible assets was determined using the income approach. In performing these valuations, the key underlying judgments and assumptions used included revenue and earnings before interest and taxes growth rates, discount rates, technology royalty rate and attrition rate.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 The finalization of the purchase accounting assessment may result in a change in the valuation of assets acquired and liabilities assumed and may have a material impact on the Company’s results of operations and financial position. As a result, during the measurement period, which may be up to one year from the acquisition date, the Company records adjustments to the assets acquired and liabilities assumed with a corresponding offset to goodwill to reflect additional information received about facts and circumstances which existed at the date of acquisition. The Company records adjustments to the assets acquired and liabilities assumed subsequent to the purchase price allocation period in the Company’s operating results in the period in which the adjustments are determined. Any potential adjustments made could be material in relation to the preliminary values presented.</w:t>
      </w:r>
    </w:p>
    <w:p>
      <w:pPr>
        <w:spacing w:after="0" w:line="177" w:lineRule="exact"/>
        <w:rPr>
          <w:sz w:val="20"/>
          <w:szCs w:val="20"/>
          <w:color w:val="auto"/>
        </w:rPr>
      </w:pPr>
    </w:p>
    <w:p>
      <w:pPr>
        <w:ind w:right="760" w:firstLine="509"/>
        <w:spacing w:after="0" w:line="245" w:lineRule="auto"/>
        <w:rPr>
          <w:sz w:val="20"/>
          <w:szCs w:val="20"/>
          <w:color w:val="auto"/>
        </w:rPr>
      </w:pPr>
      <w:r>
        <w:rPr>
          <w:rFonts w:ascii="Arial" w:cs="Arial" w:eastAsia="Arial" w:hAnsi="Arial"/>
          <w:sz w:val="18"/>
          <w:szCs w:val="18"/>
          <w:color w:val="auto"/>
        </w:rPr>
        <w:t>Pursuant to the terms of the business combination agreement, the Company acquired Cohort Go for estimated total purchase consideration of $32.8 million or $22.9 million, net of cash acquired, which consisted of (in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92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1400" w:type="dxa"/>
            <w:vAlign w:val="bottom"/>
            <w:tcBorders>
              <w:top w:val="single" w:sz="8" w:color="0000FF"/>
            </w:tcBorders>
          </w:tcPr>
          <w:p>
            <w:pPr>
              <w:spacing w:after="0"/>
              <w:rPr>
                <w:sz w:val="19"/>
                <w:szCs w:val="19"/>
                <w:color w:val="auto"/>
              </w:rPr>
            </w:pPr>
          </w:p>
        </w:tc>
        <w:tc>
          <w:tcPr>
            <w:tcW w:w="7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16,923</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Estimated fair value of shares of common stock</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gridSpan w:val="2"/>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22,905</w:t>
            </w:r>
          </w:p>
        </w:tc>
        <w:tc>
          <w:tcPr>
            <w:tcW w:w="10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Contingent consideration, which totals up to $1.7 million represents additional payments that Flywire may be required to make in the future which are dependent upon Cohort Go's achievement of specific post-acquisition milestones established through a period ending March 31, 2023. Contingent consideration will be settled upon completion of the post-acquisition milestones at various intervals through May 2023 in the form of cash or shares of common stock at the Company's option and it is subject to exchange rate fluctuation adjustment between the U.S. Dollar and Australian Dollar. As of September 30, 2022, Flywire had paid $0.5 million in contingent consideration based on Cohort Go's successful and timely achievement of contracted milestones.</w:t>
      </w:r>
    </w:p>
    <w:p>
      <w:pPr>
        <w:spacing w:after="0" w:line="158"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During the three and nine months ended September 30, 2022, the Company incurred $0.2 million and $0.4 million in transaction costs, which are included in general and administrative expenses in the condensed consolidated statements of operations and comprehensive (loss) income.</w:t>
      </w:r>
    </w:p>
    <w:p>
      <w:pPr>
        <w:spacing w:after="0" w:line="156"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The table summarizes the preliminary allocation of the purchase consideration to the assets acquired and liabilities assumed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receivable from payment partners</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17,385</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7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ind w:left="140"/>
              <w:spacing w:after="0"/>
              <w:rPr>
                <w:sz w:val="20"/>
                <w:szCs w:val="20"/>
                <w:color w:val="auto"/>
              </w:rPr>
            </w:pPr>
            <w:r>
              <w:rPr>
                <w:rFonts w:ascii="Arial" w:cs="Arial" w:eastAsia="Arial" w:hAnsi="Arial"/>
                <w:sz w:val="18"/>
                <w:szCs w:val="18"/>
                <w:color w:val="auto"/>
              </w:rPr>
              <w:t>Total assets acquired</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48,806</w:t>
            </w:r>
          </w:p>
        </w:tc>
        <w:tc>
          <w:tcPr>
            <w:tcW w:w="100" w:type="dxa"/>
            <w:vAlign w:val="bottom"/>
          </w:tcPr>
          <w:p>
            <w:pPr>
              <w:spacing w:after="0"/>
              <w:rPr>
                <w:sz w:val="18"/>
                <w:szCs w:val="18"/>
                <w:color w:val="auto"/>
              </w:rPr>
            </w:pPr>
          </w:p>
        </w:tc>
      </w:tr>
      <w:tr>
        <w:trPr>
          <w:trHeight w:val="20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6,417</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payable to clients</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16,021</w:t>
            </w:r>
          </w:p>
        </w:tc>
        <w:tc>
          <w:tcPr>
            <w:tcW w:w="100" w:type="dxa"/>
            <w:vAlign w:val="bottom"/>
          </w:tcPr>
          <w:p>
            <w:pPr>
              <w:spacing w:after="0"/>
              <w:rPr>
                <w:sz w:val="18"/>
                <w:szCs w:val="18"/>
                <w:color w:val="auto"/>
              </w:rPr>
            </w:pPr>
          </w:p>
        </w:tc>
      </w:tr>
      <w:tr>
        <w:trPr>
          <w:trHeight w:val="20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32,785</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w:t>
            </w:r>
          </w:p>
        </w:tc>
        <w:tc>
          <w:tcPr>
            <w:tcW w:w="100" w:type="dxa"/>
            <w:vAlign w:val="bottom"/>
          </w:tcPr>
          <w:p>
            <w:pPr>
              <w:spacing w:after="0"/>
              <w:rPr>
                <w:sz w:val="18"/>
                <w:szCs w:val="18"/>
                <w:color w:val="auto"/>
              </w:rPr>
            </w:pPr>
          </w:p>
        </w:tc>
      </w:tr>
      <w:tr>
        <w:trPr>
          <w:trHeight w:val="249"/>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480" w:firstLine="509"/>
        <w:spacing w:after="0"/>
        <w:rPr>
          <w:sz w:val="20"/>
          <w:szCs w:val="20"/>
          <w:color w:val="auto"/>
        </w:rPr>
      </w:pPr>
      <w:r>
        <w:rPr>
          <w:rFonts w:ascii="Arial" w:cs="Arial" w:eastAsia="Arial" w:hAnsi="Arial"/>
          <w:sz w:val="18"/>
          <w:szCs w:val="18"/>
          <w:color w:val="auto"/>
        </w:rPr>
        <w:t>Goodwill arising from the acquisition of $17.4 million was attributable to the assembled workforce of Cohort Go and the synergies expected to arise from the acquisition. The Company expects that no goodwill from this acquisition will be deductible for income tax purposes.</w:t>
      </w:r>
    </w:p>
    <w:p>
      <w:pPr>
        <w:spacing w:after="0" w:line="175"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The following table reflects the estimated fair values of the identified intangible assets of Cohort Go and their respective weighted-average estimated amortization periods.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r>
      <w:tr>
        <w:trPr>
          <w:trHeight w:val="148"/>
        </w:trPr>
        <w:tc>
          <w:tcPr>
            <w:tcW w:w="7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r>
      <w:tr>
        <w:trPr>
          <w:trHeight w:val="148"/>
        </w:trPr>
        <w:tc>
          <w:tcPr>
            <w:tcW w:w="7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r>
      <w:tr>
        <w:trPr>
          <w:trHeight w:val="162"/>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19"/>
              <w:spacing w:after="0"/>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r>
      <w:tr>
        <w:trPr>
          <w:trHeight w:val="189"/>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Fair Values</w:t>
            </w:r>
          </w:p>
        </w:tc>
        <w:tc>
          <w:tcPr>
            <w:tcW w:w="24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0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39"/>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r>
      <w:tr>
        <w:trPr>
          <w:trHeight w:val="216"/>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Agent and customer relationships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49"/>
        </w:trPr>
        <w:tc>
          <w:tcPr>
            <w:tcW w:w="75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24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The results of Cohort Go have been included in the condensed consolidated financial statements since the date of the acquisition. Cohort Go’s consolidated revenue included in the condensed consolidated financial statements since the acquisition date was $5.1 million. The Company has not disclosed net income or loss since the acquisition date as the business was fully integrated into the consolidated Company’s operations and therefore it was impracticable to determine this amount. The Company has not disclosed unaudited pro forma financial information that shows the results of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760"/>
        <w:spacing w:after="0" w:line="245" w:lineRule="auto"/>
        <w:rPr>
          <w:sz w:val="20"/>
          <w:szCs w:val="20"/>
          <w:color w:val="auto"/>
        </w:rPr>
      </w:pPr>
      <w:r>
        <w:rPr>
          <w:rFonts w:ascii="Arial" w:cs="Arial" w:eastAsia="Arial" w:hAnsi="Arial"/>
          <w:sz w:val="18"/>
          <w:szCs w:val="18"/>
          <w:color w:val="auto"/>
        </w:rPr>
        <w:t>Company’s operations for the three months ended September 30, 2022 as if the acquisition had occurred on January 1, 2021 as the historical results of Cohort Go are not material to the Company’s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WPM</w:t>
      </w:r>
    </w:p>
    <w:p>
      <w:pPr>
        <w:spacing w:after="0" w:line="202"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On December 14, 2021, Flywire completed its acquisition of WPM, a leading software provider that enables seamless and secure receivables payment experiences for universities and colleges across the U.K. The acquisition of WPM was intended to build on Flywire’s existing education payments business and is expected to further accelerate the Company's market share in the U.K. education sector. The acquisition of WPM has been accounted for as a business combination.</w:t>
      </w:r>
    </w:p>
    <w:p>
      <w:pPr>
        <w:spacing w:after="0" w:line="17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Pursuant to the terms of the business combination agreement, the Company acquired all outstanding equity of WPM for estimated total purchase consideration of $59.6 million, which consisted of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56,111</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8"/>
                <w:szCs w:val="18"/>
                <w:color w:val="auto"/>
              </w:rPr>
            </w:pPr>
          </w:p>
        </w:tc>
      </w:tr>
      <w:tr>
        <w:trPr>
          <w:trHeight w:val="249"/>
        </w:trPr>
        <w:tc>
          <w:tcPr>
            <w:tcW w:w="9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contingent consideration is payable at various intervals through March 2024 in the form of up to approximately 225,000 shares of common stock and is dependent upon the Company's achievement of specified minimum payment volume targets and integration targets established for the years ending December 31, 2022 and 2023. A portion of the contingent consideration is also tied to continuing employment of certain key employees; accordingly, approximately 56,000 shares of common stock have been excluded from the purchase consideration. Therefore, total common stock included in the purchase consideration totals up to approximately 169,000 shares of common stock. During the three and nine months ended September 30, 2022, the Company expensed $0.2 million and $0.7 million, respectively, in personnel costs associated with the retention portion of contingent consideration. These personnel costs are included in the Company’s condensed consolidated statements of operations and comprehensive (loss) income and a liability is recorded in accrued expenses and other current liabilities on the condensed consolidated balance sheet. Contingent consideration related to minimum payment volume targets will be settled at 15 months and 27 months after acquisition date based on the 15 months and subsequent 12 months result. Contingent consideration related to integration targets will be settled in common stock upon completion. The contingent consideration related to continuing employment of certain key employees is payable at the two-year acquisition anniversary date.</w:t>
      </w:r>
    </w:p>
    <w:p>
      <w:pPr>
        <w:spacing w:after="0" w:line="162"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Company did not incur any transaction costs related to the WPM acquisition during the three and nine months ended September 30, 2022.</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r>
      <w:tr>
        <w:trPr>
          <w:trHeight w:val="216"/>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40,389</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31,301</w:t>
            </w:r>
          </w:p>
        </w:tc>
        <w:tc>
          <w:tcPr>
            <w:tcW w:w="100" w:type="dxa"/>
            <w:vAlign w:val="bottom"/>
          </w:tcPr>
          <w:p>
            <w:pPr>
              <w:spacing w:after="0"/>
              <w:rPr>
                <w:sz w:val="18"/>
                <w:szCs w:val="18"/>
                <w:color w:val="auto"/>
              </w:rPr>
            </w:pPr>
          </w:p>
        </w:tc>
      </w:tr>
      <w:tr>
        <w:trPr>
          <w:trHeight w:val="209"/>
        </w:trPr>
        <w:tc>
          <w:tcPr>
            <w:tcW w:w="9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assets acquired</w:t>
            </w:r>
          </w:p>
        </w:tc>
        <w:tc>
          <w:tcPr>
            <w:tcW w:w="7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1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8"/>
                <w:szCs w:val="18"/>
                <w:color w:val="auto"/>
              </w:rPr>
            </w:pPr>
          </w:p>
        </w:tc>
      </w:tr>
      <w:tr>
        <w:trPr>
          <w:trHeight w:val="216"/>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9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7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12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tcPr>
          <w:p>
            <w:pPr>
              <w:spacing w:after="0"/>
              <w:rPr>
                <w:sz w:val="18"/>
                <w:szCs w:val="18"/>
                <w:color w:val="auto"/>
              </w:rPr>
            </w:pPr>
          </w:p>
        </w:tc>
      </w:tr>
      <w:tr>
        <w:trPr>
          <w:trHeight w:val="209"/>
        </w:trPr>
        <w:tc>
          <w:tcPr>
            <w:tcW w:w="9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61,711</w:t>
            </w:r>
          </w:p>
        </w:tc>
        <w:tc>
          <w:tcPr>
            <w:tcW w:w="100" w:type="dxa"/>
            <w:vAlign w:val="bottom"/>
            <w:shd w:val="clear" w:color="auto" w:fill="CFF0FC"/>
          </w:tcPr>
          <w:p>
            <w:pPr>
              <w:spacing w:after="0"/>
              <w:rPr>
                <w:sz w:val="18"/>
                <w:szCs w:val="18"/>
                <w:color w:val="auto"/>
              </w:rPr>
            </w:pPr>
          </w:p>
        </w:tc>
      </w:tr>
      <w:tr>
        <w:trPr>
          <w:trHeight w:val="216"/>
        </w:trPr>
        <w:tc>
          <w:tcPr>
            <w:tcW w:w="912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8"/>
                <w:szCs w:val="18"/>
                <w:color w:val="auto"/>
              </w:rPr>
            </w:pPr>
          </w:p>
        </w:tc>
      </w:tr>
      <w:tr>
        <w:trPr>
          <w:trHeight w:val="249"/>
        </w:trPr>
        <w:tc>
          <w:tcPr>
            <w:tcW w:w="9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Goodwill arising from the acquisition of $40.4 million was attributable to the assembled workforce of WPM and the synergies expected to arise from the acquisition. The Company expects that no goodwill from this acquisition will be deductible for income tax purposes.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The following table reflects the estimated fair values of the identified intangible assets of WPM and their respective weighted-average estimated amortization periods.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20" w:type="dxa"/>
            <w:vAlign w:val="bottom"/>
          </w:tcPr>
          <w:p>
            <w:pPr>
              <w:spacing w:after="0"/>
              <w:rPr>
                <w:sz w:val="14"/>
                <w:szCs w:val="14"/>
                <w:color w:val="auto"/>
              </w:rPr>
            </w:pPr>
          </w:p>
        </w:tc>
      </w:tr>
      <w:tr>
        <w:trPr>
          <w:trHeight w:val="148"/>
        </w:trPr>
        <w:tc>
          <w:tcPr>
            <w:tcW w:w="7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2"/>
                <w:szCs w:val="12"/>
                <w:color w:val="auto"/>
              </w:rPr>
            </w:pPr>
          </w:p>
        </w:tc>
      </w:tr>
      <w:tr>
        <w:trPr>
          <w:trHeight w:val="162"/>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39"/>
              <w:spacing w:after="0"/>
              <w:rPr>
                <w:sz w:val="20"/>
                <w:szCs w:val="20"/>
                <w:color w:val="auto"/>
              </w:rPr>
            </w:pPr>
            <w:r>
              <w:rPr>
                <w:rFonts w:ascii="Arial" w:cs="Arial" w:eastAsia="Arial" w:hAnsi="Arial"/>
                <w:sz w:val="14"/>
                <w:szCs w:val="14"/>
                <w:b w:val="1"/>
                <w:bCs w:val="1"/>
                <w:color w:val="auto"/>
              </w:rPr>
              <w:t>Estimated Fair</w:t>
            </w:r>
          </w:p>
        </w:tc>
        <w:tc>
          <w:tcPr>
            <w:tcW w:w="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r>
      <w:tr>
        <w:trPr>
          <w:trHeight w:val="189"/>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Values</w:t>
            </w:r>
          </w:p>
        </w:tc>
        <w:tc>
          <w:tcPr>
            <w:tcW w:w="3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220" w:type="dxa"/>
            <w:vAlign w:val="bottom"/>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39"/>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31,301</w:t>
            </w:r>
          </w:p>
        </w:tc>
        <w:tc>
          <w:tcPr>
            <w:tcW w:w="3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-24765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-7620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The results of WPM have been included in the consolidated financial statements since the date of the acquisition. The Company has not disclosed unaudited pro forma financial information that shows the results of the Company’s operations for the three and nine months ended September 30, 2021 as if the acquisition had occurred on January 1, 2020 as the historical results of WPM are not material to the Company’s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5"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following table summarizes the changes in the carrying amount of goodwill for the three and nine months ended September 30, 2022 and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Nine Months</w:t>
            </w:r>
          </w:p>
        </w:tc>
      </w:tr>
      <w:tr>
        <w:trPr>
          <w:trHeight w:val="148"/>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Ended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Ended</w:t>
            </w:r>
          </w:p>
        </w:tc>
      </w:tr>
      <w:tr>
        <w:trPr>
          <w:trHeight w:val="148"/>
        </w:trPr>
        <w:tc>
          <w:tcPr>
            <w:tcW w:w="5680" w:type="dxa"/>
            <w:vAlign w:val="bottom"/>
          </w:tcPr>
          <w:p>
            <w:pPr>
              <w:spacing w:after="0"/>
              <w:rPr>
                <w:sz w:val="12"/>
                <w:szCs w:val="12"/>
                <w:color w:val="auto"/>
              </w:rPr>
            </w:pPr>
          </w:p>
        </w:tc>
        <w:tc>
          <w:tcPr>
            <w:tcW w:w="14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September 30,</w:t>
            </w: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5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81,643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44,650</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Goodwill related to acquisitions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17,385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17,385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(3,789 )</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(7,987 )</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(18 )</w:t>
            </w:r>
          </w:p>
        </w:tc>
      </w:tr>
      <w:tr>
        <w:trPr>
          <w:trHeight w:val="209"/>
        </w:trPr>
        <w:tc>
          <w:tcPr>
            <w:tcW w:w="5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95,239</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44,632</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95,239</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44,632</w:t>
            </w:r>
          </w:p>
        </w:tc>
        <w:tc>
          <w:tcPr>
            <w:tcW w:w="100" w:type="dxa"/>
            <w:vAlign w:val="bottom"/>
            <w:tcBorders>
              <w:top w:val="single" w:sz="8" w:color="CFF0FC"/>
            </w:tcBorders>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-170815</wp:posOffset>
            </wp:positionV>
            <wp:extent cx="7683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-170815</wp:posOffset>
            </wp:positionV>
            <wp:extent cx="6858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-170815</wp:posOffset>
            </wp:positionV>
            <wp:extent cx="685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goodwill impairment was recorded during the nine months ended September 30, 2022 and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subject to amortization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31,499</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17,411</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Acquired Relationships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(8,131 )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79,707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(511 )</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Non-Compete Agreement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(437 )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360" w:type="dxa"/>
            <w:vAlign w:val="bottom"/>
            <w:tcBorders>
              <w:bottom w:val="single" w:sz="8" w:color="CFF0FC"/>
            </w:tcBorders>
            <w:shd w:val="clear" w:color="auto" w:fill="CFF0FC"/>
          </w:tcPr>
          <w:p>
            <w:pPr>
              <w:spacing w:after="0"/>
              <w:rPr>
                <w:sz w:val="21"/>
                <w:szCs w:val="21"/>
                <w:color w:val="auto"/>
              </w:rPr>
            </w:pPr>
          </w:p>
        </w:tc>
        <w:tc>
          <w:tcPr>
            <w:tcW w:w="4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120,317</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(23,167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97,150</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-127635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-110490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-127635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-110490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-127635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-110490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 Includes $6,141 thousand of foreign currency translation adjustments.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17"/>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17"/>
              <w:spacing w:after="0"/>
              <w:rPr>
                <w:sz w:val="20"/>
                <w:szCs w:val="20"/>
                <w:color w:val="auto"/>
              </w:rPr>
            </w:pPr>
            <w:r>
              <w:rPr>
                <w:rFonts w:ascii="Arial" w:cs="Arial" w:eastAsia="Arial" w:hAnsi="Arial"/>
                <w:sz w:val="14"/>
                <w:szCs w:val="14"/>
                <w:b w:val="1"/>
                <w:bCs w:val="1"/>
                <w:color w:val="auto"/>
                <w:w w:val="98"/>
              </w:rPr>
              <w:t>Value*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26,600</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(10,635</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15,965</w:t>
            </w: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Acquired Relationships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82,887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(5,356 )</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77,531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(511 )</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Non-Compete Agreement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(367 )</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360" w:type="dxa"/>
            <w:vAlign w:val="bottom"/>
            <w:tcBorders>
              <w:bottom w:val="single" w:sz="8" w:color="CFF0FC"/>
            </w:tcBorders>
            <w:shd w:val="clear" w:color="auto" w:fill="CFF0FC"/>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110,467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93,598</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-127635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-110490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-127635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-110490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-127635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-110490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 Includes $628 thousand of foreign currency translation adjustments and $119 thousand in acquired developed technology assets.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the three months ended September 30, 2022 and 2021 was $2.0 million and $1.7 million, respectively.</w:t>
      </w:r>
    </w:p>
    <w:p>
      <w:pPr>
        <w:spacing w:after="0"/>
        <w:rPr>
          <w:sz w:val="20"/>
          <w:szCs w:val="20"/>
          <w:color w:val="auto"/>
        </w:rPr>
      </w:pPr>
      <w:r>
        <w:rPr>
          <w:rFonts w:ascii="Arial" w:cs="Arial" w:eastAsia="Arial" w:hAnsi="Arial"/>
          <w:sz w:val="18"/>
          <w:szCs w:val="18"/>
          <w:color w:val="auto"/>
        </w:rPr>
        <w:t>Amortization expense for the nine months ended September 30, 2022 and 2021 was $6.3 million and $5.0 million, respectively.</w:t>
      </w:r>
    </w:p>
    <w:p>
      <w:pPr>
        <w:spacing w:after="0" w:line="171" w:lineRule="exact"/>
        <w:rPr>
          <w:sz w:val="20"/>
          <w:szCs w:val="20"/>
          <w:color w:val="auto"/>
        </w:rPr>
      </w:pPr>
    </w:p>
    <w:p>
      <w:pPr>
        <w:ind w:right="760" w:firstLine="509"/>
        <w:spacing w:after="0" w:line="261" w:lineRule="auto"/>
        <w:rPr>
          <w:sz w:val="20"/>
          <w:szCs w:val="20"/>
          <w:color w:val="auto"/>
        </w:rPr>
      </w:pPr>
      <w:r>
        <w:rPr>
          <w:rFonts w:ascii="Arial" w:cs="Arial" w:eastAsia="Arial" w:hAnsi="Arial"/>
          <w:sz w:val="18"/>
          <w:szCs w:val="18"/>
          <w:color w:val="auto"/>
        </w:rPr>
        <w:t>As of September 30, 2022, the estimated annual amortization expense of intangible assets for each of the next five years and thereafter is expected to be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center"/>
              <w:ind w:right="255"/>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r>
      <w:tr>
        <w:trPr>
          <w:trHeight w:val="148"/>
        </w:trPr>
        <w:tc>
          <w:tcPr>
            <w:tcW w:w="9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jc w:val="center"/>
              <w:ind w:right="255"/>
              <w:spacing w:after="0" w:line="149" w:lineRule="exact"/>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2"/>
                <w:szCs w:val="12"/>
                <w:color w:val="auto"/>
              </w:rPr>
            </w:pPr>
          </w:p>
        </w:tc>
      </w:tr>
      <w:tr>
        <w:trPr>
          <w:trHeight w:val="189"/>
        </w:trPr>
        <w:tc>
          <w:tcPr>
            <w:tcW w:w="9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6"/>
                <w:szCs w:val="16"/>
                <w:color w:val="auto"/>
              </w:rPr>
            </w:pPr>
          </w:p>
        </w:tc>
      </w:tr>
      <w:tr>
        <w:trPr>
          <w:trHeight w:val="20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Remaining of fiscal year 2022</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10,702</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10,540</w:t>
            </w:r>
          </w:p>
        </w:tc>
        <w:tc>
          <w:tcPr>
            <w:tcW w:w="100" w:type="dxa"/>
            <w:vAlign w:val="bottom"/>
          </w:tcPr>
          <w:p>
            <w:pPr>
              <w:spacing w:after="0"/>
              <w:rPr>
                <w:sz w:val="18"/>
                <w:szCs w:val="18"/>
                <w:color w:val="auto"/>
              </w:rPr>
            </w:pPr>
          </w:p>
        </w:tc>
      </w:tr>
      <w:tr>
        <w:trPr>
          <w:trHeight w:val="216"/>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8,773</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8"/>
                <w:szCs w:val="18"/>
                <w:color w:val="auto"/>
              </w:rPr>
              <w:t>2027</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8,406</w:t>
            </w:r>
          </w:p>
        </w:tc>
        <w:tc>
          <w:tcPr>
            <w:tcW w:w="100" w:type="dxa"/>
            <w:vAlign w:val="bottom"/>
          </w:tcPr>
          <w:p>
            <w:pPr>
              <w:spacing w:after="0"/>
              <w:rPr>
                <w:sz w:val="18"/>
                <w:szCs w:val="18"/>
                <w:color w:val="auto"/>
              </w:rPr>
            </w:pPr>
          </w:p>
        </w:tc>
      </w:tr>
      <w:tr>
        <w:trPr>
          <w:trHeight w:val="216"/>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97,150</w:t>
            </w: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Syndication Loan</w:t>
      </w:r>
    </w:p>
    <w:p>
      <w:pPr>
        <w:spacing w:after="0" w:line="206"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On July 29, 2021, the Company entered into a three-year senior secured revolving credit syndication loan (the Revolving Credit Facility) with three banks for a total commitment of $50.0 million. The Revolving Credit Facility includes a $5.0 million letter of credit sub-facility and a $5.0 million swingline sub-facility, with available borrowings under the Revolving Credit Facility reduced by the amount of any letters of credit and swingline borrowings outstanding from time to time. The Revolving Credit Facility is guaranteed by Flywire’s material domestic subsidiaries. One of the lenders in the syndicate was the existing debt holder under the Loan and Security Agreement (the LSA) entered into in 2018 and amended in 2020.</w:t>
      </w:r>
    </w:p>
    <w:p>
      <w:pPr>
        <w:spacing w:after="0" w:line="158"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The Revolving Credit Facility consists of Alternate Base Rate (ABR) loans or Eurodollar Borrowings, at the Company’s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the Company’s liquidity as of the most recent consolidated financial information and ranges from 0.75% to 2.25%. The Revolving Credit Facility incurs a commitment fee ranging from 0.25% to 0.35% based upon the Company’s liquidity as of the most recent consolidated financial information assessed on the average undrawn portion of the available commitment.</w:t>
      </w:r>
    </w:p>
    <w:p>
      <w:pPr>
        <w:spacing w:after="0" w:line="16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balance of the Revolving Credit Facility becoming immediately due and payable and termination of the commitments. The Company was in compliance with all covenants associated with the Revolving Credit Facility as of September 30, 2022.</w:t>
      </w:r>
    </w:p>
    <w:p>
      <w:pPr>
        <w:spacing w:after="0" w:line="17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On July 29, 2021, the Company drew $25.9 million on the Revolving Credit Facility and used the proceeds to early prepay the LSA $25.0 million term loan. In connection with the transaction, the Company incurred $0.4 million in prepayment costs and $0.3 million in debt issuance costs. Debt issuance costs related to new lenders in the syndication are amortized on a straight-line basis over the term of the Revolving Credit Facility. Debt issuance costs related to the existing lender in the syndication were expensed. The exchange of the LSA term loan with the Revolving Credit Facility from the same lender was accounted for as a modification. Prior to entering into the Revolving Credit Facility, debt issuance costs and debt discounts were amortized to interest expense using the effective interest method over the repayment term of the debt and were presented as an offset to the outstanding debt balance on the consolidated balance sheets. Upon the execution of the Revolving Credit Facility, debt issuance costs and debt discount are amortized on a straight-line basis over the contractual term of the agreement and are presented as a component of other assets on the Company's consolidated balance sheets.</w:t>
      </w:r>
    </w:p>
    <w:p>
      <w:pPr>
        <w:spacing w:after="0" w:line="181" w:lineRule="exact"/>
        <w:rPr>
          <w:sz w:val="20"/>
          <w:szCs w:val="20"/>
          <w:color w:val="auto"/>
        </w:rPr>
      </w:pPr>
    </w:p>
    <w:p>
      <w:pPr>
        <w:ind w:right="260" w:firstLine="509"/>
        <w:spacing w:after="0" w:line="445" w:lineRule="auto"/>
        <w:rPr>
          <w:sz w:val="20"/>
          <w:szCs w:val="20"/>
          <w:color w:val="auto"/>
        </w:rPr>
      </w:pPr>
      <w:r>
        <w:rPr>
          <w:rFonts w:ascii="Arial" w:cs="Arial" w:eastAsia="Arial" w:hAnsi="Arial"/>
          <w:sz w:val="18"/>
          <w:szCs w:val="18"/>
          <w:color w:val="auto"/>
        </w:rPr>
        <w:t xml:space="preserve">As of September 30, 2022 and December 31, 2021, the Company had $25.9 million outstanding under the Revolving Credit Facility. </w:t>
      </w:r>
      <w:r>
        <w:rPr>
          <w:rFonts w:ascii="Arial" w:cs="Arial" w:eastAsia="Arial" w:hAnsi="Arial"/>
          <w:sz w:val="18"/>
          <w:szCs w:val="18"/>
          <w:b w:val="1"/>
          <w:bCs w:val="1"/>
          <w:i w:val="1"/>
          <w:iCs w:val="1"/>
          <w:color w:val="auto"/>
        </w:rPr>
        <w:t>Loan and Security Agreement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16, 2018, the Company entered into the LSA with a financial institution for a $25.0 million loan with interest at a rate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8.5% per annum. The LSA maturity date was January 22, 2022. The Company was obligated to make monthly interest payments on the loan.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LSA was interest only until February 1, 2020 pending on achieving certain revenue and margin targets. The Company incurred debt</w:t>
      </w:r>
    </w:p>
    <w:p>
      <w:pPr>
        <w:spacing w:after="0"/>
        <w:rPr>
          <w:sz w:val="20"/>
          <w:szCs w:val="20"/>
          <w:color w:val="auto"/>
        </w:rPr>
      </w:pPr>
      <w:r>
        <w:rPr>
          <w:rFonts w:ascii="Arial" w:cs="Arial" w:eastAsia="Arial" w:hAnsi="Arial"/>
          <w:sz w:val="18"/>
          <w:szCs w:val="18"/>
          <w:color w:val="auto"/>
        </w:rPr>
        <w:t>issuance costs of $0.2 million in connection with the issuance of the LSA, which were amortized to interest expense, using the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method, over the term of the loan.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April 25, 2020, the Company entered into a Joinder and First Amendment to the LSA for administrative matters.</w:t>
      </w:r>
    </w:p>
    <w:p>
      <w:pPr>
        <w:spacing w:after="0" w:line="18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On May 18, 2020, the Company entered into a Joinder and Second Amendment to the LSA to refinance the LSA. As part of the amendment, the financial institution re-advanced $4.2 million of principal paid on the loan through May 1, 2020. The final maturity date of the LSA was extended to May 2025. The new stated interest rate was at a floating per annum rate equal to the greater of (i) 5.25% above the prime rate; or (ii) 8.50%. The LSA was interest only until May 2023. Beginning on June 1, 2023, the Company would make 24 equal principal payments. The Company incurred $0.2 million in commitment fees from the financial institution to close the refinancing. These commitment fees were recorded as a reduction to the loan balance on the balance sheet.</w:t>
      </w:r>
    </w:p>
    <w:p>
      <w:pPr>
        <w:spacing w:after="0" w:line="179"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On June 2, 2020, December 9, 2020 and May 19, 2021, the Company entered into a Third, Fourth and Fifth Amendment, respectively, to the LSA for administrative matters.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amendments were accounted for as debt modifications.</w:t>
      </w:r>
    </w:p>
    <w:p>
      <w:pPr>
        <w:spacing w:after="0" w:line="184"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On July 29, 2021, the Company drew $25.9 million on its new Revolving Credit Facility and used the proceeds to early prepay the $25.0 million LSA. In connection with the transaction, the Company incurred $0.4 million of prepayment costs.</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Interest expense for the three months ended September 30, 2022 and 2021 was $0.4 million and $0.3 million, respectively. Included in interest expense for the three months ended September 30, 2022 and 2021 is $0.1 million and $0.1 million of amortization of debt issuance cost and debt discount. Interest expense for the nine months ended September 30, 2022 and 2021 was $0.9 million and $1.5 million, respectively. Included in interest expense for the nine months ended September 30, 2022 and 2021 is $0.2 million and $0.2 million, respectively of amortization of debt issuance cost and debt discount.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 (Deficit)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3" w:lineRule="exact"/>
        <w:rPr>
          <w:sz w:val="20"/>
          <w:szCs w:val="20"/>
          <w:color w:val="auto"/>
        </w:rPr>
      </w:pPr>
    </w:p>
    <w:p>
      <w:pPr>
        <w:jc w:val="both"/>
        <w:ind w:right="160" w:firstLine="509"/>
        <w:spacing w:after="0" w:line="239" w:lineRule="auto"/>
        <w:rPr>
          <w:sz w:val="20"/>
          <w:szCs w:val="20"/>
          <w:color w:val="auto"/>
        </w:rPr>
      </w:pPr>
      <w:r>
        <w:rPr>
          <w:rFonts w:ascii="Arial" w:cs="Arial" w:eastAsia="Arial" w:hAnsi="Arial"/>
          <w:sz w:val="18"/>
          <w:szCs w:val="18"/>
          <w:color w:val="auto"/>
        </w:rPr>
        <w:t>In connection with the IPO, the Company’s amended and restated certificate of incorporation became effective, which authorized the issuance of 10,000,000 shares of undesignated preferred stock with a par value of $0.0001 per share with rights and preferences, including voting rights, designated from time to time by the board of directors.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Common Stock</w:t>
      </w:r>
    </w:p>
    <w:p>
      <w:pPr>
        <w:spacing w:after="0" w:line="206"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In connection with the IPO, the Company’s current amended and restated certificate of incorporation authorized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17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Holders of the Company's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78" w:lineRule="exact"/>
        <w:rPr>
          <w:sz w:val="20"/>
          <w:szCs w:val="20"/>
          <w:color w:val="auto"/>
        </w:rPr>
      </w:pPr>
    </w:p>
    <w:p>
      <w:pPr>
        <w:ind w:right="320" w:firstLine="509"/>
        <w:spacing w:after="0" w:line="245" w:lineRule="auto"/>
        <w:rPr>
          <w:sz w:val="20"/>
          <w:szCs w:val="20"/>
          <w:color w:val="auto"/>
        </w:rPr>
      </w:pPr>
      <w:r>
        <w:rPr>
          <w:rFonts w:ascii="Arial" w:cs="Arial" w:eastAsia="Arial" w:hAnsi="Arial"/>
          <w:sz w:val="18"/>
          <w:szCs w:val="18"/>
          <w:color w:val="auto"/>
        </w:rPr>
        <w:t>During the three months ending September 30, 2022, 1,379,537 shares of the Company's non-voting common stock converted into shares of common stock on a one-to-one basis upon the sale of such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60" w:type="dxa"/>
            <w:vAlign w:val="bottom"/>
            <w:gridSpan w:val="2"/>
          </w:tcPr>
          <w:p>
            <w:pPr>
              <w:ind w:left="520"/>
              <w:spacing w:after="0"/>
              <w:rPr>
                <w:sz w:val="20"/>
                <w:szCs w:val="20"/>
                <w:color w:val="auto"/>
              </w:rPr>
            </w:pPr>
            <w:r>
              <w:rPr>
                <w:rFonts w:ascii="Arial" w:cs="Arial" w:eastAsia="Arial" w:hAnsi="Arial"/>
                <w:sz w:val="18"/>
                <w:szCs w:val="18"/>
                <w:color w:val="auto"/>
              </w:rPr>
              <w:t>As of September 30, 2022, the Company had reserved shares of common stock for future issuance as follows: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9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9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Issued and outstanding stock options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12,722,639</w:t>
            </w:r>
          </w:p>
        </w:tc>
        <w:tc>
          <w:tcPr>
            <w:tcW w:w="100" w:type="dxa"/>
            <w:vAlign w:val="bottom"/>
            <w:shd w:val="clear" w:color="auto" w:fill="CFF0FC"/>
          </w:tcPr>
          <w:p>
            <w:pPr>
              <w:spacing w:after="0"/>
              <w:rPr>
                <w:sz w:val="18"/>
                <w:szCs w:val="18"/>
                <w:color w:val="auto"/>
              </w:rPr>
            </w:pPr>
          </w:p>
        </w:tc>
      </w:tr>
      <w:tr>
        <w:trPr>
          <w:trHeight w:val="216"/>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Issued and outstanding restricted stock units</w:t>
            </w:r>
          </w:p>
        </w:tc>
        <w:tc>
          <w:tcPr>
            <w:tcW w:w="1380" w:type="dxa"/>
            <w:vAlign w:val="bottom"/>
          </w:tcPr>
          <w:p>
            <w:pPr>
              <w:jc w:val="right"/>
              <w:spacing w:after="0"/>
              <w:rPr>
                <w:sz w:val="20"/>
                <w:szCs w:val="20"/>
                <w:color w:val="auto"/>
              </w:rPr>
            </w:pPr>
            <w:r>
              <w:rPr>
                <w:rFonts w:ascii="Arial" w:cs="Arial" w:eastAsia="Arial" w:hAnsi="Arial"/>
                <w:sz w:val="18"/>
                <w:szCs w:val="18"/>
                <w:color w:val="auto"/>
              </w:rPr>
              <w:t>2,875,428</w:t>
            </w:r>
          </w:p>
        </w:tc>
        <w:tc>
          <w:tcPr>
            <w:tcW w:w="100" w:type="dxa"/>
            <w:vAlign w:val="bottom"/>
          </w:tcPr>
          <w:p>
            <w:pPr>
              <w:spacing w:after="0"/>
              <w:rPr>
                <w:sz w:val="18"/>
                <w:szCs w:val="18"/>
                <w:color w:val="auto"/>
              </w:rPr>
            </w:pPr>
          </w:p>
        </w:tc>
      </w:tr>
      <w:tr>
        <w:trPr>
          <w:trHeight w:val="216"/>
        </w:trPr>
        <w:tc>
          <w:tcPr>
            <w:tcW w:w="9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Available for issuance under the 2021 Equity Incentive Plan</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11,832,432</w:t>
            </w:r>
          </w:p>
        </w:tc>
        <w:tc>
          <w:tcPr>
            <w:tcW w:w="100" w:type="dxa"/>
            <w:vAlign w:val="bottom"/>
            <w:shd w:val="clear" w:color="auto" w:fill="CFF0FC"/>
          </w:tcPr>
          <w:p>
            <w:pPr>
              <w:spacing w:after="0"/>
              <w:rPr>
                <w:sz w:val="18"/>
                <w:szCs w:val="18"/>
                <w:color w:val="auto"/>
              </w:rPr>
            </w:pPr>
          </w:p>
        </w:tc>
      </w:tr>
      <w:tr>
        <w:trPr>
          <w:trHeight w:val="216"/>
        </w:trPr>
        <w:tc>
          <w:tcPr>
            <w:tcW w:w="9760" w:type="dxa"/>
            <w:vAlign w:val="bottom"/>
            <w:gridSpan w:val="2"/>
          </w:tcPr>
          <w:p>
            <w:pPr>
              <w:ind w:left="20"/>
              <w:spacing w:after="0"/>
              <w:rPr>
                <w:sz w:val="20"/>
                <w:szCs w:val="20"/>
                <w:color w:val="auto"/>
              </w:rPr>
            </w:pPr>
            <w:r>
              <w:rPr>
                <w:rFonts w:ascii="Arial" w:cs="Arial" w:eastAsia="Arial" w:hAnsi="Arial"/>
                <w:sz w:val="18"/>
                <w:szCs w:val="18"/>
                <w:color w:val="auto"/>
              </w:rPr>
              <w:t>Available for issuance under Employee Stock Purchase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2,618,718</w:t>
            </w:r>
          </w:p>
        </w:tc>
        <w:tc>
          <w:tcPr>
            <w:tcW w:w="100" w:type="dxa"/>
            <w:vAlign w:val="bottom"/>
          </w:tcPr>
          <w:p>
            <w:pPr>
              <w:spacing w:after="0"/>
              <w:rPr>
                <w:sz w:val="18"/>
                <w:szCs w:val="18"/>
                <w:color w:val="auto"/>
              </w:rPr>
            </w:pPr>
          </w:p>
        </w:tc>
      </w:tr>
      <w:tr>
        <w:trPr>
          <w:trHeight w:val="216"/>
        </w:trPr>
        <w:tc>
          <w:tcPr>
            <w:tcW w:w="9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Available for conversion of non-voting common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4,608,841</w:t>
            </w:r>
          </w:p>
        </w:tc>
        <w:tc>
          <w:tcPr>
            <w:tcW w:w="100" w:type="dxa"/>
            <w:vAlign w:val="bottom"/>
            <w:shd w:val="clear" w:color="auto" w:fill="CFF0FC"/>
          </w:tcPr>
          <w:p>
            <w:pPr>
              <w:spacing w:after="0"/>
              <w:rPr>
                <w:sz w:val="18"/>
                <w:szCs w:val="18"/>
                <w:color w:val="auto"/>
              </w:rPr>
            </w:pPr>
          </w:p>
        </w:tc>
      </w:tr>
      <w:tr>
        <w:trPr>
          <w:trHeight w:val="209"/>
        </w:trPr>
        <w:tc>
          <w:tcPr>
            <w:tcW w:w="9160" w:type="dxa"/>
            <w:vAlign w:val="bottom"/>
            <w:tcBorders>
              <w:top w:val="single" w:sz="8" w:color="CFF0FC"/>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34,658,058</w:t>
            </w:r>
          </w:p>
        </w:tc>
        <w:tc>
          <w:tcPr>
            <w:tcW w:w="100" w:type="dxa"/>
            <w:vAlign w:val="bottom"/>
            <w:tcBorders>
              <w:top w:val="single" w:sz="8" w:color="CFF0FC"/>
            </w:tcBorders>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Stock-Based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06"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 which became effective in connection with the IPO.</w:t>
      </w:r>
    </w:p>
    <w:p>
      <w:pPr>
        <w:spacing w:after="0" w:line="171"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No further awards are being made under the Company’s 2009 Equity Incentive Plan, as amended (the 2009 Plan) or the Company’s 2018 Equity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6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14,523,284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voting common stock will become available under the 2021 Plan.</w:t>
      </w:r>
    </w:p>
    <w:p>
      <w:pPr>
        <w:spacing w:after="0" w:line="179"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As of September 30, 2022, a total of 11,832,432 shares of the Company's common stock were available for future issuance under the 2021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jc w:val="both"/>
        <w:ind w:right="320" w:firstLine="509"/>
        <w:spacing w:after="0" w:line="247" w:lineRule="auto"/>
        <w:rPr>
          <w:sz w:val="20"/>
          <w:szCs w:val="20"/>
          <w:color w:val="auto"/>
        </w:rPr>
      </w:pPr>
      <w:r>
        <w:rPr>
          <w:rFonts w:ascii="Arial" w:cs="Arial" w:eastAsia="Arial" w:hAnsi="Arial"/>
          <w:sz w:val="18"/>
          <w:szCs w:val="18"/>
          <w:color w:val="auto"/>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56"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The Company did not grant any options to purchase shares of common stock during the three months ended September 30, 2022. During the nine months ended September 30, 2022, the Company granted options to purchase an aggregate of 333,500 shares of common stock with weighted average exercise prices of $30.08 per share.</w:t>
      </w:r>
    </w:p>
    <w:p>
      <w:pPr>
        <w:spacing w:after="0" w:line="156"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fair value of each option award was estimated on the date of grant using the Black-Scholes option-pricing model with the following assumptions: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8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8440" w:type="dxa"/>
            <w:vAlign w:val="bottom"/>
          </w:tcPr>
          <w:p>
            <w:pPr>
              <w:spacing w:after="0"/>
              <w:rPr>
                <w:sz w:val="16"/>
                <w:szCs w:val="16"/>
                <w:color w:val="auto"/>
              </w:rPr>
            </w:pPr>
          </w:p>
        </w:tc>
        <w:tc>
          <w:tcPr>
            <w:tcW w:w="28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September 30, 2022</w:t>
            </w:r>
          </w:p>
        </w:tc>
      </w:tr>
      <w:tr>
        <w:trPr>
          <w:trHeight w:val="20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47.4 %</w:t>
            </w:r>
          </w:p>
        </w:tc>
      </w:tr>
      <w:tr>
        <w:trPr>
          <w:trHeight w:val="216"/>
        </w:trPr>
        <w:tc>
          <w:tcPr>
            <w:tcW w:w="84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As of September 30, 2022, there was $24.6 million of total unrecognized compensation expense related to unvested stock options, which is expected to be recognized over a weighted-average period of 2.3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Units</w:t>
      </w:r>
    </w:p>
    <w:p>
      <w:pPr>
        <w:spacing w:after="0" w:line="206" w:lineRule="exact"/>
        <w:rPr>
          <w:sz w:val="20"/>
          <w:szCs w:val="20"/>
          <w:color w:val="auto"/>
        </w:rPr>
      </w:pPr>
    </w:p>
    <w:p>
      <w:pPr>
        <w:ind w:right="420" w:firstLine="509"/>
        <w:spacing w:after="0"/>
        <w:rPr>
          <w:sz w:val="20"/>
          <w:szCs w:val="20"/>
          <w:color w:val="auto"/>
        </w:rPr>
      </w:pPr>
      <w:r>
        <w:rPr>
          <w:rFonts w:ascii="Arial" w:cs="Arial" w:eastAsia="Arial" w:hAnsi="Arial"/>
          <w:sz w:val="18"/>
          <w:szCs w:val="18"/>
          <w:color w:val="auto"/>
        </w:rPr>
        <w:t>During 2018, the Company granted restricted stock awards to employees under the 2018 Plan. The restricted stock awards vested ratably over a four-year period from the date of grant. The fair value of each restricted stock award was the estimated fair value of the common stock on the date of grant. All restricted stock awards were fully vested as of January 2022.</w:t>
      </w:r>
    </w:p>
    <w:p>
      <w:pPr>
        <w:spacing w:after="0" w:line="175"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During 2021, the Company awarded restricted stock units to employees and certain nonemployee board members under the 2021 Plan. During the three and nine months ended September 30, 2022, the Company awarded restricted stock units covering an aggregate of 146,803 and 2,864,355 shares of common stock, respectively. For the Company's executives, the fair value of the restricted stock units was estimated based upon the trailing 20 day trading price of the Company's common stock and for the remainder of the employees and nonemployee board members receiving restricted stock units, the fair value of the restricted stock units was estimated based upon the market closing price of the Company’s common stock on the date of the grant. The restricted stock units vest over the requisite service period, which range between one and four years from the date of the grant, subject to the continued employment of the employees and service of the non-employee board members.</w:t>
      </w:r>
    </w:p>
    <w:p>
      <w:pPr>
        <w:spacing w:after="0" w:line="178" w:lineRule="exact"/>
        <w:rPr>
          <w:sz w:val="20"/>
          <w:szCs w:val="20"/>
          <w:color w:val="auto"/>
        </w:rPr>
      </w:pPr>
    </w:p>
    <w:p>
      <w:pPr>
        <w:ind w:right="300" w:firstLine="509"/>
        <w:spacing w:after="0" w:line="245" w:lineRule="auto"/>
        <w:rPr>
          <w:sz w:val="20"/>
          <w:szCs w:val="20"/>
          <w:color w:val="auto"/>
        </w:rPr>
      </w:pPr>
      <w:r>
        <w:rPr>
          <w:rFonts w:ascii="Arial" w:cs="Arial" w:eastAsia="Arial" w:hAnsi="Arial"/>
          <w:sz w:val="18"/>
          <w:szCs w:val="18"/>
          <w:color w:val="auto"/>
        </w:rPr>
        <w:t>As of September 30, 2022, there was $58.9 million of total unrecognized compensation expense related to unvested restricted stock units, which is expected to be recognized over a weighted-average period of 3.5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(ESPP), which became effective in connection with the IPO. The ESPP authorizes the issuance of shares of common stock pursuant to purchase rights granted to "eligible employees". A total of 2,618,718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15% of their eligible compensation. Offering periods are generally 6 months long.</w:t>
      </w:r>
    </w:p>
    <w:p>
      <w:pPr>
        <w:spacing w:after="0" w:line="17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fair value of the ESPP offering during the three months ended September 30, 2022 was estimated at the date of the offering using the Black-Scholes option-pricing model with the following assumptions: (i) expected term of 0.5 years, (ii) expected volatility of 77.53%, (iii) risk-free interest rate of 2.52% and (iv) expected dividend yield of 0%.</w:t>
      </w:r>
    </w:p>
    <w:p>
      <w:pPr>
        <w:spacing w:after="0" w:line="175" w:lineRule="exact"/>
        <w:rPr>
          <w:sz w:val="20"/>
          <w:szCs w:val="20"/>
          <w:color w:val="auto"/>
        </w:rPr>
      </w:pPr>
    </w:p>
    <w:p>
      <w:pPr>
        <w:ind w:right="260" w:firstLine="509"/>
        <w:spacing w:after="0" w:line="245" w:lineRule="auto"/>
        <w:rPr>
          <w:sz w:val="20"/>
          <w:szCs w:val="20"/>
          <w:color w:val="auto"/>
        </w:rPr>
      </w:pPr>
      <w:r>
        <w:rPr>
          <w:rFonts w:ascii="Arial" w:cs="Arial" w:eastAsia="Arial" w:hAnsi="Arial"/>
          <w:sz w:val="18"/>
          <w:szCs w:val="18"/>
          <w:color w:val="auto"/>
        </w:rPr>
        <w:t>As of September 30, 2022, the total unrecognized compensation expense related to the ESPP was $0.2 million, which is expected to be amortized over the next 3 months.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Costs</w:t>
      </w:r>
    </w:p>
    <w:p>
      <w:pPr>
        <w:spacing w:after="0" w:line="206"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following table summarizes the stock-based compensation expense for stock options, restricted stock units and ESPP granted to employees that was recorded in the Company’s condensed consolidated statements of operations and comprehensive (loss) income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81"/>
              <w:spacing w:after="0"/>
              <w:rPr>
                <w:sz w:val="20"/>
                <w:szCs w:val="20"/>
                <w:color w:val="auto"/>
              </w:rPr>
            </w:pPr>
            <w:r>
              <w:rPr>
                <w:rFonts w:ascii="Arial" w:cs="Arial" w:eastAsia="Arial" w:hAnsi="Arial"/>
                <w:sz w:val="13"/>
                <w:szCs w:val="13"/>
                <w:b w:val="1"/>
                <w:bCs w:val="1"/>
                <w:color w:val="auto"/>
              </w:rPr>
              <w:t>Three Months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81"/>
              <w:spacing w:after="0"/>
              <w:rPr>
                <w:sz w:val="20"/>
                <w:szCs w:val="20"/>
                <w:color w:val="auto"/>
              </w:rPr>
            </w:pPr>
            <w:r>
              <w:rPr>
                <w:rFonts w:ascii="Arial" w:cs="Arial" w:eastAsia="Arial" w:hAnsi="Arial"/>
                <w:sz w:val="13"/>
                <w:szCs w:val="13"/>
                <w:b w:val="1"/>
                <w:bCs w:val="1"/>
                <w:color w:val="auto"/>
              </w:rPr>
              <w:t>Three Months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80"/>
              <w:spacing w:after="0"/>
              <w:rPr>
                <w:sz w:val="20"/>
                <w:szCs w:val="20"/>
                <w:color w:val="auto"/>
              </w:rPr>
            </w:pPr>
            <w:r>
              <w:rPr>
                <w:rFonts w:ascii="Arial" w:cs="Arial" w:eastAsia="Arial" w:hAnsi="Arial"/>
                <w:sz w:val="13"/>
                <w:szCs w:val="13"/>
                <w:b w:val="1"/>
                <w:bCs w:val="1"/>
                <w:color w:val="auto"/>
              </w:rPr>
              <w:t>Nine Months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100"/>
              <w:spacing w:after="0"/>
              <w:rPr>
                <w:sz w:val="20"/>
                <w:szCs w:val="20"/>
                <w:color w:val="auto"/>
              </w:rPr>
            </w:pPr>
            <w:r>
              <w:rPr>
                <w:rFonts w:ascii="Arial" w:cs="Arial" w:eastAsia="Arial" w:hAnsi="Arial"/>
                <w:sz w:val="13"/>
                <w:szCs w:val="13"/>
                <w:b w:val="1"/>
                <w:bCs w:val="1"/>
                <w:color w:val="auto"/>
              </w:rPr>
              <w:t>Nine Months</w:t>
            </w:r>
          </w:p>
        </w:tc>
        <w:tc>
          <w:tcPr>
            <w:tcW w:w="100" w:type="dxa"/>
            <w:vAlign w:val="bottom"/>
          </w:tcPr>
          <w:p>
            <w:pPr>
              <w:spacing w:after="0"/>
              <w:rPr>
                <w:sz w:val="13"/>
                <w:szCs w:val="13"/>
                <w:color w:val="auto"/>
              </w:rPr>
            </w:pPr>
          </w:p>
        </w:tc>
      </w:tr>
      <w:tr>
        <w:trPr>
          <w:trHeight w:val="145"/>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21"/>
              <w:spacing w:after="0" w:line="146" w:lineRule="exact"/>
              <w:rPr>
                <w:sz w:val="20"/>
                <w:szCs w:val="20"/>
                <w:color w:val="auto"/>
              </w:rPr>
            </w:pPr>
            <w:r>
              <w:rPr>
                <w:rFonts w:ascii="Arial" w:cs="Arial" w:eastAsia="Arial" w:hAnsi="Arial"/>
                <w:sz w:val="13"/>
                <w:szCs w:val="13"/>
                <w:b w:val="1"/>
                <w:bCs w:val="1"/>
                <w:color w:val="auto"/>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1"/>
              <w:spacing w:after="0" w:line="146" w:lineRule="exact"/>
              <w:rPr>
                <w:sz w:val="20"/>
                <w:szCs w:val="20"/>
                <w:color w:val="auto"/>
              </w:rPr>
            </w:pPr>
            <w:r>
              <w:rPr>
                <w:rFonts w:ascii="Arial" w:cs="Arial" w:eastAsia="Arial" w:hAnsi="Arial"/>
                <w:sz w:val="13"/>
                <w:szCs w:val="13"/>
                <w:b w:val="1"/>
                <w:bCs w:val="1"/>
                <w:color w:val="auto"/>
              </w:rPr>
              <w:t>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0"/>
              <w:spacing w:after="0" w:line="146" w:lineRule="exact"/>
              <w:rPr>
                <w:sz w:val="20"/>
                <w:szCs w:val="20"/>
                <w:color w:val="auto"/>
              </w:rPr>
            </w:pPr>
            <w:r>
              <w:rPr>
                <w:rFonts w:ascii="Arial" w:cs="Arial" w:eastAsia="Arial" w:hAnsi="Arial"/>
                <w:sz w:val="13"/>
                <w:szCs w:val="13"/>
                <w:b w:val="1"/>
                <w:bCs w:val="1"/>
                <w:color w:val="auto"/>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60"/>
              <w:spacing w:after="0" w:line="146"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r>
      <w:tr>
        <w:trPr>
          <w:trHeight w:val="138"/>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81"/>
              <w:spacing w:after="0" w:line="138"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81"/>
              <w:spacing w:after="0" w:line="138"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2"/>
                <w:szCs w:val="12"/>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2"/>
                <w:szCs w:val="12"/>
                <w:color w:val="auto"/>
              </w:rPr>
            </w:pPr>
          </w:p>
        </w:tc>
        <w:tc>
          <w:tcPr>
            <w:tcW w:w="11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2"/>
                <w:szCs w:val="12"/>
                <w:color w:val="auto"/>
              </w:rPr>
            </w:pPr>
          </w:p>
        </w:tc>
      </w:tr>
      <w:tr>
        <w:trPr>
          <w:trHeight w:val="183"/>
        </w:trPr>
        <w:tc>
          <w:tcPr>
            <w:tcW w:w="5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215"/>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4,867</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22,461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15,538</w:t>
            </w:r>
          </w:p>
        </w:tc>
        <w:tc>
          <w:tcPr>
            <w:tcW w:w="100" w:type="dxa"/>
            <w:vAlign w:val="bottom"/>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-170815</wp:posOffset>
            </wp:positionV>
            <wp:extent cx="76835"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-170815</wp:posOffset>
            </wp:positionV>
            <wp:extent cx="685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4"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In February 2021, certain of the Company’s existing investors acquired 1,205,118 outstanding shares of common stock from employees of the Company for a purchase price greater than the fair value of the common stock at the time of the transaction. As a result, the Company recorded $8.4 million in stock-based compensation during the nine months ended September 30, 2021. The amount recorded as stock-based compensation represents the difference between the price paid and the estimated fair value at the date of the transaction.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(Loss) per Share</w:t>
      </w:r>
    </w:p>
    <w:p>
      <w:pPr>
        <w:spacing w:after="0" w:line="206"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Flywire follows the two-class method when computing net income (loss) per share as the Company has issued shares that meet the definition of participating securities. Prior to the automatic conversion of all of its convertible preferred stock and redeemable convertible preferred stock into voting and non-voting common stock upon the completion of the IPO, the Company considered all series of its preferred stock and unvested common stock to be participating securities as the holders of such stock had the right to receive nonforfeitable dividends on a pari passu basis in the event that a dividend was paid on common stock. Under the two-class method, the net income (loss) attributable to common stockholders is not allocated to the convertible preferred stock or the redeemable convertible preferred stock as the preferred stockholders do not have a contractual obligation to share in the Company’s losses.</w:t>
      </w:r>
    </w:p>
    <w:p>
      <w:pPr>
        <w:spacing w:after="0" w:line="177"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179"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months ended September 30, 2022 and a net gain attributable to common stockholders for the three months ended September 30, 2021. The Company reported a net loss attributable to common stockholders for the nine months ended September 30, 2022 and 2021. For the three months ended September 30, 2022 and nine months ended September 30, 2022 and 2021, net loss per share attributable to common stockholders was the same as diluted net loss per share attributable to common stockholders.</w:t>
      </w:r>
    </w:p>
    <w:p>
      <w:pPr>
        <w:spacing w:after="0" w:line="16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voting and non-voting common stock on both individual and combined basis.</w:t>
      </w:r>
    </w:p>
    <w:p>
      <w:pPr>
        <w:spacing w:after="0" w:line="173" w:lineRule="exact"/>
        <w:rPr>
          <w:sz w:val="20"/>
          <w:szCs w:val="20"/>
          <w:color w:val="auto"/>
        </w:rPr>
      </w:pPr>
    </w:p>
    <w:p>
      <w:pPr>
        <w:ind w:right="360" w:firstLine="509"/>
        <w:spacing w:after="0" w:line="245"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(in thousands, except share and per share amounts):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4"/>
          </w:tcPr>
          <w:p>
            <w:pPr>
              <w:jc w:val="right"/>
              <w:ind w:right="177"/>
              <w:spacing w:after="0"/>
              <w:rPr>
                <w:sz w:val="20"/>
                <w:szCs w:val="20"/>
                <w:color w:val="auto"/>
              </w:rPr>
            </w:pPr>
            <w:r>
              <w:rPr>
                <w:rFonts w:ascii="Arial" w:cs="Arial" w:eastAsia="Arial" w:hAnsi="Arial"/>
                <w:sz w:val="13"/>
                <w:szCs w:val="13"/>
                <w:b w:val="1"/>
                <w:bCs w:val="1"/>
                <w:color w:val="auto"/>
              </w:rPr>
              <w:t>Three Months Ended September 30,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2022</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Numerator:</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00" w:type="dxa"/>
            <w:vAlign w:val="bottom"/>
          </w:tcPr>
          <w:p>
            <w:pPr>
              <w:ind w:left="280"/>
              <w:spacing w:after="0"/>
              <w:rPr>
                <w:sz w:val="20"/>
                <w:szCs w:val="20"/>
                <w:color w:val="auto"/>
              </w:rPr>
            </w:pPr>
            <w:r>
              <w:rPr>
                <w:rFonts w:ascii="Arial" w:cs="Arial" w:eastAsia="Arial" w:hAnsi="Arial"/>
                <w:sz w:val="17"/>
                <w:szCs w:val="17"/>
                <w:color w:val="auto"/>
              </w:rPr>
              <w:t>Net (loss)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(4,272 )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9,994</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(38,218 )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(16,804 )</w:t>
            </w:r>
          </w:p>
        </w:tc>
        <w:tc>
          <w:tcPr>
            <w:tcW w:w="0" w:type="dxa"/>
            <w:vAlign w:val="bottom"/>
          </w:tcPr>
          <w:p>
            <w:pPr>
              <w:spacing w:after="0"/>
              <w:rPr>
                <w:sz w:val="1"/>
                <w:szCs w:val="1"/>
                <w:color w:val="auto"/>
              </w:rPr>
            </w:pPr>
          </w:p>
        </w:tc>
      </w:tr>
      <w:tr>
        <w:trPr>
          <w:trHeight w:val="202"/>
        </w:trPr>
        <w:tc>
          <w:tcPr>
            <w:tcW w:w="5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Accretion of preferred stock to redemption value</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00" w:type="dxa"/>
            <w:vAlign w:val="bottom"/>
          </w:tcPr>
          <w:p>
            <w:pPr>
              <w:ind w:left="280"/>
              <w:spacing w:after="0" w:line="163" w:lineRule="exact"/>
              <w:rPr>
                <w:sz w:val="20"/>
                <w:szCs w:val="20"/>
                <w:color w:val="auto"/>
              </w:rPr>
            </w:pPr>
            <w:r>
              <w:rPr>
                <w:rFonts w:ascii="Arial" w:cs="Arial" w:eastAsia="Arial" w:hAnsi="Arial"/>
                <w:sz w:val="17"/>
                <w:szCs w:val="17"/>
                <w:color w:val="auto"/>
              </w:rPr>
              <w:t>Net (loss) income attributable to common stockholders –</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(4,272 )</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9,994</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(38,218 )</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(16,817 )</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line="181" w:lineRule="exact"/>
              <w:rPr>
                <w:sz w:val="20"/>
                <w:szCs w:val="20"/>
                <w:color w:val="auto"/>
              </w:rPr>
            </w:pPr>
            <w:r>
              <w:rPr>
                <w:rFonts w:ascii="Arial" w:cs="Arial" w:eastAsia="Arial" w:hAnsi="Arial"/>
                <w:sz w:val="17"/>
                <w:szCs w:val="17"/>
                <w:color w:val="auto"/>
              </w:rPr>
              <w:t>basic and diluted</w:t>
            </w:r>
          </w:p>
        </w:tc>
        <w:tc>
          <w:tcPr>
            <w:tcW w:w="16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shd w:val="clear" w:color="auto" w:fill="CFF0FC"/>
          </w:tcPr>
          <w:p>
            <w:pPr>
              <w:ind w:left="20"/>
              <w:spacing w:after="0" w:line="183" w:lineRule="exact"/>
              <w:rPr>
                <w:sz w:val="20"/>
                <w:szCs w:val="20"/>
                <w:color w:val="auto"/>
              </w:rPr>
            </w:pPr>
            <w:r>
              <w:rPr>
                <w:rFonts w:ascii="Arial" w:cs="Arial" w:eastAsia="Arial" w:hAnsi="Arial"/>
                <w:sz w:val="17"/>
                <w:szCs w:val="17"/>
                <w:color w:val="auto"/>
              </w:rPr>
              <w:t>Denominator:</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700" w:type="dxa"/>
            <w:vAlign w:val="bottom"/>
          </w:tcPr>
          <w:p>
            <w:pPr>
              <w:ind w:left="280"/>
              <w:spacing w:after="0"/>
              <w:rPr>
                <w:sz w:val="20"/>
                <w:szCs w:val="20"/>
                <w:color w:val="auto"/>
              </w:rPr>
            </w:pPr>
            <w:r>
              <w:rPr>
                <w:rFonts w:ascii="Arial" w:cs="Arial" w:eastAsia="Arial" w:hAnsi="Arial"/>
                <w:sz w:val="17"/>
                <w:szCs w:val="17"/>
                <w:color w:val="auto"/>
              </w:rPr>
              <w:t>Weighted average shares outstanding – basic</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107,925,637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104,486,136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107,562,799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59,667,434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Effect of potentially dilutive stock options</w:t>
            </w: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13,722,829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700" w:type="dxa"/>
            <w:vAlign w:val="bottom"/>
          </w:tcPr>
          <w:p>
            <w:pPr>
              <w:ind w:left="280"/>
              <w:spacing w:after="0"/>
              <w:rPr>
                <w:sz w:val="20"/>
                <w:szCs w:val="20"/>
                <w:color w:val="auto"/>
              </w:rPr>
            </w:pPr>
            <w:r>
              <w:rPr>
                <w:rFonts w:ascii="Arial" w:cs="Arial" w:eastAsia="Arial" w:hAnsi="Arial"/>
                <w:sz w:val="17"/>
                <w:szCs w:val="17"/>
                <w:color w:val="auto"/>
              </w:rPr>
              <w:t>Effect of potentially dilutive restricted common stock</w:t>
            </w:r>
          </w:p>
        </w:tc>
        <w:tc>
          <w:tcPr>
            <w:tcW w:w="16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236,942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5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Weighted average common shares outstanding – diluted</w:t>
            </w: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107,925,637</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118,445,907</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107,562,799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59,667,434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5700" w:type="dxa"/>
            <w:vAlign w:val="bottom"/>
          </w:tcPr>
          <w:p>
            <w:pPr>
              <w:ind w:left="280"/>
              <w:spacing w:after="0" w:line="150" w:lineRule="exact"/>
              <w:rPr>
                <w:sz w:val="20"/>
                <w:szCs w:val="20"/>
                <w:color w:val="auto"/>
              </w:rPr>
            </w:pPr>
            <w:r>
              <w:rPr>
                <w:rFonts w:ascii="Arial" w:cs="Arial" w:eastAsia="Arial" w:hAnsi="Arial"/>
                <w:sz w:val="17"/>
                <w:szCs w:val="17"/>
                <w:color w:val="auto"/>
              </w:rPr>
              <w:t>Net (loss) income per share attributable to common</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(0.04 )</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0.10</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(0.36 )</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(0.28 )</w:t>
            </w:r>
          </w:p>
        </w:tc>
        <w:tc>
          <w:tcPr>
            <w:tcW w:w="0" w:type="dxa"/>
            <w:vAlign w:val="bottom"/>
          </w:tcPr>
          <w:p>
            <w:pPr>
              <w:spacing w:after="0"/>
              <w:rPr>
                <w:sz w:val="1"/>
                <w:szCs w:val="1"/>
                <w:color w:val="auto"/>
              </w:rPr>
            </w:pPr>
          </w:p>
        </w:tc>
      </w:tr>
      <w:tr>
        <w:trPr>
          <w:trHeight w:val="181"/>
        </w:trPr>
        <w:tc>
          <w:tcPr>
            <w:tcW w:w="5700" w:type="dxa"/>
            <w:vAlign w:val="bottom"/>
          </w:tcPr>
          <w:p>
            <w:pPr>
              <w:ind w:left="420"/>
              <w:spacing w:after="0" w:line="181" w:lineRule="exact"/>
              <w:rPr>
                <w:sz w:val="20"/>
                <w:szCs w:val="20"/>
                <w:color w:val="auto"/>
              </w:rPr>
            </w:pPr>
            <w:r>
              <w:rPr>
                <w:rFonts w:ascii="Arial" w:cs="Arial" w:eastAsia="Arial" w:hAnsi="Arial"/>
                <w:sz w:val="17"/>
                <w:szCs w:val="17"/>
                <w:color w:val="auto"/>
              </w:rPr>
              <w:t>stockholders – basic</w:t>
            </w:r>
          </w:p>
        </w:tc>
        <w:tc>
          <w:tcPr>
            <w:tcW w:w="16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00" w:type="dxa"/>
            <w:vAlign w:val="bottom"/>
            <w:shd w:val="clear" w:color="auto" w:fill="CFF0FC"/>
          </w:tcPr>
          <w:p>
            <w:pPr>
              <w:ind w:left="280"/>
              <w:spacing w:after="0" w:line="150" w:lineRule="exact"/>
              <w:rPr>
                <w:sz w:val="20"/>
                <w:szCs w:val="20"/>
                <w:color w:val="auto"/>
              </w:rPr>
            </w:pPr>
            <w:r>
              <w:rPr>
                <w:rFonts w:ascii="Arial" w:cs="Arial" w:eastAsia="Arial" w:hAnsi="Arial"/>
                <w:sz w:val="17"/>
                <w:szCs w:val="17"/>
                <w:color w:val="auto"/>
              </w:rPr>
              <w:t>Net (loss) income per share attributable to common</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7"/>
                <w:szCs w:val="17"/>
                <w:color w:val="auto"/>
              </w:rPr>
              <w:t>(0.04 )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0.08</w:t>
            </w:r>
          </w:p>
        </w:tc>
        <w:tc>
          <w:tcPr>
            <w:tcW w:w="4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7"/>
                <w:szCs w:val="17"/>
                <w:color w:val="auto"/>
              </w:rPr>
              <w:t>(0.36 )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(0.28 )</w:t>
            </w:r>
          </w:p>
        </w:tc>
        <w:tc>
          <w:tcPr>
            <w:tcW w:w="0" w:type="dxa"/>
            <w:vAlign w:val="bottom"/>
          </w:tcPr>
          <w:p>
            <w:pPr>
              <w:spacing w:after="0"/>
              <w:rPr>
                <w:sz w:val="1"/>
                <w:szCs w:val="1"/>
                <w:color w:val="auto"/>
              </w:rPr>
            </w:pPr>
          </w:p>
        </w:tc>
      </w:tr>
      <w:tr>
        <w:trPr>
          <w:trHeight w:val="201"/>
        </w:trPr>
        <w:tc>
          <w:tcPr>
            <w:tcW w:w="5700" w:type="dxa"/>
            <w:vAlign w:val="bottom"/>
            <w:shd w:val="clear" w:color="auto" w:fill="CFF0FC"/>
          </w:tcPr>
          <w:p>
            <w:pPr>
              <w:ind w:left="420"/>
              <w:spacing w:after="0" w:line="181" w:lineRule="exact"/>
              <w:rPr>
                <w:sz w:val="20"/>
                <w:szCs w:val="20"/>
                <w:color w:val="auto"/>
              </w:rPr>
            </w:pPr>
            <w:r>
              <w:rPr>
                <w:rFonts w:ascii="Arial" w:cs="Arial" w:eastAsia="Arial" w:hAnsi="Arial"/>
                <w:sz w:val="17"/>
                <w:szCs w:val="17"/>
                <w:color w:val="auto"/>
              </w:rPr>
              <w:t>stockholders – diluted</w:t>
            </w:r>
          </w:p>
        </w:tc>
        <w:tc>
          <w:tcPr>
            <w:tcW w:w="160" w:type="dxa"/>
            <w:vAlign w:val="bottom"/>
            <w:vMerge w:val="continue"/>
            <w:shd w:val="clear" w:color="auto" w:fill="CFF0FC"/>
          </w:tcPr>
          <w:p>
            <w:pPr>
              <w:spacing w:after="0"/>
              <w:rPr>
                <w:sz w:val="17"/>
                <w:szCs w:val="17"/>
                <w:color w:val="auto"/>
              </w:rPr>
            </w:pPr>
          </w:p>
        </w:tc>
        <w:tc>
          <w:tcPr>
            <w:tcW w:w="1300" w:type="dxa"/>
            <w:vAlign w:val="bottom"/>
            <w:gridSpan w:val="2"/>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020" w:type="dxa"/>
            <w:vAlign w:val="bottom"/>
            <w:vMerge w:val="continue"/>
            <w:shd w:val="clear" w:color="auto" w:fill="CFF0FC"/>
          </w:tcPr>
          <w:p>
            <w:pPr>
              <w:spacing w:after="0"/>
              <w:rPr>
                <w:sz w:val="17"/>
                <w:szCs w:val="17"/>
                <w:color w:val="auto"/>
              </w:rPr>
            </w:pPr>
          </w:p>
        </w:tc>
        <w:tc>
          <w:tcPr>
            <w:tcW w:w="400" w:type="dxa"/>
            <w:vAlign w:val="bottom"/>
            <w:gridSpan w:val="2"/>
            <w:vMerge w:val="continue"/>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-1420495</wp:posOffset>
            </wp:positionV>
            <wp:extent cx="76835" cy="2571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-1420495</wp:posOffset>
            </wp:positionV>
            <wp:extent cx="68580" cy="2571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-1420495</wp:posOffset>
            </wp:positionV>
            <wp:extent cx="68580" cy="2571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2571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-521970</wp:posOffset>
            </wp:positionV>
            <wp:extent cx="2765425" cy="273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65425" cy="27368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-24765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320" w:firstLine="509"/>
        <w:spacing w:after="0" w:line="245" w:lineRule="auto"/>
        <w:rPr>
          <w:sz w:val="20"/>
          <w:szCs w:val="20"/>
          <w:color w:val="auto"/>
        </w:rPr>
      </w:pPr>
      <w:r>
        <w:rPr>
          <w:rFonts w:ascii="Arial" w:cs="Arial" w:eastAsia="Arial" w:hAnsi="Arial"/>
          <w:sz w:val="18"/>
          <w:szCs w:val="18"/>
          <w:color w:val="auto"/>
        </w:rPr>
        <w:t>Outstanding potentially dilutive securities, which were excluded from the diluted net loss per share calculations because they would have been antidilutive were as follows as of the dates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232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5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restricted stock awards</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2,875,428</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249,979</w:t>
            </w:r>
          </w:p>
        </w:tc>
        <w:tc>
          <w:tcPr>
            <w:tcW w:w="100" w:type="dxa"/>
            <w:vAlign w:val="bottom"/>
            <w:shd w:val="clear" w:color="auto" w:fill="CFF0FC"/>
          </w:tcPr>
          <w:p>
            <w:pPr>
              <w:spacing w:after="0"/>
              <w:rPr>
                <w:sz w:val="17"/>
                <w:szCs w:val="17"/>
                <w:color w:val="auto"/>
              </w:rPr>
            </w:pPr>
          </w:p>
        </w:tc>
      </w:tr>
      <w:tr>
        <w:trPr>
          <w:trHeight w:val="202"/>
        </w:trPr>
        <w:tc>
          <w:tcPr>
            <w:tcW w:w="7740" w:type="dxa"/>
            <w:vAlign w:val="bottom"/>
          </w:tcPr>
          <w:p>
            <w:pPr>
              <w:ind w:left="20"/>
              <w:spacing w:after="0"/>
              <w:rPr>
                <w:sz w:val="20"/>
                <w:szCs w:val="20"/>
                <w:color w:val="auto"/>
              </w:rPr>
            </w:pPr>
            <w:r>
              <w:rPr>
                <w:rFonts w:ascii="Arial" w:cs="Arial" w:eastAsia="Arial" w:hAnsi="Arial"/>
                <w:sz w:val="17"/>
                <w:szCs w:val="17"/>
                <w:color w:val="auto"/>
              </w:rPr>
              <w:t>Stock options to purchase common stock (as converted to common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12,722,639</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16,390,325</w:t>
            </w:r>
          </w:p>
        </w:tc>
        <w:tc>
          <w:tcPr>
            <w:tcW w:w="100" w:type="dxa"/>
            <w:vAlign w:val="bottom"/>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15,598,067</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16,640,304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Income Taxes</w:t>
      </w:r>
    </w:p>
    <w:p>
      <w:pPr>
        <w:spacing w:after="0" w:line="20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Company’s provision for income taxes during the interim periods is determined using an estimate of the Company’s annual effective tax rate, which is adjusted for certain discrete tax items during the interim period. The Company recorded an income tax expense of $1.3 million and $0.3 million for the three months ended September 30, 2022 and 2021, respectively. The income tax expense for the three months ended September 30, 2022 was primarily attributable to state and foreign taxes, whereas the income tax expense for the three months ended September 30, 2021 was primarily attributable to foreign taxes. The Company recorded an income tax expense of $2.9 million and $0.8 million for the nine months ended September 30, 2022 and 2021, respectively. The income tax expense for the nine months ended September 30, 2022 was primarily attributable to state and foreign taxes, whereas the income tax expense for the nine months ended September 30, 2021 was primarily attributable to foreign taxes.</w:t>
      </w:r>
    </w:p>
    <w:p>
      <w:pPr>
        <w:spacing w:after="0" w:line="17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Company’s effective tax rate differs from the U.S. federal statutory rate primarily due to the change in valuation allowance in the U.S. The Company is open to future tax examinations from 2018 to the present; however, carryforward attributes that were generated prior to 2018 may still be adjusted upon examination by federal, state or local tax authorities to the extent they will be used in a future period. In 2021, the U.S. Internal Revenue Service commenced a corporate income tax audit with respect to the 2018 calendar year, which was completed in 2022.</w:t>
      </w:r>
    </w:p>
    <w:p>
      <w:pPr>
        <w:spacing w:after="0" w:line="174" w:lineRule="exact"/>
        <w:rPr>
          <w:sz w:val="20"/>
          <w:szCs w:val="20"/>
          <w:color w:val="auto"/>
        </w:rPr>
      </w:pPr>
    </w:p>
    <w:p>
      <w:pPr>
        <w:jc w:val="both"/>
        <w:ind w:right="240" w:firstLine="509"/>
        <w:spacing w:after="0" w:line="243"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September 30, 2022, the Company continues to maintain a full valuation allowance of the U.S. net deferred tax assets.</w:t>
      </w:r>
    </w:p>
    <w:p>
      <w:pPr>
        <w:spacing w:after="0" w:line="160"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On August 16, 2022, the Inflation Reduction Act of 2022 was signed into law. This legislation imposes a Corporate Alternative Minimum Tax as well as a 1% excise tax on stock buybacks among other tax law changes. The Company has not completed its analysis of this legislation, but it is not expected to have a material impact on the Company's tax liability.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3"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Company leases certain real estate for its primary facilities under operating leases that expire at various dates between one and five years. These leases contain renewal options, and require the Company to pay operating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including property taxes, insurance, and maintenance. The terms of these lease agreements include free rent periods and annual rent increases. Operating lease expense is recognized on a straight-line basis over the term of the lease. There were no finance lease obligations as of September 30, 2022.</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ROU assets are included in Other assets and operating lease liabilities are included in Other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September 30, 2022</w:t>
            </w:r>
          </w:p>
        </w:tc>
      </w:tr>
      <w:tr>
        <w:trPr>
          <w:trHeight w:val="209"/>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ROU assets</w:t>
            </w:r>
          </w:p>
        </w:tc>
        <w:tc>
          <w:tcPr>
            <w:tcW w:w="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terms</w:t>
            </w: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1.71 years</w:t>
            </w:r>
          </w:p>
        </w:tc>
        <w:tc>
          <w:tcPr>
            <w:tcW w:w="60" w:type="dxa"/>
            <w:vAlign w:val="bottom"/>
          </w:tcPr>
          <w:p>
            <w:pPr>
              <w:spacing w:after="0"/>
              <w:rPr>
                <w:sz w:val="18"/>
                <w:szCs w:val="18"/>
                <w:color w:val="auto"/>
              </w:rPr>
            </w:pPr>
          </w:p>
        </w:tc>
      </w:tr>
      <w:tr>
        <w:trPr>
          <w:trHeight w:val="217"/>
        </w:trPr>
        <w:tc>
          <w:tcPr>
            <w:tcW w:w="89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4.5 %</w:t>
            </w:r>
          </w:p>
        </w:tc>
      </w:tr>
      <w:tr>
        <w:trPr>
          <w:trHeight w:val="390"/>
        </w:trPr>
        <w:tc>
          <w:tcPr>
            <w:tcW w:w="8920" w:type="dxa"/>
            <w:vAlign w:val="bottom"/>
          </w:tcPr>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 2022</w:t>
            </w:r>
          </w:p>
        </w:tc>
      </w:tr>
      <w:tr>
        <w:trPr>
          <w:trHeight w:val="209"/>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32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8920" w:type="dxa"/>
            <w:vAlign w:val="bottom"/>
          </w:tcPr>
          <w:p>
            <w:pPr>
              <w:ind w:left="20"/>
              <w:spacing w:after="0"/>
              <w:rPr>
                <w:sz w:val="20"/>
                <w:szCs w:val="20"/>
                <w:color w:val="auto"/>
              </w:rPr>
            </w:pPr>
            <w:r>
              <w:rPr>
                <w:rFonts w:ascii="Arial" w:cs="Arial" w:eastAsia="Arial" w:hAnsi="Arial"/>
                <w:sz w:val="18"/>
                <w:szCs w:val="18"/>
                <w:color w:val="auto"/>
              </w:rPr>
              <w:t>ROU assets obtained in exchange for operating lease liabilities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90"/>
        </w:trPr>
        <w:tc>
          <w:tcPr>
            <w:tcW w:w="8920" w:type="dxa"/>
            <w:vAlign w:val="bottom"/>
          </w:tcPr>
          <w:p>
            <w:pPr>
              <w:ind w:left="520"/>
              <w:spacing w:after="0"/>
              <w:rPr>
                <w:sz w:val="20"/>
                <w:szCs w:val="20"/>
                <w:color w:val="auto"/>
              </w:rPr>
            </w:pPr>
            <w:r>
              <w:rPr>
                <w:rFonts w:ascii="Arial" w:cs="Arial" w:eastAsia="Arial" w:hAnsi="Arial"/>
                <w:sz w:val="18"/>
                <w:szCs w:val="18"/>
                <w:color w:val="auto"/>
              </w:rPr>
              <w:t>Future minimum lease payments as of September 30, 2022, were as follows (in thousands):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0"/>
        </w:trPr>
        <w:tc>
          <w:tcPr>
            <w:tcW w:w="892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8920" w:type="dxa"/>
            <w:vAlign w:val="bottom"/>
          </w:tcPr>
          <w:p>
            <w:pPr>
              <w:ind w:left="20"/>
              <w:spacing w:after="0"/>
              <w:rPr>
                <w:sz w:val="20"/>
                <w:szCs w:val="20"/>
                <w:color w:val="auto"/>
              </w:rPr>
            </w:pPr>
            <w:r>
              <w:rPr>
                <w:rFonts w:ascii="Arial" w:cs="Arial" w:eastAsia="Arial" w:hAnsi="Arial"/>
                <w:sz w:val="18"/>
                <w:szCs w:val="18"/>
                <w:color w:val="auto"/>
              </w:rPr>
              <w:t>2022 (remaining three months)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20" w:type="dxa"/>
            <w:vAlign w:val="bottom"/>
          </w:tcPr>
          <w:p>
            <w:pPr>
              <w:ind w:left="20"/>
              <w:spacing w:after="0"/>
              <w:rPr>
                <w:sz w:val="20"/>
                <w:szCs w:val="20"/>
                <w:color w:val="auto"/>
              </w:rPr>
            </w:pPr>
            <w:r>
              <w:rPr>
                <w:rFonts w:ascii="Arial" w:cs="Arial" w:eastAsia="Arial" w:hAnsi="Arial"/>
                <w:sz w:val="18"/>
                <w:szCs w:val="18"/>
                <w:color w:val="auto"/>
              </w:rPr>
              <w:t>2026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920" w:type="dxa"/>
            <w:vAlign w:val="bottom"/>
          </w:tcPr>
          <w:p>
            <w:pPr>
              <w:ind w:left="140"/>
              <w:spacing w:after="0"/>
              <w:rPr>
                <w:sz w:val="20"/>
                <w:szCs w:val="20"/>
                <w:color w:val="auto"/>
              </w:rPr>
            </w:pPr>
            <w:r>
              <w:rPr>
                <w:rFonts w:ascii="Arial" w:cs="Arial" w:eastAsia="Arial" w:hAnsi="Arial"/>
                <w:sz w:val="18"/>
                <w:szCs w:val="18"/>
                <w:color w:val="auto"/>
              </w:rPr>
              <w:t>Total undiscounted lease payments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9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Less - present value discount</w:t>
            </w:r>
          </w:p>
        </w:tc>
        <w:tc>
          <w:tcPr>
            <w:tcW w:w="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8920" w:type="dxa"/>
            <w:vAlign w:val="bottom"/>
          </w:tcPr>
          <w:p>
            <w:pPr>
              <w:ind w:left="140"/>
              <w:spacing w:after="0"/>
              <w:rPr>
                <w:sz w:val="20"/>
                <w:szCs w:val="20"/>
                <w:color w:val="auto"/>
              </w:rPr>
            </w:pPr>
            <w:r>
              <w:rPr>
                <w:rFonts w:ascii="Arial" w:cs="Arial" w:eastAsia="Arial" w:hAnsi="Arial"/>
                <w:sz w:val="18"/>
                <w:szCs w:val="18"/>
                <w:color w:val="auto"/>
              </w:rPr>
              <w:t>Lease Liability, at present value</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-461645</wp:posOffset>
            </wp:positionV>
            <wp:extent cx="6858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6" w:lineRule="exact"/>
        <w:rPr>
          <w:sz w:val="20"/>
          <w:szCs w:val="20"/>
          <w:color w:val="auto"/>
        </w:rPr>
      </w:pPr>
    </w:p>
    <w:p>
      <w:pPr>
        <w:ind w:right="720" w:firstLine="509"/>
        <w:spacing w:after="0" w:line="266" w:lineRule="auto"/>
        <w:rPr>
          <w:sz w:val="20"/>
          <w:szCs w:val="20"/>
          <w:color w:val="auto"/>
        </w:rPr>
      </w:pPr>
      <w:r>
        <w:rPr>
          <w:rFonts w:ascii="Arial" w:cs="Arial" w:eastAsia="Arial" w:hAnsi="Arial"/>
          <w:sz w:val="18"/>
          <w:szCs w:val="18"/>
          <w:color w:val="auto"/>
        </w:rPr>
        <w:t xml:space="preserve">Future minimum lease payments as of December 31, 2021, prior to the adoption of ASC 842 as described in </w:t>
      </w:r>
      <w:r>
        <w:rPr>
          <w:rFonts w:ascii="Arial" w:cs="Arial" w:eastAsia="Arial" w:hAnsi="Arial"/>
          <w:sz w:val="18"/>
          <w:szCs w:val="18"/>
          <w:i w:val="1"/>
          <w:iCs w:val="1"/>
          <w:color w:val="auto"/>
        </w:rPr>
        <w:t>Note 1 -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Overview and Summary of Significant Accounting Policies, </w:t>
      </w:r>
      <w:r>
        <w:rPr>
          <w:rFonts w:ascii="Arial" w:cs="Arial" w:eastAsia="Arial" w:hAnsi="Arial"/>
          <w:sz w:val="18"/>
          <w:szCs w:val="18"/>
          <w:color w:val="auto"/>
        </w:rPr>
        <w:t>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4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2"/>
        </w:trPr>
        <w:tc>
          <w:tcPr>
            <w:tcW w:w="9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2023</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7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spacing w:after="0"/>
              <w:rPr>
                <w:sz w:val="18"/>
                <w:szCs w:val="18"/>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both"/>
        <w:ind w:right="60" w:firstLine="509"/>
        <w:spacing w:after="0" w:line="290" w:lineRule="auto"/>
        <w:rPr>
          <w:sz w:val="20"/>
          <w:szCs w:val="20"/>
          <w:color w:val="auto"/>
        </w:rPr>
      </w:pPr>
      <w:r>
        <w:rPr>
          <w:rFonts w:ascii="Arial" w:cs="Arial" w:eastAsia="Arial" w:hAnsi="Arial"/>
          <w:sz w:val="17"/>
          <w:szCs w:val="17"/>
          <w:color w:val="auto"/>
        </w:rPr>
        <w:t>The components of operating lease expense during the three and nine months ended September 30, 2022 is shown on the table below (in thousands), while rent expense for the three and nine months ending September 30, 2021 was $0.6 million and $1.7 million, respectively.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11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175"/>
        </w:trPr>
        <w:tc>
          <w:tcPr>
            <w:tcW w:w="7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5"/>
                <w:szCs w:val="15"/>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Variable lease expense</w:t>
            </w: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140"/>
              <w:spacing w:after="0"/>
              <w:rPr>
                <w:sz w:val="20"/>
                <w:szCs w:val="20"/>
                <w:color w:val="auto"/>
              </w:rPr>
            </w:pPr>
            <w:r>
              <w:rPr>
                <w:rFonts w:ascii="Arial" w:cs="Arial" w:eastAsia="Arial" w:hAnsi="Arial"/>
                <w:sz w:val="18"/>
                <w:szCs w:val="18"/>
                <w:color w:val="auto"/>
              </w:rPr>
              <w:t>Total operating lease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586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-170815</wp:posOffset>
            </wp:positionV>
            <wp:extent cx="6858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06" w:lineRule="exact"/>
        <w:rPr>
          <w:sz w:val="20"/>
          <w:szCs w:val="20"/>
          <w:color w:val="auto"/>
        </w:rPr>
      </w:pPr>
    </w:p>
    <w:p>
      <w:pPr>
        <w:ind w:right="400" w:firstLine="509"/>
        <w:spacing w:after="0" w:line="239"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3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As of September 30, 2022, the Company was not aware of any pending legal matters or claims, individually or in the aggregate, that are expected to have a material adverse effect on its financial position, results of operations, or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consolidated financial statements for the periods ended September 30, 2022 and December 31, 2021.</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19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On October 28, 2022, the Company repaid the $25.9 million outstanding under the Revolving Credit Facility. Following the repayment, the Company continued to have access to a total commitment of $50.0 million under the Revolving Credit Facility.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8"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 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1" w:lineRule="exact"/>
        <w:rPr>
          <w:sz w:val="20"/>
          <w:szCs w:val="20"/>
          <w:color w:val="auto"/>
        </w:rPr>
      </w:pPr>
    </w:p>
    <w:p>
      <w:pPr>
        <w:ind w:right="20" w:firstLine="509"/>
        <w:spacing w:after="0" w:line="264"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is derived from three core elements: (i) our next-gen payments platform; (ii) our proprietary global payment network; and (iii) our vertical-specific software backed by our deep industry expertise. With our Flywire Advantage,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44"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165215" cy="43922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65215" cy="439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49" w:lineRule="exact"/>
        <w:rPr>
          <w:sz w:val="20"/>
          <w:szCs w:val="20"/>
          <w:color w:val="auto"/>
        </w:rPr>
      </w:pPr>
    </w:p>
    <w:p>
      <w:pPr>
        <w:ind w:left="1020" w:right="160" w:hanging="504"/>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33% period-over-period from $5.3 billion during the three months ended September 30, 2021 to $7.0 billion during the three months ended September 30, 2022. We have grown our total payment volume by approximately 39% period-over-period from $10.1 billion during the nine months ended September 30, 2021 to $14.0 billion during the nine months ended September 30, 2022.</w:t>
      </w:r>
    </w:p>
    <w:p>
      <w:pPr>
        <w:spacing w:after="0" w:line="148" w:lineRule="exact"/>
        <w:rPr>
          <w:rFonts w:ascii="Arial" w:cs="Arial" w:eastAsia="Arial" w:hAnsi="Arial"/>
          <w:sz w:val="18"/>
          <w:szCs w:val="18"/>
          <w:color w:val="auto"/>
        </w:rPr>
      </w:pPr>
    </w:p>
    <w:p>
      <w:pPr>
        <w:jc w:val="both"/>
        <w:ind w:left="1020" w:right="100" w:hanging="504"/>
        <w:spacing w:after="0" w:line="26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140 currencies.</w:t>
      </w:r>
    </w:p>
    <w:p>
      <w:pPr>
        <w:spacing w:after="0" w:line="122" w:lineRule="exact"/>
        <w:rPr>
          <w:rFonts w:ascii="Arial" w:cs="Arial" w:eastAsia="Arial" w:hAnsi="Arial"/>
          <w:sz w:val="18"/>
          <w:szCs w:val="18"/>
          <w:color w:val="auto"/>
        </w:rPr>
      </w:pPr>
    </w:p>
    <w:p>
      <w:pPr>
        <w:ind w:left="1020" w:right="120" w:hanging="504"/>
        <w:spacing w:after="0" w:line="28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net promoter score (NPS) score of 64 in fiscal year 2020 demonstrates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affinity among our clients for our platform.</w:t>
      </w:r>
    </w:p>
    <w:p>
      <w:pPr>
        <w:spacing w:after="0" w:line="99" w:lineRule="exact"/>
        <w:rPr>
          <w:rFonts w:ascii="Arial" w:cs="Arial" w:eastAsia="Arial" w:hAnsi="Arial"/>
          <w:sz w:val="18"/>
          <w:szCs w:val="18"/>
          <w:color w:val="auto"/>
        </w:rPr>
      </w:pPr>
    </w:p>
    <w:p>
      <w:pPr>
        <w:ind w:left="1020" w:hanging="504"/>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2021,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140%.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68" w:lineRule="exact"/>
        <w:rPr>
          <w:sz w:val="20"/>
          <w:szCs w:val="20"/>
          <w:color w:val="auto"/>
        </w:rPr>
      </w:pPr>
    </w:p>
    <w:p>
      <w:pPr>
        <w:jc w:val="both"/>
        <w:ind w:right="460" w:firstLine="509"/>
        <w:spacing w:after="0"/>
        <w:rPr>
          <w:sz w:val="20"/>
          <w:szCs w:val="20"/>
          <w:color w:val="auto"/>
        </w:rPr>
      </w:pPr>
      <w:r>
        <w:rPr>
          <w:rFonts w:ascii="Arial" w:cs="Arial" w:eastAsia="Arial" w:hAnsi="Arial"/>
          <w:sz w:val="18"/>
          <w:szCs w:val="18"/>
          <w:color w:val="auto"/>
        </w:rPr>
        <w:t>As of September 30, 2022, we serve over 3,000 clients around the world. In education, we serve more than 2,200 institutions. In healthcare, we power more than 80 healthcare systems, including four of the top 10 healthcare systems in the United States ranked by hospital size as of December 31, 2021. In our newer payment verticals of travel and</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business-to-business (B2B) payments, we have a growing portfolio of more than an aggregate of 500 clients as of September 30, 2022.</w:t>
      </w:r>
    </w:p>
    <w:p>
      <w:pPr>
        <w:spacing w:after="0" w:line="18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more than $13.2 billion and $ 14.0 billion in total payment volume during the year ended December 31, 2021 and nine months ended September 30, 2022, respectively. We generated revenue of $201.1 million and $131.8 million for the years ended December 31, 2021 and 2020, respectively, and incurred net losses of $28.1 million and $11.1 million for those same years. We generated revenue of $216.3 million and $ 149.8 million for the nine months ended September 30, 2022 and 2021, respectively, and incurred net loss of $38.2 million and $16.8 million, respectively, for the same periods.</w:t>
      </w:r>
    </w:p>
    <w:p>
      <w:pPr>
        <w:spacing w:after="0" w:line="17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6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(IT)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the ongoing effects of the COVID-19 pandemic and fluctuations in exchange rates. If we are unable to successfully address these challenges, our business, operating results, and prospects could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0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On May 28, 2021, we completed our IPO, in which we issued and sold 12,006,000 shares of common stock at a public offering price of $24.00 per share, which included 1,566,000 shares of common stock issued pursuant to the exercise in full of the underwriters' option to purchase additional shares. We received $263.8 million in net proceeds from the IPO, after deducting underwriting discounts and commissions of $19.4 million and other offering costs of $4.9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20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July 2022, we acquired all of the issued and outstanding shares of Cohort Go for an estimated aggregate purchase consideration of $22.9 million, consisting of $16.9 million in cash, net of cash acquired, $4.3 million in shares of common stock and up to $1.7 million in contingent consideration. Contingent consideration represents additional payments that Flywire may be required to make in the future dependent upon Cohort Go's achievement of specific post-acquisition milestones. Contingent consideration will be settled at various intervals through May 2023 in the form of cash or shares of common stock at our option upon completion of the post-acquisition milestones and is subject to exchange rate fluctuation adjustment between the U.S. Dollar and Australian Dollar. As of September 30, 2022, we had paid $0.5 million in contingent consideration based on Cohort Go's successful and timely achievement of contracted milestones. Cohort Go is an Australian-based education payments provider that simplifies the student recruitment process by bringing together students, agents and essential student services such as health insurance into one platform. The acquisition of Cohort Go accelerated the growth of Flywire's agent related revenue and contributed to our global expansion. Cohort Go contributed $3.5 million in transaction revenue and $1.6 million in platform revenue during the three months ended September 30, 2022.</w:t>
      </w:r>
    </w:p>
    <w:p>
      <w:pPr>
        <w:spacing w:after="0" w:line="17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December 2021, we acquired all of the issued and outstanding shares of WPM for a purchase consideration of $59.6 million including $56.1 million of cash consideration, net of cash acquired and the estimated fair value of contingent consideration of $3.5 million. The contingent consideration is payable at various intervals through March 2024 in the form of up to approximately 225,000 shares of common stock and is dependent upon our achievement of specified minimum payment volume targets and integration targets established for the years ending December 31, 2022 and 2023. WPM is a leading software provider that enables seamless and secure payment experiences for universities and colleges across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U.K. The acquisition of WPM was intended to build on our existing education payments business and is expected to further accelerate our market share in the U.K. education sector. WPM contributed $1.5 million and $4.8 million in platform revenue during the three and nine months ended September 30, 2022,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66"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 consists</w:t>
      </w:r>
      <w:r>
        <w:rPr>
          <w:rFonts w:ascii="Arial" w:cs="Arial" w:eastAsia="Arial" w:hAnsi="Arial"/>
          <w:sz w:val="18"/>
          <w:szCs w:val="18"/>
          <w:i w:val="1"/>
          <w:iCs w:val="1"/>
          <w:color w:val="auto"/>
        </w:rPr>
        <w:t xml:space="preserve"> </w:t>
      </w:r>
      <w:r>
        <w:rPr>
          <w:rFonts w:ascii="Arial" w:cs="Arial" w:eastAsia="Arial" w:hAnsi="Arial"/>
          <w:sz w:val="18"/>
          <w:szCs w:val="18"/>
          <w:color w:val="auto"/>
        </w:rPr>
        <w:t>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 collections,</w:t>
      </w:r>
    </w:p>
    <w:p>
      <w:pPr>
        <w:spacing w:after="0" w:line="27" w:lineRule="exact"/>
        <w:rPr>
          <w:sz w:val="20"/>
          <w:szCs w:val="20"/>
          <w:color w:val="auto"/>
        </w:rPr>
      </w:pPr>
    </w:p>
    <w:p>
      <w:pPr>
        <w:ind w:right="200" w:firstLine="8"/>
        <w:spacing w:after="0" w:line="245"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collected on payment plans established by our clients on our payment platform, (iii) subscription fees and (iv) fees related to printing and mailing services which we consider to be ancillary to the solutions we provide to our clients.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key operating metrics and non-GAAP measures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35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Payment Volume</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6,990.1</w:t>
            </w:r>
          </w:p>
        </w:tc>
        <w:tc>
          <w:tcPr>
            <w:tcW w:w="2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5,272.2</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14,024.2</w:t>
            </w:r>
          </w:p>
        </w:tc>
        <w:tc>
          <w:tcPr>
            <w:tcW w:w="2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10,058.7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95.2</w:t>
            </w:r>
          </w:p>
        </w:tc>
        <w:tc>
          <w:tcPr>
            <w:tcW w:w="26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67.8</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216.3</w:t>
            </w:r>
          </w:p>
        </w:tc>
        <w:tc>
          <w:tcPr>
            <w:tcW w:w="24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133.4</w:t>
            </w:r>
          </w:p>
        </w:tc>
        <w:tc>
          <w:tcPr>
            <w:tcW w:w="24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Gross Profit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64.4 %</w:t>
            </w:r>
          </w:p>
        </w:tc>
        <w:tc>
          <w:tcPr>
            <w:tcW w:w="4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65.8 %</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61.7 %</w:t>
            </w:r>
          </w:p>
        </w:tc>
        <w:tc>
          <w:tcPr>
            <w:tcW w:w="4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Adjusted Gross Margin</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69.0 %</w:t>
            </w:r>
          </w:p>
        </w:tc>
        <w:tc>
          <w:tcPr>
            <w:tcW w:w="4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71.9 %</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66.8 %</w:t>
            </w:r>
          </w:p>
        </w:tc>
        <w:tc>
          <w:tcPr>
            <w:tcW w:w="4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17"/>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(4.3 )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(38.2 )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For the three months ended September 30, 2022, transaction revenue and platform and usage-based fee revenue represented 81.0% and 19.0% of our revenue, respectively. For the three months ended September 30, 2022, transaction revenue and platform and usage-based fee revenue represented 85.7% and 14.3% of our total revenue less ancillary services, respectively. For the three months ended September 30, 2021, transaction revenue and platform and usage-based fee revenue represented 78.2% and 21.8% of our revenue, respectively. For the three months ended September 30, 2021, transaction revenue and platform and usage-based fee revenue represented 84.2% and 15.8% of our total revenue less ancillary services, respectively.</w:t>
      </w:r>
    </w:p>
    <w:p>
      <w:pPr>
        <w:spacing w:after="0" w:line="15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For the nine months ended September 30, 2022, transaction revenue and platform and usage-based fee revenue represented 77.4% and 22.6% of our revenue, respectively. For the nine months ended September 30, 2022, transaction revenue and platform and usage-based fee revenue represented 83.1% and 16.9% of our total revenue less ancillary services, respectively. For the nine months ended September 30, 2021, transaction revenue and platform and usage-based fee revenue represented 73.2% and 26.8% of our revenue, respectively. For the nine months ended September 30, 2021, transaction revenue and platform and usage-based fee revenue represented 80.3% and 19.7% of our total revenue less ancillary services, respectively.</w:t>
      </w:r>
    </w:p>
    <w:p>
      <w:pPr>
        <w:spacing w:after="0" w:line="17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For the three months ended September 30, 2022, our total payment volume was approximately $7.0 billion, consisting of $4.8 billion of total payment volume from transactions included in transaction revenue, and $2.2 billion of total payment volume from transactions included in platform and usage-based fee revenue. For the three months ended September 30, 2021, our total payment volume was approximately $5.3 billion, consisting of $3.5 billion of total payment volume from transactions included in transaction revenue, and $1.8 billion of total payment volume from transactions included in platform and usage-based fee revenue.</w:t>
      </w:r>
    </w:p>
    <w:p>
      <w:pPr>
        <w:spacing w:after="0" w:line="174" w:lineRule="exact"/>
        <w:rPr>
          <w:sz w:val="20"/>
          <w:szCs w:val="20"/>
          <w:color w:val="auto"/>
        </w:rPr>
      </w:pPr>
    </w:p>
    <w:p>
      <w:pPr>
        <w:ind w:right="380" w:firstLine="509"/>
        <w:spacing w:after="0" w:line="245" w:lineRule="auto"/>
        <w:rPr>
          <w:sz w:val="20"/>
          <w:szCs w:val="20"/>
          <w:color w:val="auto"/>
        </w:rPr>
      </w:pPr>
      <w:r>
        <w:rPr>
          <w:rFonts w:ascii="Arial" w:cs="Arial" w:eastAsia="Arial" w:hAnsi="Arial"/>
          <w:sz w:val="18"/>
          <w:szCs w:val="18"/>
          <w:color w:val="auto"/>
        </w:rPr>
        <w:t>For nine months ended September 30, 2022, our total payment volume was approximately $14.0 billion, consisting of $9.3 billion of total payment volume from transactions included in transaction revenue and $4.7 billion of total payment</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volume from transactions included in platform and usage-based fee revenue. For nine months ended September 30, 2021, our total payment volume was approximately $10.1 billion, consisting of $6.5 billion of total payment volume from transactions included in transaction revenue and $3.6 billion of total payment volume from transactions included in platform and usage-based fee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20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Less Ancillary Services, Adjusted Gross Profit, Adjusted Gross Margin and Adjusted EBITDA</w:t>
      </w:r>
    </w:p>
    <w:p>
      <w:pPr>
        <w:spacing w:after="0" w:line="19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use non -GAAP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9"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53" w:lineRule="exact"/>
        <w:rPr>
          <w:sz w:val="20"/>
          <w:szCs w:val="20"/>
          <w:color w:val="auto"/>
        </w:rPr>
      </w:pPr>
    </w:p>
    <w:p>
      <w:pPr>
        <w:ind w:left="1020" w:right="80" w:hanging="504"/>
        <w:spacing w:after="0" w:line="25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Less Ancillary Services represents our consolidated revenue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31" w:lineRule="exact"/>
        <w:rPr>
          <w:rFonts w:ascii="Arial" w:cs="Arial" w:eastAsia="Arial" w:hAnsi="Arial"/>
          <w:sz w:val="18"/>
          <w:szCs w:val="18"/>
          <w:color w:val="auto"/>
        </w:rPr>
      </w:pPr>
    </w:p>
    <w:p>
      <w:pPr>
        <w:ind w:left="1020" w:right="40" w:hanging="504"/>
        <w:spacing w:after="0" w:line="25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Gross Profit represents Revenue Less Ancillary Services, less cost of revenue adjusted to (i)</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pass-through cost for printing services and (ii) offset marketing fees against costs incurred. Management believes this presentation supplements the GAAP presentation of gross profit with a useful measure of the gross profit of our payment-related services, which are the primary services we provide to our clients.</w:t>
      </w:r>
    </w:p>
    <w:p>
      <w:pPr>
        <w:spacing w:after="0" w:line="145" w:lineRule="exact"/>
        <w:rPr>
          <w:rFonts w:ascii="Arial" w:cs="Arial" w:eastAsia="Arial" w:hAnsi="Arial"/>
          <w:sz w:val="18"/>
          <w:szCs w:val="18"/>
          <w:color w:val="auto"/>
        </w:rPr>
      </w:pPr>
    </w:p>
    <w:p>
      <w:pPr>
        <w:ind w:left="1020" w:right="60" w:hanging="504"/>
        <w:spacing w:after="0" w:line="26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Gross Margin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w:t>
      </w:r>
    </w:p>
    <w:p>
      <w:pPr>
        <w:spacing w:after="0" w:line="122"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represents EBITDA further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payroll taxes, (ii) the impact from the change in fair value measurement for contingent consideration associated with acquisitions, (iii) the impact from the change in fair value measurement of our preferred stock warrants prior to our IPO, (iv) other income (expense), net,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75"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income (loss) prepared in accordance with GAAP and should be read only in conjunction with financial information presented on a GAAP basis. Reconciliations of Revenue Less Ancillary Services, Adjusted Gross Profit, Adjusted Gross Margin and Adjusted EBITDA to the most directly comparable GAAP</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206" w:lineRule="exact"/>
        <w:rPr>
          <w:sz w:val="20"/>
          <w:szCs w:val="20"/>
          <w:color w:val="auto"/>
        </w:rPr>
      </w:pPr>
    </w:p>
    <w:p>
      <w:pPr>
        <w:ind w:right="660" w:firstLine="509"/>
        <w:spacing w:after="0" w:line="245" w:lineRule="auto"/>
        <w:rPr>
          <w:sz w:val="20"/>
          <w:szCs w:val="20"/>
          <w:color w:val="auto"/>
        </w:rPr>
      </w:pPr>
      <w:r>
        <w:rPr>
          <w:rFonts w:ascii="Arial" w:cs="Arial" w:eastAsia="Arial" w:hAnsi="Arial"/>
          <w:sz w:val="18"/>
          <w:szCs w:val="18"/>
          <w:color w:val="auto"/>
        </w:rPr>
        <w:t>The tables below provide reconciliations of Revenue Less Ancillary Services, Adjusted Gross Profit, Adjusted Gross Margin and Adjusted EBITDA to the most comparable GAAP figure on a consolidated basis for the periods presented.</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7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(5.4 )</w:t>
            </w:r>
          </w:p>
        </w:tc>
        <w:tc>
          <w:tcPr>
            <w:tcW w:w="7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(15.1 )</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(0.9 )</w:t>
            </w:r>
          </w:p>
        </w:tc>
        <w:tc>
          <w:tcPr>
            <w:tcW w:w="7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(0.8 )</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880" w:type="dxa"/>
            <w:vAlign w:val="bottom"/>
            <w:tcBorders>
              <w:bottom w:val="single" w:sz="8" w:color="CFF0FC"/>
            </w:tcBorders>
            <w:gridSpan w:val="2"/>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57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00" w:type="dxa"/>
            <w:vAlign w:val="bottom"/>
          </w:tcPr>
          <w:p>
            <w:pPr>
              <w:ind w:left="20"/>
              <w:spacing w:after="0" w:line="196" w:lineRule="exact"/>
              <w:rPr>
                <w:sz w:val="20"/>
                <w:szCs w:val="20"/>
                <w:color w:val="auto"/>
              </w:rPr>
            </w:pPr>
            <w:r>
              <w:rPr>
                <w:rFonts w:ascii="Arial" w:cs="Arial" w:eastAsia="Arial" w:hAnsi="Arial"/>
                <w:sz w:val="18"/>
                <w:szCs w:val="18"/>
                <w:color w:val="auto"/>
              </w:rPr>
              <w:t>Payment processing services costs</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32.3</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78.3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50.9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00" w:type="dxa"/>
            <w:vAlign w:val="bottom"/>
            <w:shd w:val="clear" w:color="auto" w:fill="CFF0FC"/>
          </w:tcPr>
          <w:p>
            <w:pPr>
              <w:ind w:left="20"/>
              <w:spacing w:after="0" w:line="188" w:lineRule="exact"/>
              <w:rPr>
                <w:sz w:val="20"/>
                <w:szCs w:val="20"/>
                <w:color w:val="auto"/>
              </w:rPr>
            </w:pPr>
            <w:r>
              <w:rPr>
                <w:rFonts w:ascii="Arial" w:cs="Arial" w:eastAsia="Arial" w:hAnsi="Arial"/>
                <w:sz w:val="18"/>
                <w:szCs w:val="18"/>
                <w:color w:val="auto"/>
              </w:rPr>
              <w:t>Hosting and amortization costs within technology and</w:t>
            </w:r>
          </w:p>
        </w:tc>
        <w:tc>
          <w:tcPr>
            <w:tcW w:w="7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development expenses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Adjusted to:</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Exclude printing and mailing costs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(5.4 )</w:t>
            </w:r>
          </w:p>
        </w:tc>
        <w:tc>
          <w:tcPr>
            <w:tcW w:w="7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(5.0 )</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(15.1 )</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80"/>
              <w:spacing w:after="0"/>
              <w:rPr>
                <w:sz w:val="20"/>
                <w:szCs w:val="20"/>
                <w:color w:val="auto"/>
              </w:rPr>
            </w:pPr>
            <w:r>
              <w:rPr>
                <w:rFonts w:ascii="Arial" w:cs="Arial" w:eastAsia="Arial" w:hAnsi="Arial"/>
                <w:sz w:val="18"/>
                <w:szCs w:val="18"/>
                <w:color w:val="auto"/>
              </w:rPr>
              <w:t>Offset marketing fees against related costs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(0.9 )</w:t>
            </w:r>
          </w:p>
        </w:tc>
        <w:tc>
          <w:tcPr>
            <w:tcW w:w="7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(0.8 )</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of Revenue Less Ancillary Services</w:t>
            </w:r>
          </w:p>
        </w:tc>
        <w:tc>
          <w:tcPr>
            <w:tcW w:w="880" w:type="dxa"/>
            <w:vAlign w:val="bottom"/>
            <w:gridSpan w:val="2"/>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7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gridSpan w:val="3"/>
          </w:tcPr>
          <w:p>
            <w:pPr>
              <w:jc w:val="right"/>
              <w:ind w:right="53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8"/>
                <w:szCs w:val="18"/>
                <w:color w:val="auto"/>
              </w:rPr>
            </w:pPr>
          </w:p>
        </w:tc>
        <w:tc>
          <w:tcPr>
            <w:tcW w:w="780" w:type="dxa"/>
            <w:vAlign w:val="bottom"/>
          </w:tcPr>
          <w:p>
            <w:pPr>
              <w:jc w:val="right"/>
              <w:ind w:right="57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44.6</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64.4 %</w:t>
            </w:r>
          </w:p>
        </w:tc>
        <w:tc>
          <w:tcPr>
            <w:tcW w:w="7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65.8 %</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61.7 %</w:t>
            </w:r>
          </w:p>
        </w:tc>
        <w:tc>
          <w:tcPr>
            <w:tcW w:w="4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8"/>
                <w:szCs w:val="18"/>
                <w:color w:val="auto"/>
              </w:rPr>
              <w:t>Adjusted Gross Profit</w:t>
            </w: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00" w:type="dxa"/>
            <w:vAlign w:val="bottom"/>
            <w:vMerge w:val="continue"/>
          </w:tcPr>
          <w:p>
            <w:pPr>
              <w:spacing w:after="0"/>
              <w:rPr>
                <w:sz w:val="16"/>
                <w:szCs w:val="16"/>
                <w:color w:val="auto"/>
              </w:rPr>
            </w:pPr>
          </w:p>
        </w:tc>
        <w:tc>
          <w:tcPr>
            <w:tcW w:w="1620" w:type="dxa"/>
            <w:vAlign w:val="bottom"/>
            <w:gridSpan w:val="3"/>
          </w:tcPr>
          <w:p>
            <w:pPr>
              <w:jc w:val="right"/>
              <w:ind w:right="537"/>
              <w:spacing w:after="0" w:line="195"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61.3</w:t>
            </w:r>
          </w:p>
        </w:tc>
        <w:tc>
          <w:tcPr>
            <w:tcW w:w="260" w:type="dxa"/>
            <w:vAlign w:val="bottom"/>
          </w:tcPr>
          <w:p>
            <w:pPr>
              <w:spacing w:after="0"/>
              <w:rPr>
                <w:sz w:val="16"/>
                <w:szCs w:val="16"/>
                <w:color w:val="auto"/>
              </w:rPr>
            </w:pPr>
          </w:p>
        </w:tc>
        <w:tc>
          <w:tcPr>
            <w:tcW w:w="780" w:type="dxa"/>
            <w:vAlign w:val="bottom"/>
          </w:tcPr>
          <w:p>
            <w:pPr>
              <w:jc w:val="right"/>
              <w:ind w:right="573"/>
              <w:spacing w:after="0" w:line="195" w:lineRule="exact"/>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44.6</w:t>
            </w:r>
          </w:p>
        </w:tc>
        <w:tc>
          <w:tcPr>
            <w:tcW w:w="260" w:type="dxa"/>
            <w:vAlign w:val="bottom"/>
          </w:tcPr>
          <w:p>
            <w:pPr>
              <w:spacing w:after="0"/>
              <w:rPr>
                <w:sz w:val="16"/>
                <w:szCs w:val="16"/>
                <w:color w:val="auto"/>
              </w:rPr>
            </w:pPr>
          </w:p>
        </w:tc>
        <w:tc>
          <w:tcPr>
            <w:tcW w:w="2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133.4</w:t>
            </w:r>
          </w:p>
        </w:tc>
        <w:tc>
          <w:tcPr>
            <w:tcW w:w="260" w:type="dxa"/>
            <w:vAlign w:val="bottom"/>
          </w:tcPr>
          <w:p>
            <w:pPr>
              <w:spacing w:after="0"/>
              <w:rPr>
                <w:sz w:val="16"/>
                <w:szCs w:val="16"/>
                <w:color w:val="auto"/>
              </w:rPr>
            </w:pPr>
          </w:p>
        </w:tc>
        <w:tc>
          <w:tcPr>
            <w:tcW w:w="42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94.7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Arial" w:cs="Arial" w:eastAsia="Arial" w:hAnsi="Arial"/>
                <w:sz w:val="18"/>
                <w:szCs w:val="18"/>
                <w:color w:val="auto"/>
              </w:rPr>
              <w:t>Adjusted Gross Margin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69.0 %</w:t>
            </w:r>
          </w:p>
        </w:tc>
        <w:tc>
          <w:tcPr>
            <w:tcW w:w="7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71.9 %</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66.8 %</w:t>
            </w:r>
          </w:p>
        </w:tc>
        <w:tc>
          <w:tcPr>
            <w:tcW w:w="4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37</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-1925955</wp:posOffset>
            </wp:positionV>
            <wp:extent cx="2748280" cy="162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7482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4622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46228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8883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0891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Revenue</w:t>
      </w:r>
    </w:p>
    <w:p>
      <w:pPr>
        <w:spacing w:after="0" w:line="7" w:lineRule="exact"/>
        <w:rPr>
          <w:sz w:val="20"/>
          <w:szCs w:val="20"/>
          <w:color w:val="auto"/>
        </w:rPr>
      </w:pPr>
    </w:p>
    <w:p>
      <w:pPr>
        <w:ind w:left="160" w:right="720" w:hanging="141"/>
        <w:spacing w:after="0" w:line="233" w:lineRule="auto"/>
        <w:rPr>
          <w:sz w:val="20"/>
          <w:szCs w:val="20"/>
          <w:color w:val="auto"/>
        </w:rPr>
      </w:pPr>
      <w:r>
        <w:rPr>
          <w:rFonts w:ascii="Arial" w:cs="Arial" w:eastAsia="Arial" w:hAnsi="Arial"/>
          <w:sz w:val="17"/>
          <w:szCs w:val="17"/>
          <w:color w:val="auto"/>
        </w:rPr>
        <w:t>Adjusted to exclude gross up for:</w:t>
      </w:r>
    </w:p>
    <w:p>
      <w:pPr>
        <w:jc w:val="right"/>
        <w:ind w:right="800"/>
        <w:spacing w:after="0" w:line="229" w:lineRule="auto"/>
        <w:rPr>
          <w:sz w:val="20"/>
          <w:szCs w:val="20"/>
          <w:color w:val="auto"/>
        </w:rPr>
      </w:pPr>
      <w:r>
        <w:rPr>
          <w:rFonts w:ascii="Arial" w:cs="Arial" w:eastAsia="Arial" w:hAnsi="Arial"/>
          <w:sz w:val="17"/>
          <w:szCs w:val="17"/>
          <w:color w:val="auto"/>
        </w:rPr>
        <w:t>Pass-through cost for</w:t>
      </w:r>
    </w:p>
    <w:p>
      <w:pPr>
        <w:jc w:val="right"/>
        <w:ind w:right="800"/>
        <w:spacing w:after="0"/>
        <w:rPr>
          <w:sz w:val="20"/>
          <w:szCs w:val="20"/>
          <w:color w:val="auto"/>
        </w:rPr>
      </w:pPr>
      <w:r>
        <w:rPr>
          <w:rFonts w:ascii="Arial" w:cs="Arial" w:eastAsia="Arial" w:hAnsi="Arial"/>
          <w:sz w:val="17"/>
          <w:szCs w:val="17"/>
          <w:color w:val="auto"/>
        </w:rPr>
        <w:t>printing and mailing</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Marketing fees</w:t>
      </w:r>
    </w:p>
    <w:p>
      <w:pPr>
        <w:spacing w:after="0" w:line="20" w:lineRule="exact"/>
        <w:rPr>
          <w:sz w:val="20"/>
          <w:szCs w:val="20"/>
          <w:color w:val="auto"/>
        </w:rPr>
      </w:pPr>
    </w:p>
    <w:p>
      <w:pPr>
        <w:ind w:left="160" w:right="900" w:hanging="141"/>
        <w:spacing w:after="0" w:line="233" w:lineRule="auto"/>
        <w:rPr>
          <w:sz w:val="20"/>
          <w:szCs w:val="20"/>
          <w:color w:val="auto"/>
        </w:rPr>
      </w:pPr>
      <w:r>
        <w:rPr>
          <w:rFonts w:ascii="Arial" w:cs="Arial" w:eastAsia="Arial" w:hAnsi="Arial"/>
          <w:sz w:val="17"/>
          <w:szCs w:val="17"/>
          <w:color w:val="auto"/>
        </w:rPr>
        <w:t>Revenue Less Ancillary Services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Percentage of Revenue</w:t>
      </w:r>
    </w:p>
    <w:p>
      <w:pPr>
        <w:spacing w:after="0" w:line="7" w:lineRule="exact"/>
        <w:rPr>
          <w:sz w:val="20"/>
          <w:szCs w:val="20"/>
          <w:color w:val="auto"/>
        </w:rPr>
      </w:pPr>
    </w:p>
    <w:p>
      <w:pPr>
        <w:ind w:left="160" w:right="480" w:hanging="132"/>
        <w:spacing w:after="0" w:line="233" w:lineRule="auto"/>
        <w:rPr>
          <w:sz w:val="20"/>
          <w:szCs w:val="20"/>
          <w:color w:val="auto"/>
        </w:rPr>
      </w:pPr>
      <w:r>
        <w:rPr>
          <w:rFonts w:ascii="Arial" w:cs="Arial" w:eastAsia="Arial" w:hAnsi="Arial"/>
          <w:sz w:val="17"/>
          <w:szCs w:val="17"/>
          <w:color w:val="auto"/>
        </w:rPr>
        <w:t>Percentage of Revenue Less Ancillary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0891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08915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Revenue</w:t>
      </w:r>
    </w:p>
    <w:p>
      <w:pPr>
        <w:spacing w:after="0" w:line="7" w:lineRule="exact"/>
        <w:rPr>
          <w:sz w:val="20"/>
          <w:szCs w:val="20"/>
          <w:color w:val="auto"/>
        </w:rPr>
      </w:pPr>
    </w:p>
    <w:p>
      <w:pPr>
        <w:ind w:left="160" w:right="720" w:hanging="141"/>
        <w:spacing w:after="0" w:line="233" w:lineRule="auto"/>
        <w:rPr>
          <w:sz w:val="20"/>
          <w:szCs w:val="20"/>
          <w:color w:val="auto"/>
        </w:rPr>
      </w:pPr>
      <w:r>
        <w:rPr>
          <w:rFonts w:ascii="Arial" w:cs="Arial" w:eastAsia="Arial" w:hAnsi="Arial"/>
          <w:sz w:val="17"/>
          <w:szCs w:val="17"/>
          <w:color w:val="auto"/>
        </w:rPr>
        <w:t>Adjusted to exclude gross up for:</w:t>
      </w:r>
    </w:p>
    <w:p>
      <w:pPr>
        <w:jc w:val="right"/>
        <w:ind w:right="800"/>
        <w:spacing w:after="0" w:line="229" w:lineRule="auto"/>
        <w:rPr>
          <w:sz w:val="20"/>
          <w:szCs w:val="20"/>
          <w:color w:val="auto"/>
        </w:rPr>
      </w:pPr>
      <w:r>
        <w:rPr>
          <w:rFonts w:ascii="Arial" w:cs="Arial" w:eastAsia="Arial" w:hAnsi="Arial"/>
          <w:sz w:val="17"/>
          <w:szCs w:val="17"/>
          <w:color w:val="auto"/>
        </w:rPr>
        <w:t>Pass-through cost for</w:t>
      </w:r>
    </w:p>
    <w:p>
      <w:pPr>
        <w:jc w:val="right"/>
        <w:ind w:right="800"/>
        <w:spacing w:after="0"/>
        <w:rPr>
          <w:sz w:val="20"/>
          <w:szCs w:val="20"/>
          <w:color w:val="auto"/>
        </w:rPr>
      </w:pPr>
      <w:r>
        <w:rPr>
          <w:rFonts w:ascii="Arial" w:cs="Arial" w:eastAsia="Arial" w:hAnsi="Arial"/>
          <w:sz w:val="17"/>
          <w:szCs w:val="17"/>
          <w:color w:val="auto"/>
        </w:rPr>
        <w:t>printing and mailing</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Marketing fees</w:t>
      </w:r>
    </w:p>
    <w:p>
      <w:pPr>
        <w:spacing w:after="0" w:line="20" w:lineRule="exact"/>
        <w:rPr>
          <w:sz w:val="20"/>
          <w:szCs w:val="20"/>
          <w:color w:val="auto"/>
        </w:rPr>
      </w:pPr>
    </w:p>
    <w:p>
      <w:pPr>
        <w:ind w:left="160" w:right="900" w:hanging="141"/>
        <w:spacing w:after="0" w:line="233" w:lineRule="auto"/>
        <w:rPr>
          <w:sz w:val="20"/>
          <w:szCs w:val="20"/>
          <w:color w:val="auto"/>
        </w:rPr>
      </w:pPr>
      <w:r>
        <w:rPr>
          <w:rFonts w:ascii="Arial" w:cs="Arial" w:eastAsia="Arial" w:hAnsi="Arial"/>
          <w:sz w:val="17"/>
          <w:szCs w:val="17"/>
          <w:color w:val="auto"/>
        </w:rPr>
        <w:t>Revenue Less Ancillary Services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Percentage of Revenue</w:t>
      </w:r>
    </w:p>
    <w:p>
      <w:pPr>
        <w:spacing w:after="0" w:line="7" w:lineRule="exact"/>
        <w:rPr>
          <w:sz w:val="20"/>
          <w:szCs w:val="20"/>
          <w:color w:val="auto"/>
        </w:rPr>
      </w:pPr>
    </w:p>
    <w:p>
      <w:pPr>
        <w:ind w:left="160" w:right="480" w:hanging="132"/>
        <w:spacing w:after="0" w:line="233" w:lineRule="auto"/>
        <w:rPr>
          <w:sz w:val="20"/>
          <w:szCs w:val="20"/>
          <w:color w:val="auto"/>
        </w:rPr>
      </w:pPr>
      <w:r>
        <w:rPr>
          <w:rFonts w:ascii="Arial" w:cs="Arial" w:eastAsia="Arial" w:hAnsi="Arial"/>
          <w:sz w:val="17"/>
          <w:szCs w:val="17"/>
          <w:color w:val="auto"/>
        </w:rPr>
        <w:t>Percentage of Revenue Less Ancillary Services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EBITDA and Adjusted EBITDA:</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jc w:val="center"/>
              <w:ind w:right="15"/>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4"/>
          </w:tcPr>
          <w:p>
            <w:pPr>
              <w:jc w:val="center"/>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3"/>
        </w:trPr>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15"/>
              <w:spacing w:after="0"/>
              <w:rPr>
                <w:sz w:val="20"/>
                <w:szCs w:val="20"/>
                <w:color w:val="auto"/>
              </w:rPr>
            </w:pPr>
            <w:r>
              <w:rPr>
                <w:rFonts w:ascii="Arial" w:cs="Arial" w:eastAsia="Arial" w:hAnsi="Arial"/>
                <w:sz w:val="13"/>
                <w:szCs w:val="13"/>
                <w:b w:val="1"/>
                <w:bCs w:val="1"/>
                <w:color w:val="auto"/>
              </w:rPr>
              <w:t>September 30, 2022</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September 30, 2021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20"/>
        </w:trPr>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355"/>
              <w:spacing w:after="0" w:line="120" w:lineRule="exact"/>
              <w:rPr>
                <w:sz w:val="20"/>
                <w:szCs w:val="20"/>
                <w:color w:val="auto"/>
              </w:rPr>
            </w:pPr>
            <w:r>
              <w:rPr>
                <w:rFonts w:ascii="Arial" w:cs="Arial" w:eastAsia="Arial" w:hAnsi="Arial"/>
                <w:sz w:val="13"/>
                <w:szCs w:val="13"/>
                <w:b w:val="1"/>
                <w:bCs w:val="1"/>
                <w:color w:val="auto"/>
              </w:rPr>
              <w:t>Platform</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15"/>
              <w:spacing w:after="0" w:line="120" w:lineRule="exact"/>
              <w:rPr>
                <w:sz w:val="20"/>
                <w:szCs w:val="20"/>
                <w:color w:val="auto"/>
              </w:rPr>
            </w:pPr>
            <w:r>
              <w:rPr>
                <w:rFonts w:ascii="Arial" w:cs="Arial" w:eastAsia="Arial" w:hAnsi="Arial"/>
                <w:sz w:val="13"/>
                <w:szCs w:val="13"/>
                <w:b w:val="1"/>
                <w:bCs w:val="1"/>
                <w:color w:val="auto"/>
              </w:rPr>
              <w:t>Platform</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5"/>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35"/>
              <w:spacing w:after="0" w:line="146" w:lineRule="exact"/>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15"/>
              <w:spacing w:after="0" w:line="146" w:lineRule="exact"/>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8"/>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55"/>
              <w:spacing w:after="0" w:line="138" w:lineRule="exact"/>
              <w:rPr>
                <w:sz w:val="20"/>
                <w:szCs w:val="20"/>
                <w:color w:val="auto"/>
              </w:rPr>
            </w:pPr>
            <w:r>
              <w:rPr>
                <w:rFonts w:ascii="Arial" w:cs="Arial" w:eastAsia="Arial" w:hAnsi="Arial"/>
                <w:sz w:val="13"/>
                <w:szCs w:val="13"/>
                <w:b w:val="1"/>
                <w:bCs w:val="1"/>
                <w:color w:val="auto"/>
              </w:rPr>
              <w:t>Usage-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15"/>
              <w:spacing w:after="0" w:line="138" w:lineRule="exact"/>
              <w:rPr>
                <w:sz w:val="20"/>
                <w:szCs w:val="20"/>
                <w:color w:val="auto"/>
              </w:rPr>
            </w:pPr>
            <w:r>
              <w:rPr>
                <w:rFonts w:ascii="Arial" w:cs="Arial" w:eastAsia="Arial" w:hAnsi="Arial"/>
                <w:sz w:val="13"/>
                <w:szCs w:val="13"/>
                <w:b w:val="1"/>
                <w:bCs w:val="1"/>
                <w:color w:val="auto"/>
              </w:rPr>
              <w:t>Usage-</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5"/>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35"/>
              <w:spacing w:after="0" w:line="146" w:lineRule="exact"/>
              <w:rPr>
                <w:sz w:val="20"/>
                <w:szCs w:val="20"/>
                <w:color w:val="auto"/>
              </w:rPr>
            </w:pPr>
            <w:r>
              <w:rPr>
                <w:rFonts w:ascii="Arial" w:cs="Arial" w:eastAsia="Arial" w:hAnsi="Arial"/>
                <w:sz w:val="13"/>
                <w:szCs w:val="13"/>
                <w:b w:val="1"/>
                <w:bCs w:val="1"/>
                <w:color w:val="auto"/>
              </w:rPr>
              <w:t>Based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15"/>
              <w:spacing w:after="0" w:line="146" w:lineRule="exact"/>
              <w:rPr>
                <w:sz w:val="20"/>
                <w:szCs w:val="20"/>
                <w:color w:val="auto"/>
              </w:rPr>
            </w:pPr>
            <w:r>
              <w:rPr>
                <w:rFonts w:ascii="Arial" w:cs="Arial" w:eastAsia="Arial" w:hAnsi="Arial"/>
                <w:sz w:val="13"/>
                <w:szCs w:val="13"/>
                <w:b w:val="1"/>
                <w:bCs w:val="1"/>
                <w:color w:val="auto"/>
              </w:rPr>
              <w:t>Based</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5"/>
        </w:trPr>
        <w:tc>
          <w:tcPr>
            <w:tcW w:w="140" w:type="dxa"/>
            <w:vAlign w:val="bottom"/>
          </w:tcPr>
          <w:p>
            <w:pPr>
              <w:spacing w:after="0"/>
              <w:rPr>
                <w:sz w:val="16"/>
                <w:szCs w:val="16"/>
                <w:color w:val="auto"/>
              </w:rPr>
            </w:pPr>
          </w:p>
        </w:tc>
        <w:tc>
          <w:tcPr>
            <w:tcW w:w="1080" w:type="dxa"/>
            <w:vAlign w:val="bottom"/>
            <w:gridSpan w:val="2"/>
          </w:tcPr>
          <w:p>
            <w:pPr>
              <w:jc w:val="right"/>
              <w:ind w:right="195"/>
              <w:spacing w:after="0"/>
              <w:rPr>
                <w:sz w:val="20"/>
                <w:szCs w:val="20"/>
                <w:color w:val="auto"/>
              </w:rPr>
            </w:pPr>
            <w:r>
              <w:rPr>
                <w:rFonts w:ascii="Arial" w:cs="Arial" w:eastAsia="Arial" w:hAnsi="Arial"/>
                <w:sz w:val="13"/>
                <w:szCs w:val="13"/>
                <w:b w:val="1"/>
                <w:bCs w:val="1"/>
                <w:color w:val="auto"/>
              </w:rPr>
              <w:t>Transaction</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335"/>
              <w:spacing w:after="0"/>
              <w:rPr>
                <w:sz w:val="20"/>
                <w:szCs w:val="20"/>
                <w:color w:val="auto"/>
              </w:rPr>
            </w:pPr>
            <w:r>
              <w:rPr>
                <w:rFonts w:ascii="Arial" w:cs="Arial" w:eastAsia="Arial" w:hAnsi="Arial"/>
                <w:sz w:val="13"/>
                <w:szCs w:val="13"/>
                <w:b w:val="1"/>
                <w:bCs w:val="1"/>
                <w:color w:val="auto"/>
              </w:rPr>
              <w:t>Fee</w:t>
            </w:r>
          </w:p>
        </w:tc>
        <w:tc>
          <w:tcPr>
            <w:tcW w:w="180" w:type="dxa"/>
            <w:vAlign w:val="bottom"/>
          </w:tcPr>
          <w:p>
            <w:pPr>
              <w:spacing w:after="0"/>
              <w:rPr>
                <w:sz w:val="16"/>
                <w:szCs w:val="16"/>
                <w:color w:val="auto"/>
              </w:rPr>
            </w:pPr>
          </w:p>
        </w:tc>
        <w:tc>
          <w:tcPr>
            <w:tcW w:w="1160" w:type="dxa"/>
            <w:vAlign w:val="bottom"/>
            <w:gridSpan w:val="2"/>
          </w:tcPr>
          <w:p>
            <w:pPr>
              <w:jc w:val="right"/>
              <w:ind w:right="415"/>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6"/>
                <w:szCs w:val="16"/>
                <w:color w:val="auto"/>
              </w:rPr>
            </w:pPr>
          </w:p>
        </w:tc>
        <w:tc>
          <w:tcPr>
            <w:tcW w:w="1180" w:type="dxa"/>
            <w:vAlign w:val="bottom"/>
            <w:gridSpan w:val="2"/>
          </w:tcPr>
          <w:p>
            <w:pPr>
              <w:jc w:val="right"/>
              <w:ind w:right="327"/>
              <w:spacing w:after="0"/>
              <w:rPr>
                <w:sz w:val="20"/>
                <w:szCs w:val="20"/>
                <w:color w:val="auto"/>
              </w:rPr>
            </w:pPr>
            <w:r>
              <w:rPr>
                <w:rFonts w:ascii="Arial" w:cs="Arial" w:eastAsia="Arial" w:hAnsi="Arial"/>
                <w:sz w:val="13"/>
                <w:szCs w:val="13"/>
                <w:b w:val="1"/>
                <w:bCs w:val="1"/>
                <w:color w:val="auto"/>
              </w:rPr>
              <w:t>Transaction</w:t>
            </w:r>
          </w:p>
        </w:tc>
        <w:tc>
          <w:tcPr>
            <w:tcW w:w="180" w:type="dxa"/>
            <w:vAlign w:val="bottom"/>
          </w:tcPr>
          <w:p>
            <w:pPr>
              <w:spacing w:after="0"/>
              <w:rPr>
                <w:sz w:val="16"/>
                <w:szCs w:val="16"/>
                <w:color w:val="auto"/>
              </w:rPr>
            </w:pPr>
          </w:p>
        </w:tc>
        <w:tc>
          <w:tcPr>
            <w:tcW w:w="1080" w:type="dxa"/>
            <w:vAlign w:val="bottom"/>
            <w:gridSpan w:val="2"/>
          </w:tcPr>
          <w:p>
            <w:pPr>
              <w:jc w:val="center"/>
              <w:ind w:right="315"/>
              <w:spacing w:after="0"/>
              <w:rPr>
                <w:sz w:val="20"/>
                <w:szCs w:val="20"/>
                <w:color w:val="auto"/>
              </w:rPr>
            </w:pPr>
            <w:r>
              <w:rPr>
                <w:rFonts w:ascii="Arial" w:cs="Arial" w:eastAsia="Arial" w:hAnsi="Arial"/>
                <w:sz w:val="13"/>
                <w:szCs w:val="13"/>
                <w:b w:val="1"/>
                <w:bCs w:val="1"/>
                <w:color w:val="auto"/>
              </w:rPr>
              <w:t>Fee</w:t>
            </w:r>
          </w:p>
        </w:tc>
        <w:tc>
          <w:tcPr>
            <w:tcW w:w="180" w:type="dxa"/>
            <w:vAlign w:val="bottom"/>
          </w:tcPr>
          <w:p>
            <w:pPr>
              <w:spacing w:after="0"/>
              <w:rPr>
                <w:sz w:val="16"/>
                <w:szCs w:val="16"/>
                <w:color w:val="auto"/>
              </w:rPr>
            </w:pPr>
          </w:p>
        </w:tc>
        <w:tc>
          <w:tcPr>
            <w:tcW w:w="1080" w:type="dxa"/>
            <w:vAlign w:val="bottom"/>
            <w:gridSpan w:val="2"/>
          </w:tcPr>
          <w:p>
            <w:pPr>
              <w:jc w:val="right"/>
              <w:ind w:right="355"/>
              <w:spacing w:after="0"/>
              <w:rPr>
                <w:sz w:val="20"/>
                <w:szCs w:val="20"/>
                <w:color w:val="auto"/>
              </w:rPr>
            </w:pPr>
            <w:r>
              <w:rPr>
                <w:rFonts w:ascii="Arial" w:cs="Arial" w:eastAsia="Arial" w:hAnsi="Arial"/>
                <w:sz w:val="13"/>
                <w:szCs w:val="13"/>
                <w:b w:val="1"/>
                <w:bCs w:val="1"/>
                <w:color w:val="auto"/>
              </w:rPr>
              <w:t>Revenue</w:t>
            </w:r>
          </w:p>
        </w:tc>
      </w:tr>
      <w:tr>
        <w:trPr>
          <w:trHeight w:val="20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95.2</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53.0</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67.8</w:t>
            </w:r>
          </w:p>
        </w:tc>
        <w:tc>
          <w:tcPr>
            <w:tcW w:w="160" w:type="dxa"/>
            <w:vAlign w:val="bottom"/>
          </w:tcPr>
          <w:p>
            <w:pPr>
              <w:spacing w:after="0"/>
              <w:rPr>
                <w:sz w:val="17"/>
                <w:szCs w:val="17"/>
                <w:color w:val="auto"/>
              </w:rPr>
            </w:pPr>
          </w:p>
        </w:tc>
      </w:tr>
      <w:tr>
        <w:trPr>
          <w:trHeight w:val="774"/>
        </w:trPr>
        <w:tc>
          <w:tcPr>
            <w:tcW w:w="140" w:type="dxa"/>
            <w:vAlign w:val="bottom"/>
          </w:tcPr>
          <w:p>
            <w:pPr>
              <w:spacing w:after="0"/>
              <w:rPr>
                <w:sz w:val="24"/>
                <w:szCs w:val="24"/>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95"/>
              <w:spacing w:after="0"/>
              <w:rPr>
                <w:sz w:val="20"/>
                <w:szCs w:val="20"/>
                <w:color w:val="auto"/>
              </w:rPr>
            </w:pPr>
            <w:r>
              <w:rPr>
                <w:rFonts w:ascii="Arial" w:cs="Arial" w:eastAsia="Arial" w:hAnsi="Arial"/>
                <w:sz w:val="17"/>
                <w:szCs w:val="17"/>
                <w:color w:val="auto"/>
              </w:rPr>
              <w:t>(5.4 )</w:t>
            </w:r>
          </w:p>
        </w:tc>
        <w:tc>
          <w:tcPr>
            <w:tcW w:w="180" w:type="dxa"/>
            <w:vAlign w:val="bottom"/>
          </w:tcPr>
          <w:p>
            <w:pPr>
              <w:spacing w:after="0"/>
              <w:rPr>
                <w:sz w:val="24"/>
                <w:szCs w:val="24"/>
                <w:color w:val="auto"/>
              </w:rPr>
            </w:pPr>
          </w:p>
        </w:tc>
        <w:tc>
          <w:tcPr>
            <w:tcW w:w="1160" w:type="dxa"/>
            <w:vAlign w:val="bottom"/>
            <w:gridSpan w:val="2"/>
          </w:tcPr>
          <w:p>
            <w:pPr>
              <w:jc w:val="right"/>
              <w:ind w:right="75"/>
              <w:spacing w:after="0"/>
              <w:rPr>
                <w:sz w:val="20"/>
                <w:szCs w:val="20"/>
                <w:color w:val="auto"/>
              </w:rPr>
            </w:pPr>
            <w:r>
              <w:rPr>
                <w:rFonts w:ascii="Arial" w:cs="Arial" w:eastAsia="Arial" w:hAnsi="Arial"/>
                <w:sz w:val="17"/>
                <w:szCs w:val="17"/>
                <w:color w:val="auto"/>
              </w:rPr>
              <w:t>(5.4 )</w:t>
            </w:r>
          </w:p>
        </w:tc>
        <w:tc>
          <w:tcPr>
            <w:tcW w:w="140" w:type="dxa"/>
            <w:vAlign w:val="bottom"/>
          </w:tcPr>
          <w:p>
            <w:pPr>
              <w:spacing w:after="0"/>
              <w:rPr>
                <w:sz w:val="24"/>
                <w:szCs w:val="24"/>
                <w:color w:val="auto"/>
              </w:rPr>
            </w:pPr>
          </w:p>
        </w:tc>
        <w:tc>
          <w:tcPr>
            <w:tcW w:w="1180" w:type="dxa"/>
            <w:vAlign w:val="bottom"/>
            <w:gridSpan w:val="2"/>
          </w:tcPr>
          <w:p>
            <w:pPr>
              <w:jc w:val="right"/>
              <w:ind w:right="16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7"/>
                <w:szCs w:val="17"/>
                <w:color w:val="auto"/>
              </w:rPr>
              <w:t>(5.0 )</w:t>
            </w:r>
          </w:p>
        </w:tc>
        <w:tc>
          <w:tcPr>
            <w:tcW w:w="180" w:type="dxa"/>
            <w:vAlign w:val="bottom"/>
          </w:tcPr>
          <w:p>
            <w:pPr>
              <w:spacing w:after="0"/>
              <w:rPr>
                <w:sz w:val="24"/>
                <w:szCs w:val="24"/>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(5.0 )</w:t>
            </w:r>
          </w:p>
        </w:tc>
      </w:tr>
      <w:tr>
        <w:trPr>
          <w:trHeight w:val="206"/>
        </w:trPr>
        <w:tc>
          <w:tcPr>
            <w:tcW w:w="1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(0.9 )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75"/>
              <w:spacing w:after="0"/>
              <w:rPr>
                <w:sz w:val="20"/>
                <w:szCs w:val="20"/>
                <w:color w:val="auto"/>
              </w:rPr>
            </w:pPr>
            <w:r>
              <w:rPr>
                <w:rFonts w:ascii="Arial" w:cs="Arial" w:eastAsia="Arial" w:hAnsi="Arial"/>
                <w:sz w:val="17"/>
                <w:szCs w:val="17"/>
                <w:color w:val="auto"/>
              </w:rPr>
              <w:t>(0.9 )</w:t>
            </w:r>
          </w:p>
        </w:tc>
        <w:tc>
          <w:tcPr>
            <w:tcW w:w="140" w:type="dxa"/>
            <w:vAlign w:val="bottom"/>
          </w:tcPr>
          <w:p>
            <w:pPr>
              <w:spacing w:after="0"/>
              <w:rPr>
                <w:sz w:val="17"/>
                <w:szCs w:val="17"/>
                <w:color w:val="auto"/>
              </w:rPr>
            </w:pPr>
          </w:p>
        </w:tc>
        <w:tc>
          <w:tcPr>
            <w:tcW w:w="1180" w:type="dxa"/>
            <w:vAlign w:val="bottom"/>
            <w:gridSpan w:val="2"/>
          </w:tcPr>
          <w:p>
            <w:pPr>
              <w:jc w:val="right"/>
              <w:ind w:right="87"/>
              <w:spacing w:after="0"/>
              <w:rPr>
                <w:sz w:val="20"/>
                <w:szCs w:val="20"/>
                <w:color w:val="auto"/>
              </w:rPr>
            </w:pPr>
            <w:r>
              <w:rPr>
                <w:rFonts w:ascii="Arial" w:cs="Arial" w:eastAsia="Arial" w:hAnsi="Arial"/>
                <w:sz w:val="17"/>
                <w:szCs w:val="17"/>
                <w:color w:val="auto"/>
              </w:rPr>
              <w:t>(0.8 )</w:t>
            </w:r>
          </w:p>
        </w:tc>
        <w:tc>
          <w:tcPr>
            <w:tcW w:w="180" w:type="dxa"/>
            <w:vAlign w:val="bottom"/>
          </w:tcPr>
          <w:p>
            <w:pPr>
              <w:spacing w:after="0"/>
              <w:rPr>
                <w:sz w:val="17"/>
                <w:szCs w:val="17"/>
                <w:color w:val="auto"/>
              </w:rPr>
            </w:pPr>
          </w:p>
        </w:tc>
        <w:tc>
          <w:tcPr>
            <w:tcW w:w="10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(0.8 )</w:t>
            </w:r>
          </w:p>
        </w:tc>
      </w:tr>
      <w:tr>
        <w:trPr>
          <w:trHeight w:val="344"/>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24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88.9</w:t>
            </w:r>
          </w:p>
        </w:tc>
        <w:tc>
          <w:tcPr>
            <w:tcW w:w="2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52.2</w:t>
            </w:r>
          </w:p>
        </w:tc>
        <w:tc>
          <w:tcPr>
            <w:tcW w:w="2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2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62.0</w:t>
            </w:r>
          </w:p>
        </w:tc>
        <w:tc>
          <w:tcPr>
            <w:tcW w:w="16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87"/>
        </w:trPr>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81.0</w:t>
            </w:r>
          </w:p>
        </w:tc>
        <w:tc>
          <w:tcPr>
            <w:tcW w:w="240" w:type="dxa"/>
            <w:vAlign w:val="bottom"/>
            <w:gridSpan w:val="2"/>
          </w:tcPr>
          <w:p>
            <w:pPr>
              <w:jc w:val="right"/>
              <w:ind w:right="13"/>
              <w:spacing w:after="0" w:line="185" w:lineRule="exact"/>
              <w:rPr>
                <w:sz w:val="20"/>
                <w:szCs w:val="20"/>
                <w:color w:val="auto"/>
              </w:rPr>
            </w:pPr>
            <w:r>
              <w:rPr>
                <w:rFonts w:ascii="Arial" w:cs="Arial" w:eastAsia="Arial" w:hAnsi="Arial"/>
                <w:sz w:val="17"/>
                <w:szCs w:val="17"/>
                <w:color w:val="auto"/>
                <w:highlight w:val="white"/>
                <w:w w:val="92"/>
              </w:rPr>
              <w:t>%</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19.0</w:t>
            </w:r>
          </w:p>
        </w:tc>
        <w:tc>
          <w:tcPr>
            <w:tcW w:w="240" w:type="dxa"/>
            <w:vAlign w:val="bottom"/>
          </w:tcPr>
          <w:p>
            <w:pPr>
              <w:jc w:val="right"/>
              <w:spacing w:after="0" w:line="185" w:lineRule="exact"/>
              <w:rPr>
                <w:sz w:val="20"/>
                <w:szCs w:val="20"/>
                <w:color w:val="auto"/>
              </w:rPr>
            </w:pPr>
            <w:r>
              <w:rPr>
                <w:rFonts w:ascii="Arial" w:cs="Arial" w:eastAsia="Arial" w:hAnsi="Arial"/>
                <w:sz w:val="17"/>
                <w:szCs w:val="17"/>
                <w:color w:val="auto"/>
                <w:highlight w:val="white"/>
                <w:w w:val="92"/>
              </w:rPr>
              <w:t>%</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100</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auto"/>
                <w:highlight w:val="white"/>
                <w:w w:val="92"/>
              </w:rPr>
              <w:t>%</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78.2</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auto"/>
                <w:highlight w:val="white"/>
                <w:w w:val="92"/>
              </w:rPr>
              <w:t>%</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21.8</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auto"/>
                <w:highlight w:val="white"/>
                <w:w w:val="92"/>
              </w:rPr>
              <w:t>%</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100.0</w:t>
            </w:r>
          </w:p>
        </w:tc>
        <w:tc>
          <w:tcPr>
            <w:tcW w:w="160" w:type="dxa"/>
            <w:vAlign w:val="bottom"/>
          </w:tcPr>
          <w:p>
            <w:pPr>
              <w:jc w:val="right"/>
              <w:spacing w:after="0" w:line="185" w:lineRule="exact"/>
              <w:rPr>
                <w:sz w:val="20"/>
                <w:szCs w:val="20"/>
                <w:color w:val="auto"/>
              </w:rPr>
            </w:pPr>
            <w:r>
              <w:rPr>
                <w:rFonts w:ascii="Arial" w:cs="Arial" w:eastAsia="Arial" w:hAnsi="Arial"/>
                <w:sz w:val="17"/>
                <w:szCs w:val="17"/>
                <w:color w:val="auto"/>
                <w:highlight w:val="white"/>
                <w:w w:val="92"/>
              </w:rPr>
              <w:t>%</w:t>
            </w:r>
          </w:p>
        </w:tc>
      </w:tr>
      <w:tr>
        <w:trPr>
          <w:trHeight w:val="385"/>
        </w:trPr>
        <w:tc>
          <w:tcPr>
            <w:tcW w:w="140" w:type="dxa"/>
            <w:vAlign w:val="bottom"/>
          </w:tcPr>
          <w:p>
            <w:pPr>
              <w:spacing w:after="0"/>
              <w:rPr>
                <w:sz w:val="24"/>
                <w:szCs w:val="24"/>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7"/>
                <w:szCs w:val="17"/>
                <w:color w:val="auto"/>
              </w:rPr>
              <w:t>85.7 %</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14.3 %</w:t>
            </w:r>
          </w:p>
        </w:tc>
        <w:tc>
          <w:tcPr>
            <w:tcW w:w="1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84.2 %</w:t>
            </w:r>
          </w:p>
        </w:tc>
        <w:tc>
          <w:tcPr>
            <w:tcW w:w="1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15.8 %</w:t>
            </w:r>
          </w:p>
        </w:tc>
        <w:tc>
          <w:tcPr>
            <w:tcW w:w="1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100.0 %</w:t>
            </w:r>
          </w:p>
        </w:tc>
      </w:tr>
      <w:tr>
        <w:trPr>
          <w:trHeight w:val="341"/>
        </w:trPr>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tcPr>
          <w:p>
            <w:pPr>
              <w:jc w:val="center"/>
              <w:ind w:right="15"/>
              <w:spacing w:after="0"/>
              <w:rPr>
                <w:sz w:val="20"/>
                <w:szCs w:val="20"/>
                <w:color w:val="auto"/>
              </w:rPr>
            </w:pPr>
            <w:r>
              <w:rPr>
                <w:rFonts w:ascii="Arial" w:cs="Arial" w:eastAsia="Arial" w:hAnsi="Arial"/>
                <w:sz w:val="13"/>
                <w:szCs w:val="13"/>
                <w:b w:val="1"/>
                <w:bCs w:val="1"/>
                <w:color w:val="auto"/>
              </w:rPr>
              <w:t>Nine Months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3"/>
                <w:szCs w:val="13"/>
                <w:b w:val="1"/>
                <w:bCs w:val="1"/>
                <w:color w:val="auto"/>
              </w:rPr>
              <w:t>Nine Months Ended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3"/>
        </w:trPr>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15"/>
              <w:spacing w:after="0"/>
              <w:rPr>
                <w:sz w:val="20"/>
                <w:szCs w:val="20"/>
                <w:color w:val="auto"/>
              </w:rPr>
            </w:pPr>
            <w:r>
              <w:rPr>
                <w:rFonts w:ascii="Arial" w:cs="Arial" w:eastAsia="Arial" w:hAnsi="Arial"/>
                <w:sz w:val="13"/>
                <w:szCs w:val="13"/>
                <w:b w:val="1"/>
                <w:bCs w:val="1"/>
                <w:color w:val="auto"/>
              </w:rPr>
              <w:t>September 30, 2022</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September 30, 2021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20"/>
        </w:trPr>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355"/>
              <w:spacing w:after="0" w:line="120" w:lineRule="exact"/>
              <w:rPr>
                <w:sz w:val="20"/>
                <w:szCs w:val="20"/>
                <w:color w:val="auto"/>
              </w:rPr>
            </w:pPr>
            <w:r>
              <w:rPr>
                <w:rFonts w:ascii="Arial" w:cs="Arial" w:eastAsia="Arial" w:hAnsi="Arial"/>
                <w:sz w:val="13"/>
                <w:szCs w:val="13"/>
                <w:b w:val="1"/>
                <w:bCs w:val="1"/>
                <w:color w:val="auto"/>
              </w:rPr>
              <w:t>Platform</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15"/>
              <w:spacing w:after="0" w:line="120" w:lineRule="exact"/>
              <w:rPr>
                <w:sz w:val="20"/>
                <w:szCs w:val="20"/>
                <w:color w:val="auto"/>
              </w:rPr>
            </w:pPr>
            <w:r>
              <w:rPr>
                <w:rFonts w:ascii="Arial" w:cs="Arial" w:eastAsia="Arial" w:hAnsi="Arial"/>
                <w:sz w:val="13"/>
                <w:szCs w:val="13"/>
                <w:b w:val="1"/>
                <w:bCs w:val="1"/>
                <w:color w:val="auto"/>
              </w:rPr>
              <w:t>Platform</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5"/>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35"/>
              <w:spacing w:after="0" w:line="146" w:lineRule="exact"/>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15"/>
              <w:spacing w:after="0" w:line="146" w:lineRule="exact"/>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8"/>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55"/>
              <w:spacing w:after="0" w:line="138" w:lineRule="exact"/>
              <w:rPr>
                <w:sz w:val="20"/>
                <w:szCs w:val="20"/>
                <w:color w:val="auto"/>
              </w:rPr>
            </w:pPr>
            <w:r>
              <w:rPr>
                <w:rFonts w:ascii="Arial" w:cs="Arial" w:eastAsia="Arial" w:hAnsi="Arial"/>
                <w:sz w:val="13"/>
                <w:szCs w:val="13"/>
                <w:b w:val="1"/>
                <w:bCs w:val="1"/>
                <w:color w:val="auto"/>
              </w:rPr>
              <w:t>Usage-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15"/>
              <w:spacing w:after="0" w:line="138" w:lineRule="exact"/>
              <w:rPr>
                <w:sz w:val="20"/>
                <w:szCs w:val="20"/>
                <w:color w:val="auto"/>
              </w:rPr>
            </w:pPr>
            <w:r>
              <w:rPr>
                <w:rFonts w:ascii="Arial" w:cs="Arial" w:eastAsia="Arial" w:hAnsi="Arial"/>
                <w:sz w:val="13"/>
                <w:szCs w:val="13"/>
                <w:b w:val="1"/>
                <w:bCs w:val="1"/>
                <w:color w:val="auto"/>
              </w:rPr>
              <w:t>Usage-</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5"/>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35"/>
              <w:spacing w:after="0" w:line="146" w:lineRule="exact"/>
              <w:rPr>
                <w:sz w:val="20"/>
                <w:szCs w:val="20"/>
                <w:color w:val="auto"/>
              </w:rPr>
            </w:pPr>
            <w:r>
              <w:rPr>
                <w:rFonts w:ascii="Arial" w:cs="Arial" w:eastAsia="Arial" w:hAnsi="Arial"/>
                <w:sz w:val="13"/>
                <w:szCs w:val="13"/>
                <w:b w:val="1"/>
                <w:bCs w:val="1"/>
                <w:color w:val="auto"/>
              </w:rPr>
              <w:t>Based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15"/>
              <w:spacing w:after="0" w:line="146" w:lineRule="exact"/>
              <w:rPr>
                <w:sz w:val="20"/>
                <w:szCs w:val="20"/>
                <w:color w:val="auto"/>
              </w:rPr>
            </w:pPr>
            <w:r>
              <w:rPr>
                <w:rFonts w:ascii="Arial" w:cs="Arial" w:eastAsia="Arial" w:hAnsi="Arial"/>
                <w:sz w:val="13"/>
                <w:szCs w:val="13"/>
                <w:b w:val="1"/>
                <w:bCs w:val="1"/>
                <w:color w:val="auto"/>
              </w:rPr>
              <w:t>Based</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5"/>
        </w:trPr>
        <w:tc>
          <w:tcPr>
            <w:tcW w:w="140" w:type="dxa"/>
            <w:vAlign w:val="bottom"/>
          </w:tcPr>
          <w:p>
            <w:pPr>
              <w:spacing w:after="0"/>
              <w:rPr>
                <w:sz w:val="16"/>
                <w:szCs w:val="16"/>
                <w:color w:val="auto"/>
              </w:rPr>
            </w:pPr>
          </w:p>
        </w:tc>
        <w:tc>
          <w:tcPr>
            <w:tcW w:w="1080" w:type="dxa"/>
            <w:vAlign w:val="bottom"/>
            <w:gridSpan w:val="2"/>
          </w:tcPr>
          <w:p>
            <w:pPr>
              <w:jc w:val="right"/>
              <w:ind w:right="195"/>
              <w:spacing w:after="0"/>
              <w:rPr>
                <w:sz w:val="20"/>
                <w:szCs w:val="20"/>
                <w:color w:val="auto"/>
              </w:rPr>
            </w:pPr>
            <w:r>
              <w:rPr>
                <w:rFonts w:ascii="Arial" w:cs="Arial" w:eastAsia="Arial" w:hAnsi="Arial"/>
                <w:sz w:val="13"/>
                <w:szCs w:val="13"/>
                <w:b w:val="1"/>
                <w:bCs w:val="1"/>
                <w:color w:val="auto"/>
              </w:rPr>
              <w:t>Transaction</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335"/>
              <w:spacing w:after="0"/>
              <w:rPr>
                <w:sz w:val="20"/>
                <w:szCs w:val="20"/>
                <w:color w:val="auto"/>
              </w:rPr>
            </w:pPr>
            <w:r>
              <w:rPr>
                <w:rFonts w:ascii="Arial" w:cs="Arial" w:eastAsia="Arial" w:hAnsi="Arial"/>
                <w:sz w:val="13"/>
                <w:szCs w:val="13"/>
                <w:b w:val="1"/>
                <w:bCs w:val="1"/>
                <w:color w:val="auto"/>
              </w:rPr>
              <w:t>Fee</w:t>
            </w:r>
          </w:p>
        </w:tc>
        <w:tc>
          <w:tcPr>
            <w:tcW w:w="180" w:type="dxa"/>
            <w:vAlign w:val="bottom"/>
          </w:tcPr>
          <w:p>
            <w:pPr>
              <w:spacing w:after="0"/>
              <w:rPr>
                <w:sz w:val="16"/>
                <w:szCs w:val="16"/>
                <w:color w:val="auto"/>
              </w:rPr>
            </w:pPr>
          </w:p>
        </w:tc>
        <w:tc>
          <w:tcPr>
            <w:tcW w:w="1160" w:type="dxa"/>
            <w:vAlign w:val="bottom"/>
            <w:gridSpan w:val="2"/>
          </w:tcPr>
          <w:p>
            <w:pPr>
              <w:jc w:val="right"/>
              <w:ind w:right="415"/>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6"/>
                <w:szCs w:val="16"/>
                <w:color w:val="auto"/>
              </w:rPr>
            </w:pPr>
          </w:p>
        </w:tc>
        <w:tc>
          <w:tcPr>
            <w:tcW w:w="1180" w:type="dxa"/>
            <w:vAlign w:val="bottom"/>
            <w:gridSpan w:val="2"/>
          </w:tcPr>
          <w:p>
            <w:pPr>
              <w:jc w:val="right"/>
              <w:ind w:right="327"/>
              <w:spacing w:after="0"/>
              <w:rPr>
                <w:sz w:val="20"/>
                <w:szCs w:val="20"/>
                <w:color w:val="auto"/>
              </w:rPr>
            </w:pPr>
            <w:r>
              <w:rPr>
                <w:rFonts w:ascii="Arial" w:cs="Arial" w:eastAsia="Arial" w:hAnsi="Arial"/>
                <w:sz w:val="13"/>
                <w:szCs w:val="13"/>
                <w:b w:val="1"/>
                <w:bCs w:val="1"/>
                <w:color w:val="auto"/>
              </w:rPr>
              <w:t>Transaction</w:t>
            </w:r>
          </w:p>
        </w:tc>
        <w:tc>
          <w:tcPr>
            <w:tcW w:w="180" w:type="dxa"/>
            <w:vAlign w:val="bottom"/>
          </w:tcPr>
          <w:p>
            <w:pPr>
              <w:spacing w:after="0"/>
              <w:rPr>
                <w:sz w:val="16"/>
                <w:szCs w:val="16"/>
                <w:color w:val="auto"/>
              </w:rPr>
            </w:pPr>
          </w:p>
        </w:tc>
        <w:tc>
          <w:tcPr>
            <w:tcW w:w="1080" w:type="dxa"/>
            <w:vAlign w:val="bottom"/>
            <w:gridSpan w:val="2"/>
          </w:tcPr>
          <w:p>
            <w:pPr>
              <w:jc w:val="center"/>
              <w:ind w:right="315"/>
              <w:spacing w:after="0"/>
              <w:rPr>
                <w:sz w:val="20"/>
                <w:szCs w:val="20"/>
                <w:color w:val="auto"/>
              </w:rPr>
            </w:pPr>
            <w:r>
              <w:rPr>
                <w:rFonts w:ascii="Arial" w:cs="Arial" w:eastAsia="Arial" w:hAnsi="Arial"/>
                <w:sz w:val="13"/>
                <w:szCs w:val="13"/>
                <w:b w:val="1"/>
                <w:bCs w:val="1"/>
                <w:color w:val="auto"/>
              </w:rPr>
              <w:t>Fee</w:t>
            </w:r>
          </w:p>
        </w:tc>
        <w:tc>
          <w:tcPr>
            <w:tcW w:w="180" w:type="dxa"/>
            <w:vAlign w:val="bottom"/>
          </w:tcPr>
          <w:p>
            <w:pPr>
              <w:spacing w:after="0"/>
              <w:rPr>
                <w:sz w:val="16"/>
                <w:szCs w:val="16"/>
                <w:color w:val="auto"/>
              </w:rPr>
            </w:pPr>
          </w:p>
        </w:tc>
        <w:tc>
          <w:tcPr>
            <w:tcW w:w="1080" w:type="dxa"/>
            <w:vAlign w:val="bottom"/>
            <w:gridSpan w:val="2"/>
          </w:tcPr>
          <w:p>
            <w:pPr>
              <w:jc w:val="right"/>
              <w:ind w:right="355"/>
              <w:spacing w:after="0"/>
              <w:rPr>
                <w:sz w:val="20"/>
                <w:szCs w:val="20"/>
                <w:color w:val="auto"/>
              </w:rPr>
            </w:pPr>
            <w:r>
              <w:rPr>
                <w:rFonts w:ascii="Arial" w:cs="Arial" w:eastAsia="Arial" w:hAnsi="Arial"/>
                <w:sz w:val="13"/>
                <w:szCs w:val="13"/>
                <w:b w:val="1"/>
                <w:bCs w:val="1"/>
                <w:color w:val="auto"/>
              </w:rPr>
              <w:t>Revenue</w:t>
            </w:r>
          </w:p>
        </w:tc>
      </w:tr>
      <w:tr>
        <w:trPr>
          <w:trHeight w:val="20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216.3</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109.7</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149.8</w:t>
            </w:r>
          </w:p>
        </w:tc>
        <w:tc>
          <w:tcPr>
            <w:tcW w:w="160" w:type="dxa"/>
            <w:vAlign w:val="bottom"/>
          </w:tcPr>
          <w:p>
            <w:pPr>
              <w:spacing w:after="0"/>
              <w:rPr>
                <w:sz w:val="17"/>
                <w:szCs w:val="17"/>
                <w:color w:val="auto"/>
              </w:rPr>
            </w:pPr>
          </w:p>
        </w:tc>
      </w:tr>
      <w:tr>
        <w:trPr>
          <w:trHeight w:val="774"/>
        </w:trPr>
        <w:tc>
          <w:tcPr>
            <w:tcW w:w="140" w:type="dxa"/>
            <w:vAlign w:val="bottom"/>
          </w:tcPr>
          <w:p>
            <w:pPr>
              <w:spacing w:after="0"/>
              <w:rPr>
                <w:sz w:val="24"/>
                <w:szCs w:val="24"/>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95"/>
              <w:spacing w:after="0"/>
              <w:rPr>
                <w:sz w:val="20"/>
                <w:szCs w:val="20"/>
                <w:color w:val="auto"/>
              </w:rPr>
            </w:pPr>
            <w:r>
              <w:rPr>
                <w:rFonts w:ascii="Arial" w:cs="Arial" w:eastAsia="Arial" w:hAnsi="Arial"/>
                <w:sz w:val="17"/>
                <w:szCs w:val="17"/>
                <w:color w:val="auto"/>
              </w:rPr>
              <w:t>(15.1 )</w:t>
            </w:r>
          </w:p>
        </w:tc>
        <w:tc>
          <w:tcPr>
            <w:tcW w:w="180" w:type="dxa"/>
            <w:vAlign w:val="bottom"/>
          </w:tcPr>
          <w:p>
            <w:pPr>
              <w:spacing w:after="0"/>
              <w:rPr>
                <w:sz w:val="24"/>
                <w:szCs w:val="24"/>
                <w:color w:val="auto"/>
              </w:rPr>
            </w:pPr>
          </w:p>
        </w:tc>
        <w:tc>
          <w:tcPr>
            <w:tcW w:w="1160" w:type="dxa"/>
            <w:vAlign w:val="bottom"/>
            <w:gridSpan w:val="2"/>
          </w:tcPr>
          <w:p>
            <w:pPr>
              <w:jc w:val="right"/>
              <w:ind w:right="75"/>
              <w:spacing w:after="0"/>
              <w:rPr>
                <w:sz w:val="20"/>
                <w:szCs w:val="20"/>
                <w:color w:val="auto"/>
              </w:rPr>
            </w:pPr>
            <w:r>
              <w:rPr>
                <w:rFonts w:ascii="Arial" w:cs="Arial" w:eastAsia="Arial" w:hAnsi="Arial"/>
                <w:sz w:val="17"/>
                <w:szCs w:val="17"/>
                <w:color w:val="auto"/>
              </w:rPr>
              <w:t>(15.1 )</w:t>
            </w:r>
          </w:p>
        </w:tc>
        <w:tc>
          <w:tcPr>
            <w:tcW w:w="140" w:type="dxa"/>
            <w:vAlign w:val="bottom"/>
          </w:tcPr>
          <w:p>
            <w:pPr>
              <w:spacing w:after="0"/>
              <w:rPr>
                <w:sz w:val="24"/>
                <w:szCs w:val="24"/>
                <w:color w:val="auto"/>
              </w:rPr>
            </w:pPr>
          </w:p>
        </w:tc>
        <w:tc>
          <w:tcPr>
            <w:tcW w:w="1180" w:type="dxa"/>
            <w:vAlign w:val="bottom"/>
            <w:gridSpan w:val="2"/>
          </w:tcPr>
          <w:p>
            <w:pPr>
              <w:jc w:val="right"/>
              <w:ind w:right="16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7"/>
                <w:szCs w:val="17"/>
                <w:color w:val="auto"/>
              </w:rPr>
              <w:t>(13.4 )</w:t>
            </w:r>
          </w:p>
        </w:tc>
        <w:tc>
          <w:tcPr>
            <w:tcW w:w="180" w:type="dxa"/>
            <w:vAlign w:val="bottom"/>
          </w:tcPr>
          <w:p>
            <w:pPr>
              <w:spacing w:after="0"/>
              <w:rPr>
                <w:sz w:val="24"/>
                <w:szCs w:val="24"/>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(13.4 )</w:t>
            </w:r>
          </w:p>
        </w:tc>
      </w:tr>
      <w:tr>
        <w:trPr>
          <w:trHeight w:val="206"/>
        </w:trPr>
        <w:tc>
          <w:tcPr>
            <w:tcW w:w="14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(1.5 )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75"/>
              <w:spacing w:after="0"/>
              <w:rPr>
                <w:sz w:val="20"/>
                <w:szCs w:val="20"/>
                <w:color w:val="auto"/>
              </w:rPr>
            </w:pPr>
            <w:r>
              <w:rPr>
                <w:rFonts w:ascii="Arial" w:cs="Arial" w:eastAsia="Arial" w:hAnsi="Arial"/>
                <w:sz w:val="17"/>
                <w:szCs w:val="17"/>
                <w:color w:val="auto"/>
              </w:rPr>
              <w:t>(1.5 )</w:t>
            </w:r>
          </w:p>
        </w:tc>
        <w:tc>
          <w:tcPr>
            <w:tcW w:w="140" w:type="dxa"/>
            <w:vAlign w:val="bottom"/>
          </w:tcPr>
          <w:p>
            <w:pPr>
              <w:spacing w:after="0"/>
              <w:rPr>
                <w:sz w:val="17"/>
                <w:szCs w:val="17"/>
                <w:color w:val="auto"/>
              </w:rPr>
            </w:pPr>
          </w:p>
        </w:tc>
        <w:tc>
          <w:tcPr>
            <w:tcW w:w="1180" w:type="dxa"/>
            <w:vAlign w:val="bottom"/>
            <w:gridSpan w:val="2"/>
          </w:tcPr>
          <w:p>
            <w:pPr>
              <w:jc w:val="right"/>
              <w:ind w:right="87"/>
              <w:spacing w:after="0"/>
              <w:rPr>
                <w:sz w:val="20"/>
                <w:szCs w:val="20"/>
                <w:color w:val="auto"/>
              </w:rPr>
            </w:pPr>
            <w:r>
              <w:rPr>
                <w:rFonts w:ascii="Arial" w:cs="Arial" w:eastAsia="Arial" w:hAnsi="Arial"/>
                <w:sz w:val="17"/>
                <w:szCs w:val="17"/>
                <w:color w:val="auto"/>
              </w:rPr>
              <w:t>(1.2 )</w:t>
            </w:r>
          </w:p>
        </w:tc>
        <w:tc>
          <w:tcPr>
            <w:tcW w:w="180" w:type="dxa"/>
            <w:vAlign w:val="bottom"/>
          </w:tcPr>
          <w:p>
            <w:pPr>
              <w:spacing w:after="0"/>
              <w:rPr>
                <w:sz w:val="17"/>
                <w:szCs w:val="17"/>
                <w:color w:val="auto"/>
              </w:rPr>
            </w:pPr>
          </w:p>
        </w:tc>
        <w:tc>
          <w:tcPr>
            <w:tcW w:w="108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7"/>
                <w:szCs w:val="17"/>
                <w:color w:val="auto"/>
              </w:rPr>
              <w:t>(1.2 )</w:t>
            </w:r>
          </w:p>
        </w:tc>
      </w:tr>
      <w:tr>
        <w:trPr>
          <w:trHeight w:val="344"/>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24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199.7</w:t>
            </w:r>
          </w:p>
        </w:tc>
        <w:tc>
          <w:tcPr>
            <w:tcW w:w="2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108.5</w:t>
            </w:r>
          </w:p>
        </w:tc>
        <w:tc>
          <w:tcPr>
            <w:tcW w:w="2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2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135.2</w:t>
            </w:r>
          </w:p>
        </w:tc>
        <w:tc>
          <w:tcPr>
            <w:tcW w:w="16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87"/>
        </w:trPr>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77.4</w:t>
            </w:r>
          </w:p>
        </w:tc>
        <w:tc>
          <w:tcPr>
            <w:tcW w:w="240" w:type="dxa"/>
            <w:vAlign w:val="bottom"/>
            <w:gridSpan w:val="2"/>
          </w:tcPr>
          <w:p>
            <w:pPr>
              <w:jc w:val="right"/>
              <w:ind w:right="13"/>
              <w:spacing w:after="0" w:line="185" w:lineRule="exact"/>
              <w:rPr>
                <w:sz w:val="20"/>
                <w:szCs w:val="20"/>
                <w:color w:val="auto"/>
              </w:rPr>
            </w:pPr>
            <w:r>
              <w:rPr>
                <w:rFonts w:ascii="Arial" w:cs="Arial" w:eastAsia="Arial" w:hAnsi="Arial"/>
                <w:sz w:val="17"/>
                <w:szCs w:val="17"/>
                <w:color w:val="auto"/>
                <w:highlight w:val="white"/>
                <w:w w:val="92"/>
              </w:rPr>
              <w:t>%</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22.6</w:t>
            </w:r>
          </w:p>
        </w:tc>
        <w:tc>
          <w:tcPr>
            <w:tcW w:w="240" w:type="dxa"/>
            <w:vAlign w:val="bottom"/>
          </w:tcPr>
          <w:p>
            <w:pPr>
              <w:jc w:val="right"/>
              <w:spacing w:after="0" w:line="185" w:lineRule="exact"/>
              <w:rPr>
                <w:sz w:val="20"/>
                <w:szCs w:val="20"/>
                <w:color w:val="auto"/>
              </w:rPr>
            </w:pPr>
            <w:r>
              <w:rPr>
                <w:rFonts w:ascii="Arial" w:cs="Arial" w:eastAsia="Arial" w:hAnsi="Arial"/>
                <w:sz w:val="17"/>
                <w:szCs w:val="17"/>
                <w:color w:val="auto"/>
                <w:highlight w:val="white"/>
                <w:w w:val="92"/>
              </w:rPr>
              <w:t>%</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100</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auto"/>
                <w:highlight w:val="white"/>
                <w:w w:val="92"/>
              </w:rPr>
              <w:t>%</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73.2</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auto"/>
                <w:highlight w:val="white"/>
                <w:w w:val="92"/>
              </w:rPr>
              <w:t>%</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26.8</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auto"/>
                <w:highlight w:val="white"/>
                <w:w w:val="92"/>
              </w:rPr>
              <w:t>%</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color w:val="auto"/>
              </w:rPr>
              <w:t>100.0</w:t>
            </w:r>
          </w:p>
        </w:tc>
        <w:tc>
          <w:tcPr>
            <w:tcW w:w="160" w:type="dxa"/>
            <w:vAlign w:val="bottom"/>
          </w:tcPr>
          <w:p>
            <w:pPr>
              <w:jc w:val="right"/>
              <w:spacing w:after="0" w:line="185" w:lineRule="exact"/>
              <w:rPr>
                <w:sz w:val="20"/>
                <w:szCs w:val="20"/>
                <w:color w:val="auto"/>
              </w:rPr>
            </w:pPr>
            <w:r>
              <w:rPr>
                <w:rFonts w:ascii="Arial" w:cs="Arial" w:eastAsia="Arial" w:hAnsi="Arial"/>
                <w:sz w:val="17"/>
                <w:szCs w:val="17"/>
                <w:color w:val="auto"/>
                <w:highlight w:val="white"/>
                <w:w w:val="92"/>
              </w:rPr>
              <w:t>%</w:t>
            </w:r>
          </w:p>
        </w:tc>
      </w:tr>
      <w:tr>
        <w:trPr>
          <w:trHeight w:val="385"/>
        </w:trPr>
        <w:tc>
          <w:tcPr>
            <w:tcW w:w="140" w:type="dxa"/>
            <w:vAlign w:val="bottom"/>
          </w:tcPr>
          <w:p>
            <w:pPr>
              <w:spacing w:after="0"/>
              <w:rPr>
                <w:sz w:val="24"/>
                <w:szCs w:val="24"/>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7"/>
                <w:szCs w:val="17"/>
                <w:color w:val="auto"/>
              </w:rPr>
              <w:t>83.1 %</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16.9 %</w:t>
            </w:r>
          </w:p>
        </w:tc>
        <w:tc>
          <w:tcPr>
            <w:tcW w:w="1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80.3 %</w:t>
            </w:r>
          </w:p>
        </w:tc>
        <w:tc>
          <w:tcPr>
            <w:tcW w:w="1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19.7 %</w:t>
            </w:r>
          </w:p>
        </w:tc>
        <w:tc>
          <w:tcPr>
            <w:tcW w:w="1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-3592830</wp:posOffset>
            </wp:positionV>
            <wp:extent cx="7132320" cy="1282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-3216275</wp:posOffset>
            </wp:positionV>
            <wp:extent cx="7132320" cy="2482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-2830830</wp:posOffset>
            </wp:positionV>
            <wp:extent cx="7132320" cy="2482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-2454275</wp:posOffset>
            </wp:positionV>
            <wp:extent cx="7132320" cy="2482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-1383665</wp:posOffset>
            </wp:positionV>
            <wp:extent cx="7132320" cy="1282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-1007110</wp:posOffset>
            </wp:positionV>
            <wp:extent cx="7132320" cy="2482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-621665</wp:posOffset>
            </wp:positionV>
            <wp:extent cx="7132320" cy="2482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-245110</wp:posOffset>
            </wp:positionV>
            <wp:extent cx="7132320" cy="2482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582" w:lineRule="exact"/>
        <w:rPr>
          <w:sz w:val="20"/>
          <w:szCs w:val="20"/>
          <w:color w:val="auto"/>
        </w:rPr>
      </w:pPr>
    </w:p>
    <w:p>
      <w:pPr>
        <w:sectPr>
          <w:pgSz w:w="11900" w:h="16838" w:orient="portrait"/>
          <w:cols w:equalWidth="0" w:num="2">
            <w:col w:w="2700" w:space="720"/>
            <w:col w:w="7880"/>
          </w:cols>
          <w:pgMar w:left="320" w:top="140" w:right="27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gridSpan w:val="3"/>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4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Depreciation and amortization</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Stock-based compensation expense and related taxes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Change in fair value of preferred stock warrant liability</w:t>
            </w:r>
          </w:p>
        </w:tc>
        <w:tc>
          <w:tcPr>
            <w:tcW w:w="76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4"/>
                <w:szCs w:val="24"/>
                <w:color w:val="auto"/>
                <w:vertAlign w:val="superscript"/>
              </w:rPr>
              <w:t>(1)</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3"/>
          </w:tcPr>
          <w:p>
            <w:pPr>
              <w:ind w:left="20"/>
              <w:spacing w:after="0"/>
              <w:rPr>
                <w:sz w:val="20"/>
                <w:szCs w:val="20"/>
                <w:color w:val="auto"/>
              </w:rPr>
            </w:pPr>
            <w:r>
              <w:rPr>
                <w:rFonts w:ascii="Arial" w:cs="Arial" w:eastAsia="Arial" w:hAnsi="Arial"/>
                <w:sz w:val="18"/>
                <w:szCs w:val="18"/>
                <w:color w:val="auto"/>
              </w:rPr>
              <w:t>Indirect taxes related to intercompany activity</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Acquisition related transaction costs </w:t>
            </w:r>
            <w:r>
              <w:rPr>
                <w:rFonts w:ascii="Arial" w:cs="Arial" w:eastAsia="Arial" w:hAnsi="Arial"/>
                <w:sz w:val="24"/>
                <w:szCs w:val="24"/>
                <w:color w:val="auto"/>
                <w:vertAlign w:val="superscript"/>
              </w:rPr>
              <w:t>(2)</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24"/>
                <w:szCs w:val="24"/>
                <w:color w:val="auto"/>
                <w:vertAlign w:val="superscript"/>
              </w:rPr>
              <w:t>(3)</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136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-110490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-93345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-110490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-93345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-110490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-93345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ind w:left="520" w:right="140" w:hanging="512"/>
        <w:spacing w:after="0" w:line="246"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months ended September 30, 2022, other (income) expense, net consisted of $(1.2) million of interest income and $7.5 million of losses from the remeasurement of foreign currency transactions into their functional currency. For the three months ended September 30, 2021, other (income) expense, net consisted of $0.2 million of losses from the remeasurement of foreign currency transactions into their functional currency. For the nine months ended September 30, 2022, other (income) expense, net consisted of $(1.4) million of interest income and $15.1 million of losses from the remeasurement of foreign currency transactions into their functional currency. For the nine months ended September 30, 2021, other (income) expense, net consisted of $0.6 million of losses from the remeasurement of foreign currency transactions into their functional currency.</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2" w:lineRule="exact"/>
        <w:rPr>
          <w:sz w:val="20"/>
          <w:szCs w:val="20"/>
          <w:color w:val="auto"/>
        </w:rPr>
      </w:pPr>
    </w:p>
    <w:p>
      <w:pPr>
        <w:ind w:left="520" w:hanging="512"/>
        <w:spacing w:after="0" w:line="256"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Acquisition related transaction costs consisted of legal and advisory fees incurred in connection with the Cohort Go acquisition. Refer to </w:t>
      </w:r>
      <w:r>
        <w:rPr>
          <w:rFonts w:ascii="Arial" w:cs="Arial" w:eastAsia="Arial" w:hAnsi="Arial"/>
          <w:sz w:val="14"/>
          <w:szCs w:val="14"/>
          <w:i w:val="1"/>
          <w:iCs w:val="1"/>
          <w:color w:val="auto"/>
        </w:rPr>
        <w:t>Note 8 - Business Combinations</w:t>
      </w:r>
      <w:r>
        <w:rPr>
          <w:rFonts w:ascii="Arial" w:cs="Arial" w:eastAsia="Arial" w:hAnsi="Arial"/>
          <w:sz w:val="14"/>
          <w:szCs w:val="14"/>
          <w:color w:val="auto"/>
        </w:rPr>
        <w:t xml:space="preserve"> to our unaudited condensed consolidated financial statements appearing elsewhere in this Quarterly Report on Form 10-Q for more details on the acquisition of Cohort Go.</w:t>
      </w:r>
    </w:p>
    <w:p>
      <w:pPr>
        <w:spacing w:after="0" w:line="155" w:lineRule="exact"/>
        <w:rPr>
          <w:rFonts w:ascii="Arial" w:cs="Arial" w:eastAsia="Arial" w:hAnsi="Arial"/>
          <w:sz w:val="14"/>
          <w:szCs w:val="14"/>
          <w:color w:val="auto"/>
        </w:rPr>
      </w:pPr>
    </w:p>
    <w:p>
      <w:pPr>
        <w:ind w:left="520" w:right="40" w:hanging="512"/>
        <w:spacing w:after="0" w:line="277"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Simplee’s and WPM's employees in connection with integration of the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93"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5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9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7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and total payment volume. We expect our mix to shift to bank transfers throughout the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9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COVID-19 pandemic, inflation or fluctuations in foreign exchange rates could affect the amounts of volumes processed on our platform, thus resulting in fluctuations to our revenue streams.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unprecedented and rapid spread of COVID-19 in 2020 as well as the shelter-in-place orders, promotion of social distancing measures, restrictions to businesses deemed non-essential, and travel restrictions implemented throughout the United States and globally have significantly impacted the verticals in which we have been predominantly focused over the last decade, including payment volumes, sales cycles and time to implementation in those verticals. However, we have not experienced any significant client attrition and our quarterly and annual net dollar-based retention rate remained strong. For the year ended December 31, 2021, our annual net dollar-based retention rate was approximately 140%. For the year ended December 31, 2020, despite the impact of the COVID-19 pandemic on our clients and the industries we serve, our annual net dollar-based retention rate was approximately 100%. During the year ended December 31, 2021, we added an additional 300 clients and have observed a recovery in payment volumes and growth in clients. As a result of the payment volume growth, client growth and public company complexities, we increased hiring in 2022. Although international travel restrictions remain for certain countries, subject to notable exceptions, these have lessened considerably, and borders are generally opened to pre-pandemic levels, allowing for an increase in international students to attend education clients. We expect this trend to continue throughout the year for our education clients in general. Our revenue growth from students originating from China may have been negatively impacted by the combination of a decline in visa issuance and COVID-19 related travel obstacles, as well as changes in education destinations. Additionally, the opening of borders and abatement of COVID-19 restrictions has increased travel abroad and we expect travel to continue to return to pre-pandemic levels. As variants (most notably Delta and Omicron) or sub-variants of COVID-19 emerge, we will continue to evaluate the nature and extent of these potential impacts to our business, consolidated financial statements, and liquidity.</w:t>
      </w:r>
    </w:p>
    <w:p>
      <w:pPr>
        <w:spacing w:after="0" w:line="181"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did not have a material impact on our consolidated financial statements for the years ended December 31, 2020 and 2021. We continue to monitor any effects that may result from the CARES Act or other government relief programs that are made available.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206"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do not have any operations, including long-lived assets, in Ukraine or Russia, and to our knowledge, our clients do not receive material amounts of payments from payers in these regions. We are actively monitoring the situation in Ukraine and assessing its impact on our business, but as of the issuance date of these condensed consolidated financial statements, the current conflict between Russia and Ukraine has not had a material impact on the Company’s revenue, results of operations or financial position. However, we have no way to predict the progress or outcome of the conflict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w:t>
      </w:r>
    </w:p>
    <w:p>
      <w:pPr>
        <w:spacing w:after="0" w:line="17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Ukraine is a major engineering hub and the conflict may create a global challenge in outsourcing or hiring engineering talent. In addition, we have put in place and continue to actively manage a program to comply with government sanctions imposed on Russian persons and financial institutions. Also, providers of payment and accounts receivable software have frequently been targeted by cyber threats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We continue to invest in systems, software and personnel to protect against these enhanced threats, but any failure to protect against such attacks, could result in unauthorized access to or leakage of, sensitive data, or compromise our ability to provide our solutions in a timely manner, which could harm our ability to conduct business or delay our financial reporting. Such failures could adversely affect our operating results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Inflation</w:t>
      </w:r>
    </w:p>
    <w:p>
      <w:pPr>
        <w:spacing w:after="0" w:line="193"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We do not believe that inflation had a material effect on our cash flows and results of operations during the three and nine months ended September 30,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206"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have a wide range of clients across education, healthcare, travel and B2B. Following the onset of the COVID-19 pandemic, there was a temporary deceleration of payment volumes and revenue from education clients relying on international enrollments due to the uncertainty of borders re-opening. During 2021 and up to the third quarter of 2022,</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borders continued to open allowing for an increase in international students to attend education clients. We expect this trend to continue throughout the year for our education clients, although COVID-19 related restrictions in China have slowed the growth of Chinese students studying in the U.S. and may have resulted in changes in Chinese student education destinations. Additionally, the opening of borders and abatement of COVID-19 restrictions has increased travel abroad and we expect travel to continue to return to pre-pandemic levels.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93"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206"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response to COVID-19 developments, we implemented measures to focus on the safety of our FlyMates and support of our clients, while at the same time seeking to mitigate the impact on our financial position and operations. We have implemented remote working capabilities for our entire organization and to date, there has been minimal disruption to our operations. During the Spring of 2020, due to initial COVID-19 uncertainty, we reduced our workforce by approximately 12%. From July 2020 through September 30, 2022, our workforce increased by approximately 118% in order to meet the demand of client growth and life as a public company with the goal of ensuring continuity and growth. As vaccination rates have increased, our offices have reopened, although FlyMates have the flexibility to work remotely.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202" w:lineRule="exact"/>
        <w:rPr>
          <w:sz w:val="20"/>
          <w:szCs w:val="20"/>
          <w:color w:val="auto"/>
        </w:rPr>
      </w:pPr>
    </w:p>
    <w:p>
      <w:pPr>
        <w:ind w:right="320" w:firstLine="509"/>
        <w:spacing w:after="0" w:line="241"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 Our revenue mix fluctuates and as more revenue is derived from credit cards our adjusted gross margin goes down.</w:t>
      </w:r>
    </w:p>
    <w:p>
      <w:pPr>
        <w:spacing w:after="0" w:line="17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and Usage-Based Fee Revenue</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93"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7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3"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3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Interest expense consists of interest previously incurred on our LSA and interest on our current Revolving Credit Facility. During 2018, we borrowed $25.0 million under the LSA to complete the acquisition of OnPlan Holdings LLC. On April 25, 2020, we entered into a Joinder and Second Amendment to the LSA to refinance the LSA. As part of the refinancing, the lender re-advanced $4.2 million of principal paid on the loan through May 1, 2020. The LSA was interest only until May 2023 and carried annual interest at a rate equal to the greater of (i) 5.25% above the prime rate or (ii) 8.50%. In July 2021, we refinanced the LSA by entering into a $50.0 million Revolving Credit Facility. The Revolving Credit Facility has an adjustable rate of interest based on the type of loan requested, either at an annual rate based on the Alternate Base Rate (ABR), which references the prime rate plus an applicable rate or LIBO Rate plus an applicable rate. Loans based on ABR bear interest at a rate between ABR plus 0.75% and ABR plus 1.25%, and loans based on LIBO Rate bear interest at a rate between LIBO Rate plus 1.75% and LIBO Rate plus 2.25%, depending on our liquidity.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In connection with our financing arrangements, we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our consolidated balance sheets as these were free standing instruments that may have required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Following our IPO, all preferred stock warrants were either fully exercised or converted to warrants to purchase common stock and no longer require liability classification. As a result, we no longer recognize the change in fair value of preferred stock warrant liability in our condensed consolidated statements of operations and comprehensive (loss) income.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6" w:lineRule="exact"/>
        <w:rPr>
          <w:sz w:val="20"/>
          <w:szCs w:val="20"/>
          <w:color w:val="auto"/>
        </w:rPr>
      </w:pPr>
    </w:p>
    <w:p>
      <w:pPr>
        <w:ind w:right="1080" w:firstLine="509"/>
        <w:spacing w:after="0" w:line="245" w:lineRule="auto"/>
        <w:rPr>
          <w:sz w:val="20"/>
          <w:szCs w:val="20"/>
          <w:color w:val="auto"/>
        </w:rPr>
      </w:pPr>
      <w:r>
        <w:rPr>
          <w:rFonts w:ascii="Arial" w:cs="Arial" w:eastAsia="Arial" w:hAnsi="Arial"/>
          <w:sz w:val="18"/>
          <w:szCs w:val="18"/>
          <w:color w:val="auto"/>
        </w:rPr>
        <w:t>Other income (expense), net consists of interest income and gains and losses from the remeasurement of foreign currency transactions into its functional currency.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w:t>
      </w:r>
    </w:p>
    <w:p>
      <w:pPr>
        <w:spacing w:after="0" w:line="193" w:lineRule="exact"/>
        <w:rPr>
          <w:sz w:val="20"/>
          <w:szCs w:val="20"/>
          <w:color w:val="auto"/>
        </w:rPr>
      </w:pPr>
    </w:p>
    <w:p>
      <w:pPr>
        <w:ind w:right="380" w:firstLine="509"/>
        <w:spacing w:after="0" w:line="247" w:lineRule="auto"/>
        <w:rPr>
          <w:sz w:val="20"/>
          <w:szCs w:val="20"/>
          <w:color w:val="auto"/>
        </w:rPr>
      </w:pPr>
      <w:r>
        <w:rPr>
          <w:rFonts w:ascii="Arial" w:cs="Arial" w:eastAsia="Arial" w:hAnsi="Arial"/>
          <w:sz w:val="18"/>
          <w:szCs w:val="18"/>
          <w:color w:val="auto"/>
        </w:rPr>
        <w:t>Provision for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provision for income taxes in the future.</w:t>
      </w:r>
    </w:p>
    <w:p>
      <w:pPr>
        <w:spacing w:after="0" w:line="17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30, 2022 and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118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780" w:type="dxa"/>
            <w:vAlign w:val="bottom"/>
            <w:gridSpan w:val="2"/>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71.8 %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73.6 %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64.6 %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61.6 %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(7.4 )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(0.4 )</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(0.6 )</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(6.2 )</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(0.2 )</w:t>
            </w:r>
          </w:p>
        </w:tc>
        <w:tc>
          <w:tcPr>
            <w:tcW w:w="1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(6.0 )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3000.0 %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Total other expenses, net</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(6.6 )</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(0.8 )</w:t>
            </w:r>
          </w:p>
        </w:tc>
        <w:tc>
          <w:tcPr>
            <w:tcW w:w="1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(5.8 )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725.0 %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(3.0 )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(13.3 )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(129.1 )%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333.3 %</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(4.3 )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(14.3 )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(143.0 )%</w:t>
            </w:r>
          </w:p>
        </w:tc>
        <w:tc>
          <w:tcPr>
            <w:tcW w:w="0" w:type="dxa"/>
            <w:vAlign w:val="bottom"/>
          </w:tcPr>
          <w:p>
            <w:pPr>
              <w:spacing w:after="0"/>
              <w:rPr>
                <w:sz w:val="1"/>
                <w:szCs w:val="1"/>
                <w:color w:val="auto"/>
              </w:rPr>
            </w:pPr>
          </w:p>
        </w:tc>
      </w:tr>
      <w:tr>
        <w:trPr>
          <w:trHeight w:val="217"/>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(0.3 )</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(0.3 )</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Comprehensive (loss) income</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-2088515</wp:posOffset>
            </wp:positionV>
            <wp:extent cx="71323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-1814830</wp:posOffset>
            </wp:positionV>
            <wp:extent cx="713232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-1540510</wp:posOffset>
            </wp:positionV>
            <wp:extent cx="713232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2"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Revenue was $95.2 million for the three months ended September 30, 2022, compared to $67.8 million for the three months ended September 30, 2021, an increase of $27.4 million or 40.4%.</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3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Transaction revenue</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7"/>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09"/>
        </w:trPr>
        <w:tc>
          <w:tcPr>
            <w:tcW w:w="5880" w:type="dxa"/>
            <w:vAlign w:val="bottom"/>
            <w:gridSpan w:val="2"/>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Transaction revenue was $77.1 million for the three months ended September 30, 2022, compared to $53.0 million for the three months ended September 30, 2021, an increase of $24.1 million or 45.5%. The increase in transaction revenue was primarily driven by growth in transaction payment volumes, from both our existing clients and new clients added during the three months ended September 30, 2022. We experienced strong growth in payment volume across all regions and verticals during the period. Total payment volume increased 33% during the three months ended September 30, 2022 to $ 7.0 billion. Our marketing services revenue increased as a result of our payment partners using more of our marketing services in the three months ended September 30, 2022 compared to the three months ended September 30, 2021.</w:t>
      </w:r>
    </w:p>
    <w:p>
      <w:pPr>
        <w:spacing w:after="0" w:line="163"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color w:val="auto"/>
        </w:rPr>
        <w:t>Platform and usage-based fee revenue was $18.1 million for the three months ended September 30, 2022, compared to $14.8 million for the three months ended September 30, 2021, an increase of $3.3 million or 22.3%. The increase in platform and usage-based fee revenue was driven primarily by the WPM and Cohort Go acquisitions, which accounted for a $3.1 million increase over the same period in 2021. The remainder of the increase was attributable to increased usage by our clients and new clients signed during the three months ended September 30,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202"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Payment processing services costs were $ 32.3 million for the three months ended September 30, 2022, compared to $21.7 million for the three months ended September 30, 2021, an increase of $10.6 million or 48.8%. The increase in payment processing services costs is correlated with the increase in total payment volume of 33% over the same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0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Technology and development expenses were $13.4 million for the three months ended September 30, 2022, compared to $7.8 million for the three months ended September 30, 2021, an increase of $5.6 million or 71.8%.The increase in technology and development cost was primarily driven by an increase in personnel costs, stock-based compensation expense, and amortization expense. Personnel costs were $8.5 million for the three months ended September 30, 2022, compared to $4.5 million for the three months ended September 30, 2021, an increase of $4.0 million or 88.9%. The increase in personnel costs was primarily driven by an increase in headcount within our technology and development teams. Stock-based compensation expense was $1.6 million for the three months ended September 30, 2022, compared to $0.5 million for the three months ended September 30, 2021, an increase of $1.1 million or 220.0%. The increase in stock-based compensation is attributable to equity grants awarded to existing and new FlyMates. Amortization of intangible assets was $1.6 million for the three months ended September 30, 2022, compared to $1.3 million for the three months ended September 30, 2021, an increase of $0.3 million or 23.1%. The increase in amortization expense was the result of the acquisitions of WPM and Cohort Go.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0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Selling and marketing expenses were $21.7 million for the three months ended September 30, 2022, compared to $12.5 million for the three months ended September 30, 2021, an increase of $9.2 million or 73.6%. The increase in selling and marketing expenses was primarily driven by an increase in personnel costs, professional fees, stock-based compensation expense, other costs, software and hosting expenses, amortization expense, and travel related expenses. Personnel costs were $11.8 million for the three months ended September 30, 2022, compared to $ 8.4 million for the three months ended September 30, 2021, an increase of $3.4 million or 40.5%. The increase in personnel costs was primarily driven by an increase in headcount within our selling and marketing teams and commissions earned on sales during the period. Professional fees were $3.7 million for the three months ended September 30, 2022, compared to $ 1.0 million for the three months ended September 30, 2021, an increase of $ 2.7 million or 270.0%. The increase in professional fees was due to increases in third party commissions and consulting fees. Stock-based compensation expense was $2.3 million for the three months ended September 30, 2022, compared to $0.8 million for the three months ended September 30, 2021, an increase of $ 1.5 million or 187.5%. The increase in stock-based compensation is attributable to equity grants awarded to existing and new FlyMates. Other costs were $0.4 million for the three months ended September 30, 2022, compared to $0.1 million for the three months ended September 30, 2021, an increase of $0.3 million or 300.0%. The increase in other costs was primarily due to increased attendance at sales and marketing</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events. Software and hosting expenses were $0.7 million for the three months ended September 30, 2022, compared to $0.3 million for the three months ended September 30, 2021, an increase of $0.4 million or 133.3%. The increase in software and hosting expenses was primarily related to increased hosting fees based on payment volumes growth and additional software needs based on headcount growth. Amortization of intangible assets was $0.9 million for the three months ended September 30, 2022, compared to $0.6 million for the three months ended September 30, 2021, an increase of $0.3 million or 50.0%. The increase in amortization expense was due to acquired customer relationships related to the WPM and Cohort Go acquisitions. Travel expenses were $0.4 million for the three months ended September 30, 2022, compared to $0.2 million for the three months ended September 30, 2021, an increase of $0.2 million or 100.0%. Higher travel expenses were due to increased client engagement and FlyMate collaboration.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General and administrative expenses were $24.2 million for the three months ended September 30, 2022 and $14.7 million for the three months ended September 30, 2021, an increase of $9.5 million or 64.6%. The increases in general and administrative expenses were primarily driven by an increase in personnel costs, stock-based compensation expense, professional fees, change in the fair value of contingent consideration, amortization expense, other costs, and software and hosting expenses. Personnel costs were $9.0 million for the three months ended September 30, 2022, compared to $5.8 million for the three months ended September 30, 2021, an increase of $3.2 million or 55.2%. The increase in personnel costs was primarily driven by an increase in headcount. Stock-based compensation was $4.6 million for the three months ended September 30, 2022, compared to $1.5 million for the three months ended September 30, 2021, an increase of $3.1 million or 206.7%. The increase in stock-based compensation is attributable to equity grants awarded to existing and new FlyMates. Professional fees were $2.5 million for the three months ended September 30, 2022, compared to $1.7 million for the three months ended September 30, 2021, an increase of $0.8 million or 47.1%. The increase in professional fees was due to increased legal and audit fees as a result of becoming a public company. Change in the fair value of contingent consideration related to acquisitions was $1.2 million for the three months ended September 30, 2022, compared to $0.5 million for the three months ended September 30, 2021, an increase of $0.7 million or 140.0%. The increase in the fair value of contingent consideration is due to the WPM acquisition. Amortization of intangible assets was $0.8 million for the three months ended September 30, 2022, compared to $ 0.4 million for the three months ended September 30, 2021, an increase of $0.4 million or 100.0%. The increase in amortization expense was due to acquired relationships related to the WPM and Cohort Go acquisitions. Other costs were $1.8 million for the three months ended September 30, 2022, compared to $1.2 million for the three months ended September 30, 2021, an increase of $ 0.6 million or 50.0%. The increase in other costs was primarily due to increased hedging losses and indirect taxes recorded during the period. Software and hosting expenses were $1.4 million for the three months ended September 30, 2022, compared to $1.0 million for the three months ended September 30, 2021, an increase of $0.4 million or 40.0%. The increase in software and hosting expenses was primarily related to increased hosting fees based on payment volumes growth and additional software needs based on headcount growth.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0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Interest expense was $0.4 million for the three months ended September 30, 2022, compared to $0.6 million for the three months ended September 30, 2021, a decrease of $0.2 million or 33.3%. During July 2021, we entered into a Revolving Credit Facility with three banks for a total commitment of $ 50.0 million. We drew $25.9 million on the Revolving Credit Facility and used the proceeds to early prepay our existing LSA of $25.0 million, which resulted in a new interest rate per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Other income (expense), net, was $ (6.2) million for the three months ended September 30, 2022, compared to $(0.2) million for the three months ended September 30, 2021, an increase of $(6.0) million. The increase was primarily the result of the remeasurement of foreign currency transactions, partially offset by an increase in interest income. Losses from the remeasurement of foreign currency transactions into their functional currencies were $7.5 million for the three months ended September 30, 2022, compared to $0.2 million for the three months ended September 30,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2"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The income tax expense was $1.3 million for the three months ended September 30, 2022, compared to an income tax expense of $0.3 million for the three months ended September 30, 2021, an increase of $1.0 or 333.3%. The income tax expense for the three months ended September 30, 2022 was primarily attributable to state and foreign taxes, while the income tax expense for the three months ended September 30, 2021 was primarily attributable to foreign taxes. Our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effective tax rate was (42.6)% for the three months ended September 30, 2022 compared to 3.3% for the three months ended September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Nine Months Ended September 30, 2022 and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3"/>
                <w:szCs w:val="13"/>
                <w:b w:val="1"/>
                <w:bCs w:val="1"/>
                <w:color w:val="auto"/>
              </w:rPr>
              <w:t>Nine Months Ended</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26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 costs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53.8 %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69.4 %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64.4 %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42.8 %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55.3 %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(20.8 )</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(2.9 )</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(17.9 )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617.2 %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(0.9 )</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(1.8 )</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preferred stock warrant liability</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(10.8 )</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(13.6 )</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(0.5 )</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(13.1 )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2620.0 %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80"/>
              <w:spacing w:after="0"/>
              <w:rPr>
                <w:sz w:val="20"/>
                <w:szCs w:val="20"/>
                <w:color w:val="auto"/>
              </w:rPr>
            </w:pPr>
            <w:r>
              <w:rPr>
                <w:rFonts w:ascii="Arial" w:cs="Arial" w:eastAsia="Arial" w:hAnsi="Arial"/>
                <w:sz w:val="18"/>
                <w:szCs w:val="18"/>
                <w:color w:val="auto"/>
              </w:rPr>
              <w:t>Total other expenses, net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(14.5 )</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(13.1 )</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8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(35.4 )</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(16.0 )</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(19.4 )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121.3 %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262.5 %</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(38.2 )</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(16.8 )</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(21.4 )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127.4 %</w:t>
            </w:r>
          </w:p>
        </w:tc>
        <w:tc>
          <w:tcPr>
            <w:tcW w:w="0" w:type="dxa"/>
            <w:vAlign w:val="bottom"/>
          </w:tcPr>
          <w:p>
            <w:pPr>
              <w:spacing w:after="0"/>
              <w:rPr>
                <w:sz w:val="1"/>
                <w:szCs w:val="1"/>
                <w:color w:val="auto"/>
              </w:rPr>
            </w:pPr>
          </w:p>
        </w:tc>
      </w:tr>
      <w:tr>
        <w:trPr>
          <w:trHeight w:val="217"/>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(0.4 )</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(0.1 )</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(0.3 )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300.0 %</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gridSpan w:val="2"/>
            <w:vMerge w:val="continue"/>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(16.9 )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(21.7 )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xml:space="preserve">128.4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-1951355</wp:posOffset>
            </wp:positionV>
            <wp:extent cx="713232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-1677670</wp:posOffset>
            </wp:positionV>
            <wp:extent cx="713232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-1403350</wp:posOffset>
            </wp:positionV>
            <wp:extent cx="713232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-855345</wp:posOffset>
            </wp:positionV>
            <wp:extent cx="71323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-581660</wp:posOffset>
            </wp:positionV>
            <wp:extent cx="71323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079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right="360" w:firstLine="509"/>
        <w:spacing w:after="0" w:line="245" w:lineRule="auto"/>
        <w:rPr>
          <w:sz w:val="20"/>
          <w:szCs w:val="20"/>
          <w:color w:val="auto"/>
        </w:rPr>
      </w:pPr>
      <w:r>
        <w:rPr>
          <w:rFonts w:ascii="Arial" w:cs="Arial" w:eastAsia="Arial" w:hAnsi="Arial"/>
          <w:sz w:val="18"/>
          <w:szCs w:val="18"/>
          <w:color w:val="auto"/>
        </w:rPr>
        <w:t>Revenue was $216.3 million for the nine months ended September 30, 2022, compared to $149.8 million for the nine months ended September 30, 2021, an increase of $66.5 million or 44.4%.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gridSpan w:val="4"/>
          </w:tcPr>
          <w:p>
            <w:pPr>
              <w:jc w:val="right"/>
              <w:ind w:right="515"/>
              <w:spacing w:after="0"/>
              <w:rPr>
                <w:sz w:val="20"/>
                <w:szCs w:val="20"/>
                <w:color w:val="auto"/>
              </w:rPr>
            </w:pPr>
            <w:r>
              <w:rPr>
                <w:rFonts w:ascii="Arial" w:cs="Arial" w:eastAsia="Arial" w:hAnsi="Arial"/>
                <w:sz w:val="13"/>
                <w:szCs w:val="13"/>
                <w:b w:val="1"/>
                <w:bCs w:val="1"/>
                <w:color w:val="auto"/>
              </w:rPr>
              <w:t>Nine Months Ended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8"/>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600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 Change</w:t>
            </w:r>
          </w:p>
        </w:tc>
      </w:tr>
      <w:tr>
        <w:trPr>
          <w:trHeight w:val="208"/>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Transaction revenue</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240" w:type="dxa"/>
            <w:vAlign w:val="bottom"/>
          </w:tcPr>
          <w:p>
            <w:pPr>
              <w:spacing w:after="0"/>
              <w:rPr>
                <w:sz w:val="18"/>
                <w:szCs w:val="18"/>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7"/>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21.7 %</w:t>
            </w:r>
          </w:p>
        </w:tc>
      </w:tr>
      <w:tr>
        <w:trPr>
          <w:trHeight w:val="209"/>
        </w:trPr>
        <w:tc>
          <w:tcPr>
            <w:tcW w:w="6000" w:type="dxa"/>
            <w:vAlign w:val="bottom"/>
            <w:gridSpan w:val="2"/>
          </w:tcPr>
          <w:p>
            <w:pPr>
              <w:ind w:left="28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4"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Transaction revenue was $167.5 million for the nine months ended September 30, 2022, compared to $109.7 million for the nine months ended September 30, 2021, an increase of $57.8 million or 52.7%. The increase in transaction revenue was primarily driven by growth in transaction payment volumes, from both our existing clients and new clients added during the nine months ended September 30, 2022. We experienced strong growth in payment volume across all regions and verticals during the period. Total payment volume increased 39% during the nine months ended September 30, 2022 to $14.0 billion. Our marketing services revenue increased as a result of our payment partners using more of our marketing services in the nine months ended September 30, 2022 compared to the nine months ended September 30, 2021.</w:t>
      </w:r>
    </w:p>
    <w:p>
      <w:pPr>
        <w:spacing w:after="0" w:line="177"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Platform and usage-based fee revenue was $48.8 million for the nine months ended September 30, 2022, compared to $40.1 million for the nine months ended September 30, 2021, an increase of $8.7 million or 21.7%. The increase in platform and usage-based fee revenue was driven primarily by the WPM and Cohort Go acquisitions, which accounted for a $6.4 million increase over the same period in 2021. The remainder of the increase was attributable to increased usage by our clients and new clients signed during the nine months ended September 30,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89"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Payment processing services costs were $78.3 million for the nine months ended September 30, 2022, compared to $50.9 million for the nine months ended September 30, 2021, an increase of $27.4 million or 53.8%. The increase in payment processing services costs is correlated with the increase in total payment volume of 39% over the same period.</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0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Technology and development expenses were $37.6 million for the nine months ended September 30, 2022, compared to $22.2 million for the nine months ended September 30, 2021, an increase of $15.4 million or 69.4%. The increase in technology and development cost was primarily driven by an increase in personnel costs, stock-based compensation expense, amortization expense, and software and hosting expenses. Personnel costs were $23.8 million for the nine months ended September 30, 2022, compared to $12.8 million for the nine months ended September 30, 2021, an increase of $11.0 million or 85.9%. The increase in personnel costs was primarily driven by an increase in headcount within our technology and development teams. Stock-based compensation expense was $4.2 million for the nine months ended September 30, 2022, compared to $2.0 million for the nine months ended September 30, 2021, an increase of $2.2 million or 110.0%. The increase in stock-based compensation is attributable to equity grants awarded to existing and new FlyMates. Amortization of intangible assets was $4.7 million for the nine months ended September 30, 2022, compared to $3.6 million for the nine months ended September 30, 2021, an increase of $1.1 million or 30.5%. The increase in amortization expense was due to acquired relationships related to the WPM and Cohort Go acquisitions. Software and hosting expenses were $3.3 million for the nine months ended September 30, 2022, compared to $2.8 million for the nine months ended September 30, 2021, an increase of $0.5 million or 17.9%. The increase in software and hosting expenses was primarily related to increased hosting fees based on payment volumes growth and additional software needs based on headcount growth.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0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Selling and marketing expenses were $58.2 million for the nine months ended September 30, 2022, compared to $35.4 million for the nine months ended September 30, 2021, an increase of $22.8 million or 64.4%. The increase in selling and marketing expenses was primarily driven by an increase in personnel costs, professional fees, marketing costs, stock-based compensation expense, travel related expenses, amortization expense, and software and hosting expenses. Personnel costs were $33.0 million for the nine months ended September 30, 2022, compared to $22.5 million for the nine months ended September 30, 2021, an increase of $10.5 million or 46.7%. The increase in personnel costs was primarily driven by an increase in headcount within our selling and marketing teams and commissions earned on sales during the period. Professional fees were $7.2 million for the nine months ended September 30, 2022, compared to $2.6 million for the nine months ended September 30, 2021, an increase of $4.6 million or 176.9%. The increase in professional fees was due to increases in third party commissions and consulting fees. Marketing costs were $4.5 million for the nine months ended September 30, 2022, compared to $ 2.5 million for the nine months ended September 30, 2021, an increase of $2.0 million or 80.0%. The increase in marketing costs was due to increased marketing initiatives and hosted events. Stock-based compensation expense was $5.8 million for the nine months ended September 30, 2022, compared to $ 4.2 million for the nine months ended September 30, 2021, an increase of $1.6 million or 38.1%. The increase in stock-based compensation is attributable to equity grants awarded to existing and new FlyMates. Travel expenses were $1.7 million for the nine months ended September 30, 2022, compared to $0.3 million for the nine months ended September 30, 2021, an increase of $1.4 million or 466.7%. Higher travel expenses were due to increased client engagement and FlyMate collaboration. Amortization of intangible assets was $2.8 million for the nine months ended September 30, 2022, compared to $1.8 million for the nine months ended September 30, 2021, an increase of $1.0 million or 55.6%. The increase in amortization expense was due to acquired customer relationships related to the WPM and Cohort Go acquisitions. Software and hosting expenses were $1.4 million for the nine months ended September 30, 2022, compared to $0.8 million for the nine months ended September 30, 2021, an increase of $0.6 million or 75.0%. The increase in software and hosting expenses was primarily related to increased hosting fees based on payment volumes growth and additional software needs based on headcount growth.</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General and administrative expenses were $63.1 million for the nine months ended September 30, 2022, compared to $44.2 million for the nine months ended September 30, 2021, an increase of $18.9 million or 42.8%. The increase in general and administrative expenses was primarily driven by the increase in personnel costs, stock-based compensation expense, professional fees, general and administrative, other costs, software and hosting expenses, travel related expenses, and amortization expense, which was partially offset by a decrease in the fair value of contingent consideration expense. Personnel costs were $24.5 million for the nine months ended September 30, 2022, compared to $17.0 million for the nine months ended September 30, 2021, an increase of $7.5 million or 44.1%. The increase in personnel costs was primarily driven by an increase in headcount. Stock-based compensation expense was $12.5 million for the nine months ended September 30, 2022, compared to $9.4 million for the nine months ended September 30, 2021, an increase of $3.1 million or 33.0%. The increase in stock-based compensation is attributable to equity grants awarded to existing and new FlyMates. Professional fees were $8.0 million for the nine months ended September 30, 2022, compared to $5.0 million for the nine months ended September 30, 2021, an increase of $3.0 million or 60.0%.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increase in professional fees was due to increased legal and audit fees as a result of becoming a public company. General and administrative costs were $4.4 million for the nine months ended September 30, 2022, compared to $ 2.3 million for the nine months ended September 30, 2021, an increase of $2.1 million or 91.3%. The increase in general and administrative costs was primarily due to increased insurance costs as a public company, and additional insurance obligations incurred as a result of the WPM and Cohort Go acquisitions. Other costs were $3.0 million for the nine months ended September 30, 2022, compared to $1.6 million for the nine months ended September 30, 2021, an increase of $1.4 million or 87.5%. The increase in other costs was primarily due to indirect taxes recorded during the period. Software and hosting expenses were $4.0 million for the nine months ended September 30, 2022, compared to $2.6 million for the nine months ended September 30, 2021, an increase of $1.4 million or 53.8%. The increase in software and hosting expenses was primarily related to increased hosting fees based on payment volumes growth and additional software needs based on headcount growth. Travel expenses were $1.1 million for the nine months ended September 30, 2022, compared to $0.3 million for the nine months ended September 30, 2021, an increase of $0.8 million or 266.7%. Higher travel expenses were due to increased client engagement and FlyMate collaboration. Amortization of intangible assets was $1.7 million for the nine months ended September 30, 2022, compared to $1.2 million for the nine months ended September 30, 2021, an increase of $0.5 million or 41.7%.The increase in amortization expense was due to acquired customer relationships related to the WPM and Cohort Go acquisitions. The change in the fair value of contingent consideration related to acquisitions was $0.3 million for the nine months ended September 30, 2022, compared to $2.1 million for the nine months ended September 30, 2021, a decrease of $1.8 million or 85.7%.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0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Interest expense was $0.9 million for the nine months ended September 30, 2022, compared to $1.8 million for the nine months ended September 30, 2021, a decrease of $0.9 million or 50.0%. During July 2021, we entered into a Revolving Credit Facility with three banks for a total commitment of $50.0 million. We drew $ 25.9 million on the Revolving Credit Facility and used the proceeds to early prepay our existing LSA of $25.0 million, which resulted in a new interest rate per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fair value of preferred stock warrant liability was $0 for the nine months ended September, 2022, compared to $10.8 million for the nine months ended September 30, 2021, a decrease of $10.8 million or 100.0%. Upon the completion of our IPO, all preferred stock warrants were either fully exercised or converted to warrants to purchase common stock. As a result, we no longer recognize the change in fair value of preferred stock warrant liability in our condensed consolidated statements of operations and comprehensive (loss)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9"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color w:val="auto"/>
        </w:rPr>
        <w:t>Other income (expense), net, was $(13.6) million for the nine months ended September 30, 2022, compared to $(0.5) million for the nine months ended September 30, 2021, an increase of $(13.1) million. The increase was primarily the result of the remeasurement of foreign currency transactions, partially offset by an increase in interest income. Losses from the remeasurement of foreign currency transactions into their functional currencies were $15.1 million for the nine months ended September 30, 2022, compared to $0.6 million for the nine months ended September 30,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income tax expense was $2.9 million for the nine months ended September 30, 2022, compared to an income tax expense of $0.8 million for the nine months ended September 30, 2021, an increase of $2.1 million or 262.5%. The income tax expense for the nine months ended September 30, 2022 was primarily attributable to state and foreign taxes, while the income tax expense for the nine months ended September 30, 2021 was primarily attributable to foreign taxes. Our effective tax rate was (8.1)% for the nine months ended September 30, 2022 compared to (5.1)% for the nine months ended September 30, 2021.</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Since inception, we have financed operations primarily through proceeds received from sales of equity securities, credit facilities and payments received from our clients as further detailed below.</w:t>
      </w:r>
    </w:p>
    <w:p>
      <w:pPr>
        <w:spacing w:after="0" w:line="143"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In May 2021, we completed our IPO which resulted in aggregate net proceeds of $263.8 million, after underwriting discounts of $19.4 million and issuance costs of $4.9 million. As of September 30, 2022, our principal source of liquidity is cash, cash equivalents and restricted cash of $351.2 million. Cash equivalents is comprised primarily of money market funds.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6"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Contractual obligations consist of outstanding indebtedness under the Revolving Credit Facility and operating leases that relate to real estate for our primary facilities.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as of September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Payments Due by Year</w:t>
            </w: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1 to 3</w:t>
            </w:r>
          </w:p>
        </w:tc>
        <w:tc>
          <w:tcPr>
            <w:tcW w:w="8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4 to 5</w:t>
            </w:r>
          </w:p>
        </w:tc>
        <w:tc>
          <w:tcPr>
            <w:tcW w:w="22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99"/>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Years</w:t>
            </w: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lease obligations</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Debt obligations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8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26,913</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-24765</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-7620</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 information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3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7860" w:type="dxa"/>
            <w:vAlign w:val="bottom"/>
            <w:gridSpan w:val="2"/>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(22.6 )</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9"/>
        </w:trPr>
        <w:tc>
          <w:tcPr>
            <w:tcW w:w="78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-24765</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2" w:lineRule="exact"/>
        <w:rPr>
          <w:sz w:val="20"/>
          <w:szCs w:val="20"/>
          <w:color w:val="auto"/>
        </w:rPr>
      </w:pPr>
    </w:p>
    <w:p>
      <w:pPr>
        <w:jc w:val="both"/>
        <w:ind w:right="40" w:firstLine="509"/>
        <w:spacing w:after="0" w:line="245" w:lineRule="auto"/>
        <w:rPr>
          <w:sz w:val="20"/>
          <w:szCs w:val="20"/>
          <w:color w:val="auto"/>
        </w:rPr>
      </w:pPr>
      <w:r>
        <w:rPr>
          <w:rFonts w:ascii="Arial" w:cs="Arial" w:eastAsia="Arial" w:hAnsi="Arial"/>
          <w:sz w:val="18"/>
          <w:szCs w:val="18"/>
          <w:color w:val="auto"/>
        </w:rPr>
        <w:t>Net cash (used in) provided by operating activities consists of net loss adjusted for certain non-cash items and changes in other assets and liabilities.</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During the nine months ended September 30, 2022, cash used in operating activities of $27.7 million was primarily the result of net loss of $38.2 million adjusted for non-cash expenses of $ 32.0 million, which primarily included stock-based compensation expenses of $22.5 million, depreciation and amortization of $9.2 million, and change in fair value of contingent consideration of $0.3 million, offset by $21.5 million related to changes in our operating assets and liabilities.</w:t>
      </w:r>
    </w:p>
    <w:p>
      <w:pPr>
        <w:spacing w:after="0" w:line="160"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During the nine months ended September 30, 2021, cash provided by operating activities of $24.8 million was primarily the result of net loss of $16.8 million adjusted for non-cash expenses of $35.6 million, which primarily include stock-based compensation expenses of $15.5 million, change in fair value of preferred stock warrant liability of $10.8 million, depreciation and amortization of $6.6 million, and $5.9 million of cash generated from our change in operating assets and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02" w:lineRule="exact"/>
        <w:rPr>
          <w:sz w:val="20"/>
          <w:szCs w:val="20"/>
          <w:color w:val="auto"/>
        </w:rPr>
      </w:pPr>
    </w:p>
    <w:p>
      <w:pPr>
        <w:ind w:right="380" w:firstLine="509"/>
        <w:spacing w:after="0"/>
        <w:rPr>
          <w:sz w:val="20"/>
          <w:szCs w:val="20"/>
          <w:color w:val="auto"/>
        </w:rPr>
      </w:pPr>
      <w:r>
        <w:rPr>
          <w:rFonts w:ascii="Arial" w:cs="Arial" w:eastAsia="Arial" w:hAnsi="Arial"/>
          <w:sz w:val="18"/>
          <w:szCs w:val="18"/>
          <w:color w:val="auto"/>
        </w:rPr>
        <w:t>During the nine months ended September 30, 2022, cash used in investing activities of $22.6 million was primarily the result of our acquisition of Cohort Go for purchase consideration of $16.9 million and the capitalization of internally developed software costs of $5.2 million.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During the nine months ended September 30, 2021, cash used in investing activities of $ 5.3 million was primarily the result of the capitalization of internally developed software costs of $4.6 million, acquisition of $0.3 million of other computer equipment, capitalization of leasehold improvement costs of $0.2 million, and acquisition of an asset of $0.1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During the nine months ended September 30, 2022, cash provided by financing activities of $0.6 million was the result of proceeds of $5.2 million from the exercise of stock options and proceeds of $ 1.3 million from the issuance of stock under the ESPP, offset by payments of contingent consideration of $3.3 million related to our acquisition of Simplee and payments of tax withholdings of $2.6 million for net settled option exercises.</w:t>
      </w:r>
    </w:p>
    <w:p>
      <w:pPr>
        <w:spacing w:after="0" w:line="160"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During the nine months ended September 30, 2021, cash provided by financing activities of $324.6 million was primarily driven by the net proceeds of $263.8 million received from our IPO, net proceeds of $ 59.7 million received from the sale of preferred stock, net proceeds of $25.9 million from draw on our Revolving Credit facility and proceeds of $4.4 million from the exercise of stock options and warrants, offset by the payoff of $25.0 million related to our previously existing term loan, payments for contingent consideration of $3.8 million related to the acquisition of Simplee and issuance costs payment of $0.4 million related to our Revolving Credit Facility.</w:t>
      </w:r>
    </w:p>
    <w:p>
      <w:pPr>
        <w:spacing w:after="0" w:line="157"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As of September 30, 2022 and 2021, we had $25.9 million of outstanding indebtedness under the Revolving Credit Facility. The proceeds of the Revolving Credit Facility were used to pay off the existing loan of $25.0 million. The Revolving Credit Facility consists of ABR loans or Eurodollar Borrowings, at our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w:t>
      </w:r>
    </w:p>
    <w:p>
      <w:pPr>
        <w:spacing w:after="0" w:line="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0.25% to 0.35% based upon our liquidity as of the most recent consolidated financial information assessed on the average undrawn portion of the available commitment. As of September 30, 2022, we have access to an additional $24.1 million of additional funds under the Revolving Credit Facility to draw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our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6" w:lineRule="exact"/>
        <w:rPr>
          <w:sz w:val="20"/>
          <w:szCs w:val="20"/>
          <w:color w:val="auto"/>
        </w:rPr>
      </w:pPr>
    </w:p>
    <w:p>
      <w:pPr>
        <w:jc w:val="both"/>
        <w:ind w:right="160" w:firstLine="509"/>
        <w:spacing w:after="0" w:line="250" w:lineRule="auto"/>
        <w:rPr>
          <w:sz w:val="20"/>
          <w:szCs w:val="20"/>
          <w:color w:val="auto"/>
        </w:rPr>
      </w:pPr>
      <w:r>
        <w:rPr>
          <w:rFonts w:ascii="Arial" w:cs="Arial" w:eastAsia="Arial" w:hAnsi="Arial"/>
          <w:sz w:val="18"/>
          <w:szCs w:val="18"/>
          <w:color w:val="auto"/>
        </w:rPr>
        <w:t xml:space="preserve">Our critical accounting policies and estimates are described in the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section of our Annual Report on Form 10-K for the fiscal year ended December 31, 2021. Effective January 1, 2022,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 changed our accounting policy for leases resulting from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subsequent related ASUs. There were no other material changes to policies during the nine months ended September 30,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5"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 xml:space="preserve">On January 1, 2022, we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subsequent related ASUs using January 1, 2022 as the date of initial application. The new lease standard sets out the principles for the recognition, measurement, presentation and disclosure of leases for both parties to a contract (i.e., lessees and lessors). We elected the modified retrospective transition option which allows for application of Topic 842 at the adoption date. Therefore, comparative prior period financial information was not adjusted and will continue to be reported under the previous accounting guidance of ASC 840, </w:t>
      </w:r>
      <w:r>
        <w:rPr>
          <w:rFonts w:ascii="Arial" w:cs="Arial" w:eastAsia="Arial" w:hAnsi="Arial"/>
          <w:sz w:val="18"/>
          <w:szCs w:val="18"/>
          <w:i w:val="1"/>
          <w:iCs w:val="1"/>
          <w:color w:val="auto"/>
        </w:rPr>
        <w:t>Leases</w:t>
      </w:r>
      <w:r>
        <w:rPr>
          <w:rFonts w:ascii="Arial" w:cs="Arial" w:eastAsia="Arial" w:hAnsi="Arial"/>
          <w:sz w:val="18"/>
          <w:szCs w:val="18"/>
          <w:color w:val="auto"/>
        </w:rPr>
        <w:t>. No cumulative-effect adjustment to the opening accumulated deficit balance as of January 1, 2022 was necessary as a result of adopting the new standard. We elected the “package of practical expedients” permitted under the transition guidance which allowed us to not to reassess (i) whether any expired or existing contracts are, or contain, leases, (ii) the lease classification for any expired or existing leases and (iii) initial direct costs for any existing leases. We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elected the practical expedient not to separate lease and non-lease components. We also elected the short-term lease recognition exemption and will not recognize ROU assets or lease liabilities for leases with a term less than 12 months. As a result of the adoption, we recognized ROU assets of $3.0 million in Other assets and a corresponding lease liability of $3.6 million in Other liabilities as of January 1, 2022. The ROU assets were adjusted per Topic 842 transition guidance for the existing deferred rent balance. Refer to </w:t>
      </w:r>
      <w:r>
        <w:rPr>
          <w:rFonts w:ascii="Arial" w:cs="Arial" w:eastAsia="Arial" w:hAnsi="Arial"/>
          <w:sz w:val="18"/>
          <w:szCs w:val="18"/>
          <w:i w:val="1"/>
          <w:iCs w:val="1"/>
          <w:color w:val="auto"/>
        </w:rPr>
        <w:t>Note 1 - 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unaudited condensed consolidated financial statements appearing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 on Form 10-Q for details on accounting for leases after the adoption of ASC 842.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6"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The JOBS Act permits an “emerging growth company” such as us to take advantage of an extended transition period to comply with new or revised accounting standards applicable to public companies until those standards would otherwise apply to nonpublic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nonpublic companies.</w:t>
      </w:r>
    </w:p>
    <w:p>
      <w:pPr>
        <w:spacing w:after="0" w:line="16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As of June 30, 2022, the market value of our common stock that was held by non-affiliates exceeded $ 700.0 million, and as a result, we will no longer qualify as an emerging growth company on the last day of the fiscal year ending December 31, 2022 when we will become a large accelerated filer. Therefore, as of that date, we will be required to comply with new or revised accounting standards as of the effective dates applicable to public companies that are not emerging growth companies.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8" w:lineRule="exact"/>
        <w:rPr>
          <w:sz w:val="20"/>
          <w:szCs w:val="20"/>
          <w:color w:val="auto"/>
        </w:rPr>
      </w:pPr>
    </w:p>
    <w:p>
      <w:pPr>
        <w:ind w:right="60" w:firstLine="509"/>
        <w:spacing w:after="0" w:line="250" w:lineRule="auto"/>
        <w:rPr>
          <w:sz w:val="20"/>
          <w:szCs w:val="20"/>
          <w:color w:val="auto"/>
        </w:rPr>
      </w:pPr>
      <w:r>
        <w:rPr>
          <w:rFonts w:ascii="Arial" w:cs="Arial" w:eastAsia="Arial" w:hAnsi="Arial"/>
          <w:sz w:val="18"/>
          <w:szCs w:val="18"/>
          <w:color w:val="auto"/>
        </w:rPr>
        <w:t xml:space="preserve">We have reviewed all recently issued standards and have determined that, other than as disclosed in </w:t>
      </w:r>
      <w:r>
        <w:rPr>
          <w:rFonts w:ascii="Arial" w:cs="Arial" w:eastAsia="Arial" w:hAnsi="Arial"/>
          <w:sz w:val="18"/>
          <w:szCs w:val="18"/>
          <w:i w:val="1"/>
          <w:iCs w:val="1"/>
          <w:color w:val="auto"/>
        </w:rPr>
        <w:t>Note 1 - 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unaudited condensed consolidated financial statements appearing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 on Form 10-Q, such standards are not expected to have a material impact on our consolidated financial statements or do not otherwise apply to our operations.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6"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6"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Our Revolving Credit Facility consists of ABR loans or Eurodollar Borrowings, at our option. ABR loans bear interest at the ABR plus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 As of September 30, 2022 and 2021, $ 25.9 million was outstanding under our Revolving Credit Facility. An immediate 10% increase or decrease in interest rates would not have a material effect on our financial position, results of operations or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9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spacing w:after="0" w:line="162"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the third quarter of 2022, as the U.S. Dollar strengthened against several currencies, including the British Pound, these foreign exchange impacts reduced our reported revenue in U.S. Dollars by over $5.0 million compared to the third quarter of 2021 on a constant currency basis.</w:t>
      </w:r>
    </w:p>
    <w:p>
      <w:pPr>
        <w:spacing w:after="0" w:line="15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 our consolidated balance sheets. Gains and losses from the remeasurement of foreign currencies into functional currencies are recognized as other income (expense), net in the consolidated statements of operations and comprehensive (loss) income. A potential change in foreign exchange rates of 10% from such remeasurement would have impacted income (loss) before income taxes by approximately $9.6 million and $10.8 million at September 30, 2022 and December 31, 2021,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do not believe that inflation had a material effect on our cash flows and results of operations during the three or nine months ended September 30, 2022. If our costs were to become subject to significant inflationary pressures, we may not be able to fully offset such higher costs through increase in prices of our product offerings.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September 30, 2022, our disclosure controls and procedures were effective at the reasonable assurance level.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September 30, 2022 that have materially affected, or are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06"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II—OTHER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0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8"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06"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which could cause our actual results to be harmed, including risks regarding the following: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06" w:lineRule="exact"/>
        <w:rPr>
          <w:sz w:val="20"/>
          <w:szCs w:val="20"/>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quarterly fluctuations in operating results.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adversely affected by the COVID-19 global pandemic and related responsive actions.</w:t>
      </w:r>
    </w:p>
    <w:p>
      <w:pPr>
        <w:spacing w:after="0" w:line="170" w:lineRule="exact"/>
        <w:rPr>
          <w:rFonts w:ascii="Arial" w:cs="Arial" w:eastAsia="Arial" w:hAnsi="Arial"/>
          <w:sz w:val="18"/>
          <w:szCs w:val="18"/>
          <w:color w:val="auto"/>
        </w:rPr>
      </w:pPr>
    </w:p>
    <w:p>
      <w:pPr>
        <w:ind w:left="900" w:right="60" w:hanging="263"/>
        <w:spacing w:after="0" w:line="24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Efforts to attract new clients may be unsuccessful.</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84" w:lineRule="exact"/>
        <w:rPr>
          <w:rFonts w:ascii="Arial" w:cs="Arial" w:eastAsia="Arial" w:hAnsi="Arial"/>
          <w:sz w:val="18"/>
          <w:szCs w:val="18"/>
          <w:color w:val="auto"/>
        </w:rPr>
      </w:pPr>
    </w:p>
    <w:p>
      <w:pPr>
        <w:ind w:left="900" w:right="920" w:hanging="263"/>
        <w:spacing w:after="0" w:line="24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84" w:lineRule="exact"/>
        <w:rPr>
          <w:rFonts w:ascii="Arial" w:cs="Arial" w:eastAsia="Arial" w:hAnsi="Arial"/>
          <w:sz w:val="18"/>
          <w:szCs w:val="18"/>
          <w:color w:val="auto"/>
        </w:rPr>
      </w:pPr>
    </w:p>
    <w:p>
      <w:pPr>
        <w:ind w:left="900" w:right="220" w:hanging="263"/>
        <w:spacing w:after="0" w:line="24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900" w:right="860" w:hanging="263"/>
        <w:spacing w:after="0" w:line="24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markets are highly competitive.</w:t>
      </w:r>
    </w:p>
    <w:p>
      <w:pPr>
        <w:spacing w:after="0" w:line="184" w:lineRule="exact"/>
        <w:rPr>
          <w:rFonts w:ascii="Arial" w:cs="Arial" w:eastAsia="Arial" w:hAnsi="Arial"/>
          <w:sz w:val="18"/>
          <w:szCs w:val="18"/>
          <w:color w:val="auto"/>
        </w:rPr>
      </w:pPr>
    </w:p>
    <w:p>
      <w:pPr>
        <w:ind w:left="900" w:right="540" w:hanging="263"/>
        <w:spacing w:after="0" w:line="24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70" w:lineRule="exact"/>
        <w:rPr>
          <w:rFonts w:ascii="Arial" w:cs="Arial" w:eastAsia="Arial" w:hAnsi="Arial"/>
          <w:sz w:val="18"/>
          <w:szCs w:val="18"/>
          <w:color w:val="auto"/>
        </w:rPr>
      </w:pPr>
    </w:p>
    <w:p>
      <w:pPr>
        <w:ind w:left="900" w:hanging="263"/>
        <w:spacing w:after="0" w:line="24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157"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healthcare industry is rapidly evolving.</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enter or expand into new verticals, including our relatively new B2B payment vertical.</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could be consolidation in the payment processing or enablement industry.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93" w:lineRule="exact"/>
        <w:rPr>
          <w:sz w:val="20"/>
          <w:szCs w:val="20"/>
          <w:color w:val="auto"/>
        </w:rPr>
      </w:pPr>
    </w:p>
    <w:p>
      <w:pPr>
        <w:ind w:left="900" w:hanging="2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84" w:lineRule="exact"/>
        <w:rPr>
          <w:rFonts w:ascii="Arial" w:cs="Arial" w:eastAsia="Arial" w:hAnsi="Arial"/>
          <w:sz w:val="18"/>
          <w:szCs w:val="18"/>
          <w:color w:val="auto"/>
        </w:rPr>
      </w:pPr>
    </w:p>
    <w:p>
      <w:pPr>
        <w:ind w:left="900" w:right="160" w:hanging="263"/>
        <w:spacing w:after="0" w:line="24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payment card networks fees or rules could harm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206" w:lineRule="exact"/>
        <w:rPr>
          <w:sz w:val="20"/>
          <w:szCs w:val="20"/>
          <w:color w:val="auto"/>
        </w:rPr>
      </w:pPr>
    </w:p>
    <w:p>
      <w:pPr>
        <w:ind w:left="900" w:hanging="26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84" w:lineRule="exact"/>
        <w:rPr>
          <w:rFonts w:ascii="Arial" w:cs="Arial" w:eastAsia="Arial" w:hAnsi="Arial"/>
          <w:sz w:val="18"/>
          <w:szCs w:val="18"/>
          <w:color w:val="auto"/>
        </w:rPr>
      </w:pPr>
    </w:p>
    <w:p>
      <w:pPr>
        <w:ind w:left="900" w:right="140" w:hanging="263"/>
        <w:spacing w:after="0" w:line="24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governmental laws and requirements regarding economic and trade sanctions, anti-money laundering (AML), countering the financing of terrorism (CFT) and those applicable to a money service business (MSB).</w:t>
      </w:r>
    </w:p>
    <w:p>
      <w:pPr>
        <w:spacing w:after="0" w:line="170" w:lineRule="exact"/>
        <w:rPr>
          <w:rFonts w:ascii="Arial" w:cs="Arial" w:eastAsia="Arial" w:hAnsi="Arial"/>
          <w:sz w:val="18"/>
          <w:szCs w:val="18"/>
          <w:color w:val="auto"/>
        </w:rPr>
      </w:pPr>
    </w:p>
    <w:p>
      <w:pPr>
        <w:ind w:left="900" w:right="520" w:hanging="263"/>
        <w:spacing w:after="0" w:line="24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93" w:lineRule="exact"/>
        <w:rPr>
          <w:sz w:val="20"/>
          <w:szCs w:val="20"/>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develop and maintain proper effective internal control over financial reporting.</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continue to incur increased costs as a public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06" w:lineRule="exact"/>
        <w:rPr>
          <w:sz w:val="20"/>
          <w:szCs w:val="20"/>
          <w:color w:val="auto"/>
        </w:rPr>
      </w:pPr>
    </w:p>
    <w:p>
      <w:pPr>
        <w:ind w:left="900" w:right="40" w:hanging="263"/>
        <w:spacing w:after="0" w:line="24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900" w:hanging="2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0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$28.1 million and $11.1 million the years ended December 31, 2021 and 2020, respectively, and $ 38.2 million during the nine months ended September 30, 2022. In addition, as of September 30, 2022, we had an accumulated deficit of $164.1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will also face increased compliance and security costs associated with growth, the expansion of our client base, and being a public company, especially as we transition to a large accelerated filer status as of December 31, 2022.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6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volume of payments processed.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71" w:lineRule="exact"/>
        <w:rPr>
          <w:sz w:val="20"/>
          <w:szCs w:val="20"/>
          <w:color w:val="auto"/>
        </w:rPr>
      </w:pPr>
    </w:p>
    <w:p>
      <w:pPr>
        <w:ind w:left="900" w:right="260" w:hanging="263"/>
        <w:spacing w:after="0" w:line="261"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43" w:lineRule="exact"/>
        <w:rPr>
          <w:rFonts w:ascii="Arial" w:cs="Arial" w:eastAsia="Arial" w:hAnsi="Arial"/>
          <w:sz w:val="18"/>
          <w:szCs w:val="18"/>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84" w:lineRule="exact"/>
        <w:rPr>
          <w:rFonts w:ascii="Arial" w:cs="Arial" w:eastAsia="Arial" w:hAnsi="Arial"/>
          <w:sz w:val="18"/>
          <w:szCs w:val="18"/>
          <w:color w:val="auto"/>
        </w:rPr>
      </w:pPr>
    </w:p>
    <w:p>
      <w:pPr>
        <w:ind w:left="900" w:right="260" w:hanging="263"/>
        <w:spacing w:after="0" w:line="24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expanding into more international markets;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compliance and risk management; and</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4"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148"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84" w:lineRule="exact"/>
        <w:rPr>
          <w:sz w:val="20"/>
          <w:szCs w:val="20"/>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cost-effectively acquire new clients and retain existing clients;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withstand the impacts of the COVID-19 pandemic;</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market share;</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avoid pricing pressure on our solutions which would compress our margins;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market our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our existing solutions and develop new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awareness of our brand and maintain our reputation;</w:t>
      </w:r>
    </w:p>
    <w:p>
      <w:pPr>
        <w:spacing w:after="0" w:line="170" w:lineRule="exact"/>
        <w:rPr>
          <w:rFonts w:ascii="Arial" w:cs="Arial" w:eastAsia="Arial" w:hAnsi="Arial"/>
          <w:sz w:val="18"/>
          <w:szCs w:val="18"/>
          <w:color w:val="auto"/>
        </w:rPr>
      </w:pPr>
    </w:p>
    <w:p>
      <w:pPr>
        <w:ind w:left="1020" w:right="200" w:hanging="504"/>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 and respond to microeconomic and macroeconomic changes;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avoid interruptions in our business from IT downtime, cybersecurity breaches, or labor stoppages;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manage foreign currency exchange risk;</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w:t>
      </w:r>
    </w:p>
    <w:p>
      <w:pPr>
        <w:spacing w:after="0" w:line="184" w:lineRule="exact"/>
        <w:rPr>
          <w:rFonts w:ascii="Arial" w:cs="Arial" w:eastAsia="Arial" w:hAnsi="Arial"/>
          <w:sz w:val="18"/>
          <w:szCs w:val="18"/>
          <w:color w:val="auto"/>
        </w:rPr>
      </w:pPr>
    </w:p>
    <w:p>
      <w:pPr>
        <w:ind w:left="1020" w:right="22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70"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71"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4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48" w:lineRule="exact"/>
        <w:rPr>
          <w:sz w:val="20"/>
          <w:szCs w:val="20"/>
          <w:color w:val="auto"/>
        </w:rPr>
      </w:pPr>
    </w:p>
    <w:p>
      <w:pPr>
        <w:ind w:right="620" w:firstLine="509"/>
        <w:spacing w:after="0" w:line="245"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 significant portion of our revenue from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5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65"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57"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55"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125"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60"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70" w:lineRule="exact"/>
        <w:rPr>
          <w:sz w:val="20"/>
          <w:szCs w:val="20"/>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of tuition payments;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our current and future solutions;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revenue mix in a particular quarter;</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slowdown in spending on IT and software by our current and/or prospective clients;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cycles and performance of our direct and indirect sales force;</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budgeting and implementation cycles of our current or potential clients;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renewals of contracts with our clients;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control and predict costs, including our operating expenses;</w:t>
      </w:r>
    </w:p>
    <w:p>
      <w:pPr>
        <w:spacing w:after="0" w:line="170" w:lineRule="exact"/>
        <w:rPr>
          <w:rFonts w:ascii="Arial" w:cs="Arial" w:eastAsia="Arial" w:hAnsi="Arial"/>
          <w:sz w:val="18"/>
          <w:szCs w:val="18"/>
          <w:color w:val="auto"/>
        </w:rPr>
      </w:pPr>
    </w:p>
    <w:p>
      <w:pPr>
        <w:ind w:left="1020" w:right="860" w:hanging="504"/>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successfully manage or integrate any acquisitions, including our recent acquisitions of WPM and Cohort Go;</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or publicity surrounding any pending or threatened lawsuits;</w:t>
      </w:r>
    </w:p>
    <w:p>
      <w:pPr>
        <w:spacing w:after="0" w:line="170" w:lineRule="exact"/>
        <w:rPr>
          <w:rFonts w:ascii="Arial" w:cs="Arial" w:eastAsia="Arial" w:hAnsi="Arial"/>
          <w:sz w:val="18"/>
          <w:szCs w:val="18"/>
          <w:color w:val="auto"/>
        </w:rPr>
      </w:pPr>
    </w:p>
    <w:p>
      <w:pPr>
        <w:ind w:left="1020" w:right="20" w:hanging="504"/>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 including inflation and fluctuations in supply chains;</w:t>
      </w:r>
    </w:p>
    <w:p>
      <w:pPr>
        <w:spacing w:after="0" w:line="143"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events, including those resulting from climate change or geopolitical events; and</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continuing effects of the COVID-19 pandemic and the responses thereto.</w:t>
      </w:r>
    </w:p>
    <w:p>
      <w:pPr>
        <w:spacing w:after="0" w:line="18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20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5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b w:val="1"/>
          <w:bCs w:val="1"/>
          <w:i w:val="1"/>
          <w:iCs w:val="1"/>
          <w:color w:val="auto"/>
        </w:rPr>
        <w:t>The COVID-19 global pandemic and related government, private sector and individual consumer responsive actions may adversely impact our FlyMates, strategic partners, and clients, which could adversely and materially impact our business, financial condition and results of operations.</w:t>
      </w:r>
    </w:p>
    <w:p>
      <w:pPr>
        <w:spacing w:after="0" w:line="166"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The global impacts of the COVID-19 pandemic and related government actions taken to reduce the spread of the virus, including the variants of the virus, have significantly increased economic uncertainty and reduced economic activity. The pandemic has resulted in authorities implementing numerous measures to try to contain the virus, such as travel bans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and restrictions, quarantines, shelter-in-place or total lock-down orders and business limitations and shutdowns that began in the second quarter of fiscal year 2020.</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addition, the spread of COVID-19 and its multiple variants and sub-variants has caused us to modify our business practices,</w:t>
      </w:r>
    </w:p>
    <w:p>
      <w:pPr>
        <w:jc w:val="both"/>
        <w:ind w:right="140"/>
        <w:spacing w:after="0" w:line="253" w:lineRule="auto"/>
        <w:rPr>
          <w:sz w:val="20"/>
          <w:szCs w:val="20"/>
          <w:color w:val="auto"/>
        </w:rPr>
      </w:pPr>
      <w:r>
        <w:rPr>
          <w:rFonts w:ascii="Arial" w:cs="Arial" w:eastAsia="Arial" w:hAnsi="Arial"/>
          <w:sz w:val="17"/>
          <w:szCs w:val="17"/>
          <w:color w:val="auto"/>
        </w:rPr>
        <w:t>including restricting FlyMates' travel, implementing office closures, and, at times, having our FlyMates work remotely and canceling physical participation in meetings, events and conferences. We may take further actions in response to the continuing effects of the global pandemic as may be required by government authorities or as we determine are in the best interests of our FlyMates, clients and business partners.</w:t>
      </w:r>
    </w:p>
    <w:p>
      <w:pPr>
        <w:spacing w:after="0" w:line="2" w:lineRule="exact"/>
        <w:rPr>
          <w:sz w:val="20"/>
          <w:szCs w:val="20"/>
          <w:color w:val="auto"/>
        </w:rPr>
      </w:pPr>
    </w:p>
    <w:p>
      <w:pPr>
        <w:ind w:right="600"/>
        <w:spacing w:after="0" w:line="245" w:lineRule="auto"/>
        <w:rPr>
          <w:sz w:val="20"/>
          <w:szCs w:val="20"/>
          <w:color w:val="auto"/>
        </w:rPr>
      </w:pPr>
      <w:r>
        <w:rPr>
          <w:rFonts w:ascii="Arial" w:cs="Arial" w:eastAsia="Arial" w:hAnsi="Arial"/>
          <w:sz w:val="18"/>
          <w:szCs w:val="18"/>
          <w:color w:val="auto"/>
        </w:rPr>
        <w:t>This has caused us to make modifications to some of our planned activities and has impacted some of our business development and marketing initiatives.</w:t>
      </w:r>
    </w:p>
    <w:p>
      <w:pPr>
        <w:spacing w:after="0" w:line="17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During the year ended December 31, 2020, we experienced periods of reduced payment volume in some of the industries we serve, including travel and education. Cross-border payment volumes were heavily impacted by the decline in travel as a result of the COVID-19 pandemic. During the year ended December 31, 2021, we observed a recovery in payment volumes in the industries we serve, including travel and education. The introduction of COVID-19 vaccines allowed for reopening of many higher education institutions to foreign students, and borders began to open for travel. The emergence of variants (most notably Delta and Omicron) and sub-variants has periodically slowed the reopening, and we will monitor new strains of COVID-19 as they are discovered. International cross-border transaction revenue represents a significant part of our revenue; international regulations and restrictions that inhibit cross-border travel and relocation of international students, such as the ongoing COVID-19 related restrictions in China that have slowed the growth of Chinese students studying in the U.S. and may have resulted in changes in Chinese student education destinations, have had and may continue to have an impact on our revenue growth. In addition, we may experience financial losses due to a number of operational factors, including:</w:t>
      </w:r>
    </w:p>
    <w:p>
      <w:pPr>
        <w:spacing w:after="0" w:line="182" w:lineRule="exact"/>
        <w:rPr>
          <w:sz w:val="20"/>
          <w:szCs w:val="20"/>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w:t>
      </w:r>
    </w:p>
    <w:p>
      <w:pPr>
        <w:spacing w:after="0" w:line="174" w:lineRule="exact"/>
        <w:rPr>
          <w:rFonts w:ascii="Arial" w:cs="Arial" w:eastAsia="Arial" w:hAnsi="Arial"/>
          <w:sz w:val="18"/>
          <w:szCs w:val="18"/>
          <w:color w:val="auto"/>
        </w:rPr>
      </w:pPr>
    </w:p>
    <w:p>
      <w:pPr>
        <w:ind w:left="1020" w:right="180" w:hanging="504"/>
        <w:spacing w:after="0" w:line="24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cyber and payment fraud risk related to the COVID-19 pandemic, as cybercriminals attempt DDoS related attacks, phishing scams and other disruptive actions, given the shift to online banking, e-commerce and other online activity, as well as more employees working remotely as a result of the pandemic; and</w:t>
      </w:r>
    </w:p>
    <w:p>
      <w:pPr>
        <w:spacing w:after="0" w:line="156" w:lineRule="exact"/>
        <w:rPr>
          <w:rFonts w:ascii="Arial" w:cs="Arial" w:eastAsia="Arial" w:hAnsi="Arial"/>
          <w:sz w:val="18"/>
          <w:szCs w:val="18"/>
          <w:color w:val="auto"/>
        </w:rPr>
      </w:pPr>
    </w:p>
    <w:p>
      <w:pPr>
        <w:ind w:left="1020" w:right="320" w:hanging="504"/>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regulatory requirements, including, for example, government initiatives or requests to reduce or eliminate payment fees or other costs.</w:t>
      </w:r>
    </w:p>
    <w:p>
      <w:pPr>
        <w:spacing w:after="0" w:line="143"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We adopted measures to modify our business practices and reduce operating expenses during the first half of 2020 in response to the COVID-19 pandemic, including a reduction in our workforce, delaying hiring plans, restricting travel, lowering marketing spend and the use of external resources. These measures, while in effect, may have slowed our growth. Although we began increasing our operating expenses since such time, the impact from the COVID-19 pandemic on our business, results of operations and financial condition in the longer term remains difficult to predict.</w:t>
      </w:r>
    </w:p>
    <w:p>
      <w:pPr>
        <w:spacing w:after="0" w:line="157"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Our offices are currently open for optional use by FlyMates, as allowed under national, state and local orders. While we have implemented what we believe to be a comprehensive protocol to ensure the safety and wellbeing of FlyMates returning to the office, including as required health screenings, physical changes to our floor layout, periodic testing and required proper personal protection equipment, these protocols may not be sufficient to mitigate the risks posed by the virus or otherwise be satisfactory to government authorities.</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clients and their customers who are affected by the ongoing COVID-19 pandemic may continue to demonstrate changed behavior even after the COVID-19 outbreak has subsided. For example, colleges and universities may continue to rely on virtual courses as students may be hesitant to return to full social interaction, and we may continue to see reduced payment volume as economic worries continue, all of which may have adverse implications for our business. In addition, many of our clients who have historically depended upon a steady flow of international students (e.g., language schools) may have curtailed or suspended operations, or permanently closed.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the client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has gone out of business, we may be unable to collect on the chargeback and will bear the economic loss, which will negatively impact our business.</w:t>
      </w:r>
    </w:p>
    <w:p>
      <w:pPr>
        <w:spacing w:after="0" w:line="17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As a result, we may continue to experience materially adverse impacts to our business as a result of the global economic impact of the COVID-19 pandemic, including lower domestic and cross border spending trends, the availability of credit, adverse impacts on our liquidity, decreases in students traveling abroad in certain jurisdictions and any recessionary conditions that persist, and exacerbate many of the other known risks described in this section titled “Risk Factors”.</w:t>
      </w:r>
    </w:p>
    <w:p>
      <w:pPr>
        <w:spacing w:after="0" w:line="138"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12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46" w:lineRule="exact"/>
        <w:rPr>
          <w:sz w:val="20"/>
          <w:szCs w:val="20"/>
          <w:color w:val="auto"/>
        </w:rPr>
      </w:pPr>
    </w:p>
    <w:p>
      <w:pPr>
        <w:ind w:right="100"/>
        <w:spacing w:after="0" w:line="286"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w:t>
      </w:r>
    </w:p>
    <w:p>
      <w:pPr>
        <w:spacing w:after="0" w:line="241" w:lineRule="auto"/>
        <w:rPr>
          <w:sz w:val="20"/>
          <w:szCs w:val="20"/>
          <w:color w:val="auto"/>
        </w:rPr>
      </w:pPr>
      <w:r>
        <w:rPr>
          <w:rFonts w:ascii="Arial" w:cs="Arial" w:eastAsia="Arial" w:hAnsi="Arial"/>
          <w:sz w:val="18"/>
          <w:szCs w:val="18"/>
          <w:color w:val="auto"/>
        </w:rPr>
        <w:t>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46" w:lineRule="exact"/>
        <w:rPr>
          <w:sz w:val="20"/>
          <w:szCs w:val="20"/>
          <w:color w:val="auto"/>
        </w:rPr>
      </w:pPr>
    </w:p>
    <w:p>
      <w:pPr>
        <w:ind w:right="1080"/>
        <w:spacing w:after="0" w:line="286"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2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93"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 During the COVID-19 pandemic, we initially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However, with the increase in availability of vaccines, educational institutions have, for the most part, returned to their normal billing cycles and payment due dates. Many higher education institutions are mandating full vaccination to promote normal operations and allowing students from abroad to return to their facilities. Similarly, subsectors of our travel client portfolio may experience increased seasonality as many of our travel clients depend upon advance planning for vacation or holiday travel, which has been hampered by the ongoing COVID-19 pandemic and related governmental and regulatory responses.</w:t>
      </w:r>
    </w:p>
    <w:p>
      <w:pPr>
        <w:spacing w:after="0" w:line="159"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14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for the third quarter of 2022, as the U.S. Dollar strengthened against several currencies, including the British Pound, these foreign exchange impacts reduced our reported revenue in U.S. dollars by over $5.0 million compared to the third quarter of 2021 on a constant currency basis.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including the recent depreciation of the Russian ruble, could result in the dollar equivalent of our expenses being higher which may not be offset by additional revenue earned in the local currency. This could have a negative impact on our reported results of operations.</w:t>
      </w:r>
    </w:p>
    <w:p>
      <w:pPr>
        <w:spacing w:after="0" w:line="183"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7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4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know-your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81"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206"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20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85"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4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5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14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56" w:lineRule="exact"/>
        <w:rPr>
          <w:sz w:val="20"/>
          <w:szCs w:val="20"/>
          <w:color w:val="auto"/>
        </w:rPr>
      </w:pPr>
    </w:p>
    <w:p>
      <w:pPr>
        <w:ind w:left="900" w:right="100" w:hanging="263"/>
        <w:spacing w:after="0" w:line="24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Significant reductions in student funding, through grants or loans, may reduce enrollments and decrease the payment volume we process. Potential students may also be deterred by increases in the cost of attendance.</w:t>
      </w:r>
    </w:p>
    <w:p>
      <w:pPr>
        <w:spacing w:after="0" w:line="169" w:lineRule="exact"/>
        <w:rPr>
          <w:rFonts w:ascii="Arial" w:cs="Arial" w:eastAsia="Arial" w:hAnsi="Arial"/>
          <w:sz w:val="18"/>
          <w:szCs w:val="18"/>
          <w:color w:val="auto"/>
        </w:rPr>
      </w:pPr>
    </w:p>
    <w:p>
      <w:pPr>
        <w:ind w:left="900" w:right="360" w:hanging="263"/>
        <w:spacing w:after="0" w:line="24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57" w:lineRule="exact"/>
        <w:rPr>
          <w:rFonts w:ascii="Arial" w:cs="Arial" w:eastAsia="Arial" w:hAnsi="Arial"/>
          <w:sz w:val="18"/>
          <w:szCs w:val="18"/>
          <w:color w:val="auto"/>
        </w:rPr>
      </w:pPr>
    </w:p>
    <w:p>
      <w:pPr>
        <w:ind w:left="900" w:right="220" w:hanging="263"/>
        <w:spacing w:after="0" w:line="24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the ongoing COVID-19 pandemic or a lower price point for online classes.</w:t>
      </w:r>
    </w:p>
    <w:p>
      <w:pPr>
        <w:spacing w:after="0" w:line="169" w:lineRule="exact"/>
        <w:rPr>
          <w:rFonts w:ascii="Arial" w:cs="Arial" w:eastAsia="Arial" w:hAnsi="Arial"/>
          <w:sz w:val="18"/>
          <w:szCs w:val="18"/>
          <w:color w:val="auto"/>
        </w:rPr>
      </w:pPr>
    </w:p>
    <w:p>
      <w:pPr>
        <w:ind w:left="900" w:right="160" w:hanging="263"/>
        <w:spacing w:after="0" w:line="24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70" w:lineRule="exact"/>
        <w:rPr>
          <w:rFonts w:ascii="Arial" w:cs="Arial" w:eastAsia="Arial" w:hAnsi="Arial"/>
          <w:sz w:val="18"/>
          <w:szCs w:val="18"/>
          <w:color w:val="auto"/>
        </w:rPr>
      </w:pPr>
    </w:p>
    <w:p>
      <w:pPr>
        <w:ind w:left="900" w:right="60" w:hanging="263"/>
        <w:spacing w:after="0" w:line="243"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Declines in international student enrollment. The COVID-19 pandemic, ongoing COVID-19 mobility restrictions imposed by health authorities, and restrictions on immigration or the award of student visas can negatively impact the cross-border education industry, and schools that rely on foreign student populations, such as students originating from China, will be negatively affected or may cease operations.</w:t>
      </w:r>
    </w:p>
    <w:p>
      <w:pPr>
        <w:spacing w:after="0" w:line="159" w:lineRule="exact"/>
        <w:rPr>
          <w:rFonts w:ascii="Arial" w:cs="Arial" w:eastAsia="Arial" w:hAnsi="Arial"/>
          <w:sz w:val="18"/>
          <w:szCs w:val="18"/>
          <w:color w:val="auto"/>
        </w:rPr>
      </w:pPr>
    </w:p>
    <w:p>
      <w:pPr>
        <w:jc w:val="both"/>
        <w:ind w:left="900" w:right="560" w:hanging="263"/>
        <w:spacing w:after="0" w:line="24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7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139"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5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7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p>
    <w:p>
      <w:pPr>
        <w:spacing w:after="0" w:line="17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181" w:lineRule="exact"/>
        <w:rPr>
          <w:sz w:val="20"/>
          <w:szCs w:val="20"/>
          <w:color w:val="auto"/>
        </w:rPr>
      </w:pPr>
    </w:p>
    <w:p>
      <w:pPr>
        <w:ind w:right="400" w:firstLine="509"/>
        <w:spacing w:after="0"/>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7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206"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Events like regional or larger scale conflicts, war or other military conflict, including the conflict between Russia and Ukraine, terrorist attacks, mass shooting incidents, natural disasters, such as hurricanes, earthquakes, fires, droughts, floods and volcanic activity, and travel-related health events, such as the COVID-19 pandemic, have a negative impact 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and is expected for the foreseeable future to represent,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7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addition, the U.K.’s withdrawal from the E.U. (Brexit), including uncertainty, delays or practical difficulties in the implementation of Brexit, could continue to lead to economic uncertainty, sluggish growth or economic retraction,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p>
    <w:p>
      <w:pPr>
        <w:spacing w:after="0" w:line="16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were negatively impacted. During the year ended December 31, 2021, we witnessed recoveries in our financial results and growth in revenue and payment volumes in our travel payment vertical. While improvements have been noted, we are still experiencing impacts to our travel clients. We expect the continued effects of the COVID-19 pandemic, including the emergence and spread of variants or sub-variants of COVID-19, will continue to negatively impact our business throughout 2022, but the extent and duration of such impact in the long term is largely uncertain as it is dependent on future developments that cannot be accurately predicted at this time, including, but not limited to, the severity and transmission rate of the virus, global availability of vaccines and administration of vaccination, the rate of “herd immunity” and the extent and effectiveness of containment actions taken, including mobility restrictions, and the impact of these and other factors on travel behavior.</w:t>
      </w:r>
    </w:p>
    <w:p>
      <w:pPr>
        <w:spacing w:after="0" w:line="143" w:lineRule="exact"/>
        <w:rPr>
          <w:sz w:val="20"/>
          <w:szCs w:val="20"/>
          <w:color w:val="auto"/>
        </w:rPr>
      </w:pPr>
    </w:p>
    <w:p>
      <w:pPr>
        <w:jc w:val="both"/>
        <w:ind w:right="280"/>
        <w:spacing w:after="0" w:line="260" w:lineRule="auto"/>
        <w:rPr>
          <w:sz w:val="20"/>
          <w:szCs w:val="20"/>
          <w:color w:val="auto"/>
        </w:rPr>
      </w:pPr>
      <w:r>
        <w:rPr>
          <w:rFonts w:ascii="Arial" w:cs="Arial" w:eastAsia="Arial" w:hAnsi="Arial"/>
          <w:sz w:val="18"/>
          <w:szCs w:val="18"/>
          <w:b w:val="1"/>
          <w:bCs w:val="1"/>
          <w:i w:val="1"/>
          <w:iCs w:val="1"/>
          <w:color w:val="auto"/>
        </w:rPr>
        <w:t>If we are unable to enter or expand new client 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5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growth strategy is influenced, in part, on our ability to expand into new client verticals, including our relatively new B2B payment vertical. The B2B payment vertical represents a relatively new market for us, and we have limited prior experience with the key enterprise resource planning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6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70"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tailor our solutions for a new vertical or, in the event that we enter a new vertical by way of a strategic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3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14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20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we seek to continue to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credit, equity and foreign exchange markets, bankruptcies and outbreaks of COVID-19, as well as war, terrorist activity, political unrest, civil strife and other geopolitical uncertainty,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w:t>
      </w:r>
    </w:p>
    <w:p>
      <w:pPr>
        <w:spacing w:after="0" w:line="164" w:lineRule="exact"/>
        <w:rPr>
          <w:sz w:val="20"/>
          <w:szCs w:val="20"/>
          <w:color w:val="auto"/>
        </w:rPr>
      </w:pPr>
    </w:p>
    <w:p>
      <w:pPr>
        <w:ind w:right="300" w:firstLine="509"/>
        <w:spacing w:after="0" w:line="245" w:lineRule="auto"/>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57"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are actively monitoring the situation in Ukraine and assessing its impact on our business, but to date have not experienced any material impact.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 As the adverse effects of this conflict continue to develop and potentially spread, both in Europe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this conflict and any of the abovementioned factors could have a material adverse effect on our business, financial condition and results of operations, particularly to the extent the conflict escalates to involve additional countries, further economic sanctions and wider military conflict. Any such disruptions could also magnify the impact of other risks described in this Quarterly Report on Form 10-Q.</w:t>
      </w:r>
    </w:p>
    <w:p>
      <w:pPr>
        <w:spacing w:after="0" w:line="162"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addition, political instability or adverse political developments and new or continued economic deterioration, including as a result of the withdrawal by many global central banks of stimulus measures deployed during the peak of the COVID-19 pandemic, in any of the countries in which we operate could harm our business, results of operations and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More recently, inflation rates in the United States have increased to levels not seen in several years, which may result in decreased demand for our solutions, increases in our operating costs including our labor costs, constrained credit and liquidity, and volatility in financial markets. The United States Federal Reserve has raised, and may again raise, interest rates in response to concerns over inflation risk. There continues to be uncertainty in the changing market and economic conditions, including the possibility of additional measures that could be taken by the Federal Reserve and other government agencies, related to the COVID-19 pandemic and concerns over inflation risk. A sharp rise in interest rates could have an adverse impact on the fair market value of securities we may invest in as part of our portfolio investments, which could adversely affect our financial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84"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14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7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59" w:lineRule="exact"/>
        <w:rPr>
          <w:sz w:val="20"/>
          <w:szCs w:val="20"/>
          <w:color w:val="auto"/>
        </w:rPr>
      </w:pPr>
    </w:p>
    <w:p>
      <w:pPr>
        <w:ind w:right="500"/>
        <w:spacing w:after="0" w:line="301"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12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For the year ended December 31, 2021, we processed over $13.2 billion in payments on our solutions, compared to approximately $7.5 billion for the year ended December 31, 2020. For the nine months ended September 30, 2022, we processed approximately $14.0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w:t>
      </w:r>
    </w:p>
    <w:p>
      <w:pPr>
        <w:spacing w:after="0" w:line="163" w:lineRule="exact"/>
        <w:rPr>
          <w:sz w:val="20"/>
          <w:szCs w:val="20"/>
          <w:color w:val="auto"/>
        </w:rPr>
      </w:pPr>
    </w:p>
    <w:p>
      <w:pPr>
        <w:jc w:val="both"/>
        <w:ind w:right="620" w:firstLine="509"/>
        <w:spacing w:after="0" w:line="243"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73" w:lineRule="exact"/>
        <w:rPr>
          <w:sz w:val="20"/>
          <w:szCs w:val="20"/>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lost or delayed market acceptance and acquisition of new clients;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claims against us;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enforcement action; or</w:t>
      </w:r>
    </w:p>
    <w:p>
      <w:pPr>
        <w:spacing w:after="0" w:line="170" w:lineRule="exact"/>
        <w:rPr>
          <w:rFonts w:ascii="Arial" w:cs="Arial" w:eastAsia="Arial" w:hAnsi="Arial"/>
          <w:sz w:val="18"/>
          <w:szCs w:val="18"/>
          <w:color w:val="auto"/>
        </w:rPr>
      </w:pPr>
    </w:p>
    <w:p>
      <w:pPr>
        <w:ind w:left="5520" w:hanging="4883"/>
        <w:spacing w:after="0" w:line="464" w:lineRule="auto"/>
        <w:tabs>
          <w:tab w:leader="none" w:pos="8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6"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34"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45"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77"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5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5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6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7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the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77"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Health Insurance Portability and Accountability Act (HIPAA). We also are subject to stringent contractual obligations relating to the handling of such data, including obligations that are more restrictive than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8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this is a relatively recent event, and the scope of the attack is still undetermined. Therefore, there is residual risk that we could experience a security breach arising from the SolarWinds supply chain attack.</w:t>
      </w:r>
    </w:p>
    <w:p>
      <w:pPr>
        <w:spacing w:after="0" w:line="17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18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8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5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FlyMates or other third parties, which could expose us to material financial losses and liability and otherwise harm our business.</w:t>
      </w:r>
    </w:p>
    <w:p>
      <w:pPr>
        <w:spacing w:after="0" w:line="148"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employees and payment partners or third parties.</w:t>
      </w:r>
    </w:p>
    <w:p>
      <w:pPr>
        <w:spacing w:after="0" w:line="17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47"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55"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4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7"/>
          <w:szCs w:val="17"/>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4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Tel Aviv, Israel and Brisbane,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9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Japan Credit Bureau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6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60" w:lineRule="exact"/>
        <w:rPr>
          <w:sz w:val="20"/>
          <w:szCs w:val="20"/>
          <w:color w:val="auto"/>
        </w:rPr>
      </w:pPr>
    </w:p>
    <w:p>
      <w:pPr>
        <w:jc w:val="both"/>
        <w:ind w:right="520" w:firstLine="509"/>
        <w:spacing w:after="0" w:line="247"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70"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7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If any of the third party software providers change the features of their application programming interfaces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38" w:lineRule="exact"/>
        <w:rPr>
          <w:sz w:val="20"/>
          <w:szCs w:val="20"/>
          <w:color w:val="auto"/>
        </w:rPr>
      </w:pPr>
    </w:p>
    <w:p>
      <w:pPr>
        <w:ind w:right="420"/>
        <w:spacing w:after="0" w:line="286"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12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believe that further developing, maintaining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142" w:lineRule="exact"/>
        <w:rPr>
          <w:sz w:val="20"/>
          <w:szCs w:val="20"/>
          <w:color w:val="auto"/>
        </w:rPr>
      </w:pPr>
    </w:p>
    <w:p>
      <w:pPr>
        <w:ind w:right="100"/>
        <w:spacing w:after="0" w:line="286"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12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depart. The loss of our Chief Executive Officer, or our President and Chief Operating Officer, or one or more of our senior management, or other key employees could harm our business, and we may not be able to find adequate replacements.</w:t>
      </w:r>
    </w:p>
    <w:p>
      <w:pPr>
        <w:spacing w:after="0" w:line="14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14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20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206" w:lineRule="exact"/>
        <w:rPr>
          <w:sz w:val="20"/>
          <w:szCs w:val="20"/>
          <w:color w:val="auto"/>
        </w:rPr>
      </w:pPr>
    </w:p>
    <w:p>
      <w:pPr>
        <w:ind w:right="320" w:firstLine="509"/>
        <w:spacing w:after="0" w:line="274"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The sales cycles of our solutions tend to vary depending on the client industry sector which may make forecasting more complex and uncertain.</w:t>
      </w:r>
    </w:p>
    <w:p>
      <w:pPr>
        <w:spacing w:after="0" w:line="14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Although more customers and partners have started gradually to relax restrictions imposed in response to the ongoing COVID-19 pandemic, many enterprises continue to restrict travel, limit availability of in person meetings and maintain other restrictions that could make the sales process more lengthy and difficult. 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the ongoing COVID-19 outbreak, increased inflationary conditions, recession concerns and the escalation of hostilities between Russia and Ukraine),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8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380" w:firstLine="509"/>
        <w:spacing w:after="0" w:line="241" w:lineRule="auto"/>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5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14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59"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14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8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5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4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81"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Any acquisitions we undertake or have recently completed, including the acquisitions of Cohort Go in July 2022, WPM in December 2021 and Simplee in February 2020, will likely be accompanied by business risks which may include, among other things:</w:t>
      </w:r>
    </w:p>
    <w:p>
      <w:pPr>
        <w:spacing w:after="0" w:line="171" w:lineRule="exact"/>
        <w:rPr>
          <w:sz w:val="20"/>
          <w:szCs w:val="20"/>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the acquisition on our financial and strategic position and reputation;</w:t>
      </w:r>
    </w:p>
    <w:p>
      <w:pPr>
        <w:spacing w:after="0" w:line="170" w:lineRule="exact"/>
        <w:rPr>
          <w:rFonts w:ascii="Arial" w:cs="Arial" w:eastAsia="Arial" w:hAnsi="Arial"/>
          <w:sz w:val="18"/>
          <w:szCs w:val="18"/>
          <w:color w:val="auto"/>
        </w:rPr>
      </w:pPr>
    </w:p>
    <w:p>
      <w:pPr>
        <w:ind w:left="900" w:right="140" w:hanging="263"/>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43" w:lineRule="exact"/>
        <w:rPr>
          <w:rFonts w:ascii="Arial" w:cs="Arial" w:eastAsia="Arial" w:hAnsi="Arial"/>
          <w:sz w:val="18"/>
          <w:szCs w:val="18"/>
          <w:color w:val="auto"/>
        </w:rPr>
      </w:pPr>
    </w:p>
    <w:p>
      <w:pPr>
        <w:ind w:left="900" w:right="1020" w:hanging="263"/>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43" w:lineRule="exact"/>
        <w:rPr>
          <w:rFonts w:ascii="Arial" w:cs="Arial" w:eastAsia="Arial" w:hAnsi="Arial"/>
          <w:sz w:val="18"/>
          <w:szCs w:val="18"/>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84" w:lineRule="exact"/>
        <w:rPr>
          <w:rFonts w:ascii="Arial" w:cs="Arial" w:eastAsia="Arial" w:hAnsi="Arial"/>
          <w:sz w:val="18"/>
          <w:szCs w:val="18"/>
          <w:color w:val="auto"/>
        </w:rPr>
      </w:pPr>
    </w:p>
    <w:p>
      <w:pPr>
        <w:ind w:left="900" w:right="460" w:hanging="263"/>
        <w:spacing w:after="0" w:line="24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70" w:lineRule="exact"/>
        <w:rPr>
          <w:rFonts w:ascii="Arial" w:cs="Arial" w:eastAsia="Arial" w:hAnsi="Arial"/>
          <w:sz w:val="18"/>
          <w:szCs w:val="18"/>
          <w:color w:val="auto"/>
        </w:rPr>
      </w:pPr>
    </w:p>
    <w:p>
      <w:pPr>
        <w:ind w:left="900" w:right="600" w:hanging="263"/>
        <w:spacing w:after="0" w:line="24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93" w:lineRule="exact"/>
        <w:rPr>
          <w:sz w:val="20"/>
          <w:szCs w:val="20"/>
          <w:color w:val="auto"/>
        </w:rPr>
      </w:pPr>
    </w:p>
    <w:p>
      <w:pPr>
        <w:ind w:right="260" w:firstLine="509"/>
        <w:spacing w:after="0" w:line="258" w:lineRule="auto"/>
        <w:rPr>
          <w:sz w:val="20"/>
          <w:szCs w:val="20"/>
          <w:color w:val="auto"/>
        </w:rPr>
      </w:pPr>
      <w:r>
        <w:rPr>
          <w:rFonts w:ascii="Arial" w:cs="Arial" w:eastAsia="Arial" w:hAnsi="Arial"/>
          <w:sz w:val="17"/>
          <w:szCs w:val="17"/>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war or other military conflict, including an escalation of the conflict between Russia and Ukraine,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business continuity, resiliency and disaster recovery plans, and more rigorous testing of such plans, which may be costly and time-consuming to implement, and may divert our resources from other business priorities.</w:t>
      </w:r>
    </w:p>
    <w:p>
      <w:pPr>
        <w:spacing w:after="0" w:line="17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7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 System failures or outages, including any potential disruptions due to significantly increased global demand on certain cloud-based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p>
    <w:p>
      <w:pPr>
        <w:spacing w:after="0" w:line="181"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47"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74"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systems and technologies do not operate as intended, this could have an adverse impact on our business, internal controls (including internal controls over financial reporting), results of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8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7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heightened tensions between China and Taiwan and the recent escalation of the conflict between Russia and Ukraine,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82" w:lineRule="exact"/>
        <w:rPr>
          <w:sz w:val="20"/>
          <w:szCs w:val="20"/>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rate volatility;</w:t>
      </w:r>
    </w:p>
    <w:p>
      <w:pPr>
        <w:spacing w:after="0" w:line="170" w:lineRule="exact"/>
        <w:rPr>
          <w:rFonts w:ascii="Arial" w:cs="Arial" w:eastAsia="Arial" w:hAnsi="Arial"/>
          <w:sz w:val="18"/>
          <w:szCs w:val="18"/>
          <w:color w:val="auto"/>
        </w:rPr>
      </w:pPr>
    </w:p>
    <w:p>
      <w:pPr>
        <w:ind w:left="900" w:right="220" w:hanging="263"/>
        <w:spacing w:after="0" w:line="26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economic conditions in the United States and globally, including economic slowdown, inflation, recession concerns and the disruption, volatility and tightening of credit and capital markets;</w:t>
      </w:r>
    </w:p>
    <w:p>
      <w:pPr>
        <w:spacing w:after="0" w:line="143"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government regulation or required compliance with local laws;</w:t>
      </w:r>
    </w:p>
    <w:p>
      <w:pPr>
        <w:spacing w:after="0" w:line="184" w:lineRule="exact"/>
        <w:rPr>
          <w:rFonts w:ascii="Arial" w:cs="Arial" w:eastAsia="Arial" w:hAnsi="Arial"/>
          <w:sz w:val="18"/>
          <w:szCs w:val="18"/>
          <w:color w:val="auto"/>
        </w:rPr>
      </w:pPr>
    </w:p>
    <w:p>
      <w:pPr>
        <w:ind w:left="900" w:right="10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70" w:lineRule="exact"/>
        <w:rPr>
          <w:rFonts w:ascii="Arial" w:cs="Arial" w:eastAsia="Arial" w:hAnsi="Arial"/>
          <w:sz w:val="18"/>
          <w:szCs w:val="18"/>
          <w:color w:val="auto"/>
        </w:rPr>
      </w:pPr>
    </w:p>
    <w:p>
      <w:pPr>
        <w:ind w:left="900" w:right="700" w:hanging="263"/>
        <w:spacing w:after="0" w:line="290"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20" w:lineRule="exact"/>
        <w:rPr>
          <w:rFonts w:ascii="Arial" w:cs="Arial" w:eastAsia="Arial" w:hAnsi="Arial"/>
          <w:sz w:val="17"/>
          <w:szCs w:val="17"/>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 barriers and changes in trade regulations;</w:t>
      </w:r>
    </w:p>
    <w:p>
      <w:pPr>
        <w:spacing w:after="0" w:line="184" w:lineRule="exact"/>
        <w:rPr>
          <w:rFonts w:ascii="Arial" w:cs="Arial" w:eastAsia="Arial" w:hAnsi="Arial"/>
          <w:sz w:val="18"/>
          <w:szCs w:val="18"/>
          <w:color w:val="auto"/>
        </w:rPr>
      </w:pPr>
    </w:p>
    <w:p>
      <w:pPr>
        <w:ind w:left="900" w:right="24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government sanctions on our ability to offer services in a region, such as the sanctions recently announced by the U.S. and other countries against Russia;</w:t>
      </w:r>
    </w:p>
    <w:p>
      <w:pPr>
        <w:spacing w:after="0" w:line="170" w:lineRule="exact"/>
        <w:rPr>
          <w:rFonts w:ascii="Arial" w:cs="Arial" w:eastAsia="Arial" w:hAnsi="Arial"/>
          <w:sz w:val="18"/>
          <w:szCs w:val="18"/>
          <w:color w:val="auto"/>
        </w:rPr>
      </w:pPr>
    </w:p>
    <w:p>
      <w:pPr>
        <w:ind w:left="900" w:right="26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stringent local labor laws and regulations;</w:t>
      </w:r>
    </w:p>
    <w:p>
      <w:pPr>
        <w:spacing w:after="0" w:line="184" w:lineRule="exact"/>
        <w:rPr>
          <w:rFonts w:ascii="Arial" w:cs="Arial" w:eastAsia="Arial" w:hAnsi="Arial"/>
          <w:sz w:val="18"/>
          <w:szCs w:val="18"/>
          <w:color w:val="auto"/>
        </w:rPr>
      </w:pPr>
    </w:p>
    <w:p>
      <w:pPr>
        <w:ind w:left="900" w:right="32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70" w:lineRule="exact"/>
        <w:rPr>
          <w:rFonts w:ascii="Arial" w:cs="Arial" w:eastAsia="Arial" w:hAnsi="Arial"/>
          <w:sz w:val="18"/>
          <w:szCs w:val="18"/>
          <w:color w:val="auto"/>
        </w:rPr>
      </w:pPr>
    </w:p>
    <w:p>
      <w:pPr>
        <w:ind w:left="900" w:right="74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economic instability, repression, or human rights issues;</w:t>
      </w:r>
    </w:p>
    <w:p>
      <w:pPr>
        <w:spacing w:after="0" w:line="157"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84" w:lineRule="exact"/>
        <w:rPr>
          <w:rFonts w:ascii="Arial" w:cs="Arial" w:eastAsia="Arial" w:hAnsi="Arial"/>
          <w:sz w:val="18"/>
          <w:szCs w:val="18"/>
          <w:color w:val="auto"/>
        </w:rPr>
      </w:pPr>
    </w:p>
    <w:p>
      <w:pPr>
        <w:ind w:left="900" w:right="400" w:hanging="263"/>
        <w:spacing w:after="0" w:line="24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900" w:hanging="26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84" w:lineRule="exact"/>
        <w:rPr>
          <w:rFonts w:ascii="Arial" w:cs="Arial" w:eastAsia="Arial" w:hAnsi="Arial"/>
          <w:sz w:val="18"/>
          <w:szCs w:val="18"/>
          <w:color w:val="auto"/>
        </w:rPr>
      </w:pPr>
    </w:p>
    <w:p>
      <w:pPr>
        <w:ind w:left="900" w:right="40" w:hanging="263"/>
        <w:spacing w:after="0" w:line="24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70" w:lineRule="exact"/>
        <w:rPr>
          <w:rFonts w:ascii="Arial" w:cs="Arial" w:eastAsia="Arial" w:hAnsi="Arial"/>
          <w:sz w:val="18"/>
          <w:szCs w:val="18"/>
          <w:color w:val="auto"/>
        </w:rPr>
      </w:pPr>
    </w:p>
    <w:p>
      <w:pPr>
        <w:ind w:left="900" w:right="100" w:hanging="263"/>
        <w:spacing w:after="0" w:line="24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recently enacted Inflation Reduction Act of 2022, which includes a minimum corporate tax which could result in an additional tax liability in a given year;</w:t>
      </w:r>
    </w:p>
    <w:p>
      <w:pPr>
        <w:spacing w:after="0" w:line="174" w:lineRule="exact"/>
        <w:rPr>
          <w:rFonts w:ascii="Arial" w:cs="Arial" w:eastAsia="Arial" w:hAnsi="Arial"/>
          <w:sz w:val="18"/>
          <w:szCs w:val="18"/>
          <w:color w:val="auto"/>
        </w:rPr>
      </w:pPr>
    </w:p>
    <w:p>
      <w:pPr>
        <w:ind w:left="900" w:hanging="26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national or regional differences in macroeconomic growth rates; and</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difficulties in collecting accounts receivable.</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72"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52"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35" w:lineRule="exact"/>
        <w:rPr>
          <w:sz w:val="20"/>
          <w:szCs w:val="20"/>
          <w:color w:val="auto"/>
        </w:rPr>
      </w:pPr>
    </w:p>
    <w:p>
      <w:pPr>
        <w:ind w:right="180"/>
        <w:spacing w:after="0" w:line="286"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2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Consumer Financial Protection Bureau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As we expand into new jurisdictions, the number of foreign laws, rules, regulations, licensing schemes, and standards governing our business will expand as well. In addition, as our business and solutions continue to develop and expand, we may become subject to additional laws, rules,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56"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Certain of our subsidiaries are registered with the U.S. Department of the Treasury’s Financial Crimes Enforcement Network (FinCEN). Our subsidiary Flywire Global Corp. has obtained licenses to operate as a money transmitter (or the statutory equivalent) in 41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6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6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5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134"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Government agencies may impose new or additional rules on money transmission, including regulations that:</w:t>
      </w:r>
    </w:p>
    <w:p>
      <w:pPr>
        <w:spacing w:after="0" w:line="184" w:lineRule="exact"/>
        <w:rPr>
          <w:sz w:val="20"/>
          <w:szCs w:val="20"/>
          <w:color w:val="auto"/>
        </w:rPr>
      </w:pPr>
    </w:p>
    <w:p>
      <w:pPr>
        <w:ind w:left="900" w:right="280" w:hanging="263"/>
        <w:spacing w:after="0" w:line="24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additional client identification and client due diligence requirements;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84" w:lineRule="exact"/>
        <w:rPr>
          <w:rFonts w:ascii="Arial" w:cs="Arial" w:eastAsia="Arial" w:hAnsi="Arial"/>
          <w:sz w:val="18"/>
          <w:szCs w:val="18"/>
          <w:color w:val="auto"/>
        </w:rPr>
      </w:pPr>
    </w:p>
    <w:p>
      <w:pPr>
        <w:ind w:left="900" w:right="800" w:hanging="263"/>
        <w:spacing w:after="0" w:line="24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170" w:lineRule="exact"/>
        <w:rPr>
          <w:rFonts w:ascii="Arial" w:cs="Arial" w:eastAsia="Arial" w:hAnsi="Arial"/>
          <w:sz w:val="18"/>
          <w:szCs w:val="18"/>
          <w:color w:val="auto"/>
        </w:rPr>
      </w:pPr>
    </w:p>
    <w:p>
      <w:pPr>
        <w:ind w:left="900" w:right="420" w:hanging="263"/>
        <w:spacing w:after="0" w:line="24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69"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70" w:lineRule="exact"/>
        <w:rPr>
          <w:rFonts w:ascii="Arial" w:cs="Arial" w:eastAsia="Arial" w:hAnsi="Arial"/>
          <w:sz w:val="18"/>
          <w:szCs w:val="18"/>
          <w:color w:val="auto"/>
        </w:rPr>
      </w:pPr>
    </w:p>
    <w:p>
      <w:pPr>
        <w:ind w:left="900" w:right="300" w:hanging="26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43" w:lineRule="exact"/>
        <w:rPr>
          <w:rFonts w:ascii="Arial" w:cs="Arial" w:eastAsia="Arial" w:hAnsi="Arial"/>
          <w:sz w:val="18"/>
          <w:szCs w:val="18"/>
          <w:color w:val="auto"/>
        </w:rPr>
      </w:pPr>
    </w:p>
    <w:p>
      <w:pPr>
        <w:ind w:left="900" w:right="140" w:hanging="26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43" w:lineRule="exact"/>
        <w:rPr>
          <w:rFonts w:ascii="Arial" w:cs="Arial" w:eastAsia="Arial" w:hAnsi="Arial"/>
          <w:sz w:val="18"/>
          <w:szCs w:val="18"/>
          <w:color w:val="auto"/>
        </w:rPr>
      </w:pPr>
    </w:p>
    <w:p>
      <w:pPr>
        <w:ind w:left="900" w:right="540" w:hanging="26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12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are currently required to comply with U.S. economic and trade sanctions administered by the U.S. Department of the Treasury’s Office of Foreign Assets Controls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6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business operations in other parts of the world such as the U.K., Lithuania, Canada, Australia, New Zealand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February and March 2022 are impacting our ability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49"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4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Protection Act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17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72"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Virginia became the second state after California to enact a broad privacy law with the passage of the Virginia Consumer Data Protection Act (CDPA) on March 2, 2021. The CDPA contains several new requirements for covered companies that may add operational challenges, including a greater emphasis on transparency, broader affirmative consent or opt-in requirements to process sensitive personal data, broader opt-out rights and data protection assessment requirements for certain sales of personal data as well as targeted advertising and profiling, and an appeal process for denials of consumer rights requests. The law will take effect January 1, 2023, the same day as the CPRA. Colorado became the third state with the passage of the Colorado Privacy Act (CPA) on July 8, 2021. Like the CDPA, the CPA provides consumers the right to opt out of processing for sales of personal data, targeted advertising, and profiling, provides the right to appeal a business’ denial to take action, among other new consumer rights, requires data protection assessments for certain processing activities, and, unlike the CDPA, grants the Attorney General rulemaking powers. The law will take effect on July 1, 2023. Unlike in California, neither law provides for a private right of action. We anticipate that more states may enact legislation similar to the CCPA, which provides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consumers with new privacy rights and increases the privacy and security obligations of entities handling certain personal information of such consumers. For example, the Utah Consumer Privacy Act became law on March 24, 2022. The Utah legislation most closely mirrors Virginia’s CDPA and will go into effect on December 31, 2023.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58"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General Data Protection Regulation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8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w:t>
      </w:r>
    </w:p>
    <w:p>
      <w:pPr>
        <w:spacing w:after="0" w:line="2" w:lineRule="exact"/>
        <w:rPr>
          <w:sz w:val="20"/>
          <w:szCs w:val="20"/>
          <w:color w:val="auto"/>
        </w:rPr>
      </w:pPr>
    </w:p>
    <w:p>
      <w:pPr>
        <w:ind w:firstLine="8"/>
        <w:spacing w:after="0"/>
        <w:tabs>
          <w:tab w:leader="none" w:pos="15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 xml:space="preserve">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7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currently in effect must be replaced with the New SCCs by late December 2022.</w:t>
      </w:r>
    </w:p>
    <w:p>
      <w:pPr>
        <w:spacing w:after="0" w:line="18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56"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6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79" w:lineRule="exact"/>
        <w:rPr>
          <w:sz w:val="20"/>
          <w:szCs w:val="20"/>
          <w:color w:val="auto"/>
        </w:rPr>
      </w:pPr>
    </w:p>
    <w:p>
      <w:pPr>
        <w:ind w:right="320" w:firstLine="509"/>
        <w:spacing w:after="0" w:line="262"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58" w:lineRule="exact"/>
        <w:rPr>
          <w:sz w:val="20"/>
          <w:szCs w:val="20"/>
          <w:color w:val="auto"/>
        </w:rPr>
      </w:pPr>
    </w:p>
    <w:p>
      <w:pPr>
        <w:ind w:right="100" w:firstLine="509"/>
        <w:spacing w:after="0" w:line="256" w:lineRule="auto"/>
        <w:rPr>
          <w:sz w:val="20"/>
          <w:szCs w:val="20"/>
          <w:color w:val="auto"/>
        </w:rPr>
      </w:pPr>
      <w:r>
        <w:rPr>
          <w:rFonts w:ascii="Arial" w:cs="Arial" w:eastAsia="Arial" w:hAnsi="Arial"/>
          <w:sz w:val="17"/>
          <w:szCs w:val="17"/>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65" w:lineRule="exact"/>
        <w:rPr>
          <w:sz w:val="20"/>
          <w:szCs w:val="20"/>
          <w:color w:val="auto"/>
        </w:rPr>
      </w:pPr>
    </w:p>
    <w:p>
      <w:pPr>
        <w:ind w:right="120" w:firstLine="509"/>
        <w:spacing w:after="0" w:line="256" w:lineRule="auto"/>
        <w:rPr>
          <w:sz w:val="20"/>
          <w:szCs w:val="20"/>
          <w:color w:val="auto"/>
        </w:rPr>
      </w:pPr>
      <w:r>
        <w:rPr>
          <w:rFonts w:ascii="Arial" w:cs="Arial" w:eastAsia="Arial" w:hAnsi="Arial"/>
          <w:sz w:val="17"/>
          <w:szCs w:val="17"/>
          <w:color w:val="auto"/>
        </w:rPr>
        <w:t>China (home to the most online users in the world), is one of the latest countries to pass a new omnibus privacy law. China passed its new Data Security Law (DSL) in June 2021 and its new Personal Information Protection Law (PIPL) in August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recent enforcement actions against Alibaba Group Holding Ltd and Didi Global Inc. in 2022.</w:t>
      </w:r>
    </w:p>
    <w:p>
      <w:pPr>
        <w:spacing w:after="0" w:line="166" w:lineRule="exact"/>
        <w:rPr>
          <w:sz w:val="20"/>
          <w:szCs w:val="20"/>
          <w:color w:val="auto"/>
        </w:rPr>
      </w:pPr>
    </w:p>
    <w:p>
      <w:pPr>
        <w:ind w:right="500" w:firstLine="509"/>
        <w:spacing w:after="0" w:line="245"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and PIPL but cannot assure you that such steps will be effective, and we may face the risk of increased costs, liability and loss of business.</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6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5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4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64" w:lineRule="exact"/>
        <w:rPr>
          <w:sz w:val="20"/>
          <w:szCs w:val="20"/>
          <w:color w:val="auto"/>
        </w:rPr>
      </w:pPr>
    </w:p>
    <w:p>
      <w:pPr>
        <w:ind w:right="260" w:firstLine="509"/>
        <w:spacing w:after="0" w:line="245"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5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78" w:lineRule="exact"/>
        <w:rPr>
          <w:sz w:val="20"/>
          <w:szCs w:val="20"/>
          <w:color w:val="auto"/>
        </w:rPr>
      </w:pPr>
    </w:p>
    <w:p>
      <w:pPr>
        <w:ind w:right="140" w:firstLine="509"/>
        <w:spacing w:after="0" w:line="260" w:lineRule="auto"/>
        <w:rPr>
          <w:sz w:val="20"/>
          <w:szCs w:val="20"/>
          <w:color w:val="auto"/>
        </w:rPr>
      </w:pPr>
      <w:r>
        <w:rPr>
          <w:rFonts w:ascii="Arial" w:cs="Arial" w:eastAsia="Arial" w:hAnsi="Arial"/>
          <w:sz w:val="17"/>
          <w:szCs w:val="17"/>
          <w:color w:val="auto"/>
        </w:rPr>
        <w:t>In February 2022, following Russia’s invasion of Ukraine, the United States and other countries announced sanctions against Russia. The sanctions announced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34"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12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82"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8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endeavor to enter into agreements with our employees,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employees,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8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5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14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5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14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7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42" w:lineRule="exact"/>
        <w:rPr>
          <w:sz w:val="20"/>
          <w:szCs w:val="20"/>
          <w:color w:val="auto"/>
        </w:rPr>
      </w:pPr>
    </w:p>
    <w:p>
      <w:pPr>
        <w:ind w:right="580"/>
        <w:spacing w:after="0" w:line="286"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12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U.K.’s departure from the E.U. could adversely affect us.</w:t>
      </w:r>
    </w:p>
    <w:p>
      <w:pPr>
        <w:spacing w:after="0" w:line="206"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The U.K. formally exited the E.U. on January 31, 2020 and a transition period was in place until December 31, 2020 during which time the U.K. remained in both the E.U. customs union and single market and was subject to E.U. rules. There continues to be a significant lack of clarity over the terms of the U.K.’s future relationship with the E.U. in the future.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p>
    <w:p>
      <w:pPr>
        <w:spacing w:after="0" w:line="163"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p>
    <w:p>
      <w:pPr>
        <w:spacing w:after="0" w:line="170" w:lineRule="exact"/>
        <w:rPr>
          <w:sz w:val="20"/>
          <w:szCs w:val="20"/>
          <w:color w:val="auto"/>
        </w:rPr>
      </w:pPr>
    </w:p>
    <w:p>
      <w:pPr>
        <w:ind w:left="900" w:right="180" w:hanging="26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w:t>
      </w:r>
    </w:p>
    <w:p>
      <w:pPr>
        <w:spacing w:after="0" w:line="174" w:lineRule="exact"/>
        <w:rPr>
          <w:rFonts w:ascii="Arial" w:cs="Arial" w:eastAsia="Arial" w:hAnsi="Arial"/>
          <w:sz w:val="18"/>
          <w:szCs w:val="18"/>
          <w:color w:val="auto"/>
        </w:rPr>
      </w:pPr>
    </w:p>
    <w:p>
      <w:pPr>
        <w:ind w:left="900" w:right="360" w:hanging="263"/>
        <w:spacing w:after="0" w:line="24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w:t>
      </w:r>
    </w:p>
    <w:p>
      <w:pPr>
        <w:spacing w:after="0" w:line="156" w:lineRule="exact"/>
        <w:rPr>
          <w:rFonts w:ascii="Arial" w:cs="Arial" w:eastAsia="Arial" w:hAnsi="Arial"/>
          <w:sz w:val="18"/>
          <w:szCs w:val="18"/>
          <w:color w:val="auto"/>
        </w:rPr>
      </w:pPr>
    </w:p>
    <w:p>
      <w:pPr>
        <w:ind w:left="900" w:right="460" w:hanging="26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required to comply with legal and regulatory requirements in the U.K. that are in addition to, or inconsistent with, those of the E.U., leading to increased complexity and costs for our European and U.K. operations; and</w:t>
      </w:r>
    </w:p>
    <w:p>
      <w:pPr>
        <w:spacing w:after="0" w:line="143" w:lineRule="exact"/>
        <w:rPr>
          <w:rFonts w:ascii="Arial" w:cs="Arial" w:eastAsia="Arial" w:hAnsi="Arial"/>
          <w:sz w:val="18"/>
          <w:szCs w:val="18"/>
          <w:color w:val="auto"/>
        </w:rPr>
      </w:pPr>
    </w:p>
    <w:p>
      <w:pPr>
        <w:ind w:left="900" w:right="720" w:hanging="26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and retain the necessary human resources in appropriate locations to support our U.K. and European business could be adversely impacted.</w:t>
      </w:r>
    </w:p>
    <w:p>
      <w:pPr>
        <w:spacing w:after="0" w:line="143" w:lineRule="exact"/>
        <w:rPr>
          <w:sz w:val="20"/>
          <w:szCs w:val="20"/>
          <w:color w:val="auto"/>
        </w:rPr>
      </w:pPr>
    </w:p>
    <w:p>
      <w:pPr>
        <w:ind w:right="540" w:firstLine="509"/>
        <w:spacing w:after="0" w:line="245" w:lineRule="auto"/>
        <w:rPr>
          <w:sz w:val="20"/>
          <w:szCs w:val="20"/>
          <w:color w:val="auto"/>
        </w:rPr>
      </w:pPr>
      <w:r>
        <w:rPr>
          <w:rFonts w:ascii="Arial" w:cs="Arial" w:eastAsia="Arial" w:hAnsi="Arial"/>
          <w:sz w:val="18"/>
          <w:szCs w:val="18"/>
          <w:color w:val="auto"/>
        </w:rPr>
        <w:t>These and other factors related to Brexit could, individually or in the aggregate, have a material adverse impact on our business, financial condition, and results of operations.</w:t>
      </w:r>
    </w:p>
    <w:p>
      <w:pPr>
        <w:spacing w:after="0" w:line="14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48"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5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For example, the recently enacted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7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w:t>
      </w:r>
      <w:r>
        <w:rPr>
          <w:rFonts w:ascii="Arial" w:cs="Arial" w:eastAsia="Arial" w:hAnsi="Arial"/>
          <w:sz w:val="18"/>
          <w:szCs w:val="18"/>
          <w:i w:val="1"/>
          <w:iCs w:val="1"/>
          <w:color w:val="auto"/>
        </w:rPr>
        <w:t>South Dakota v. Wayfair, Inc. et al</w:t>
      </w:r>
      <w:r>
        <w:rPr>
          <w:rFonts w:ascii="Arial" w:cs="Arial" w:eastAsia="Arial" w:hAnsi="Arial"/>
          <w:sz w:val="18"/>
          <w:szCs w:val="18"/>
          <w:color w:val="auto"/>
        </w:rPr>
        <w:t xml:space="preserve">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7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 to offset future taxable income may be subject to certain limitations.</w:t>
      </w:r>
    </w:p>
    <w:p>
      <w:pPr>
        <w:spacing w:after="0" w:line="19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of September 30, 2022, we had U.S. federal NOL carryforwards of approximately $ 126.3 million and state NOL carryforwards of approximately $171.7 million. The federal and material state NOL carryforwards will begin to expire in 2030 and 2022,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including, but not limited to, as a result of our IPO, or if we undergo one or more ownership changes as a result of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We are in the process of completing a Section 382 study. Furthermore, our ability to utilize NOLs of companies that we may acquire in the future may be subject to limitations. For these reasons, we may not be able to utilize a material portion of the NOLs, even if we were to achieve profitability.</w:t>
      </w:r>
    </w:p>
    <w:p>
      <w:pPr>
        <w:spacing w:after="0" w:line="18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58"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in 2023 when we will no longer be an emerging growth company and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will be deemed a “large accelerated” filer.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6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As a public company, we are required, pursuant to Section 404 of the Sarbanes-Oxley Act (Section 404), to furnish a report by management on, among other things, the effectiveness of our internal control over financial reporting commencing with our Annual Report on Form 10-K for the year ending December 31, 2022.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7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This assessment will need to include disclosure of any material weaknesses identified by our management in our internal control over financial reporting and, as a result of our ceasing to be an emerging growth company and being deemed a “large accelerated” filer as of December 31, 2022, commencing with our Annual Report on Form 10-K for the year ending December 31, 2022,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be subject to shorter filing deadlines, which will require additional time and expense as well.</w:t>
      </w:r>
    </w:p>
    <w:p>
      <w:pPr>
        <w:spacing w:after="0" w:line="177"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have undertaken and may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79"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We are actively engaged in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60"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35"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b w:val="1"/>
          <w:bCs w:val="1"/>
          <w:i w:val="1"/>
          <w:iCs w:val="1"/>
          <w:color w:val="auto"/>
        </w:rPr>
        <w:t>Increased scrutiny from investors and others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4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the environmental, social and governance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41" w:lineRule="exact"/>
        <w:rPr>
          <w:sz w:val="20"/>
          <w:szCs w:val="20"/>
          <w:color w:val="auto"/>
        </w:rPr>
      </w:pPr>
    </w:p>
    <w:p>
      <w:pPr>
        <w:ind w:right="760"/>
        <w:spacing w:after="0" w:line="286"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2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which we expect to further increase in 2023 when we will no longer be an “emerging growth company” and will be deemed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active or liquid market in our common stock may not be sustainable.</w:t>
      </w:r>
    </w:p>
    <w:p>
      <w:pPr>
        <w:spacing w:after="0" w:line="184" w:lineRule="exact"/>
        <w:rPr>
          <w:sz w:val="20"/>
          <w:szCs w:val="20"/>
          <w:color w:val="auto"/>
        </w:rPr>
      </w:pPr>
    </w:p>
    <w:p>
      <w:pPr>
        <w:ind w:right="440" w:firstLine="509"/>
        <w:spacing w:after="0" w:line="245"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171" w:lineRule="exact"/>
        <w:rPr>
          <w:sz w:val="20"/>
          <w:szCs w:val="20"/>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the roll out of new solutions;</w:t>
      </w:r>
    </w:p>
    <w:p>
      <w:pPr>
        <w:spacing w:after="0" w:line="184" w:lineRule="exact"/>
        <w:rPr>
          <w:rFonts w:ascii="Arial" w:cs="Arial" w:eastAsia="Arial" w:hAnsi="Arial"/>
          <w:sz w:val="18"/>
          <w:szCs w:val="18"/>
          <w:color w:val="auto"/>
        </w:rPr>
      </w:pPr>
    </w:p>
    <w:p>
      <w:pPr>
        <w:ind w:left="1020" w:right="500" w:hanging="504"/>
        <w:spacing w:after="0" w:line="245"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actions with respect to our payment solutions;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expenses related to our solutions;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70" w:lineRule="exact"/>
        <w:rPr>
          <w:rFonts w:ascii="Arial" w:cs="Arial" w:eastAsia="Arial" w:hAnsi="Arial"/>
          <w:sz w:val="18"/>
          <w:szCs w:val="18"/>
          <w:color w:val="auto"/>
        </w:rPr>
      </w:pPr>
    </w:p>
    <w:p>
      <w:pPr>
        <w:ind w:left="5520" w:right="440" w:hanging="5004"/>
        <w:spacing w:after="0" w:line="464" w:lineRule="auto"/>
        <w:tabs>
          <w:tab w:leader="none" w:pos="102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the COVID-19 pandemic;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1020" w:right="58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economic instability, repression, or human rights issues;</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payment systems;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effects of the ongoing United States-China trade war;</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184"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170"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factors discussed in this Quarterly Report on Form 10-Q and our other SEC filings.</w:t>
      </w:r>
    </w:p>
    <w:p>
      <w:pPr>
        <w:spacing w:after="0" w:line="184"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71"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impact of these measures, as well as potential responses to them by Russia, is unknown.</w:t>
      </w:r>
    </w:p>
    <w:p>
      <w:pPr>
        <w:spacing w:after="0" w:line="17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38" w:lineRule="exact"/>
        <w:rPr>
          <w:sz w:val="20"/>
          <w:szCs w:val="20"/>
          <w:color w:val="auto"/>
        </w:rPr>
      </w:pPr>
    </w:p>
    <w:p>
      <w:pPr>
        <w:ind w:right="160"/>
        <w:spacing w:after="0" w:line="286" w:lineRule="auto"/>
        <w:rPr>
          <w:sz w:val="20"/>
          <w:szCs w:val="20"/>
          <w:color w:val="auto"/>
        </w:rPr>
      </w:pPr>
      <w:r>
        <w:rPr>
          <w:rFonts w:ascii="Arial" w:cs="Arial" w:eastAsia="Arial" w:hAnsi="Arial"/>
          <w:sz w:val="18"/>
          <w:szCs w:val="18"/>
          <w:b w:val="1"/>
          <w:bCs w:val="1"/>
          <w:i w:val="1"/>
          <w:iCs w:val="1"/>
          <w:color w:val="auto"/>
        </w:rPr>
        <w:t>We are currently an “emerging growth company,” and we cannot be certain if the reduced reporting and disclosure requirements applicable to emerging growth companies will make our common stock less attractive to investors.</w:t>
      </w:r>
    </w:p>
    <w:p>
      <w:pPr>
        <w:spacing w:after="0" w:line="12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are currently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as of December 31, 2022 when we cease to be an emerging growth company, we will no longer be able to use the extended transition period for complying with new or revised accounting standards.</w:t>
      </w:r>
    </w:p>
    <w:p>
      <w:pPr>
        <w:spacing w:after="0" w:line="177"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will cease to be an emerging growth company and will be deemed to be a “large accelerated filer” as of December 31, 2022. As a “large accelerated filer” we will have to file a more expansive proxy statement and be subject to shorter filing deadlines, which will require additional time and expense.</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While we remain an “emerging growth company”, we cannot predict if investors will find our common stock less attractive if we continue to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4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83" w:lineRule="exact"/>
        <w:rPr>
          <w:sz w:val="20"/>
          <w:szCs w:val="20"/>
          <w:color w:val="auto"/>
        </w:rPr>
      </w:pPr>
    </w:p>
    <w:p>
      <w:pPr>
        <w:ind w:right="440" w:firstLine="509"/>
        <w:spacing w:after="0" w:line="245"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93"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5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4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5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148"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104,275,796 shares of our voting common stock and 4,608,841 shares of our non-voting common stock outstanding as of September 30, 2022. Other than shares held by directors, executive officers and other affiliates that are subject to volume limitations under Rule 144 under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the Securities Act and various vesting agreements, these shares of common stock generally are freely tradable without restrictions or further registration under the Securities Act.</w:t>
      </w:r>
    </w:p>
    <w:p>
      <w:pPr>
        <w:spacing w:after="0" w:line="171"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60" w:lineRule="exact"/>
        <w:rPr>
          <w:sz w:val="20"/>
          <w:szCs w:val="20"/>
          <w:color w:val="auto"/>
        </w:rPr>
      </w:pPr>
    </w:p>
    <w:p>
      <w:pPr>
        <w:ind w:right="340" w:firstLine="509"/>
        <w:spacing w:after="0" w:line="290"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99" w:lineRule="exact"/>
        <w:rPr>
          <w:sz w:val="20"/>
          <w:szCs w:val="20"/>
          <w:color w:val="auto"/>
        </w:rPr>
      </w:pPr>
    </w:p>
    <w:p>
      <w:pPr>
        <w:ind w:right="740"/>
        <w:spacing w:after="0" w:line="286"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2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September 30, 2022, our executive officers, directors and the holders of more than 5% of our outstanding voting and non-voting common stock, in the aggregate, beneficially owned approximately 22.6% of our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5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4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loan and security agreement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42" w:lineRule="exact"/>
        <w:rPr>
          <w:sz w:val="20"/>
          <w:szCs w:val="20"/>
          <w:color w:val="auto"/>
        </w:rPr>
      </w:pPr>
    </w:p>
    <w:p>
      <w:pPr>
        <w:ind w:right="440"/>
        <w:spacing w:after="0" w:line="286"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22"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57" w:lineRule="exact"/>
        <w:rPr>
          <w:sz w:val="20"/>
          <w:szCs w:val="20"/>
          <w:color w:val="auto"/>
        </w:rPr>
      </w:pPr>
    </w:p>
    <w:p>
      <w:pPr>
        <w:ind w:left="900" w:right="700" w:hanging="26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43" w:lineRule="exact"/>
        <w:rPr>
          <w:rFonts w:ascii="Arial" w:cs="Arial" w:eastAsia="Arial" w:hAnsi="Arial"/>
          <w:sz w:val="18"/>
          <w:szCs w:val="18"/>
          <w:color w:val="auto"/>
        </w:rPr>
      </w:pPr>
    </w:p>
    <w:p>
      <w:pPr>
        <w:jc w:val="both"/>
        <w:ind w:left="900" w:right="140" w:hanging="263"/>
        <w:spacing w:after="0" w:line="24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56" w:lineRule="exact"/>
        <w:rPr>
          <w:rFonts w:ascii="Arial" w:cs="Arial" w:eastAsia="Arial" w:hAnsi="Arial"/>
          <w:sz w:val="18"/>
          <w:szCs w:val="18"/>
          <w:color w:val="auto"/>
        </w:rPr>
      </w:pPr>
    </w:p>
    <w:p>
      <w:pPr>
        <w:ind w:left="900" w:right="20" w:hanging="263"/>
        <w:spacing w:after="0" w:line="24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left="900" w:hanging="263"/>
        <w:spacing w:after="0" w:line="24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ind w:left="900" w:right="180" w:hanging="263"/>
        <w:spacing w:after="0" w:line="24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56" w:lineRule="exact"/>
        <w:rPr>
          <w:rFonts w:ascii="Arial" w:cs="Arial" w:eastAsia="Arial" w:hAnsi="Arial"/>
          <w:sz w:val="18"/>
          <w:szCs w:val="18"/>
          <w:color w:val="auto"/>
        </w:rPr>
      </w:pPr>
    </w:p>
    <w:p>
      <w:pPr>
        <w:ind w:left="900" w:right="180" w:hanging="263"/>
        <w:spacing w:after="0" w:line="24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73" w:lineRule="exact"/>
        <w:rPr>
          <w:rFonts w:ascii="Arial" w:cs="Arial" w:eastAsia="Arial" w:hAnsi="Arial"/>
          <w:sz w:val="18"/>
          <w:szCs w:val="18"/>
          <w:color w:val="auto"/>
        </w:rPr>
      </w:pPr>
    </w:p>
    <w:p>
      <w:pPr>
        <w:ind w:left="900" w:right="180" w:hanging="26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73"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6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9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July 2022, we completed the acquisition of Cohort Go and paid to certain of the former stockholders of Cohort Go an aggregate of 200,314 shares of common stock (the Shares) as a portion of the purchase price. The Shares were issued to former stockholders that were not a “U.S. person”, as defined in Rule 902 of Regulation S under the Securities Act, or were an “accredited investor,” and the issuances exempt from the registration requirements of the Securities Act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65" w:lineRule="exact"/>
        <w:rPr>
          <w:sz w:val="20"/>
          <w:szCs w:val="20"/>
          <w:color w:val="auto"/>
        </w:rPr>
      </w:pPr>
    </w:p>
    <w:p>
      <w:pPr>
        <w:ind w:right="640"/>
        <w:spacing w:after="0" w:line="245" w:lineRule="auto"/>
        <w:rPr>
          <w:sz w:val="20"/>
          <w:szCs w:val="20"/>
          <w:color w:val="auto"/>
        </w:rPr>
      </w:pPr>
      <w:r>
        <w:rPr>
          <w:rFonts w:ascii="Arial" w:cs="Arial" w:eastAsia="Arial" w:hAnsi="Arial"/>
          <w:sz w:val="18"/>
          <w:szCs w:val="18"/>
          <w:color w:val="auto"/>
        </w:rPr>
        <w:t>under Regulation S and Rule 506 of Regulation D, respectively. The certificates evidencing the Shares are endorsed with a restrictive Securities Act legend.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Proceeds from IPO</w:t>
      </w:r>
    </w:p>
    <w:p>
      <w:pPr>
        <w:spacing w:after="0" w:line="20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May 2021, we closed our IPO in which we issued and sold 12,006,000 shares of our voting common stock, including 1,566,000 shares of voting common stock sold pursuant to the underwriters’ full exercise of their option to purchase additional shares, at a public offering price of $ 24.00 per share, for aggregate net proceeds of $263.8 million, after deducting underwriting discounts and commissions of $19.4 million and other offering costs of $4.9 million. Goldman Sachs &amp; Co. LLC, J.P. Morgan Securities LLC and Citigroup Global Markets Inc. acted as representatives of the underwriters for our IPO. No payments for such expenses were made directly or indirectly to (i) any of our officers or directors or their associates, (ii) any persons owning 10% or more of any class of our equity securities or (iii) any of our affiliates. All of the shares issued and sold in the IPO were registered under the Securities Act pursuant to a Registration Statement on Form S-1 (File No. 333- 255706), which was declared effective by the SEC on May 25, 2021, and a Registration Statement on Form S-1 MEF (File No. 333-256471) filed pursuant to Rule 462(b) of the Securities Act.</w:t>
      </w:r>
    </w:p>
    <w:p>
      <w:pPr>
        <w:spacing w:after="0" w:line="1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IPO terminated after the sale of all securities registered pursuant to the Registration Statements. As of September 30, 2022, the net proceeds of our IPO are invested in money market funds, interest-bearing checking and deposit accounts. There has been no material change in the expected use of the net proceeds from our IPO as described in in our final prospectus, dated May 25, 2021, filed with the SEC pursuant to Rule 424(b) relating to our IPO.</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Arial" w:cs="Arial" w:eastAsia="Arial" w:hAnsi="Arial"/>
                <w:sz w:val="18"/>
                <w:szCs w:val="18"/>
                <w:u w:val="single" w:color="auto"/>
                <w:color w:val="0000FF"/>
              </w:rPr>
              <w:t>Table of Contents</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3"/>
        </w:trPr>
        <w:tc>
          <w:tcPr>
            <w:tcW w:w="35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580" w:type="dxa"/>
            <w:vAlign w:val="bottom"/>
          </w:tcPr>
          <w:p>
            <w:pPr>
              <w:jc w:val="center"/>
              <w:ind w:right="2450"/>
              <w:spacing w:after="0"/>
              <w:rPr>
                <w:sz w:val="20"/>
                <w:szCs w:val="20"/>
                <w:color w:val="auto"/>
              </w:rPr>
            </w:pPr>
            <w:r>
              <w:rPr>
                <w:rFonts w:ascii="Arial" w:cs="Arial" w:eastAsia="Arial" w:hAnsi="Arial"/>
                <w:sz w:val="18"/>
                <w:szCs w:val="18"/>
                <w:b w:val="1"/>
                <w:bCs w:val="1"/>
                <w:color w:val="auto"/>
                <w:w w:val="99"/>
              </w:rPr>
              <w:t>Exhibit</w:t>
            </w:r>
          </w:p>
        </w:tc>
        <w:tc>
          <w:tcPr>
            <w:tcW w:w="3160" w:type="dxa"/>
            <w:vAlign w:val="bottom"/>
            <w:vMerge w:val="restart"/>
          </w:tcPr>
          <w:p>
            <w:pPr>
              <w:ind w:left="2160"/>
              <w:spacing w:after="0"/>
              <w:rPr>
                <w:sz w:val="20"/>
                <w:szCs w:val="20"/>
                <w:color w:val="auto"/>
              </w:rPr>
            </w:pPr>
            <w:r>
              <w:rPr>
                <w:rFonts w:ascii="Arial" w:cs="Arial" w:eastAsia="Arial" w:hAnsi="Arial"/>
                <w:sz w:val="18"/>
                <w:szCs w:val="18"/>
                <w:b w:val="1"/>
                <w:bCs w:val="1"/>
                <w:color w:val="auto"/>
                <w:w w:val="98"/>
              </w:rPr>
              <w:t>Description</w:t>
            </w:r>
          </w:p>
        </w:tc>
        <w:tc>
          <w:tcPr>
            <w:tcW w:w="0" w:type="dxa"/>
            <w:vAlign w:val="bottom"/>
          </w:tcPr>
          <w:p>
            <w:pPr>
              <w:spacing w:after="0"/>
              <w:rPr>
                <w:sz w:val="1"/>
                <w:szCs w:val="1"/>
                <w:color w:val="auto"/>
              </w:rPr>
            </w:pPr>
          </w:p>
        </w:tc>
      </w:tr>
      <w:tr>
        <w:trPr>
          <w:trHeight w:val="239"/>
        </w:trPr>
        <w:tc>
          <w:tcPr>
            <w:tcW w:w="3580" w:type="dxa"/>
            <w:vAlign w:val="bottom"/>
          </w:tcPr>
          <w:p>
            <w:pPr>
              <w:jc w:val="center"/>
              <w:ind w:right="2530"/>
              <w:spacing w:after="0"/>
              <w:rPr>
                <w:sz w:val="20"/>
                <w:szCs w:val="20"/>
                <w:color w:val="auto"/>
              </w:rPr>
            </w:pPr>
            <w:r>
              <w:rPr>
                <w:rFonts w:ascii="Arial" w:cs="Arial" w:eastAsia="Arial" w:hAnsi="Arial"/>
                <w:sz w:val="18"/>
                <w:szCs w:val="18"/>
                <w:b w:val="1"/>
                <w:bCs w:val="1"/>
                <w:color w:val="auto"/>
                <w:w w:val="99"/>
              </w:rPr>
              <w:t>Number</w:t>
            </w:r>
          </w:p>
        </w:tc>
        <w:tc>
          <w:tcPr>
            <w:tcW w:w="3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-770255</wp:posOffset>
            </wp:positionV>
            <wp:extent cx="88836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97"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6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9980" w:type="dxa"/>
            <w:vAlign w:val="bottom"/>
            <w:gridSpan w:val="14"/>
          </w:tcPr>
          <w:p>
            <w:pPr>
              <w:spacing w:after="0"/>
              <w:rPr>
                <w:rFonts w:ascii="Arial" w:cs="Arial" w:eastAsia="Arial" w:hAnsi="Arial"/>
                <w:sz w:val="18"/>
                <w:szCs w:val="18"/>
                <w:color w:val="0000FF"/>
              </w:rPr>
            </w:pPr>
            <w:hyperlink r:id="rId461">
              <w:r>
                <w:rPr>
                  <w:rFonts w:ascii="Arial" w:cs="Arial" w:eastAsia="Arial" w:hAnsi="Arial"/>
                  <w:sz w:val="18"/>
                  <w:szCs w:val="18"/>
                  <w:color w:val="0000FF"/>
                </w:rPr>
                <w:t>Amended and Restated Certificate of Incorporation of Flywire Corporation, incorporated by reference to Exhibit 3.1 to the</w:t>
              </w:r>
            </w:hyperlink>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5020" w:type="dxa"/>
            <w:vAlign w:val="bottom"/>
            <w:tcBorders>
              <w:top w:val="single" w:sz="8" w:color="0000FF"/>
              <w:bottom w:val="single" w:sz="8" w:color="0000EE"/>
            </w:tcBorders>
            <w:gridSpan w:val="4"/>
          </w:tcPr>
          <w:p>
            <w:pPr>
              <w:spacing w:after="0" w:line="169" w:lineRule="exact"/>
              <w:rPr>
                <w:rFonts w:ascii="Arial" w:cs="Arial" w:eastAsia="Arial" w:hAnsi="Arial"/>
                <w:sz w:val="18"/>
                <w:szCs w:val="18"/>
                <w:color w:val="0000FF"/>
                <w:w w:val="99"/>
              </w:rPr>
            </w:pPr>
            <w:hyperlink r:id="rId461">
              <w:r>
                <w:rPr>
                  <w:rFonts w:ascii="Arial" w:cs="Arial" w:eastAsia="Arial" w:hAnsi="Arial"/>
                  <w:sz w:val="18"/>
                  <w:szCs w:val="18"/>
                  <w:color w:val="0000FF"/>
                  <w:w w:val="99"/>
                </w:rPr>
                <w:t>Registrant’s Current Report on Form 8-K filed on June 1, 2021.</w:t>
              </w:r>
            </w:hyperlink>
          </w:p>
        </w:tc>
        <w:tc>
          <w:tcPr>
            <w:tcW w:w="46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6"/>
        </w:trPr>
        <w:tc>
          <w:tcPr>
            <w:tcW w:w="106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3.2</w:t>
            </w:r>
          </w:p>
        </w:tc>
        <w:tc>
          <w:tcPr>
            <w:tcW w:w="9980" w:type="dxa"/>
            <w:vAlign w:val="bottom"/>
            <w:gridSpan w:val="14"/>
          </w:tcPr>
          <w:p>
            <w:pPr>
              <w:spacing w:after="0" w:line="195" w:lineRule="exact"/>
              <w:rPr>
                <w:rFonts w:ascii="Arial" w:cs="Arial" w:eastAsia="Arial" w:hAnsi="Arial"/>
                <w:sz w:val="18"/>
                <w:szCs w:val="18"/>
                <w:color w:val="0000FF"/>
              </w:rPr>
            </w:pPr>
            <w:hyperlink r:id="rId462">
              <w:r>
                <w:rPr>
                  <w:rFonts w:ascii="Arial" w:cs="Arial" w:eastAsia="Arial" w:hAnsi="Arial"/>
                  <w:sz w:val="18"/>
                  <w:szCs w:val="18"/>
                  <w:color w:val="0000FF"/>
                </w:rPr>
                <w:t>Amended and Restated Bylaws of Flywire Corporation, incorporated by reference to Exhibit 3.2 to the Registrant’s Current</w:t>
              </w:r>
            </w:hyperlink>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3380" w:type="dxa"/>
            <w:vAlign w:val="bottom"/>
            <w:tcBorders>
              <w:top w:val="single" w:sz="8" w:color="0000FF"/>
              <w:bottom w:val="single" w:sz="8" w:color="0000EE"/>
            </w:tcBorders>
            <w:gridSpan w:val="3"/>
          </w:tcPr>
          <w:p>
            <w:pPr>
              <w:spacing w:after="0" w:line="169" w:lineRule="exact"/>
              <w:rPr>
                <w:rFonts w:ascii="Arial" w:cs="Arial" w:eastAsia="Arial" w:hAnsi="Arial"/>
                <w:sz w:val="18"/>
                <w:szCs w:val="18"/>
                <w:color w:val="0000FF"/>
                <w:w w:val="99"/>
              </w:rPr>
            </w:pPr>
            <w:hyperlink r:id="rId462">
              <w:r>
                <w:rPr>
                  <w:rFonts w:ascii="Arial" w:cs="Arial" w:eastAsia="Arial" w:hAnsi="Arial"/>
                  <w:sz w:val="18"/>
                  <w:szCs w:val="18"/>
                  <w:color w:val="0000FF"/>
                  <w:w w:val="99"/>
                </w:rPr>
                <w:t>Report on Form 8-K filed on June 1, 2021.</w:t>
              </w:r>
            </w:hyperlink>
          </w:p>
        </w:tc>
        <w:tc>
          <w:tcPr>
            <w:tcW w:w="634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6"/>
        </w:trPr>
        <w:tc>
          <w:tcPr>
            <w:tcW w:w="10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31.1*</w:t>
            </w:r>
          </w:p>
        </w:tc>
        <w:tc>
          <w:tcPr>
            <w:tcW w:w="9980" w:type="dxa"/>
            <w:vAlign w:val="bottom"/>
            <w:gridSpan w:val="14"/>
          </w:tcPr>
          <w:p>
            <w:pPr>
              <w:spacing w:after="0" w:line="195"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2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600" w:type="dxa"/>
            <w:vAlign w:val="bottom"/>
            <w:tcBorders>
              <w:top w:val="single" w:sz="8" w:color="0000FF"/>
            </w:tcBorders>
            <w:gridSpan w:val="6"/>
          </w:tcPr>
          <w:p>
            <w:pPr>
              <w:spacing w:after="0"/>
              <w:rPr>
                <w:sz w:val="14"/>
                <w:szCs w:val="14"/>
                <w:color w:val="auto"/>
              </w:rPr>
            </w:pPr>
          </w:p>
        </w:tc>
        <w:tc>
          <w:tcPr>
            <w:tcW w:w="140" w:type="dxa"/>
            <w:vAlign w:val="bottom"/>
          </w:tcPr>
          <w:p>
            <w:pPr>
              <w:spacing w:after="0"/>
              <w:rPr>
                <w:sz w:val="14"/>
                <w:szCs w:val="14"/>
                <w:color w:val="auto"/>
              </w:rPr>
            </w:pPr>
          </w:p>
        </w:tc>
      </w:tr>
      <w:tr>
        <w:trPr>
          <w:trHeight w:val="196"/>
        </w:trPr>
        <w:tc>
          <w:tcPr>
            <w:tcW w:w="10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31.2*</w:t>
            </w:r>
          </w:p>
        </w:tc>
        <w:tc>
          <w:tcPr>
            <w:tcW w:w="9980" w:type="dxa"/>
            <w:vAlign w:val="bottom"/>
            <w:gridSpan w:val="14"/>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2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540" w:type="dxa"/>
            <w:vAlign w:val="bottom"/>
            <w:tcBorders>
              <w:top w:val="single" w:sz="8" w:color="0000FF"/>
            </w:tcBorders>
            <w:gridSpan w:val="5"/>
          </w:tcPr>
          <w:p>
            <w:pPr>
              <w:spacing w:after="0"/>
              <w:rPr>
                <w:sz w:val="14"/>
                <w:szCs w:val="14"/>
                <w:color w:val="auto"/>
              </w:rPr>
            </w:pPr>
          </w:p>
        </w:tc>
        <w:tc>
          <w:tcPr>
            <w:tcW w:w="200" w:type="dxa"/>
            <w:vAlign w:val="bottom"/>
            <w:gridSpan w:val="2"/>
          </w:tcPr>
          <w:p>
            <w:pPr>
              <w:spacing w:after="0"/>
              <w:rPr>
                <w:sz w:val="14"/>
                <w:szCs w:val="14"/>
                <w:color w:val="auto"/>
              </w:rPr>
            </w:pPr>
          </w:p>
        </w:tc>
      </w:tr>
      <w:tr>
        <w:trPr>
          <w:trHeight w:val="196"/>
        </w:trPr>
        <w:tc>
          <w:tcPr>
            <w:tcW w:w="10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32.1*</w:t>
            </w:r>
          </w:p>
        </w:tc>
        <w:tc>
          <w:tcPr>
            <w:tcW w:w="9980" w:type="dxa"/>
            <w:vAlign w:val="bottom"/>
            <w:gridSpan w:val="14"/>
          </w:tcPr>
          <w:p>
            <w:pPr>
              <w:spacing w:after="0" w:line="195" w:lineRule="exact"/>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2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7400" w:type="dxa"/>
            <w:vAlign w:val="bottom"/>
            <w:tcBorders>
              <w:top w:val="single" w:sz="8" w:color="0000FF"/>
            </w:tcBorders>
            <w:gridSpan w:val="7"/>
          </w:tcPr>
          <w:p>
            <w:pPr>
              <w:spacing w:after="0"/>
              <w:rPr>
                <w:sz w:val="14"/>
                <w:szCs w:val="14"/>
                <w:color w:val="auto"/>
              </w:rPr>
            </w:pPr>
          </w:p>
        </w:tc>
        <w:tc>
          <w:tcPr>
            <w:tcW w:w="260" w:type="dxa"/>
            <w:vAlign w:val="bottom"/>
            <w:gridSpan w:val="4"/>
          </w:tcPr>
          <w:p>
            <w:pPr>
              <w:spacing w:after="0"/>
              <w:rPr>
                <w:sz w:val="14"/>
                <w:szCs w:val="14"/>
                <w:color w:val="auto"/>
              </w:rPr>
            </w:pPr>
          </w:p>
        </w:tc>
      </w:tr>
      <w:tr>
        <w:trPr>
          <w:trHeight w:val="196"/>
        </w:trPr>
        <w:tc>
          <w:tcPr>
            <w:tcW w:w="106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32.2*</w:t>
            </w:r>
          </w:p>
        </w:tc>
        <w:tc>
          <w:tcPr>
            <w:tcW w:w="9980" w:type="dxa"/>
            <w:vAlign w:val="bottom"/>
            <w:gridSpan w:val="14"/>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69"/>
        </w:trPr>
        <w:tc>
          <w:tcPr>
            <w:tcW w:w="10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2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7340" w:type="dxa"/>
            <w:vAlign w:val="bottom"/>
            <w:tcBorders>
              <w:top w:val="single" w:sz="8" w:color="0000FF"/>
            </w:tcBorders>
            <w:gridSpan w:val="6"/>
          </w:tcPr>
          <w:p>
            <w:pPr>
              <w:spacing w:after="0"/>
              <w:rPr>
                <w:sz w:val="14"/>
                <w:szCs w:val="14"/>
                <w:color w:val="auto"/>
              </w:rPr>
            </w:pPr>
          </w:p>
        </w:tc>
        <w:tc>
          <w:tcPr>
            <w:tcW w:w="320" w:type="dxa"/>
            <w:vAlign w:val="bottom"/>
            <w:gridSpan w:val="5"/>
          </w:tcPr>
          <w:p>
            <w:pPr>
              <w:spacing w:after="0"/>
              <w:rPr>
                <w:sz w:val="14"/>
                <w:szCs w:val="14"/>
                <w:color w:val="auto"/>
              </w:rPr>
            </w:pPr>
          </w:p>
        </w:tc>
      </w:tr>
      <w:tr>
        <w:trPr>
          <w:trHeight w:val="208"/>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14"/>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r>
      <w:tr>
        <w:trPr>
          <w:trHeight w:val="216"/>
        </w:trPr>
        <w:tc>
          <w:tcPr>
            <w:tcW w:w="1060" w:type="dxa"/>
            <w:vAlign w:val="bottom"/>
          </w:tcPr>
          <w:p>
            <w:pPr>
              <w:spacing w:after="0"/>
              <w:rPr>
                <w:sz w:val="18"/>
                <w:szCs w:val="18"/>
                <w:color w:val="auto"/>
              </w:rPr>
            </w:pPr>
          </w:p>
        </w:tc>
        <w:tc>
          <w:tcPr>
            <w:tcW w:w="998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7"/>
        </w:trPr>
        <w:tc>
          <w:tcPr>
            <w:tcW w:w="1060" w:type="dxa"/>
            <w:vAlign w:val="bottom"/>
          </w:tcPr>
          <w:p>
            <w:pPr>
              <w:spacing w:after="0"/>
              <w:rPr>
                <w:sz w:val="20"/>
                <w:szCs w:val="20"/>
                <w:color w:val="auto"/>
              </w:rPr>
            </w:pPr>
            <w:r>
              <w:rPr>
                <w:rFonts w:ascii="Arial" w:cs="Arial" w:eastAsia="Arial" w:hAnsi="Arial"/>
                <w:sz w:val="18"/>
                <w:szCs w:val="18"/>
                <w:color w:val="auto"/>
              </w:rPr>
              <w:t>104</w:t>
            </w:r>
          </w:p>
        </w:tc>
        <w:tc>
          <w:tcPr>
            <w:tcW w:w="998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34" w:lineRule="auto"/>
        <w:rPr>
          <w:sz w:val="20"/>
          <w:szCs w:val="20"/>
          <w:color w:val="auto"/>
        </w:rPr>
      </w:pPr>
      <w:r>
        <w:rPr>
          <w:rFonts w:ascii="Arial" w:cs="Arial" w:eastAsia="Arial" w:hAnsi="Arial"/>
          <w:sz w:val="14"/>
          <w:szCs w:val="14"/>
          <w:color w:val="auto"/>
        </w:rPr>
        <w:t>* Filed herewith</w:t>
      </w: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202" w:lineRule="exact"/>
        <w:rPr>
          <w:sz w:val="20"/>
          <w:szCs w:val="20"/>
          <w:color w:val="auto"/>
        </w:rPr>
      </w:pPr>
    </w:p>
    <w:p>
      <w:pPr>
        <w:ind w:firstLine="509"/>
        <w:spacing w:after="0" w:line="24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FLYWIRE CORPORATION</w:t>
      </w:r>
    </w:p>
    <w:p>
      <w:pPr>
        <w:spacing w:after="0" w:line="243" w:lineRule="exact"/>
        <w:rPr>
          <w:sz w:val="20"/>
          <w:szCs w:val="20"/>
          <w:color w:val="auto"/>
        </w:rPr>
      </w:pPr>
    </w:p>
    <w:p>
      <w:pPr>
        <w:ind w:left="20"/>
        <w:spacing w:after="0"/>
        <w:tabs>
          <w:tab w:leader="none" w:pos="5440" w:val="left"/>
          <w:tab w:leader="none" w:pos="7840" w:val="left"/>
        </w:tabs>
        <w:rPr>
          <w:sz w:val="20"/>
          <w:szCs w:val="20"/>
          <w:color w:val="auto"/>
        </w:rPr>
      </w:pPr>
      <w:r>
        <w:rPr>
          <w:rFonts w:ascii="Arial" w:cs="Arial" w:eastAsia="Arial" w:hAnsi="Arial"/>
          <w:sz w:val="17"/>
          <w:szCs w:val="17"/>
          <w:color w:val="auto"/>
        </w:rPr>
        <w:t>Date: November 14,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16510</wp:posOffset>
            </wp:positionV>
            <wp:extent cx="330517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8"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Michael Massaro</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7" w:lineRule="exact"/>
        <w:rPr>
          <w:sz w:val="20"/>
          <w:szCs w:val="20"/>
          <w:color w:val="auto"/>
        </w:rPr>
      </w:pPr>
    </w:p>
    <w:p>
      <w:pPr>
        <w:ind w:left="7480"/>
        <w:spacing w:after="0"/>
        <w:rPr>
          <w:sz w:val="20"/>
          <w:szCs w:val="20"/>
          <w:color w:val="auto"/>
        </w:rPr>
      </w:pPr>
      <w:r>
        <w:rPr>
          <w:rFonts w:ascii="Arial" w:cs="Arial" w:eastAsia="Arial" w:hAnsi="Arial"/>
          <w:sz w:val="17"/>
          <w:szCs w:val="17"/>
          <w:b w:val="1"/>
          <w:bCs w:val="1"/>
          <w:color w:val="auto"/>
        </w:rPr>
        <w:t>(Principal Executive Officer)</w:t>
      </w:r>
    </w:p>
    <w:p>
      <w:pPr>
        <w:spacing w:after="0" w:line="223" w:lineRule="exact"/>
        <w:rPr>
          <w:sz w:val="20"/>
          <w:szCs w:val="20"/>
          <w:color w:val="auto"/>
        </w:rPr>
      </w:pPr>
    </w:p>
    <w:p>
      <w:pPr>
        <w:ind w:left="20"/>
        <w:spacing w:after="0"/>
        <w:tabs>
          <w:tab w:leader="none" w:pos="5440" w:val="left"/>
          <w:tab w:leader="none" w:pos="8020" w:val="left"/>
        </w:tabs>
        <w:rPr>
          <w:sz w:val="20"/>
          <w:szCs w:val="20"/>
          <w:color w:val="auto"/>
        </w:rPr>
      </w:pPr>
      <w:r>
        <w:rPr>
          <w:rFonts w:ascii="Arial" w:cs="Arial" w:eastAsia="Arial" w:hAnsi="Arial"/>
          <w:sz w:val="17"/>
          <w:szCs w:val="17"/>
          <w:color w:val="auto"/>
        </w:rPr>
        <w:t>Date: November 14,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16510</wp:posOffset>
            </wp:positionV>
            <wp:extent cx="330517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8"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Michael Ellis</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ind w:left="684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3"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Flywire Corporation;</w:t>
      </w:r>
    </w:p>
    <w:p>
      <w:pPr>
        <w:spacing w:after="0" w:line="103" w:lineRule="exact"/>
        <w:rPr>
          <w:rFonts w:ascii="Arial" w:cs="Arial" w:eastAsia="Arial" w:hAnsi="Arial"/>
          <w:sz w:val="18"/>
          <w:szCs w:val="18"/>
          <w:color w:val="auto"/>
        </w:rPr>
      </w:pPr>
    </w:p>
    <w:p>
      <w:pPr>
        <w:ind w:left="520" w:hanging="512"/>
        <w:spacing w:after="0" w:line="247" w:lineRule="auto"/>
        <w:tabs>
          <w:tab w:leader="none" w:pos="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520" w:right="380" w:hanging="512"/>
        <w:spacing w:after="0" w:line="247" w:lineRule="auto"/>
        <w:tabs>
          <w:tab w:leader="none" w:pos="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520" w:right="180" w:hanging="512"/>
        <w:spacing w:after="0" w:line="245" w:lineRule="auto"/>
        <w:tabs>
          <w:tab w:leader="none" w:pos="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3" w:lineRule="exact"/>
        <w:rPr>
          <w:rFonts w:ascii="Arial" w:cs="Arial" w:eastAsia="Arial" w:hAnsi="Arial"/>
          <w:sz w:val="18"/>
          <w:szCs w:val="18"/>
          <w:color w:val="auto"/>
        </w:rPr>
      </w:pPr>
    </w:p>
    <w:p>
      <w:pPr>
        <w:ind w:left="1660" w:right="280" w:hanging="507"/>
        <w:spacing w:after="0" w:line="243" w:lineRule="auto"/>
        <w:tabs>
          <w:tab w:leader="none" w:pos="15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ind w:left="1560" w:hanging="407"/>
        <w:spacing w:after="0"/>
        <w:tabs>
          <w:tab w:leader="none" w:pos="1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660" w:right="280" w:hanging="507"/>
        <w:spacing w:after="0" w:line="247" w:lineRule="auto"/>
        <w:tabs>
          <w:tab w:leader="none" w:pos="15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660" w:right="20" w:hanging="507"/>
        <w:spacing w:after="0" w:line="269" w:lineRule="auto"/>
        <w:tabs>
          <w:tab w:leader="none" w:pos="155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520" w:right="400" w:hanging="512"/>
        <w:spacing w:after="0" w:line="247" w:lineRule="auto"/>
        <w:tabs>
          <w:tab w:leader="none" w:pos="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660" w:right="140" w:hanging="507"/>
        <w:spacing w:after="0" w:line="247" w:lineRule="auto"/>
        <w:tabs>
          <w:tab w:leader="none" w:pos="15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660" w:right="540" w:hanging="507"/>
        <w:spacing w:after="0" w:line="245" w:lineRule="auto"/>
        <w:tabs>
          <w:tab w:leader="none" w:pos="15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tabs>
          <w:tab w:leader="none" w:pos="6940" w:val="left"/>
          <w:tab w:leader="none" w:pos="842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-3810</wp:posOffset>
            </wp:positionV>
            <wp:extent cx="243141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27"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Michael Massaro</w:t>
      </w:r>
    </w:p>
    <w:p>
      <w:pPr>
        <w:spacing w:after="0" w:line="21"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Michael Ellis, certify that:</w:t>
      </w:r>
    </w:p>
    <w:p>
      <w:pPr>
        <w:spacing w:after="0" w:line="103"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2022 of Flywire Corporation;</w:t>
      </w:r>
    </w:p>
    <w:p>
      <w:pPr>
        <w:spacing w:after="0" w:line="103" w:lineRule="exact"/>
        <w:rPr>
          <w:rFonts w:ascii="Arial" w:cs="Arial" w:eastAsia="Arial" w:hAnsi="Arial"/>
          <w:sz w:val="18"/>
          <w:szCs w:val="18"/>
          <w:color w:val="auto"/>
        </w:rPr>
      </w:pPr>
    </w:p>
    <w:p>
      <w:pPr>
        <w:ind w:left="520" w:hanging="512"/>
        <w:spacing w:after="0" w:line="247"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520" w:right="380" w:hanging="512"/>
        <w:spacing w:after="0" w:line="247"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520" w:right="180" w:hanging="512"/>
        <w:spacing w:after="0" w:line="245"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3" w:lineRule="exact"/>
        <w:rPr>
          <w:rFonts w:ascii="Arial" w:cs="Arial" w:eastAsia="Arial" w:hAnsi="Arial"/>
          <w:sz w:val="18"/>
          <w:szCs w:val="18"/>
          <w:color w:val="auto"/>
        </w:rPr>
      </w:pPr>
    </w:p>
    <w:p>
      <w:pPr>
        <w:ind w:left="1660" w:right="280" w:hanging="507"/>
        <w:spacing w:after="0" w:line="243" w:lineRule="auto"/>
        <w:tabs>
          <w:tab w:leader="none" w:pos="15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Arial" w:cs="Arial" w:eastAsia="Arial" w:hAnsi="Arial"/>
          <w:sz w:val="18"/>
          <w:szCs w:val="18"/>
          <w:color w:val="auto"/>
        </w:rPr>
      </w:pPr>
    </w:p>
    <w:p>
      <w:pPr>
        <w:ind w:left="1560" w:hanging="407"/>
        <w:spacing w:after="0"/>
        <w:tabs>
          <w:tab w:leader="none" w:pos="1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ind w:left="1660" w:right="280" w:hanging="507"/>
        <w:spacing w:after="0" w:line="247" w:lineRule="auto"/>
        <w:tabs>
          <w:tab w:leader="none" w:pos="15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660" w:right="20" w:hanging="507"/>
        <w:spacing w:after="0" w:line="269" w:lineRule="auto"/>
        <w:tabs>
          <w:tab w:leader="none" w:pos="155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520" w:right="400" w:hanging="512"/>
        <w:spacing w:after="0" w:line="247"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660" w:right="140" w:hanging="507"/>
        <w:spacing w:after="0" w:line="247" w:lineRule="auto"/>
        <w:tabs>
          <w:tab w:leader="none" w:pos="15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660" w:right="540" w:hanging="507"/>
        <w:spacing w:after="0" w:line="245" w:lineRule="auto"/>
        <w:tabs>
          <w:tab w:leader="none" w:pos="15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tabs>
          <w:tab w:leader="none" w:pos="6600" w:val="left"/>
          <w:tab w:leader="none" w:pos="844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-3810</wp:posOffset>
            </wp:positionV>
            <wp:extent cx="264604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2646045" cy="8255"/>
                    </a:xfrm>
                    <a:prstGeom prst="rect">
                      <a:avLst/>
                    </a:prstGeom>
                    <a:noFill/>
                  </pic:spPr>
                </pic:pic>
              </a:graphicData>
            </a:graphic>
          </wp:anchor>
        </w:drawing>
      </w:r>
    </w:p>
    <w:p>
      <w:pPr>
        <w:spacing w:after="0" w:line="27"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Michael Ellis</w:t>
      </w:r>
    </w:p>
    <w:p>
      <w:pPr>
        <w:spacing w:after="0" w:line="21" w:lineRule="exact"/>
        <w:rPr>
          <w:sz w:val="20"/>
          <w:szCs w:val="20"/>
          <w:color w:val="auto"/>
        </w:rPr>
      </w:pPr>
    </w:p>
    <w:p>
      <w:pPr>
        <w:jc w:val="center"/>
        <w:ind w:left="68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In connection with the Quarterly Report of Flywire Corporation (the “Company”) on Form 10-Q for the quarter ended September 30, 2022 as filed with the Securities and Exchange Commission on the date hereof (the “Report”), I certify, pursuant to 18 U.S.C. § 1350, as adopted pursuant to § 906 of the Sarbanes-Oxley Act of 2002, that:</w:t>
      </w:r>
    </w:p>
    <w:p>
      <w:pPr>
        <w:spacing w:after="0" w:line="107" w:lineRule="exact"/>
        <w:rPr>
          <w:sz w:val="20"/>
          <w:szCs w:val="20"/>
          <w:color w:val="auto"/>
        </w:rPr>
      </w:pPr>
    </w:p>
    <w:p>
      <w:pPr>
        <w:ind w:left="1560" w:hanging="407"/>
        <w:spacing w:after="0"/>
        <w:tabs>
          <w:tab w:leader="none" w:pos="1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45" w:lineRule="auto"/>
        <w:tabs>
          <w:tab w:leader="none" w:pos="15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8" w:lineRule="exact"/>
        <w:rPr>
          <w:sz w:val="20"/>
          <w:szCs w:val="20"/>
          <w:color w:val="auto"/>
        </w:rPr>
      </w:pPr>
    </w:p>
    <w:p>
      <w:pPr>
        <w:ind w:left="20"/>
        <w:spacing w:after="0"/>
        <w:tabs>
          <w:tab w:leader="none" w:pos="6480" w:val="left"/>
          <w:tab w:leader="none" w:pos="818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27311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2731135" cy="8255"/>
                    </a:xfrm>
                    <a:prstGeom prst="rect">
                      <a:avLst/>
                    </a:prstGeom>
                    <a:noFill/>
                  </pic:spPr>
                </pic:pic>
              </a:graphicData>
            </a:graphic>
          </wp:anchor>
        </w:drawing>
      </w:r>
    </w:p>
    <w:p>
      <w:pPr>
        <w:spacing w:after="0" w:line="27"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Michael Massaro</w:t>
      </w:r>
    </w:p>
    <w:p>
      <w:pPr>
        <w:spacing w:after="0" w:line="21"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17"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In connection with the Quarterly Report of Flywire Corporation (the “Company”) on Form 10-Q for the quarter ended September 30, 2022 as filed with the Securities and Exchange Commission on the date hereof (the “Report”), I certify, pursuant to 18 U.S.C. § 1350, as adopted pursuant to § 906 of the Sarbanes-Oxley Act of 2002, that:</w:t>
      </w:r>
    </w:p>
    <w:p>
      <w:pPr>
        <w:spacing w:after="0" w:line="107" w:lineRule="exact"/>
        <w:rPr>
          <w:sz w:val="20"/>
          <w:szCs w:val="20"/>
          <w:color w:val="auto"/>
        </w:rPr>
      </w:pPr>
    </w:p>
    <w:p>
      <w:pPr>
        <w:ind w:left="1560" w:hanging="407"/>
        <w:spacing w:after="0"/>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45" w:lineRule="auto"/>
        <w:tabs>
          <w:tab w:leader="none" w:pos="15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8" w:lineRule="exact"/>
        <w:rPr>
          <w:sz w:val="20"/>
          <w:szCs w:val="20"/>
          <w:color w:val="auto"/>
        </w:rPr>
      </w:pPr>
    </w:p>
    <w:p>
      <w:pPr>
        <w:ind w:left="20"/>
        <w:spacing w:after="0"/>
        <w:tabs>
          <w:tab w:leader="none" w:pos="6480" w:val="left"/>
          <w:tab w:leader="none" w:pos="836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27311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2731135" cy="8255"/>
                    </a:xfrm>
                    <a:prstGeom prst="rect">
                      <a:avLst/>
                    </a:prstGeom>
                    <a:noFill/>
                  </pic:spPr>
                </pic:pic>
              </a:graphicData>
            </a:graphic>
          </wp:anchor>
        </w:drawing>
      </w:r>
    </w:p>
    <w:p>
      <w:pPr>
        <w:spacing w:after="0" w:line="27"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Michael Ellis</w:t>
      </w:r>
    </w:p>
    <w:p>
      <w:pPr>
        <w:spacing w:after="0" w:line="21" w:lineRule="exact"/>
        <w:rPr>
          <w:sz w:val="20"/>
          <w:szCs w:val="20"/>
          <w:color w:val="auto"/>
        </w:rPr>
      </w:pPr>
    </w:p>
    <w:p>
      <w:pPr>
        <w:jc w:val="center"/>
        <w:ind w:left="67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103" w:name="page104"/>
    <w:bookmarkEnd w:id="10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Roman"/>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lowerRoman"/>
      <w:start w:val="2"/>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2"/>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upperLetter"/>
      <w:start w:val="35"/>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61" Type="http://schemas.openxmlformats.org/officeDocument/2006/relationships/hyperlink" Target="https://www.sec.gov/Archives/edgar/data/1580560/000119312521178711/d109060dex31.htm" TargetMode="External"/><Relationship Id="rId462" Type="http://schemas.openxmlformats.org/officeDocument/2006/relationships/hyperlink" Target="https://www.sec.gov/Archives/edgar/data/1580560/000119312521178711/d10906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2022-11-14T22:01:06Z</dcterms:created>
  <dcterms:modified xsi:type="dcterms:W3CDTF">2022-11-14T22:01:06Z</dcterms:modified>
</cp:coreProperties>
</file>