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166370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November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163195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FLYWIRE CORPORATION</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p>
      <w:pPr>
        <w:spacing w:after="0" w:line="200" w:lineRule="exact"/>
        <w:rPr>
          <w:sz w:val="24"/>
          <w:szCs w:val="24"/>
          <w:color w:val="auto"/>
        </w:rPr>
      </w:pPr>
    </w:p>
    <w:p>
      <w:pPr>
        <w:spacing w:after="0" w:line="203"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2"/>
          <w:szCs w:val="12"/>
          <w:b w:val="1"/>
          <w:bCs w:val="1"/>
          <w:color w:val="auto"/>
        </w:rPr>
        <w:t>001-40430</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27-0690799</w:t>
      </w:r>
    </w:p>
    <w:p>
      <w:pPr>
        <w:spacing w:after="0" w:line="13" w:lineRule="exact"/>
        <w:rPr>
          <w:sz w:val="24"/>
          <w:szCs w:val="24"/>
          <w:color w:val="auto"/>
        </w:rPr>
      </w:pPr>
    </w:p>
    <w:p>
      <w:pPr>
        <w:sectPr>
          <w:pgSz w:w="11900" w:h="16838" w:orient="portrait"/>
          <w:cols w:equalWidth="0" w:num="3">
            <w:col w:w="3600" w:space="720"/>
            <w:col w:w="1780" w:space="720"/>
            <w:col w:w="2199"/>
          </w:cols>
          <w:pgMar w:left="1440" w:top="305" w:right="1440" w:bottom="1440" w:gutter="0" w:footer="0" w:header="0"/>
          <w:type w:val="continuous"/>
        </w:sectPr>
      </w:pPr>
    </w:p>
    <w:p>
      <w:pPr>
        <w:spacing w:after="0" w:line="12"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9"/>
          <w:szCs w:val="9"/>
          <w:b w:val="1"/>
          <w:bCs w:val="1"/>
          <w:color w:val="auto"/>
        </w:rPr>
        <w:t>(State or other jurisdiction</w:t>
      </w:r>
    </w:p>
    <w:p>
      <w:pPr>
        <w:jc w:val="center"/>
        <w:ind w:left="32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Times New Roman" w:cs="Times New Roman" w:eastAsia="Times New Roman" w:hAnsi="Times New Roman"/>
          <w:sz w:val="9"/>
          <w:szCs w:val="9"/>
          <w:b w:val="1"/>
          <w:bCs w:val="1"/>
          <w:color w:val="auto"/>
        </w:rPr>
        <w:t>(Commission</w:t>
      </w:r>
    </w:p>
    <w:p>
      <w:pPr>
        <w:jc w:val="center"/>
        <w:ind w:right="1160"/>
        <w:spacing w:after="0"/>
        <w:rPr>
          <w:sz w:val="20"/>
          <w:szCs w:val="20"/>
          <w:color w:val="auto"/>
        </w:rPr>
      </w:pPr>
      <w:r>
        <w:rPr>
          <w:rFonts w:ascii="Times New Roman" w:cs="Times New Roman" w:eastAsia="Times New Roman" w:hAnsi="Times New Roman"/>
          <w:sz w:val="10"/>
          <w:szCs w:val="10"/>
          <w:b w:val="1"/>
          <w:bCs w:val="1"/>
          <w:color w:val="auto"/>
        </w:rPr>
        <w:t>File No.)</w:t>
      </w:r>
    </w:p>
    <w:p>
      <w:pPr>
        <w:spacing w:after="0" w:line="20" w:lineRule="exact"/>
        <w:rPr>
          <w:sz w:val="24"/>
          <w:szCs w:val="24"/>
          <w:color w:val="auto"/>
        </w:rPr>
      </w:pPr>
      <w:r>
        <w:rPr>
          <w:sz w:val="24"/>
          <w:szCs w:val="24"/>
          <w:color w:val="auto"/>
        </w:rPr>
        <w:br w:type="column"/>
      </w:r>
    </w:p>
    <w:p>
      <w:pPr>
        <w:jc w:val="center"/>
        <w:ind w:right="1499"/>
        <w:spacing w:after="0"/>
        <w:rPr>
          <w:sz w:val="20"/>
          <w:szCs w:val="20"/>
          <w:color w:val="auto"/>
        </w:rPr>
      </w:pPr>
      <w:r>
        <w:rPr>
          <w:rFonts w:ascii="Times New Roman" w:cs="Times New Roman" w:eastAsia="Times New Roman" w:hAnsi="Times New Roman"/>
          <w:sz w:val="10"/>
          <w:szCs w:val="10"/>
          <w:b w:val="1"/>
          <w:bCs w:val="1"/>
          <w:color w:val="auto"/>
        </w:rPr>
        <w:t>(IRS Employer</w:t>
      </w:r>
    </w:p>
    <w:p>
      <w:pPr>
        <w:jc w:val="center"/>
        <w:ind w:right="1499"/>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151" w:lineRule="exact"/>
        <w:rPr>
          <w:sz w:val="24"/>
          <w:szCs w:val="24"/>
          <w:color w:val="auto"/>
        </w:rPr>
      </w:pPr>
    </w:p>
    <w:p>
      <w:pPr>
        <w:sectPr>
          <w:pgSz w:w="11900" w:h="16838" w:orient="portrait"/>
          <w:cols w:equalWidth="0" w:num="3">
            <w:col w:w="3580" w:space="720"/>
            <w:col w:w="1720" w:space="720"/>
            <w:col w:w="2279"/>
          </w:cols>
          <w:pgMar w:left="1440" w:top="305" w:right="1440" w:bottom="1440" w:gutter="0" w:footer="0" w:header="0"/>
          <w:type w:val="continuous"/>
        </w:sectPr>
      </w:pPr>
    </w:p>
    <w:p>
      <w:pPr>
        <w:ind w:left="3980"/>
        <w:spacing w:after="0"/>
        <w:rPr>
          <w:sz w:val="20"/>
          <w:szCs w:val="20"/>
          <w:color w:val="auto"/>
        </w:rPr>
      </w:pPr>
      <w:r>
        <w:rPr>
          <w:rFonts w:ascii="Times New Roman" w:cs="Times New Roman" w:eastAsia="Times New Roman" w:hAnsi="Times New Roman"/>
          <w:sz w:val="13"/>
          <w:szCs w:val="13"/>
          <w:b w:val="1"/>
          <w:bCs w:val="1"/>
          <w:color w:val="auto"/>
        </w:rPr>
        <w:t>141 Tremont St #10</w:t>
      </w:r>
    </w:p>
    <w:p>
      <w:pPr>
        <w:spacing w:after="0" w:line="14"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3"/>
          <w:szCs w:val="13"/>
          <w:b w:val="1"/>
          <w:bCs w:val="1"/>
          <w:color w:val="auto"/>
        </w:rPr>
        <w:t>Boston, MA 02111</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and zip code)</w:t>
      </w:r>
    </w:p>
    <w:p>
      <w:pPr>
        <w:sectPr>
          <w:pgSz w:w="11900" w:h="16838" w:orient="portrait"/>
          <w:cols w:equalWidth="0" w:num="1">
            <w:col w:w="9019"/>
          </w:cols>
          <w:pgMar w:left="1440" w:top="305" w:right="1440" w:bottom="1440" w:gutter="0" w:footer="0" w:header="0"/>
          <w:type w:val="continuous"/>
        </w:sectPr>
      </w:pP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(617) 329-4524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140335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21"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3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39"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26"/>
        </w:trPr>
        <w:tc>
          <w:tcPr>
            <w:tcW w:w="262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w w:val="97"/>
              </w:rPr>
              <w:t>Voting Common Stock, $0.0001 par value per</w:t>
            </w:r>
          </w:p>
        </w:tc>
        <w:tc>
          <w:tcPr>
            <w:tcW w:w="80" w:type="dxa"/>
            <w:vAlign w:val="bottom"/>
          </w:tcPr>
          <w:p>
            <w:pPr>
              <w:spacing w:after="0"/>
              <w:rPr>
                <w:sz w:val="10"/>
                <w:szCs w:val="10"/>
                <w:color w:val="auto"/>
              </w:rPr>
            </w:pPr>
          </w:p>
        </w:tc>
        <w:tc>
          <w:tcPr>
            <w:tcW w:w="248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w w:val="92"/>
              </w:rPr>
              <w:t>FLYW</w:t>
            </w:r>
          </w:p>
        </w:tc>
        <w:tc>
          <w:tcPr>
            <w:tcW w:w="80" w:type="dxa"/>
            <w:vAlign w:val="bottom"/>
          </w:tcPr>
          <w:p>
            <w:pPr>
              <w:spacing w:after="0"/>
              <w:rPr>
                <w:sz w:val="10"/>
                <w:szCs w:val="10"/>
                <w:color w:val="auto"/>
              </w:rPr>
            </w:pPr>
          </w:p>
        </w:tc>
        <w:tc>
          <w:tcPr>
            <w:tcW w:w="248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w w:val="97"/>
              </w:rPr>
              <w:t>The Nasdaq Stock Market LLC</w:t>
            </w:r>
          </w:p>
        </w:tc>
        <w:tc>
          <w:tcPr>
            <w:tcW w:w="0" w:type="dxa"/>
            <w:vAlign w:val="bottom"/>
          </w:tcPr>
          <w:p>
            <w:pPr>
              <w:spacing w:after="0"/>
              <w:rPr>
                <w:sz w:val="1"/>
                <w:szCs w:val="1"/>
                <w:color w:val="auto"/>
              </w:rPr>
            </w:pPr>
          </w:p>
        </w:tc>
      </w:tr>
      <w:tr>
        <w:trPr>
          <w:trHeight w:val="167"/>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(Nasdaq Global Select Market)</w:t>
            </w:r>
          </w:p>
        </w:tc>
        <w:tc>
          <w:tcPr>
            <w:tcW w:w="0" w:type="dxa"/>
            <w:vAlign w:val="bottom"/>
          </w:tcPr>
          <w:p>
            <w:pPr>
              <w:spacing w:after="0"/>
              <w:rPr>
                <w:sz w:val="1"/>
                <w:szCs w:val="1"/>
                <w:color w:val="auto"/>
              </w:rPr>
            </w:pPr>
          </w:p>
        </w:tc>
      </w:tr>
    </w:tbl>
    <w:p>
      <w:pPr>
        <w:spacing w:after="0" w:line="120"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3"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55" w:lineRule="exact"/>
        <w:rPr>
          <w:sz w:val="24"/>
          <w:szCs w:val="24"/>
          <w:color w:val="auto"/>
        </w:rPr>
      </w:pPr>
    </w:p>
    <w:p>
      <w:pPr>
        <w:ind w:left="640" w:right="859"/>
        <w:spacing w:after="0" w:line="16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93345</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123190</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2"/>
          <w:szCs w:val="12"/>
          <w:b w:val="1"/>
          <w:bCs w:val="1"/>
          <w:color w:val="auto"/>
        </w:rPr>
        <w:t>Results of Operations and Financial Condition.</w:t>
      </w:r>
    </w:p>
    <w:p>
      <w:pPr>
        <w:spacing w:after="0" w:line="80" w:lineRule="exact"/>
        <w:rPr>
          <w:sz w:val="20"/>
          <w:szCs w:val="20"/>
          <w:color w:val="auto"/>
        </w:rPr>
      </w:pPr>
    </w:p>
    <w:p>
      <w:pPr>
        <w:jc w:val="both"/>
        <w:ind w:left="640" w:right="719"/>
        <w:spacing w:after="0" w:line="255" w:lineRule="auto"/>
        <w:rPr>
          <w:sz w:val="20"/>
          <w:szCs w:val="20"/>
          <w:color w:val="auto"/>
        </w:rPr>
      </w:pPr>
      <w:r>
        <w:rPr>
          <w:rFonts w:ascii="Times New Roman" w:cs="Times New Roman" w:eastAsia="Times New Roman" w:hAnsi="Times New Roman"/>
          <w:sz w:val="13"/>
          <w:szCs w:val="13"/>
          <w:color w:val="auto"/>
        </w:rPr>
        <w:t>On November 8, 2022, Flywire Corporation (“Flywire” or the “Company”) issued a press release (the “Press Release”) and is holding a conference call regarding its financial results for the quarter ended September 30, 2022. The Press Release is furnished as Exhibit 99.1 to this Current Report on Form 8-K and is incorporated by reference herein.</w:t>
      </w:r>
    </w:p>
    <w:p>
      <w:pPr>
        <w:spacing w:after="0" w:line="130" w:lineRule="exact"/>
        <w:rPr>
          <w:sz w:val="20"/>
          <w:szCs w:val="20"/>
          <w:color w:val="auto"/>
        </w:rPr>
      </w:pPr>
    </w:p>
    <w:p>
      <w:pPr>
        <w:ind w:left="640" w:right="659"/>
        <w:spacing w:after="0" w:line="265" w:lineRule="auto"/>
        <w:rPr>
          <w:sz w:val="20"/>
          <w:szCs w:val="20"/>
          <w:color w:val="auto"/>
        </w:rPr>
      </w:pPr>
      <w:r>
        <w:rPr>
          <w:rFonts w:ascii="Times New Roman" w:cs="Times New Roman" w:eastAsia="Times New Roman" w:hAnsi="Times New Roman"/>
          <w:sz w:val="12"/>
          <w:szCs w:val="12"/>
          <w:color w:val="auto"/>
        </w:rPr>
        <w:t>Various statements to be made during the conference call are “forward-looking statements” within the meaning of the Private Securities Litigation Reform Act of 1995, including, but not limited to, statements regarding Flywire’s future operating results and financial position, Flywire’s business strategy and plans, market growth, and Flywire’s objectives for future operations. Flywire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 among others, Flywire’s future financial performance, including its expectations regarding Revenue, Revenue Less Ancillary Services, Adjusted EBITDA and foreign currency rates. Risks that may cause actual results to differ materially from these forward looking statements include, but are not limited to: political, economic, legal, social and health risks, including the COVID-19 pandemic and subsequent public health measures that may affect Flywire’s business or the global economy; beliefs and objectives for future operations; Flywire’s ability to execute its business plan and effectively manage its growth; Flywire’s cross-border expansion plans and ability to expand internationally; Flywire’s ability to develop and protect its brand; Flywire’s ability to maintain and grow the payment volume that it processes; Flywire’s ability to further attract, retain, and expand its client base; Flywire’s ability to develop new solutions and services and bring them to market in a timely manner; Flywire’s expectations concerning relationships with third parties, including strategic partners; the effects of increased competition in Flywire’s markets and its ability to compete effectively; future acquisitions or investments in complementary companies, products, services, or technologies; Flywire’s ability to enter new client verticals, including its relatively new B2B sector; Flywire’s expectations regarding anticipated technology needs and developments and its ability to address those needs and developments with its solutions; Flywire’s expectations regarding litigation and legal and regulatory matters; Flywire’s expectations regarding its ability to meet existing performance obligations and maintain the operability of its solutions; Flywire’s expectations regarding the effects of existing and developing laws and regulations, including with respect to payments and financial services, taxation, privacy and data protection; economic and industry trends, projected growth, or trend analysis; Flywire’s ability to attract and retain qualified employees; Flywire’s ability to maintain, protect, and enhance its intellectual property; Flywire’s ability to maintain the security and availability of its solutions; the future market price of Flywire’s common stock; and other factors that are described in the “Risk Factors” and “Management’s Discussion and Analysis of Financial Condition and Results of Operations” sections of Flywire’s Annual Report on Form 10-K for the year ended December 31, 2021, and Quarterly Report on Form 10-Q for the quarter ended June 30, 2022, which are on file with the Securities and Exchange Commission (SEC) and available on the SEC’s website at https://www.sec.gov/. Additional factors may be described in those sections of Flywire’s Quarterly Report on Form 10-Q for the quarter ended September 30, 2022, expected to be filed with the SEC in the fourth quarter of 2022. The information conveyed on the conference call is provided only as of the date of the conference call, and Flywire undertakes no obligation to update any forward-looking statements presented on the conference call on account of new information, future events, or otherwise, except as required by law.</w:t>
      </w:r>
    </w:p>
    <w:p>
      <w:pPr>
        <w:sectPr>
          <w:pgSz w:w="11900" w:h="16838" w:orient="portrait"/>
          <w:cols w:equalWidth="0" w:num="1">
            <w:col w:w="9019"/>
          </w:cols>
          <w:pgMar w:left="1440" w:top="248" w:right="1440" w:bottom="1440" w:gutter="0" w:footer="0" w:header="0"/>
        </w:sectPr>
      </w:pPr>
    </w:p>
    <w:bookmarkStart w:id="2" w:name="page3"/>
    <w:bookmarkEnd w:id="2"/>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2"/>
          <w:szCs w:val="12"/>
          <w:b w:val="1"/>
          <w:bCs w:val="1"/>
          <w:color w:val="auto"/>
        </w:rPr>
        <w:t>Regulation FD Disclosure.</w:t>
      </w:r>
    </w:p>
    <w:p>
      <w:pPr>
        <w:spacing w:after="0" w:line="80" w:lineRule="exact"/>
        <w:rPr>
          <w:sz w:val="20"/>
          <w:szCs w:val="20"/>
          <w:color w:val="auto"/>
        </w:rPr>
      </w:pPr>
    </w:p>
    <w:p>
      <w:pPr>
        <w:ind w:left="640" w:right="839"/>
        <w:spacing w:after="0" w:line="255" w:lineRule="auto"/>
        <w:rPr>
          <w:sz w:val="20"/>
          <w:szCs w:val="20"/>
          <w:color w:val="auto"/>
        </w:rPr>
      </w:pPr>
      <w:r>
        <w:rPr>
          <w:rFonts w:ascii="Times New Roman" w:cs="Times New Roman" w:eastAsia="Times New Roman" w:hAnsi="Times New Roman"/>
          <w:sz w:val="13"/>
          <w:szCs w:val="13"/>
          <w:color w:val="auto"/>
        </w:rPr>
        <w:t>On November 8, 2022, the Company provided an investor presentation that will be made available on the investor relations section of the Company’s website at https://ir.flywire.com/. The investor presentation is furnished as Exhibit 99.2 to this Current Report on Form 8-K and is incorporated by reference herein.</w:t>
      </w:r>
    </w:p>
    <w:p>
      <w:pPr>
        <w:spacing w:after="0" w:line="130" w:lineRule="exact"/>
        <w:rPr>
          <w:sz w:val="20"/>
          <w:szCs w:val="20"/>
          <w:color w:val="auto"/>
        </w:rPr>
      </w:pPr>
    </w:p>
    <w:p>
      <w:pPr>
        <w:jc w:val="both"/>
        <w:ind w:left="640" w:right="679"/>
        <w:spacing w:after="0" w:line="286" w:lineRule="auto"/>
        <w:rPr>
          <w:sz w:val="20"/>
          <w:szCs w:val="20"/>
          <w:color w:val="auto"/>
        </w:rPr>
      </w:pPr>
      <w:r>
        <w:rPr>
          <w:rFonts w:ascii="Times New Roman" w:cs="Times New Roman" w:eastAsia="Times New Roman" w:hAnsi="Times New Roman"/>
          <w:sz w:val="12"/>
          <w:szCs w:val="12"/>
          <w:color w:val="auto"/>
        </w:rPr>
        <w:t>This information in this Item 7.01 of this Current Report on Form 8-K shall not be deemed “filed” for purposes of Section 18 of the Securities Exchange Act of 1934, as amended (the “Exchange Act”), or otherwise subject to the liabilities of that Section, or incorporated by reference in any filing under the Securities Act of 1933, as amended, or the Exchange Act, except as shall be expressly set forth by specific reference in any such filing.</w:t>
      </w:r>
    </w:p>
    <w:p>
      <w:pPr>
        <w:spacing w:after="0" w:line="215"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9.01.</w:t>
      </w:r>
      <w:r>
        <w:rPr>
          <w:sz w:val="20"/>
          <w:szCs w:val="20"/>
          <w:color w:val="auto"/>
        </w:rPr>
        <w:tab/>
      </w:r>
      <w:r>
        <w:rPr>
          <w:rFonts w:ascii="Times New Roman" w:cs="Times New Roman" w:eastAsia="Times New Roman" w:hAnsi="Times New Roman"/>
          <w:sz w:val="12"/>
          <w:szCs w:val="12"/>
          <w:b w:val="1"/>
          <w:bCs w:val="1"/>
          <w:color w:val="auto"/>
        </w:rPr>
        <w:t>Financial Statements and Exhibits.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 Exhibits</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0"/>
          <w:szCs w:val="10"/>
          <w:b w:val="1"/>
          <w:bCs w:val="1"/>
          <w:color w:val="auto"/>
        </w:rPr>
        <w:t>Exhibit</w:t>
      </w:r>
    </w:p>
    <w:p>
      <w:pPr>
        <w:spacing w:after="0" w:line="1" w:lineRule="exact"/>
        <w:rPr>
          <w:sz w:val="20"/>
          <w:szCs w:val="20"/>
          <w:color w:val="auto"/>
        </w:rPr>
      </w:pPr>
    </w:p>
    <w:p>
      <w:pPr>
        <w:ind w:left="720"/>
        <w:spacing w:after="0"/>
        <w:tabs>
          <w:tab w:leader="none" w:pos="1240" w:val="left"/>
        </w:tabs>
        <w:rPr>
          <w:sz w:val="20"/>
          <w:szCs w:val="20"/>
          <w:color w:val="auto"/>
        </w:rPr>
      </w:pPr>
      <w:r>
        <w:rPr>
          <w:rFonts w:ascii="Times New Roman" w:cs="Times New Roman" w:eastAsia="Times New Roman" w:hAnsi="Times New Roman"/>
          <w:sz w:val="10"/>
          <w:szCs w:val="10"/>
          <w:b w:val="1"/>
          <w:bCs w:val="1"/>
          <w:color w:val="auto"/>
        </w:rPr>
        <w:t>No.</w:t>
      </w:r>
      <w:r>
        <w:rPr>
          <w:sz w:val="20"/>
          <w:szCs w:val="20"/>
          <w:color w:val="auto"/>
        </w:rPr>
        <w:tab/>
      </w:r>
      <w:r>
        <w:rPr>
          <w:rFonts w:ascii="Times New Roman" w:cs="Times New Roman" w:eastAsia="Times New Roman" w:hAnsi="Times New Roman"/>
          <w:sz w:val="10"/>
          <w:szCs w:val="10"/>
          <w:b w:val="1"/>
          <w:bCs w:val="1"/>
          <w:color w:val="auto"/>
        </w:rPr>
        <w:t>Description</w:t>
      </w:r>
    </w:p>
    <w:p>
      <w:pPr>
        <w:spacing w:after="0" w:line="66"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3"/>
          <w:szCs w:val="13"/>
          <w:color w:val="auto"/>
        </w:rPr>
        <w:t>99.1</w:t>
      </w:r>
      <w:r>
        <w:rPr>
          <w:sz w:val="20"/>
          <w:szCs w:val="20"/>
          <w:color w:val="auto"/>
        </w:rPr>
        <w:tab/>
      </w:r>
      <w:r>
        <w:rPr>
          <w:rFonts w:ascii="Times New Roman" w:cs="Times New Roman" w:eastAsia="Times New Roman" w:hAnsi="Times New Roman"/>
          <w:sz w:val="12"/>
          <w:szCs w:val="12"/>
          <w:u w:val="single" w:color="auto"/>
          <w:color w:val="0000EE"/>
        </w:rPr>
        <w:t>Flywire Corporation Press Release dated November 8, 2022.</w:t>
      </w:r>
    </w:p>
    <w:p>
      <w:pPr>
        <w:spacing w:after="0" w:line="78"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3"/>
          <w:szCs w:val="13"/>
          <w:color w:val="auto"/>
        </w:rPr>
        <w:t>99.2</w:t>
      </w:r>
      <w:r>
        <w:rPr>
          <w:sz w:val="20"/>
          <w:szCs w:val="20"/>
          <w:color w:val="auto"/>
        </w:rPr>
        <w:tab/>
      </w:r>
      <w:r>
        <w:rPr>
          <w:rFonts w:ascii="Times New Roman" w:cs="Times New Roman" w:eastAsia="Times New Roman" w:hAnsi="Times New Roman"/>
          <w:sz w:val="12"/>
          <w:szCs w:val="12"/>
          <w:u w:val="single" w:color="auto"/>
          <w:color w:val="0000EE"/>
        </w:rPr>
        <w:t>Flywire Corporation Investor Presentation dated November 8, 2022.</w:t>
      </w:r>
    </w:p>
    <w:p>
      <w:pPr>
        <w:spacing w:after="0" w:line="78"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3"/>
          <w:szCs w:val="13"/>
          <w:color w:val="auto"/>
        </w:rPr>
        <w:t>104</w:t>
      </w:r>
      <w:r>
        <w:rPr>
          <w:sz w:val="20"/>
          <w:szCs w:val="20"/>
          <w:color w:val="auto"/>
        </w:rPr>
        <w:tab/>
      </w:r>
      <w:r>
        <w:rPr>
          <w:rFonts w:ascii="Times New Roman" w:cs="Times New Roman" w:eastAsia="Times New Roman" w:hAnsi="Times New Roman"/>
          <w:sz w:val="13"/>
          <w:szCs w:val="13"/>
          <w:color w:val="auto"/>
        </w:rPr>
        <w:t>Cover Page Interactive Data File (embedded within the Inline XBRL document)</w:t>
      </w:r>
    </w:p>
    <w:p>
      <w:pPr>
        <w:sectPr>
          <w:pgSz w:w="11900" w:h="16838" w:orient="portrait"/>
          <w:cols w:equalWidth="0" w:num="1">
            <w:col w:w="9019"/>
          </w:cols>
          <w:pgMar w:left="1440" w:top="248"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w:t>
      </w:r>
    </w:p>
    <w:p>
      <w:pPr>
        <w:spacing w:after="0" w:line="154" w:lineRule="exact"/>
        <w:rPr>
          <w:sz w:val="20"/>
          <w:szCs w:val="20"/>
          <w:color w:val="auto"/>
        </w:rPr>
      </w:pPr>
    </w:p>
    <w:p>
      <w:pPr>
        <w:ind w:left="640" w:right="117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FLYWIRE CORPORATION</w:t>
      </w:r>
    </w:p>
    <w:p>
      <w:pPr>
        <w:spacing w:after="0" w:line="154" w:lineRule="exact"/>
        <w:rPr>
          <w:sz w:val="20"/>
          <w:szCs w:val="20"/>
          <w:color w:val="auto"/>
        </w:rPr>
      </w:pPr>
    </w:p>
    <w:tbl>
      <w:tblPr>
        <w:tblLayout w:type="fixed"/>
        <w:tblInd w:w="640" w:type="dxa"/>
        <w:tblCellMar>
          <w:top w:w="0" w:type="dxa"/>
          <w:left w:w="0" w:type="dxa"/>
          <w:bottom w:w="0" w:type="dxa"/>
          <w:right w:w="0" w:type="dxa"/>
        </w:tblCellMar>
      </w:tblPr>
      <w:tr>
        <w:trPr>
          <w:trHeight w:val="164"/>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Michael Ellis</w:t>
            </w:r>
          </w:p>
        </w:tc>
      </w:tr>
      <w:tr>
        <w:trPr>
          <w:trHeight w:val="138"/>
        </w:trPr>
        <w:tc>
          <w:tcPr>
            <w:tcW w:w="44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Name:</w:t>
            </w:r>
          </w:p>
        </w:tc>
        <w:tc>
          <w:tcPr>
            <w:tcW w:w="264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Michael Ellis</w:t>
            </w:r>
          </w:p>
        </w:tc>
      </w:tr>
      <w:tr>
        <w:trPr>
          <w:trHeight w:val="165"/>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2640" w:type="dxa"/>
            <w:vAlign w:val="bottom"/>
          </w:tcPr>
          <w:p>
            <w:pPr>
              <w:spacing w:after="0"/>
              <w:rPr>
                <w:sz w:val="20"/>
                <w:szCs w:val="20"/>
                <w:color w:val="auto"/>
              </w:rPr>
            </w:pPr>
            <w:r>
              <w:rPr>
                <w:rFonts w:ascii="Times New Roman" w:cs="Times New Roman" w:eastAsia="Times New Roman" w:hAnsi="Times New Roman"/>
                <w:sz w:val="13"/>
                <w:szCs w:val="13"/>
                <w:color w:val="auto"/>
              </w:rPr>
              <w:t>Chief Financial Officer</w:t>
            </w:r>
          </w:p>
        </w:tc>
      </w:tr>
    </w:tbl>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Dated November 8, 2022</w:t>
      </w:r>
    </w:p>
    <w:p>
      <w:pPr>
        <w:sectPr>
          <w:pgSz w:w="11900" w:h="16838" w:orient="portrait"/>
          <w:cols w:equalWidth="0" w:num="1">
            <w:col w:w="9019"/>
          </w:cols>
          <w:pgMar w:left="1440" w:top="250" w:right="1440" w:bottom="1440" w:gutter="0" w:footer="0" w:header="0"/>
        </w:sectPr>
      </w:pPr>
    </w:p>
    <w:bookmarkStart w:id="4" w:name="page5"/>
    <w:bookmarkEnd w:id="4"/>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Flywire Reports Third Quarter 2022 Financial Results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Third Quarter Revenue Increased 40% Year-over-Year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Third Quarter Revenue Less Ancillary Services Increased 43% Year-over-Year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Third Quarter Total Payment Volume Increased 33% Year-over-Year</w:t>
      </w:r>
    </w:p>
    <w:p>
      <w:pPr>
        <w:spacing w:after="0" w:line="154" w:lineRule="exact"/>
        <w:rPr>
          <w:sz w:val="20"/>
          <w:szCs w:val="20"/>
          <w:color w:val="auto"/>
        </w:rPr>
      </w:pPr>
    </w:p>
    <w:p>
      <w:pPr>
        <w:ind w:left="640" w:right="799"/>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Boston, MA – November 8, 2022: </w:t>
      </w:r>
      <w:r>
        <w:rPr>
          <w:rFonts w:ascii="Times New Roman" w:cs="Times New Roman" w:eastAsia="Times New Roman" w:hAnsi="Times New Roman"/>
          <w:sz w:val="13"/>
          <w:szCs w:val="13"/>
          <w:u w:val="single" w:color="auto"/>
          <w:color w:val="auto"/>
        </w:rPr>
        <w:t>Flywire Corporation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(Nasdaq: FLYW) (“Flywire” or the “Company”) a global payments enablement and software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company, today reported financial results for its third quarter ended September 30, 2022.</w:t>
      </w:r>
    </w:p>
    <w:p>
      <w:pPr>
        <w:spacing w:after="0" w:line="121" w:lineRule="exact"/>
        <w:rPr>
          <w:sz w:val="20"/>
          <w:szCs w:val="20"/>
          <w:color w:val="auto"/>
        </w:rPr>
      </w:pPr>
    </w:p>
    <w:p>
      <w:pPr>
        <w:ind w:left="640" w:right="659"/>
        <w:spacing w:after="0" w:line="275" w:lineRule="auto"/>
        <w:rPr>
          <w:sz w:val="20"/>
          <w:szCs w:val="20"/>
          <w:color w:val="auto"/>
        </w:rPr>
      </w:pPr>
      <w:r>
        <w:rPr>
          <w:rFonts w:ascii="Times New Roman" w:cs="Times New Roman" w:eastAsia="Times New Roman" w:hAnsi="Times New Roman"/>
          <w:sz w:val="12"/>
          <w:szCs w:val="12"/>
          <w:color w:val="auto"/>
        </w:rPr>
        <w:t>“I’m pleased to report another strong quarter for Flywire, where we delivered strong year-over-year adjusted gross profit and EBITDA, with revenue at an all-time high,” said Mike Massaro, CEO of Flywire. “We continue to see the benefits of the ongoing execution of our growth strategies with notable success in our key investment areas, as we efficiently win new clients and cross-sell existing ones. Once again, our global team of FlyMates go above and beyond to help our clients achieve meaningful ROI, and deliver value to their payers. Despite the macroeconomic backdrop, the sustainability of our business model, combined with the resilience of the industries we serve, continue to position us well for ongoing success.”</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Third Quarter 2022 Financial Highlights: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GAAP Results</w:t>
      </w:r>
    </w:p>
    <w:p>
      <w:pPr>
        <w:spacing w:after="0" w:line="87" w:lineRule="exact"/>
        <w:rPr>
          <w:sz w:val="20"/>
          <w:szCs w:val="20"/>
          <w:color w:val="auto"/>
        </w:rPr>
      </w:pPr>
    </w:p>
    <w:p>
      <w:pPr>
        <w:ind w:left="1320" w:hanging="303"/>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increased 40% to $95.2 million in the third quarter of 2022, compared to $67.8 million in the third quarter of 2021.</w:t>
      </w:r>
    </w:p>
    <w:p>
      <w:pPr>
        <w:spacing w:after="0" w:line="87" w:lineRule="exact"/>
        <w:rPr>
          <w:rFonts w:ascii="Times New Roman" w:cs="Times New Roman" w:eastAsia="Times New Roman" w:hAnsi="Times New Roman"/>
          <w:sz w:val="13"/>
          <w:szCs w:val="13"/>
          <w:color w:val="auto"/>
        </w:rPr>
      </w:pPr>
    </w:p>
    <w:p>
      <w:pPr>
        <w:ind w:left="1320" w:right="919" w:hanging="303"/>
        <w:spacing w:after="0" w:line="267"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Gross Profit increased to $61.3 million, resulting in Gross Margin of 64.4%, for the third quarter of 2022, compared to Gross Profit of $44.6 million and Gross Margin of 65.8% in the third quarter of 2021.</w:t>
      </w:r>
    </w:p>
    <w:p>
      <w:pPr>
        <w:spacing w:after="0" w:line="55"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loss was $4.3 million in the third quarter of 2022, compared to net income of $10.0 million in the third quarter of 2021.</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Key Operating Metrics and Non-GAAP Results</w:t>
      </w:r>
    </w:p>
    <w:p>
      <w:pPr>
        <w:spacing w:after="0" w:line="87" w:lineRule="exact"/>
        <w:rPr>
          <w:sz w:val="20"/>
          <w:szCs w:val="20"/>
          <w:color w:val="auto"/>
        </w:rPr>
      </w:pPr>
    </w:p>
    <w:p>
      <w:pPr>
        <w:ind w:left="1320" w:hanging="303"/>
        <w:spacing w:after="0"/>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Payment Volume increased 33% to $7.0 billion in the third quarter of 2022, compared to $5.3 billion in the third quarter of 2021.</w:t>
      </w:r>
    </w:p>
    <w:p>
      <w:pPr>
        <w:spacing w:after="0" w:line="87" w:lineRule="exact"/>
        <w:rPr>
          <w:rFonts w:ascii="Times New Roman" w:cs="Times New Roman" w:eastAsia="Times New Roman" w:hAnsi="Times New Roman"/>
          <w:sz w:val="13"/>
          <w:szCs w:val="13"/>
          <w:color w:val="auto"/>
        </w:rPr>
      </w:pPr>
    </w:p>
    <w:p>
      <w:pPr>
        <w:ind w:left="1320" w:right="1019" w:hanging="303"/>
        <w:spacing w:after="0" w:line="267"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Less Ancillary Services increased 43% to $88.9 million in the third quarter of 2022, compared to $62.0 million in the third quarter of 2021.</w:t>
      </w:r>
    </w:p>
    <w:p>
      <w:pPr>
        <w:sectPr>
          <w:pgSz w:w="11900" w:h="16838" w:orient="portrait"/>
          <w:cols w:equalWidth="0" w:num="1">
            <w:col w:w="9019"/>
          </w:cols>
          <w:pgMar w:left="1440" w:top="125" w:right="1440" w:bottom="1440" w:gutter="0" w:footer="0" w:header="0"/>
        </w:sectPr>
      </w:pPr>
    </w:p>
    <w:bookmarkStart w:id="5" w:name="page6"/>
    <w:bookmarkEnd w:id="5"/>
    <w:p>
      <w:pPr>
        <w:ind w:left="1320" w:right="819" w:hanging="303"/>
        <w:spacing w:after="0" w:line="267" w:lineRule="auto"/>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Adjusted Gross Profit of $61.3 million, resulting in Adjusted Gross Margin of 69.0% in the third quarter of 2022, compared to Adjusted Gross Profit of $44.6 million and Adjusted Gross Margin of 71.9% in the third quarter of 2021.</w:t>
      </w:r>
    </w:p>
    <w:p>
      <w:pPr>
        <w:spacing w:after="0" w:line="55"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was $18.2 million in the third quarter of 2022, compared to $17.6 million in the third quarter of 2021.</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Business Highlights:</w:t>
      </w:r>
    </w:p>
    <w:p>
      <w:pPr>
        <w:spacing w:after="0" w:line="89" w:lineRule="exact"/>
        <w:rPr>
          <w:sz w:val="20"/>
          <w:szCs w:val="20"/>
          <w:color w:val="auto"/>
        </w:rPr>
      </w:pPr>
    </w:p>
    <w:p>
      <w:pPr>
        <w:ind w:left="1320" w:right="939" w:hanging="303"/>
        <w:spacing w:after="0" w:line="267" w:lineRule="auto"/>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Announced </w:t>
      </w:r>
      <w:r>
        <w:rPr>
          <w:rFonts w:ascii="Times New Roman" w:cs="Times New Roman" w:eastAsia="Times New Roman" w:hAnsi="Times New Roman"/>
          <w:sz w:val="13"/>
          <w:szCs w:val="13"/>
          <w:u w:val="single" w:color="auto"/>
          <w:color w:val="auto"/>
        </w:rPr>
        <w:t>acquisition of Cohort Go</w:t>
      </w:r>
      <w:r>
        <w:rPr>
          <w:rFonts w:ascii="Times New Roman" w:cs="Times New Roman" w:eastAsia="Times New Roman" w:hAnsi="Times New Roman"/>
          <w:sz w:val="13"/>
          <w:szCs w:val="13"/>
          <w:color w:val="auto"/>
        </w:rPr>
        <w:t>, and successfully integrated their full pay-any-school capability to pay out to over 5,000 schools around the world.</w:t>
      </w:r>
    </w:p>
    <w:p>
      <w:pPr>
        <w:spacing w:after="0" w:line="55" w:lineRule="exact"/>
        <w:rPr>
          <w:rFonts w:ascii="Times New Roman" w:cs="Times New Roman" w:eastAsia="Times New Roman" w:hAnsi="Times New Roman"/>
          <w:sz w:val="13"/>
          <w:szCs w:val="13"/>
          <w:color w:val="auto"/>
        </w:rPr>
      </w:pPr>
    </w:p>
    <w:p>
      <w:pPr>
        <w:ind w:left="1320" w:right="719" w:hanging="303"/>
        <w:spacing w:after="0" w:line="255" w:lineRule="auto"/>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Announced </w:t>
      </w:r>
      <w:r>
        <w:rPr>
          <w:rFonts w:ascii="Times New Roman" w:cs="Times New Roman" w:eastAsia="Times New Roman" w:hAnsi="Times New Roman"/>
          <w:sz w:val="13"/>
          <w:szCs w:val="13"/>
          <w:u w:val="single" w:color="auto"/>
          <w:color w:val="auto"/>
        </w:rPr>
        <w:t>an integration with Universitas XXI</w:t>
      </w:r>
      <w:r>
        <w:rPr>
          <w:rFonts w:ascii="Times New Roman" w:cs="Times New Roman" w:eastAsia="Times New Roman" w:hAnsi="Times New Roman"/>
          <w:sz w:val="13"/>
          <w:szCs w:val="13"/>
          <w:color w:val="auto"/>
        </w:rPr>
        <w:t xml:space="preserve"> a university management system focused on servicing higher education customers throughout Spain and Latin America. The integrated offering provides students a streamlined payment experience, from initial application through to tuition.</w:t>
      </w:r>
    </w:p>
    <w:p>
      <w:pPr>
        <w:spacing w:after="0" w:line="63" w:lineRule="exact"/>
        <w:rPr>
          <w:rFonts w:ascii="Times New Roman" w:cs="Times New Roman" w:eastAsia="Times New Roman" w:hAnsi="Times New Roman"/>
          <w:sz w:val="13"/>
          <w:szCs w:val="13"/>
          <w:color w:val="auto"/>
        </w:rPr>
      </w:pPr>
    </w:p>
    <w:p>
      <w:pPr>
        <w:ind w:left="1320" w:right="679" w:hanging="303"/>
        <w:spacing w:after="0" w:line="267" w:lineRule="auto"/>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Announced </w:t>
      </w:r>
      <w:r>
        <w:rPr>
          <w:rFonts w:ascii="Times New Roman" w:cs="Times New Roman" w:eastAsia="Times New Roman" w:hAnsi="Times New Roman"/>
          <w:sz w:val="13"/>
          <w:szCs w:val="13"/>
          <w:u w:val="single" w:color="auto"/>
          <w:color w:val="auto"/>
        </w:rPr>
        <w:t>eight new scholarships</w:t>
      </w:r>
      <w:r>
        <w:rPr>
          <w:rFonts w:ascii="Times New Roman" w:cs="Times New Roman" w:eastAsia="Times New Roman" w:hAnsi="Times New Roman"/>
          <w:sz w:val="13"/>
          <w:szCs w:val="13"/>
          <w:color w:val="auto"/>
        </w:rPr>
        <w:t xml:space="preserve"> as part of The Flywire Charitable Foundation’s third annual scholarship program. The program doubled in applicants year-over-year.</w:t>
      </w:r>
    </w:p>
    <w:p>
      <w:pPr>
        <w:spacing w:after="0" w:line="55" w:lineRule="exact"/>
        <w:rPr>
          <w:rFonts w:ascii="Times New Roman" w:cs="Times New Roman" w:eastAsia="Times New Roman" w:hAnsi="Times New Roman"/>
          <w:sz w:val="13"/>
          <w:szCs w:val="13"/>
          <w:color w:val="auto"/>
        </w:rPr>
      </w:pPr>
    </w:p>
    <w:p>
      <w:pPr>
        <w:ind w:left="1320" w:right="879" w:hanging="303"/>
        <w:spacing w:after="0" w:line="267" w:lineRule="auto"/>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Recognized as being one of the </w:t>
      </w:r>
      <w:r>
        <w:rPr>
          <w:rFonts w:ascii="Times New Roman" w:cs="Times New Roman" w:eastAsia="Times New Roman" w:hAnsi="Times New Roman"/>
          <w:sz w:val="13"/>
          <w:szCs w:val="13"/>
          <w:u w:val="single" w:color="auto"/>
          <w:color w:val="auto"/>
        </w:rPr>
        <w:t>Top 50 Best Small and Medium Workplaces</w:t>
      </w:r>
      <w:r>
        <w:rPr>
          <w:rFonts w:ascii="Times New Roman" w:cs="Times New Roman" w:eastAsia="Times New Roman" w:hAnsi="Times New Roman"/>
          <w:sz w:val="13"/>
          <w:szCs w:val="13"/>
          <w:color w:val="auto"/>
        </w:rPr>
        <w:t xml:space="preserve"> in Financial Services and Insurance, by Fortune and Great Place to Work US.</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Fourth Quarter and Fiscal-Year 2022 Outlook:</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Based on information available as of November 8, 2022, Flywire anticipates the following for the fourth quarter and fiscal-year 2022:</w:t>
      </w:r>
    </w:p>
    <w:p>
      <w:pPr>
        <w:spacing w:after="0" w:line="169" w:lineRule="exact"/>
        <w:rPr>
          <w:sz w:val="20"/>
          <w:szCs w:val="20"/>
          <w:color w:val="auto"/>
        </w:rPr>
      </w:pPr>
    </w:p>
    <w:tbl>
      <w:tblPr>
        <w:tblLayout w:type="fixed"/>
        <w:tblInd w:w="1880" w:type="dxa"/>
        <w:tblCellMar>
          <w:top w:w="0" w:type="dxa"/>
          <w:left w:w="0" w:type="dxa"/>
          <w:bottom w:w="0" w:type="dxa"/>
          <w:right w:w="0" w:type="dxa"/>
        </w:tblCellMar>
      </w:tblPr>
      <w:tr>
        <w:trPr>
          <w:trHeight w:val="121"/>
        </w:trPr>
        <w:tc>
          <w:tcPr>
            <w:tcW w:w="4080" w:type="dxa"/>
            <w:vAlign w:val="bottom"/>
            <w:tcBorders>
              <w:bottom w:val="single" w:sz="8" w:color="CCEEFF"/>
            </w:tcBorders>
          </w:tcPr>
          <w:p>
            <w:pPr>
              <w:spacing w:after="0"/>
              <w:rPr>
                <w:sz w:val="10"/>
                <w:szCs w:val="1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Fourth Quarter 2022</w:t>
            </w:r>
          </w:p>
        </w:tc>
      </w:tr>
      <w:tr>
        <w:trPr>
          <w:trHeight w:val="141"/>
        </w:trPr>
        <w:tc>
          <w:tcPr>
            <w:tcW w:w="40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1160" w:type="dxa"/>
            <w:vAlign w:val="bottom"/>
            <w:shd w:val="clear" w:color="auto" w:fill="CCEEFF"/>
          </w:tcPr>
          <w:p>
            <w:pPr>
              <w:jc w:val="center"/>
              <w:spacing w:after="0" w:line="141" w:lineRule="exact"/>
              <w:rPr>
                <w:sz w:val="20"/>
                <w:szCs w:val="20"/>
                <w:color w:val="auto"/>
              </w:rPr>
            </w:pPr>
            <w:r>
              <w:rPr>
                <w:rFonts w:ascii="Times New Roman" w:cs="Times New Roman" w:eastAsia="Times New Roman" w:hAnsi="Times New Roman"/>
                <w:sz w:val="13"/>
                <w:szCs w:val="13"/>
                <w:color w:val="auto"/>
                <w:w w:val="96"/>
              </w:rPr>
              <w:t>$69.3 to $72.6 million</w:t>
            </w:r>
          </w:p>
        </w:tc>
      </w:tr>
      <w:tr>
        <w:trPr>
          <w:trHeight w:val="165"/>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Revenue Less Ancillary Services</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$64.0 to $67.0 million</w:t>
            </w:r>
          </w:p>
        </w:tc>
      </w:tr>
    </w:tbl>
    <w:p>
      <w:pPr>
        <w:sectPr>
          <w:pgSz w:w="11900" w:h="16838" w:orient="portrait"/>
          <w:cols w:equalWidth="0" w:num="1">
            <w:col w:w="9019"/>
          </w:cols>
          <w:pgMar w:left="1440" w:top="231" w:right="1440"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tbl>
      <w:tblPr>
        <w:tblLayout w:type="fixed"/>
        <w:tblInd w:w="1880" w:type="dxa"/>
        <w:tblCellMar>
          <w:top w:w="0" w:type="dxa"/>
          <w:left w:w="0" w:type="dxa"/>
          <w:bottom w:w="0" w:type="dxa"/>
          <w:right w:w="0" w:type="dxa"/>
        </w:tblCellMar>
      </w:tblPr>
      <w:tr>
        <w:trPr>
          <w:trHeight w:val="121"/>
        </w:trPr>
        <w:tc>
          <w:tcPr>
            <w:tcW w:w="30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w w:val="98"/>
              </w:rPr>
              <w:t>Fiscal Year 2022</w:t>
            </w:r>
          </w:p>
        </w:tc>
      </w:tr>
      <w:tr>
        <w:trPr>
          <w:trHeight w:val="128"/>
        </w:trPr>
        <w:tc>
          <w:tcPr>
            <w:tcW w:w="3060" w:type="dxa"/>
            <w:vAlign w:val="bottom"/>
            <w:tcBorders>
              <w:top w:val="single" w:sz="8" w:color="CCEEFF"/>
            </w:tcBorders>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rPr>
              <w:t>Revenue</w:t>
            </w:r>
          </w:p>
        </w:tc>
        <w:tc>
          <w:tcPr>
            <w:tcW w:w="14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285.4 to</w:t>
            </w:r>
          </w:p>
        </w:tc>
        <w:tc>
          <w:tcPr>
            <w:tcW w:w="40" w:type="dxa"/>
            <w:vAlign w:val="bottom"/>
            <w:tcBorders>
              <w:top w:val="single" w:sz="8" w:color="CCEEFF"/>
            </w:tcBorders>
            <w:shd w:val="clear" w:color="auto" w:fill="CCEEFF"/>
          </w:tcPr>
          <w:p>
            <w:pPr>
              <w:spacing w:after="0"/>
              <w:rPr>
                <w:sz w:val="11"/>
                <w:szCs w:val="11"/>
                <w:color w:val="auto"/>
              </w:rPr>
            </w:pPr>
          </w:p>
        </w:tc>
      </w:tr>
      <w:tr>
        <w:trPr>
          <w:trHeight w:val="164"/>
        </w:trPr>
        <w:tc>
          <w:tcPr>
            <w:tcW w:w="3060" w:type="dxa"/>
            <w:vAlign w:val="bottom"/>
            <w:shd w:val="clear" w:color="auto" w:fill="CCEEFF"/>
          </w:tcPr>
          <w:p>
            <w:pPr>
              <w:spacing w:after="0"/>
              <w:rPr>
                <w:sz w:val="14"/>
                <w:szCs w:val="14"/>
                <w:color w:val="auto"/>
              </w:rPr>
            </w:pPr>
          </w:p>
        </w:tc>
        <w:tc>
          <w:tcPr>
            <w:tcW w:w="21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$288.7 million</w:t>
            </w:r>
          </w:p>
        </w:tc>
      </w:tr>
      <w:tr>
        <w:trPr>
          <w:trHeight w:val="139"/>
        </w:trPr>
        <w:tc>
          <w:tcPr>
            <w:tcW w:w="306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Revenue Less Ancillary Services</w:t>
            </w:r>
          </w:p>
        </w:tc>
        <w:tc>
          <w:tcPr>
            <w:tcW w:w="148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40"/>
              <w:spacing w:after="0" w:line="139" w:lineRule="exact"/>
              <w:rPr>
                <w:sz w:val="20"/>
                <w:szCs w:val="20"/>
                <w:color w:val="auto"/>
              </w:rPr>
            </w:pPr>
            <w:r>
              <w:rPr>
                <w:rFonts w:ascii="Times New Roman" w:cs="Times New Roman" w:eastAsia="Times New Roman" w:hAnsi="Times New Roman"/>
                <w:sz w:val="13"/>
                <w:szCs w:val="13"/>
                <w:color w:val="auto"/>
              </w:rPr>
              <w:t>263.5 to</w:t>
            </w:r>
          </w:p>
        </w:tc>
      </w:tr>
      <w:tr>
        <w:trPr>
          <w:trHeight w:val="164"/>
        </w:trPr>
        <w:tc>
          <w:tcPr>
            <w:tcW w:w="3060" w:type="dxa"/>
            <w:vAlign w:val="bottom"/>
          </w:tcPr>
          <w:p>
            <w:pPr>
              <w:spacing w:after="0"/>
              <w:rPr>
                <w:sz w:val="14"/>
                <w:szCs w:val="14"/>
                <w:color w:val="auto"/>
              </w:rPr>
            </w:pPr>
          </w:p>
        </w:tc>
        <w:tc>
          <w:tcPr>
            <w:tcW w:w="218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$266.5 million</w:t>
            </w:r>
          </w:p>
        </w:tc>
      </w:tr>
      <w:tr>
        <w:trPr>
          <w:trHeight w:val="139"/>
        </w:trPr>
        <w:tc>
          <w:tcPr>
            <w:tcW w:w="306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Adjusted EBITDA*</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39" w:lineRule="exact"/>
              <w:rPr>
                <w:sz w:val="20"/>
                <w:szCs w:val="20"/>
                <w:color w:val="auto"/>
              </w:rPr>
            </w:pPr>
            <w:r>
              <w:rPr>
                <w:rFonts w:ascii="Times New Roman" w:cs="Times New Roman" w:eastAsia="Times New Roman" w:hAnsi="Times New Roman"/>
                <w:sz w:val="13"/>
                <w:szCs w:val="13"/>
                <w:color w:val="auto"/>
              </w:rPr>
              <w:t>$14 to</w:t>
            </w:r>
          </w:p>
        </w:tc>
      </w:tr>
      <w:tr>
        <w:trPr>
          <w:trHeight w:val="164"/>
        </w:trPr>
        <w:tc>
          <w:tcPr>
            <w:tcW w:w="30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9"/>
              </w:rPr>
              <w:t>$16 million</w:t>
            </w:r>
          </w:p>
        </w:tc>
      </w:tr>
    </w:tbl>
    <w:p>
      <w:pPr>
        <w:spacing w:after="0" w:line="158" w:lineRule="exact"/>
        <w:rPr>
          <w:sz w:val="20"/>
          <w:szCs w:val="20"/>
          <w:color w:val="auto"/>
        </w:rPr>
      </w:pPr>
    </w:p>
    <w:p>
      <w:pPr>
        <w:ind w:left="940" w:right="659" w:hanging="303"/>
        <w:spacing w:after="0" w:line="251" w:lineRule="auto"/>
        <w:tabs>
          <w:tab w:leader="none" w:pos="9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Flywire has not provided a quantitative reconciliation of forecasted Adjusted EBITDA to forecasted GAAP net income (loss) or to forecasted GAAP income (loss) before income taxes within this earnings release because Flywire is unable, without making unreasonable efforts, to calculate certain reconciling items with confidence. These items include, but are not limited to, income taxes which are directly impacted by unpredictable fluctuations in the market price of Flywire’s stock.</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Conference Call</w:t>
      </w:r>
    </w:p>
    <w:p>
      <w:pPr>
        <w:spacing w:after="0" w:line="80" w:lineRule="exact"/>
        <w:rPr>
          <w:sz w:val="20"/>
          <w:szCs w:val="20"/>
          <w:color w:val="auto"/>
        </w:rPr>
      </w:pPr>
    </w:p>
    <w:p>
      <w:pPr>
        <w:ind w:left="640" w:right="659"/>
        <w:spacing w:after="0" w:line="255" w:lineRule="auto"/>
        <w:rPr>
          <w:sz w:val="20"/>
          <w:szCs w:val="20"/>
          <w:color w:val="auto"/>
        </w:rPr>
      </w:pPr>
      <w:r>
        <w:rPr>
          <w:rFonts w:ascii="Times New Roman" w:cs="Times New Roman" w:eastAsia="Times New Roman" w:hAnsi="Times New Roman"/>
          <w:sz w:val="13"/>
          <w:szCs w:val="13"/>
          <w:color w:val="auto"/>
        </w:rPr>
        <w:t xml:space="preserve">The Company will host a conference call to discuss third quarter 2022 financial results today at 5:00 pm ET. Hosting the call will be Mike Massaro, CEO, Rob Orgel, President and COO, and Mike Ellis, CFO. The conference call can be accessed live via webcast from the Company’s investor relations website at </w:t>
      </w:r>
      <w:r>
        <w:rPr>
          <w:rFonts w:ascii="Times New Roman" w:cs="Times New Roman" w:eastAsia="Times New Roman" w:hAnsi="Times New Roman"/>
          <w:sz w:val="13"/>
          <w:szCs w:val="13"/>
          <w:u w:val="single" w:color="auto"/>
          <w:color w:val="auto"/>
        </w:rPr>
        <w:t>https://ir.flywire.com/</w:t>
      </w:r>
      <w:r>
        <w:rPr>
          <w:rFonts w:ascii="Times New Roman" w:cs="Times New Roman" w:eastAsia="Times New Roman" w:hAnsi="Times New Roman"/>
          <w:sz w:val="13"/>
          <w:szCs w:val="13"/>
          <w:color w:val="auto"/>
        </w:rPr>
        <w:t>. A replay will be available on the investor relations website following the call.</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Key Operating Metrics and Non-GAAP Financial Measures table</w:t>
      </w:r>
    </w:p>
    <w:p>
      <w:pPr>
        <w:spacing w:after="0" w:line="80" w:lineRule="exact"/>
        <w:rPr>
          <w:sz w:val="20"/>
          <w:szCs w:val="20"/>
          <w:color w:val="auto"/>
        </w:rPr>
      </w:pPr>
    </w:p>
    <w:p>
      <w:pPr>
        <w:ind w:left="640" w:right="859"/>
        <w:spacing w:after="0" w:line="270" w:lineRule="auto"/>
        <w:rPr>
          <w:sz w:val="20"/>
          <w:szCs w:val="20"/>
          <w:color w:val="auto"/>
        </w:rPr>
      </w:pPr>
      <w:r>
        <w:rPr>
          <w:rFonts w:ascii="Times New Roman" w:cs="Times New Roman" w:eastAsia="Times New Roman" w:hAnsi="Times New Roman"/>
          <w:sz w:val="12"/>
          <w:szCs w:val="12"/>
          <w:color w:val="auto"/>
        </w:rPr>
        <w:t>Flywire uses non-GAAP financial measures to supplement financial information presented on a GAAP basis. The Company believes that excluding certain items from its GAAP results allows management to better understand its consolidated financial performance from period to period and better project its future consolidated financial performance as forecasts are developed at a level of detail different from that used to prepare GAAP-based financial measures. Moreover, Flywire believes these non-GAAP financial measures provide its stakeholders with useful information to help them evaluate the Company’s operating results by facilitating an enhanced understanding of the Company’s operating performance and enabling them to make more meaningful period to period comparisons. There are limitations to the use of the non-GAAP financial measures presented here. Flywire’s non-GAAP financial measures may not be comparable to similarly titled measures of other companies. Other companies, including companies in Flywire’s industry, may calculate non-GAAP financial measures differently, limiting the usefulness of those measures for comparative purposes.</w:t>
      </w:r>
    </w:p>
    <w:p>
      <w:pPr>
        <w:sectPr>
          <w:pgSz w:w="11900" w:h="16838" w:orient="portrait"/>
          <w:cols w:equalWidth="0" w:num="1">
            <w:col w:w="9019"/>
          </w:cols>
          <w:pgMar w:left="1440" w:top="227" w:right="1440" w:bottom="1440" w:gutter="0" w:footer="0" w:header="0"/>
        </w:sectPr>
      </w:pPr>
    </w:p>
    <w:bookmarkStart w:id="7" w:name="page8"/>
    <w:bookmarkEnd w:id="7"/>
    <w:p>
      <w:pPr>
        <w:ind w:left="640" w:right="69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Flywire uses supplemental measures of its performance which are derived from its consolidated financial information, but which are not presented in its consolidated financial statements prepared in accordance with GAAP. These non-GAAP financial measures include the following:</w:t>
      </w:r>
    </w:p>
    <w:p>
      <w:pPr>
        <w:spacing w:after="0" w:line="56" w:lineRule="exact"/>
        <w:rPr>
          <w:sz w:val="20"/>
          <w:szCs w:val="20"/>
          <w:color w:val="auto"/>
        </w:rPr>
      </w:pPr>
    </w:p>
    <w:p>
      <w:pPr>
        <w:ind w:left="1320" w:right="859" w:hanging="303"/>
        <w:spacing w:after="0" w:line="251" w:lineRule="auto"/>
        <w:tabs>
          <w:tab w:leader="none" w:pos="1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Less Ancillary Services. Revenue Less Ancillary Services represents the Company’s consolidated revenue in accordance with GAAP after excluding (i) pass-through cost for printing and mailing services and (ii) marketing fees. The Company excludes these amounts to arrive at this supplemental non-GAAP financial measure as it views these services as ancillary to the primary services it provides to its clients.</w:t>
      </w:r>
    </w:p>
    <w:p>
      <w:pPr>
        <w:spacing w:after="0" w:line="66" w:lineRule="exact"/>
        <w:rPr>
          <w:rFonts w:ascii="Times New Roman" w:cs="Times New Roman" w:eastAsia="Times New Roman" w:hAnsi="Times New Roman"/>
          <w:sz w:val="13"/>
          <w:szCs w:val="13"/>
          <w:color w:val="auto"/>
        </w:rPr>
      </w:pPr>
    </w:p>
    <w:p>
      <w:pPr>
        <w:ind w:left="1320" w:right="659" w:hanging="303"/>
        <w:spacing w:after="0" w:line="249" w:lineRule="auto"/>
        <w:tabs>
          <w:tab w:leader="none" w:pos="1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Gross Margin. Adjusted Gross Margin represents adjusted gross profit divided by Revenue Less Ancillary Services. Adjusted gross profit represents Revenue Less Ancillary Services less cost of revenue adjusted to (i) exclude pass-through cost for printing services and (ii) offset marketing fees against costs incurred. Management believes this presentation supplements the GAAP presentation of gross margin with a useful measure of the gross margin of the Company’s payment-related services, which are the primary services it provides to its clients.</w:t>
      </w:r>
    </w:p>
    <w:p>
      <w:pPr>
        <w:spacing w:after="0" w:line="67" w:lineRule="exact"/>
        <w:rPr>
          <w:rFonts w:ascii="Times New Roman" w:cs="Times New Roman" w:eastAsia="Times New Roman" w:hAnsi="Times New Roman"/>
          <w:sz w:val="13"/>
          <w:szCs w:val="13"/>
          <w:color w:val="auto"/>
        </w:rPr>
      </w:pPr>
    </w:p>
    <w:p>
      <w:pPr>
        <w:ind w:left="1320" w:right="759" w:hanging="303"/>
        <w:spacing w:after="0" w:line="274" w:lineRule="auto"/>
        <w:tabs>
          <w:tab w:leader="none" w:pos="13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 Adjusted EBITDA represents EBITDA further adjusted by excluding (i) stock-based compensation expense and related payroll taxes, (ii) the impact from the change in fair value measurement for contingent consideration associated with acquisitions,</w:t>
      </w:r>
    </w:p>
    <w:p>
      <w:pPr>
        <w:spacing w:after="0" w:line="1" w:lineRule="exact"/>
        <w:rPr>
          <w:rFonts w:ascii="Times New Roman" w:cs="Times New Roman" w:eastAsia="Times New Roman" w:hAnsi="Times New Roman"/>
          <w:sz w:val="12"/>
          <w:szCs w:val="12"/>
          <w:color w:val="auto"/>
        </w:rPr>
      </w:pPr>
    </w:p>
    <w:p>
      <w:pPr>
        <w:ind w:left="1540" w:hanging="220"/>
        <w:spacing w:after="0"/>
        <w:tabs>
          <w:tab w:leader="none" w:pos="1540" w:val="left"/>
        </w:tabs>
        <w:numPr>
          <w:ilvl w:val="1"/>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impact from the change in fair value measurement of the Company’s preferred stock warrants, (iv) other income (expense), net,</w:t>
      </w:r>
    </w:p>
    <w:p>
      <w:pPr>
        <w:spacing w:after="0" w:line="13" w:lineRule="exact"/>
        <w:rPr>
          <w:rFonts w:ascii="Times New Roman" w:cs="Times New Roman" w:eastAsia="Times New Roman" w:hAnsi="Times New Roman"/>
          <w:sz w:val="12"/>
          <w:szCs w:val="12"/>
          <w:color w:val="auto"/>
        </w:rPr>
      </w:pPr>
    </w:p>
    <w:p>
      <w:pPr>
        <w:ind w:left="1320" w:right="919"/>
        <w:spacing w:after="0" w:line="245" w:lineRule="auto"/>
        <w:tabs>
          <w:tab w:leader="none" w:pos="1499" w:val="left"/>
        </w:tabs>
        <w:numPr>
          <w:ilvl w:val="1"/>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indirect taxes related to intercompany activity, (vi) acquisition related transaction costs, and (vii) employee retention costs, such as incentive compensation, associated with acquisition activities. Management believes that the exclusion of these amounts to calculate Adjusted EBITDA provides useful measures for period-to-period comparisons of the Company’s business.</w:t>
      </w:r>
    </w:p>
    <w:p>
      <w:pPr>
        <w:spacing w:after="0" w:line="136" w:lineRule="exact"/>
        <w:rPr>
          <w:sz w:val="20"/>
          <w:szCs w:val="20"/>
          <w:color w:val="auto"/>
        </w:rPr>
      </w:pPr>
    </w:p>
    <w:p>
      <w:pPr>
        <w:ind w:left="640" w:right="759"/>
        <w:spacing w:after="0" w:line="249" w:lineRule="auto"/>
        <w:rPr>
          <w:sz w:val="20"/>
          <w:szCs w:val="20"/>
          <w:color w:val="auto"/>
        </w:rPr>
      </w:pPr>
      <w:r>
        <w:rPr>
          <w:rFonts w:ascii="Times New Roman" w:cs="Times New Roman" w:eastAsia="Times New Roman" w:hAnsi="Times New Roman"/>
          <w:sz w:val="13"/>
          <w:szCs w:val="13"/>
          <w:color w:val="auto"/>
        </w:rPr>
        <w:t>These non-GAAP financial measures are not meant to be considered as indicators of performance in isolation from or as a substitute the Company’s revenue, gross margin or net income (loss) prepared in accordance with GAAP and should be read only in conjunction with financial information presented on a GAAP basis. Reconciliations of Revenue Less Ancillary Services, Adjusted Gross Margin and Adjusted EBITDA to the most directly comparable GAAP financial measure are presented below. Flywire encourages you to review these reconciliations in conjunction with the presentation of the non-GAAP financial measures for each of the periods presented. In future fiscal</w:t>
      </w:r>
    </w:p>
    <w:p>
      <w:pPr>
        <w:sectPr>
          <w:pgSz w:w="11900" w:h="16838" w:orient="portrait"/>
          <w:cols w:equalWidth="0" w:num="1">
            <w:col w:w="9019"/>
          </w:cols>
          <w:pgMar w:left="1440" w:top="231" w:right="1440" w:bottom="1440" w:gutter="0" w:footer="0" w:header="0"/>
        </w:sectPr>
      </w:pPr>
    </w:p>
    <w:bookmarkStart w:id="8" w:name="page9"/>
    <w:bookmarkEnd w:id="8"/>
    <w:p>
      <w:pPr>
        <w:ind w:left="640" w:right="75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periods, Flywire may exclude such items and may incur income and expenses similar to these excluded items. Flywire has not provided a quantitative reconciliation of forecasted Adjusted EBITDA to forecasted GAAP net income (loss) or to forecasted GAAP income (loss) before income taxes within this earnings release because it is unable, without making unreasonable efforts, to calculate certain reconciling items with confidence. These items include but are not limited to income taxes which are directly impacted by unpredictable fluctuations in the market price of Flywire’s stock.</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Flywire</w:t>
      </w:r>
    </w:p>
    <w:p>
      <w:pPr>
        <w:spacing w:after="0" w:line="80" w:lineRule="exact"/>
        <w:rPr>
          <w:sz w:val="20"/>
          <w:szCs w:val="20"/>
          <w:color w:val="auto"/>
        </w:rPr>
      </w:pPr>
    </w:p>
    <w:p>
      <w:pPr>
        <w:ind w:left="640" w:right="1099"/>
        <w:spacing w:after="0" w:line="267" w:lineRule="auto"/>
        <w:rPr>
          <w:sz w:val="20"/>
          <w:szCs w:val="20"/>
          <w:color w:val="auto"/>
        </w:rPr>
      </w:pPr>
      <w:r>
        <w:rPr>
          <w:rFonts w:ascii="Times New Roman" w:cs="Times New Roman" w:eastAsia="Times New Roman" w:hAnsi="Times New Roman"/>
          <w:sz w:val="13"/>
          <w:szCs w:val="13"/>
          <w:color w:val="auto"/>
        </w:rPr>
        <w:t>Flywire is a global payments enablement and software company. Flywire combines its proprietary global payments network, next-gen payments platform and vertical-specific software to deliver the most important and complex payments for its clients and their customers.</w:t>
      </w:r>
    </w:p>
    <w:p>
      <w:pPr>
        <w:spacing w:after="0" w:line="122" w:lineRule="exact"/>
        <w:rPr>
          <w:sz w:val="20"/>
          <w:szCs w:val="20"/>
          <w:color w:val="auto"/>
        </w:rPr>
      </w:pPr>
    </w:p>
    <w:p>
      <w:pPr>
        <w:jc w:val="both"/>
        <w:ind w:left="640" w:right="799"/>
        <w:spacing w:after="0" w:line="255" w:lineRule="auto"/>
        <w:rPr>
          <w:sz w:val="20"/>
          <w:szCs w:val="20"/>
          <w:color w:val="auto"/>
        </w:rPr>
      </w:pPr>
      <w:r>
        <w:rPr>
          <w:rFonts w:ascii="Times New Roman" w:cs="Times New Roman" w:eastAsia="Times New Roman" w:hAnsi="Times New Roman"/>
          <w:sz w:val="13"/>
          <w:szCs w:val="13"/>
          <w:color w:val="auto"/>
        </w:rPr>
        <w:t>Flywire leverages its vertical-specific software and payments technology to deeply embed within the existing A/R workflows for its clients across the education, healthcare and travel vertical markets, as well as in key B2B industries. Flywire also integrates with leading ERP systems, so organizations can optimize the payment experience for their customers while eliminating operational challenges.</w:t>
      </w:r>
    </w:p>
    <w:p>
      <w:pPr>
        <w:spacing w:after="0" w:line="130" w:lineRule="exact"/>
        <w:rPr>
          <w:sz w:val="20"/>
          <w:szCs w:val="20"/>
          <w:color w:val="auto"/>
        </w:rPr>
      </w:pPr>
    </w:p>
    <w:p>
      <w:pPr>
        <w:ind w:left="640" w:right="739"/>
        <w:spacing w:after="0" w:line="255" w:lineRule="auto"/>
        <w:rPr>
          <w:sz w:val="20"/>
          <w:szCs w:val="20"/>
          <w:color w:val="auto"/>
        </w:rPr>
      </w:pPr>
      <w:r>
        <w:rPr>
          <w:rFonts w:ascii="Times New Roman" w:cs="Times New Roman" w:eastAsia="Times New Roman" w:hAnsi="Times New Roman"/>
          <w:sz w:val="13"/>
          <w:szCs w:val="13"/>
          <w:color w:val="auto"/>
        </w:rPr>
        <w:t xml:space="preserve">Flywire supports more than 3,000 clients with diverse payment methods in 140 currencies across over 240 countries and territories around the world. Flywire is headquartered in Boston, MA, USA with additional offices around the globe. For more information, visit </w:t>
      </w:r>
      <w:r>
        <w:rPr>
          <w:rFonts w:ascii="Times New Roman" w:cs="Times New Roman" w:eastAsia="Times New Roman" w:hAnsi="Times New Roman"/>
          <w:sz w:val="13"/>
          <w:szCs w:val="13"/>
          <w:b w:val="1"/>
          <w:bCs w:val="1"/>
          <w:u w:val="single" w:color="auto"/>
          <w:color w:val="auto"/>
        </w:rPr>
        <w:t>www.flywire.com</w:t>
      </w:r>
      <w:r>
        <w:rPr>
          <w:rFonts w:ascii="Times New Roman" w:cs="Times New Roman" w:eastAsia="Times New Roman" w:hAnsi="Times New Roman"/>
          <w:sz w:val="13"/>
          <w:szCs w:val="13"/>
          <w:color w:val="auto"/>
        </w:rPr>
        <w:t xml:space="preserve">. Follow Flywire on </w:t>
      </w:r>
      <w:r>
        <w:rPr>
          <w:rFonts w:ascii="Times New Roman" w:cs="Times New Roman" w:eastAsia="Times New Roman" w:hAnsi="Times New Roman"/>
          <w:sz w:val="13"/>
          <w:szCs w:val="13"/>
          <w:b w:val="1"/>
          <w:bCs w:val="1"/>
          <w:u w:val="single" w:color="auto"/>
          <w:color w:val="auto"/>
        </w:rPr>
        <w:t>Twitter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u w:val="single" w:color="auto"/>
          <w:color w:val="auto"/>
        </w:rPr>
        <w:t>LinkedIn</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b w:val="1"/>
          <w:bCs w:val="1"/>
          <w:u w:val="single" w:color="auto"/>
          <w:color w:val="auto"/>
        </w:rPr>
        <w:t>Facebook</w:t>
      </w:r>
      <w:r>
        <w:rPr>
          <w:rFonts w:ascii="Times New Roman" w:cs="Times New Roman" w:eastAsia="Times New Roman" w:hAnsi="Times New Roman"/>
          <w:sz w:val="13"/>
          <w:szCs w:val="13"/>
          <w:color w:val="auto"/>
        </w:rPr>
        <w:t>.</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Safe Harbor Statement</w:t>
      </w:r>
    </w:p>
    <w:p>
      <w:pPr>
        <w:spacing w:after="0" w:line="80" w:lineRule="exact"/>
        <w:rPr>
          <w:sz w:val="20"/>
          <w:szCs w:val="20"/>
          <w:color w:val="auto"/>
        </w:rPr>
      </w:pPr>
    </w:p>
    <w:p>
      <w:pPr>
        <w:ind w:left="640" w:right="719"/>
        <w:spacing w:after="0" w:line="248" w:lineRule="auto"/>
        <w:rPr>
          <w:sz w:val="20"/>
          <w:szCs w:val="20"/>
          <w:color w:val="auto"/>
        </w:rPr>
      </w:pPr>
      <w:r>
        <w:rPr>
          <w:rFonts w:ascii="Times New Roman" w:cs="Times New Roman" w:eastAsia="Times New Roman" w:hAnsi="Times New Roman"/>
          <w:sz w:val="13"/>
          <w:szCs w:val="13"/>
          <w:color w:val="auto"/>
        </w:rPr>
        <w:t>This release contains forward-looking statements within the meaning of the Private Securities Litigation Reform Act of 1995, including, but not limited to, statements regarding Flywire’s future operating results and financial position, Flywire’s business strategy and plans, market growth, and Flywire’s objectives for future operations. Flywire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w:t>
      </w:r>
    </w:p>
    <w:p>
      <w:pPr>
        <w:sectPr>
          <w:pgSz w:w="11900" w:h="16838" w:orient="portrait"/>
          <w:cols w:equalWidth="0" w:num="1">
            <w:col w:w="9019"/>
          </w:cols>
          <w:pgMar w:left="1440" w:top="231" w:right="1440" w:bottom="1440" w:gutter="0" w:footer="0" w:header="0"/>
        </w:sectPr>
      </w:pPr>
    </w:p>
    <w:bookmarkStart w:id="9" w:name="page10"/>
    <w:bookmarkEnd w:id="9"/>
    <w:p>
      <w:pPr>
        <w:ind w:left="640" w:right="679"/>
        <w:spacing w:after="0" w:line="24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 among others, Flywire’s future financial performance, including its expectations regarding Revenue, Revenue Less Ancillary Services, and Adjusted EBITDA. Risks that may cause actual results to differ materially from these forward looking statements include, but are not limited to: political, economic, foreign exchange rate, inflation, legal, social and health risks, including the COVID-19 pandemic and subsequent public health measures that may affect Flywire’s business or the global economy; beliefs and objectives for future operations; Flywire’s ability to develop and protect its brand; Flywire’s ability to maintain and grow the payment volume that it processes; Flywire’s ability to further attract, retain, and expand its client base; Flywire’s ability to develop new solutions and services and bring them to market in a timely manner; Flywire’s expectations concerning relationships with third parties, including strategic partners; the effects of increased competition in Flywire’s markets and its ability to compete effectively; future acquisitions or investments in complementary companies, products, services, or technologies; Flywire’s ability to enter new client verticals, including its relatively new B2B sector; Flywire’s expectations regarding anticipated technology needs and developments and its ability to address those needs and developments with its solutions; Flywire’s expectations regarding litigation and legal and regulatory matters; Flywire’s expectations regarding its ability to meet existing performance obligations and maintain the operability of its solutions; Flywire’s expectations regarding the effects of existing and developing laws and regulations, including with respect to payments and financial services, taxation, privacy and data protection; economic and industry trends, projected growth, or trend analysis; Flywire’s ability to attract and retain qualified employees; Flywire’s ability to maintain, protect, and enhance its intellectual property; Flywire’s ability to maintain the security and availability of its solutions; the future market price of Flywire’s common stock; and other factors that are described in the “Risk Factors” and “Management’s Discussion and Analysis of Financial Condition and Results of Operations” sections of Flywire’s Annual Report on Form 10-K for the year ended December 31, 2021 and Quarterly Report on Form 10-Q for the quarter ended June 30, 2022, which are on file with the Securities and Exchange Commission (SEC) and available on the SEC’s website at </w:t>
      </w:r>
      <w:r>
        <w:rPr>
          <w:rFonts w:ascii="Times New Roman" w:cs="Times New Roman" w:eastAsia="Times New Roman" w:hAnsi="Times New Roman"/>
          <w:sz w:val="13"/>
          <w:szCs w:val="13"/>
          <w:u w:val="single" w:color="auto"/>
          <w:color w:val="auto"/>
        </w:rPr>
        <w:t>https://www.sec.gov/</w:t>
      </w:r>
      <w:r>
        <w:rPr>
          <w:rFonts w:ascii="Times New Roman" w:cs="Times New Roman" w:eastAsia="Times New Roman" w:hAnsi="Times New Roman"/>
          <w:sz w:val="13"/>
          <w:szCs w:val="13"/>
          <w:color w:val="auto"/>
        </w:rPr>
        <w:t>. Additional factors may be described in those sections of Flywire’s Quarterly Report on Form 10-Q for the quarter ended September 30, 2022, expected to be filed with the SEC in the fourth quarter of 2022. The information in this release is provided only as of the date of this release, and Flywire undertakes no obligation to update any forward-looking statements contained in this release on account of new information, future events, or otherwise, except as required by law.</w:t>
      </w:r>
    </w:p>
    <w:p>
      <w:pPr>
        <w:sectPr>
          <w:pgSz w:w="11900" w:h="16838" w:orient="portrait"/>
          <w:cols w:equalWidth="0" w:num="1">
            <w:col w:w="9019"/>
          </w:cols>
          <w:pgMar w:left="1440" w:top="231" w:right="1440" w:bottom="1440" w:gutter="0" w:footer="0" w:header="0"/>
        </w:sectPr>
      </w:pPr>
    </w:p>
    <w:bookmarkStart w:id="10" w:name="page11"/>
    <w:bookmarkEnd w:id="10"/>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Contacts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Media</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Sarah King</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b w:val="1"/>
          <w:bCs w:val="1"/>
          <w:color w:val="auto"/>
        </w:rPr>
        <w:t>Sarah.King@Flywire.com</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Prosek Partners</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pro-flywire@prosek.com</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Investor Relations</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ICR</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flywireir@icrinc.com</w:t>
      </w:r>
    </w:p>
    <w:p>
      <w:pPr>
        <w:sectPr>
          <w:pgSz w:w="11900" w:h="16838" w:orient="portrait"/>
          <w:cols w:equalWidth="0" w:num="1">
            <w:col w:w="9019"/>
          </w:cols>
          <w:pgMar w:left="1440" w:top="229" w:right="1440"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Condensed Consolidated Statements of Operations and Comprehensive (Loss) Income</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 (Amounts in thousands, except share and per share amounts)</w:t>
      </w:r>
    </w:p>
    <w:p>
      <w:pPr>
        <w:spacing w:after="0" w:line="156" w:lineRule="exact"/>
        <w:rPr>
          <w:sz w:val="20"/>
          <w:szCs w:val="20"/>
          <w:color w:val="auto"/>
        </w:rPr>
      </w:pPr>
    </w:p>
    <w:tbl>
      <w:tblPr>
        <w:tblLayout w:type="fixed"/>
        <w:tblInd w:w="640" w:type="dxa"/>
        <w:tblCellMar>
          <w:top w:w="0" w:type="dxa"/>
          <w:left w:w="0" w:type="dxa"/>
          <w:bottom w:w="0" w:type="dxa"/>
          <w:right w:w="0" w:type="dxa"/>
        </w:tblCellMar>
      </w:tblPr>
      <w:tr>
        <w:trPr>
          <w:trHeight w:val="121"/>
        </w:trPr>
        <w:tc>
          <w:tcPr>
            <w:tcW w:w="3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960" w:type="dxa"/>
            <w:vAlign w:val="bottom"/>
            <w:gridSpan w:val="5"/>
          </w:tcPr>
          <w:p>
            <w:pPr>
              <w:jc w:val="right"/>
              <w:ind w:right="70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80" w:type="dxa"/>
            <w:vAlign w:val="bottom"/>
          </w:tcPr>
          <w:p>
            <w:pPr>
              <w:spacing w:after="0"/>
              <w:rPr>
                <w:sz w:val="10"/>
                <w:szCs w:val="10"/>
                <w:color w:val="auto"/>
              </w:rPr>
            </w:pPr>
          </w:p>
        </w:tc>
        <w:tc>
          <w:tcPr>
            <w:tcW w:w="1660" w:type="dxa"/>
            <w:vAlign w:val="bottom"/>
            <w:gridSpan w:val="5"/>
          </w:tcPr>
          <w:p>
            <w:pPr>
              <w:jc w:val="right"/>
              <w:ind w:right="438"/>
              <w:spacing w:after="0"/>
              <w:rPr>
                <w:sz w:val="20"/>
                <w:szCs w:val="20"/>
                <w:color w:val="auto"/>
              </w:rPr>
            </w:pPr>
            <w:r>
              <w:rPr>
                <w:rFonts w:ascii="Times New Roman" w:cs="Times New Roman" w:eastAsia="Times New Roman" w:hAnsi="Times New Roman"/>
                <w:sz w:val="10"/>
                <w:szCs w:val="10"/>
                <w:b w:val="1"/>
                <w:bCs w:val="1"/>
                <w:color w:val="auto"/>
              </w:rPr>
              <w:t>Nine Months Ended</w:t>
            </w:r>
          </w:p>
        </w:tc>
      </w:tr>
      <w:tr>
        <w:trPr>
          <w:trHeight w:val="77"/>
        </w:trPr>
        <w:tc>
          <w:tcPr>
            <w:tcW w:w="398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660" w:type="dxa"/>
            <w:vAlign w:val="bottom"/>
            <w:tcBorders>
              <w:top w:val="single" w:sz="8" w:color="auto"/>
            </w:tcBorders>
            <w:gridSpan w:val="4"/>
          </w:tcPr>
          <w:p>
            <w:pPr>
              <w:jc w:val="right"/>
              <w:ind w:right="497"/>
              <w:spacing w:after="0" w:line="77"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3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580" w:type="dxa"/>
            <w:vAlign w:val="bottom"/>
            <w:tcBorders>
              <w:top w:val="single" w:sz="8" w:color="auto"/>
            </w:tcBorders>
            <w:gridSpan w:val="4"/>
          </w:tcPr>
          <w:p>
            <w:pPr>
              <w:ind w:left="440"/>
              <w:spacing w:after="0" w:line="77"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80" w:type="dxa"/>
            <w:vAlign w:val="bottom"/>
          </w:tcPr>
          <w:p>
            <w:pPr>
              <w:spacing w:after="0"/>
              <w:rPr>
                <w:sz w:val="6"/>
                <w:szCs w:val="6"/>
                <w:color w:val="auto"/>
              </w:rPr>
            </w:pPr>
          </w:p>
        </w:tc>
      </w:tr>
      <w:tr>
        <w:trPr>
          <w:trHeight w:val="121"/>
        </w:trPr>
        <w:tc>
          <w:tcPr>
            <w:tcW w:w="39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0"/>
                <w:szCs w:val="10"/>
                <w:b w:val="1"/>
                <w:bCs w:val="1"/>
                <w:color w:val="auto"/>
              </w:rPr>
              <w:t>2022</w:t>
            </w:r>
          </w:p>
        </w:tc>
        <w:tc>
          <w:tcPr>
            <w:tcW w:w="3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0"/>
                <w:szCs w:val="10"/>
                <w:b w:val="1"/>
                <w:bCs w:val="1"/>
                <w:color w:val="auto"/>
              </w:rPr>
              <w:t>2021</w:t>
            </w:r>
          </w:p>
        </w:tc>
        <w:tc>
          <w:tcPr>
            <w:tcW w:w="3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0"/>
                <w:szCs w:val="10"/>
                <w:b w:val="1"/>
                <w:bCs w:val="1"/>
                <w:color w:val="auto"/>
              </w:rPr>
              <w:t>2022</w:t>
            </w:r>
          </w:p>
        </w:tc>
        <w:tc>
          <w:tcPr>
            <w:tcW w:w="3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Borders>
              <w:bottom w:val="single" w:sz="8" w:color="CCEEFF"/>
            </w:tcBorders>
          </w:tcPr>
          <w:p>
            <w:pPr>
              <w:spacing w:after="0"/>
              <w:rPr>
                <w:sz w:val="10"/>
                <w:szCs w:val="10"/>
                <w:color w:val="auto"/>
              </w:rPr>
            </w:pPr>
          </w:p>
        </w:tc>
      </w:tr>
      <w:tr>
        <w:trPr>
          <w:trHeight w:val="141"/>
        </w:trPr>
        <w:tc>
          <w:tcPr>
            <w:tcW w:w="39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95,232</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67,788</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216,322</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149,755</w:t>
            </w:r>
          </w:p>
        </w:tc>
        <w:tc>
          <w:tcPr>
            <w:tcW w:w="80" w:type="dxa"/>
            <w:vAlign w:val="bottom"/>
            <w:shd w:val="clear" w:color="auto" w:fill="CCEEFF"/>
          </w:tcPr>
          <w:p>
            <w:pPr>
              <w:spacing w:after="0"/>
              <w:rPr>
                <w:sz w:val="12"/>
                <w:szCs w:val="12"/>
                <w:color w:val="auto"/>
              </w:rPr>
            </w:pPr>
          </w:p>
        </w:tc>
      </w:tr>
      <w:tr>
        <w:trPr>
          <w:trHeight w:val="152"/>
        </w:trPr>
        <w:tc>
          <w:tcPr>
            <w:tcW w:w="3980" w:type="dxa"/>
            <w:vAlign w:val="bottom"/>
          </w:tcPr>
          <w:p>
            <w:pPr>
              <w:spacing w:after="0"/>
              <w:rPr>
                <w:sz w:val="20"/>
                <w:szCs w:val="20"/>
                <w:color w:val="auto"/>
              </w:rPr>
            </w:pPr>
            <w:r>
              <w:rPr>
                <w:rFonts w:ascii="Times New Roman" w:cs="Times New Roman" w:eastAsia="Times New Roman" w:hAnsi="Times New Roman"/>
                <w:sz w:val="13"/>
                <w:szCs w:val="13"/>
                <w:color w:val="auto"/>
              </w:rPr>
              <w:t>Costs and operating expenses: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3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Payment processing and services costs</w:t>
            </w: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32,275</w:t>
            </w:r>
          </w:p>
        </w:tc>
        <w:tc>
          <w:tcPr>
            <w:tcW w:w="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21,724</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78,348</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50,937</w:t>
            </w:r>
          </w:p>
        </w:tc>
      </w:tr>
      <w:tr>
        <w:trPr>
          <w:trHeight w:val="152"/>
        </w:trPr>
        <w:tc>
          <w:tcPr>
            <w:tcW w:w="39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Technology and development</w:t>
            </w:r>
          </w:p>
        </w:tc>
        <w:tc>
          <w:tcPr>
            <w:tcW w:w="60" w:type="dxa"/>
            <w:vAlign w:val="bottom"/>
          </w:tcPr>
          <w:p>
            <w:pPr>
              <w:spacing w:after="0"/>
              <w:rPr>
                <w:sz w:val="13"/>
                <w:szCs w:val="13"/>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13,385</w:t>
            </w: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7,752</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37,565</w:t>
            </w:r>
          </w:p>
        </w:tc>
        <w:tc>
          <w:tcPr>
            <w:tcW w:w="60" w:type="dxa"/>
            <w:vAlign w:val="bottom"/>
          </w:tcPr>
          <w:p>
            <w:pPr>
              <w:spacing w:after="0"/>
              <w:rPr>
                <w:sz w:val="13"/>
                <w:szCs w:val="13"/>
                <w:color w:val="auto"/>
              </w:rPr>
            </w:pPr>
          </w:p>
        </w:tc>
        <w:tc>
          <w:tcPr>
            <w:tcW w:w="66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22,203</w:t>
            </w:r>
          </w:p>
        </w:tc>
      </w:tr>
      <w:tr>
        <w:trPr>
          <w:trHeight w:val="152"/>
        </w:trPr>
        <w:tc>
          <w:tcPr>
            <w:tcW w:w="3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Selling and marketing</w:t>
            </w: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21,674</w:t>
            </w:r>
          </w:p>
        </w:tc>
        <w:tc>
          <w:tcPr>
            <w:tcW w:w="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12,540</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58,169</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35,400</w:t>
            </w:r>
          </w:p>
        </w:tc>
      </w:tr>
      <w:tr>
        <w:trPr>
          <w:trHeight w:val="152"/>
        </w:trPr>
        <w:tc>
          <w:tcPr>
            <w:tcW w:w="39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24,246</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14,676</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63,089</w:t>
            </w:r>
          </w:p>
        </w:tc>
        <w:tc>
          <w:tcPr>
            <w:tcW w:w="60" w:type="dxa"/>
            <w:vAlign w:val="bottom"/>
          </w:tcPr>
          <w:p>
            <w:pPr>
              <w:spacing w:after="0"/>
              <w:rPr>
                <w:sz w:val="13"/>
                <w:szCs w:val="13"/>
                <w:color w:val="auto"/>
              </w:rPr>
            </w:pPr>
          </w:p>
        </w:tc>
        <w:tc>
          <w:tcPr>
            <w:tcW w:w="66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44,145</w:t>
            </w:r>
          </w:p>
        </w:tc>
      </w:tr>
      <w:tr>
        <w:trPr>
          <w:trHeight w:val="151"/>
        </w:trPr>
        <w:tc>
          <w:tcPr>
            <w:tcW w:w="3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costs and operating expenses</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91,580</w:t>
            </w:r>
          </w:p>
        </w:tc>
        <w:tc>
          <w:tcPr>
            <w:tcW w:w="320" w:type="dxa"/>
            <w:vAlign w:val="bottom"/>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56,692</w:t>
            </w:r>
          </w:p>
        </w:tc>
        <w:tc>
          <w:tcPr>
            <w:tcW w:w="300" w:type="dxa"/>
            <w:vAlign w:val="bottom"/>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237,171</w:t>
            </w:r>
          </w:p>
        </w:tc>
        <w:tc>
          <w:tcPr>
            <w:tcW w:w="320" w:type="dxa"/>
            <w:vAlign w:val="bottom"/>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152,685</w:t>
            </w:r>
          </w:p>
        </w:tc>
        <w:tc>
          <w:tcPr>
            <w:tcW w:w="80" w:type="dxa"/>
            <w:vAlign w:val="bottom"/>
            <w:shd w:val="clear" w:color="auto" w:fill="CCEEFF"/>
          </w:tcPr>
          <w:p>
            <w:pPr>
              <w:spacing w:after="0"/>
              <w:rPr>
                <w:sz w:val="13"/>
                <w:szCs w:val="13"/>
                <w:color w:val="auto"/>
              </w:rPr>
            </w:pPr>
          </w:p>
        </w:tc>
      </w:tr>
      <w:tr>
        <w:trPr>
          <w:trHeight w:val="151"/>
        </w:trPr>
        <w:tc>
          <w:tcPr>
            <w:tcW w:w="3980" w:type="dxa"/>
            <w:vAlign w:val="bottom"/>
          </w:tcPr>
          <w:p>
            <w:pPr>
              <w:spacing w:after="0"/>
              <w:rPr>
                <w:sz w:val="20"/>
                <w:szCs w:val="20"/>
                <w:color w:val="auto"/>
              </w:rPr>
            </w:pPr>
            <w:r>
              <w:rPr>
                <w:rFonts w:ascii="Times New Roman" w:cs="Times New Roman" w:eastAsia="Times New Roman" w:hAnsi="Times New Roman"/>
                <w:sz w:val="13"/>
                <w:szCs w:val="13"/>
                <w:color w:val="auto"/>
              </w:rPr>
              <w:t>Income (loss) from operations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3,652</w:t>
            </w:r>
          </w:p>
        </w:tc>
        <w:tc>
          <w:tcPr>
            <w:tcW w:w="3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11,096</w:t>
            </w:r>
          </w:p>
        </w:tc>
        <w:tc>
          <w:tcPr>
            <w:tcW w:w="3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(20,849)</w:t>
            </w:r>
          </w:p>
        </w:tc>
        <w:tc>
          <w:tcPr>
            <w:tcW w:w="3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(2,930)</w:t>
            </w:r>
          </w:p>
        </w:tc>
        <w:tc>
          <w:tcPr>
            <w:tcW w:w="80" w:type="dxa"/>
            <w:vAlign w:val="bottom"/>
          </w:tcPr>
          <w:p>
            <w:pPr>
              <w:spacing w:after="0"/>
              <w:rPr>
                <w:sz w:val="13"/>
                <w:szCs w:val="13"/>
                <w:color w:val="auto"/>
              </w:rPr>
            </w:pPr>
          </w:p>
        </w:tc>
      </w:tr>
      <w:tr>
        <w:trPr>
          <w:trHeight w:val="152"/>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income (expense):</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39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Interest expense</w:t>
            </w:r>
          </w:p>
        </w:tc>
        <w:tc>
          <w:tcPr>
            <w:tcW w:w="6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(400)</w:t>
            </w:r>
          </w:p>
        </w:tc>
        <w:tc>
          <w:tcPr>
            <w:tcW w:w="6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(542)</w:t>
            </w:r>
          </w:p>
        </w:tc>
        <w:tc>
          <w:tcPr>
            <w:tcW w:w="80" w:type="dxa"/>
            <w:vAlign w:val="bottom"/>
          </w:tcPr>
          <w:p>
            <w:pPr>
              <w:spacing w:after="0"/>
              <w:rPr>
                <w:sz w:val="13"/>
                <w:szCs w:val="13"/>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(884)</w:t>
            </w:r>
          </w:p>
        </w:tc>
        <w:tc>
          <w:tcPr>
            <w:tcW w:w="6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(1,804)</w:t>
            </w:r>
          </w:p>
        </w:tc>
      </w:tr>
      <w:tr>
        <w:trPr>
          <w:trHeight w:val="152"/>
        </w:trPr>
        <w:tc>
          <w:tcPr>
            <w:tcW w:w="3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Change in fair value of preferred stock warrant liability</w:t>
            </w: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(10,758)</w:t>
            </w:r>
          </w:p>
        </w:tc>
      </w:tr>
      <w:tr>
        <w:trPr>
          <w:trHeight w:val="152"/>
        </w:trPr>
        <w:tc>
          <w:tcPr>
            <w:tcW w:w="39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Income (expense), net</w:t>
            </w:r>
          </w:p>
        </w:tc>
        <w:tc>
          <w:tcPr>
            <w:tcW w:w="6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(6,247)</w:t>
            </w:r>
          </w:p>
        </w:tc>
        <w:tc>
          <w:tcPr>
            <w:tcW w:w="6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(214)</w:t>
            </w:r>
          </w:p>
        </w:tc>
        <w:tc>
          <w:tcPr>
            <w:tcW w:w="80" w:type="dxa"/>
            <w:vAlign w:val="bottom"/>
          </w:tcPr>
          <w:p>
            <w:pPr>
              <w:spacing w:after="0"/>
              <w:rPr>
                <w:sz w:val="13"/>
                <w:szCs w:val="13"/>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(13,630)</w:t>
            </w:r>
          </w:p>
        </w:tc>
        <w:tc>
          <w:tcPr>
            <w:tcW w:w="6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(494)</w:t>
            </w:r>
          </w:p>
        </w:tc>
      </w:tr>
      <w:tr>
        <w:trPr>
          <w:trHeight w:val="20"/>
        </w:trPr>
        <w:tc>
          <w:tcPr>
            <w:tcW w:w="39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3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other expenses, net</w:t>
            </w: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(6,647)</w:t>
            </w:r>
          </w:p>
        </w:tc>
        <w:tc>
          <w:tcPr>
            <w:tcW w:w="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(756)</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(14,514)</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(13,056)</w:t>
            </w:r>
          </w:p>
        </w:tc>
      </w:tr>
      <w:tr>
        <w:trPr>
          <w:trHeight w:val="151"/>
        </w:trPr>
        <w:tc>
          <w:tcPr>
            <w:tcW w:w="3980" w:type="dxa"/>
            <w:vAlign w:val="bottom"/>
          </w:tcPr>
          <w:p>
            <w:pPr>
              <w:spacing w:after="0"/>
              <w:rPr>
                <w:sz w:val="20"/>
                <w:szCs w:val="20"/>
                <w:color w:val="auto"/>
              </w:rPr>
            </w:pPr>
            <w:r>
              <w:rPr>
                <w:rFonts w:ascii="Times New Roman" w:cs="Times New Roman" w:eastAsia="Times New Roman" w:hAnsi="Times New Roman"/>
                <w:sz w:val="13"/>
                <w:szCs w:val="13"/>
                <w:color w:val="auto"/>
              </w:rPr>
              <w:t>(Loss) income before provision for income taxes</w:t>
            </w: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(2,995)</w:t>
            </w:r>
          </w:p>
        </w:tc>
        <w:tc>
          <w:tcPr>
            <w:tcW w:w="32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10,340</w:t>
            </w:r>
          </w:p>
        </w:tc>
        <w:tc>
          <w:tcPr>
            <w:tcW w:w="30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(35,363)</w:t>
            </w:r>
          </w:p>
        </w:tc>
        <w:tc>
          <w:tcPr>
            <w:tcW w:w="32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(15,986)</w:t>
            </w:r>
          </w:p>
        </w:tc>
        <w:tc>
          <w:tcPr>
            <w:tcW w:w="80" w:type="dxa"/>
            <w:vAlign w:val="bottom"/>
          </w:tcPr>
          <w:p>
            <w:pPr>
              <w:spacing w:after="0"/>
              <w:rPr>
                <w:sz w:val="13"/>
                <w:szCs w:val="13"/>
                <w:color w:val="auto"/>
              </w:rPr>
            </w:pPr>
          </w:p>
        </w:tc>
      </w:tr>
      <w:tr>
        <w:trPr>
          <w:trHeight w:val="152"/>
        </w:trPr>
        <w:tc>
          <w:tcPr>
            <w:tcW w:w="3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1,277</w:t>
            </w: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346</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2,855</w:t>
            </w: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818</w:t>
            </w:r>
          </w:p>
        </w:tc>
      </w:tr>
      <w:tr>
        <w:trPr>
          <w:trHeight w:val="151"/>
        </w:trPr>
        <w:tc>
          <w:tcPr>
            <w:tcW w:w="3980" w:type="dxa"/>
            <w:vAlign w:val="bottom"/>
          </w:tcPr>
          <w:p>
            <w:pPr>
              <w:spacing w:after="0"/>
              <w:rPr>
                <w:sz w:val="20"/>
                <w:szCs w:val="20"/>
                <w:color w:val="auto"/>
              </w:rPr>
            </w:pPr>
            <w:r>
              <w:rPr>
                <w:rFonts w:ascii="Times New Roman" w:cs="Times New Roman" w:eastAsia="Times New Roman" w:hAnsi="Times New Roman"/>
                <w:sz w:val="13"/>
                <w:szCs w:val="13"/>
                <w:color w:val="auto"/>
              </w:rPr>
              <w:t>Net (loss) income</w:t>
            </w: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(4,272)</w:t>
            </w:r>
          </w:p>
        </w:tc>
        <w:tc>
          <w:tcPr>
            <w:tcW w:w="32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9,994</w:t>
            </w:r>
          </w:p>
        </w:tc>
        <w:tc>
          <w:tcPr>
            <w:tcW w:w="30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(38,218)</w:t>
            </w:r>
          </w:p>
        </w:tc>
        <w:tc>
          <w:tcPr>
            <w:tcW w:w="32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(16,804)</w:t>
            </w:r>
          </w:p>
        </w:tc>
        <w:tc>
          <w:tcPr>
            <w:tcW w:w="80" w:type="dxa"/>
            <w:vAlign w:val="bottom"/>
          </w:tcPr>
          <w:p>
            <w:pPr>
              <w:spacing w:after="0"/>
              <w:rPr>
                <w:sz w:val="13"/>
                <w:szCs w:val="13"/>
                <w:color w:val="auto"/>
              </w:rPr>
            </w:pPr>
          </w:p>
        </w:tc>
      </w:tr>
      <w:tr>
        <w:trPr>
          <w:trHeight w:val="152"/>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 currency translation adjustment</w:t>
            </w: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(273)</w:t>
            </w:r>
          </w:p>
        </w:tc>
        <w:tc>
          <w:tcPr>
            <w:tcW w:w="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(343)</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(408)</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r>
      <w:tr>
        <w:trPr>
          <w:trHeight w:val="159"/>
        </w:trPr>
        <w:tc>
          <w:tcPr>
            <w:tcW w:w="3980" w:type="dxa"/>
            <w:vAlign w:val="bottom"/>
          </w:tcPr>
          <w:p>
            <w:pPr>
              <w:spacing w:after="0"/>
              <w:rPr>
                <w:sz w:val="20"/>
                <w:szCs w:val="20"/>
                <w:color w:val="auto"/>
              </w:rPr>
            </w:pPr>
            <w:r>
              <w:rPr>
                <w:rFonts w:ascii="Times New Roman" w:cs="Times New Roman" w:eastAsia="Times New Roman" w:hAnsi="Times New Roman"/>
                <w:sz w:val="13"/>
                <w:szCs w:val="13"/>
                <w:color w:val="auto"/>
              </w:rPr>
              <w:t>Comprehensive (loss) income</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(4,545)</w:t>
            </w:r>
          </w:p>
        </w:tc>
        <w:tc>
          <w:tcPr>
            <w:tcW w:w="3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9,651</w:t>
            </w: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(38,626)</w:t>
            </w:r>
          </w:p>
        </w:tc>
        <w:tc>
          <w:tcPr>
            <w:tcW w:w="3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(16,884</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148"/>
        </w:trPr>
        <w:tc>
          <w:tcPr>
            <w:tcW w:w="3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3"/>
                <w:szCs w:val="13"/>
                <w:color w:val="auto"/>
              </w:rPr>
              <w:t>Net (loss) income attributable to common stockholders - basic and</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4"/>
        </w:trPr>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diluted</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(4,272)</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9,994</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(38,218)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(16,817)</w:t>
            </w:r>
          </w:p>
        </w:tc>
      </w:tr>
      <w:tr>
        <w:trPr>
          <w:trHeight w:val="151"/>
        </w:trPr>
        <w:tc>
          <w:tcPr>
            <w:tcW w:w="3980" w:type="dxa"/>
            <w:vAlign w:val="bottom"/>
          </w:tcPr>
          <w:p>
            <w:pPr>
              <w:spacing w:after="0"/>
              <w:rPr>
                <w:sz w:val="20"/>
                <w:szCs w:val="20"/>
                <w:color w:val="auto"/>
              </w:rPr>
            </w:pPr>
            <w:r>
              <w:rPr>
                <w:rFonts w:ascii="Times New Roman" w:cs="Times New Roman" w:eastAsia="Times New Roman" w:hAnsi="Times New Roman"/>
                <w:sz w:val="13"/>
                <w:szCs w:val="13"/>
                <w:color w:val="auto"/>
              </w:rPr>
              <w:t>Net (loss) income per share attributable to common stockholders - basic</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(0.04)</w:t>
            </w:r>
          </w:p>
        </w:tc>
        <w:tc>
          <w:tcPr>
            <w:tcW w:w="3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0.10</w:t>
            </w: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(0.36)</w:t>
            </w:r>
          </w:p>
        </w:tc>
        <w:tc>
          <w:tcPr>
            <w:tcW w:w="3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(0.28)</w:t>
            </w:r>
          </w:p>
        </w:tc>
        <w:tc>
          <w:tcPr>
            <w:tcW w:w="80" w:type="dxa"/>
            <w:vAlign w:val="bottom"/>
          </w:tcPr>
          <w:p>
            <w:pPr>
              <w:spacing w:after="0"/>
              <w:rPr>
                <w:sz w:val="13"/>
                <w:szCs w:val="13"/>
                <w:color w:val="auto"/>
              </w:rPr>
            </w:pPr>
          </w:p>
        </w:tc>
      </w:tr>
      <w:tr>
        <w:trPr>
          <w:trHeight w:val="151"/>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 income per share attributable to common stockholders - diluted</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(0.04)</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0.08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(0.36)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(0.28)</w:t>
            </w:r>
          </w:p>
        </w:tc>
      </w:tr>
      <w:tr>
        <w:trPr>
          <w:trHeight w:val="151"/>
        </w:trPr>
        <w:tc>
          <w:tcPr>
            <w:tcW w:w="3980" w:type="dxa"/>
            <w:vAlign w:val="bottom"/>
          </w:tcPr>
          <w:p>
            <w:pPr>
              <w:spacing w:after="0"/>
              <w:rPr>
                <w:sz w:val="20"/>
                <w:szCs w:val="20"/>
                <w:color w:val="auto"/>
              </w:rPr>
            </w:pPr>
            <w:r>
              <w:rPr>
                <w:rFonts w:ascii="Times New Roman" w:cs="Times New Roman" w:eastAsia="Times New Roman" w:hAnsi="Times New Roman"/>
                <w:sz w:val="13"/>
                <w:szCs w:val="13"/>
                <w:color w:val="auto"/>
              </w:rPr>
              <w:t>Weighted average common shares outstanding - basic</w:t>
            </w:r>
          </w:p>
        </w:tc>
        <w:tc>
          <w:tcPr>
            <w:tcW w:w="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107,925,637</w:t>
            </w:r>
          </w:p>
        </w:tc>
        <w:tc>
          <w:tcPr>
            <w:tcW w:w="32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104,486,136</w:t>
            </w: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107,562,799</w:t>
            </w:r>
          </w:p>
        </w:tc>
        <w:tc>
          <w:tcPr>
            <w:tcW w:w="32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59,667,434</w:t>
            </w:r>
          </w:p>
        </w:tc>
        <w:tc>
          <w:tcPr>
            <w:tcW w:w="80" w:type="dxa"/>
            <w:vAlign w:val="bottom"/>
          </w:tcPr>
          <w:p>
            <w:pPr>
              <w:spacing w:after="0"/>
              <w:rPr>
                <w:sz w:val="13"/>
                <w:szCs w:val="13"/>
                <w:color w:val="auto"/>
              </w:rPr>
            </w:pPr>
          </w:p>
        </w:tc>
      </w:tr>
      <w:tr>
        <w:trPr>
          <w:trHeight w:val="151"/>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 average common shares outstanding - diluted</w:t>
            </w:r>
          </w:p>
        </w:tc>
        <w:tc>
          <w:tcPr>
            <w:tcW w:w="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107,925,637</w:t>
            </w:r>
          </w:p>
        </w:tc>
        <w:tc>
          <w:tcPr>
            <w:tcW w:w="3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118,445,907</w:t>
            </w:r>
          </w:p>
        </w:tc>
        <w:tc>
          <w:tcPr>
            <w:tcW w:w="3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107,562,799</w:t>
            </w:r>
          </w:p>
        </w:tc>
        <w:tc>
          <w:tcPr>
            <w:tcW w:w="3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59,667,434</w:t>
            </w:r>
          </w:p>
        </w:tc>
        <w:tc>
          <w:tcPr>
            <w:tcW w:w="80" w:type="dxa"/>
            <w:vAlign w:val="bottom"/>
            <w:shd w:val="clear" w:color="auto" w:fill="CCEEFF"/>
          </w:tcPr>
          <w:p>
            <w:pPr>
              <w:spacing w:after="0"/>
              <w:rPr>
                <w:sz w:val="13"/>
                <w:szCs w:val="13"/>
                <w:color w:val="auto"/>
              </w:rPr>
            </w:pPr>
          </w:p>
        </w:tc>
      </w:tr>
    </w:tbl>
    <w:p>
      <w:pPr>
        <w:sectPr>
          <w:pgSz w:w="11900" w:h="16838" w:orient="portrait"/>
          <w:cols w:equalWidth="0" w:num="1">
            <w:col w:w="9019"/>
          </w:cols>
          <w:pgMar w:left="1440" w:top="229" w:right="1440"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Condensed Consolidated Balance Sheets</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 (Amounts in thousands, except share amounts)</w:t>
      </w:r>
    </w:p>
    <w:p>
      <w:pPr>
        <w:spacing w:after="0" w:line="145"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6220" w:type="dxa"/>
            <w:vAlign w:val="bottom"/>
          </w:tcPr>
          <w:p>
            <w:pPr>
              <w:spacing w:after="0"/>
              <w:rPr>
                <w:sz w:val="10"/>
                <w:szCs w:val="10"/>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6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1"/>
        </w:trPr>
        <w:tc>
          <w:tcPr>
            <w:tcW w:w="6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0"/>
                <w:szCs w:val="10"/>
                <w:b w:val="1"/>
                <w:bCs w:val="1"/>
                <w:color w:val="auto"/>
              </w:rPr>
              <w:t>2022</w:t>
            </w: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Pr>
          <w:p>
            <w:pPr>
              <w:spacing w:after="0"/>
              <w:rPr>
                <w:sz w:val="10"/>
                <w:szCs w:val="10"/>
                <w:color w:val="auto"/>
              </w:rPr>
            </w:pPr>
          </w:p>
        </w:tc>
      </w:tr>
      <w:tr>
        <w:trPr>
          <w:trHeight w:val="94"/>
        </w:trPr>
        <w:tc>
          <w:tcPr>
            <w:tcW w:w="6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jc w:val="right"/>
              <w:ind w:right="38"/>
              <w:spacing w:after="0" w:line="94" w:lineRule="exact"/>
              <w:rPr>
                <w:sz w:val="20"/>
                <w:szCs w:val="20"/>
                <w:color w:val="auto"/>
              </w:rPr>
            </w:pPr>
            <w:r>
              <w:rPr>
                <w:rFonts w:ascii="Times New Roman" w:cs="Times New Roman" w:eastAsia="Times New Roman" w:hAnsi="Times New Roman"/>
                <w:sz w:val="10"/>
                <w:szCs w:val="10"/>
                <w:b w:val="1"/>
                <w:bCs w:val="1"/>
                <w:color w:val="auto"/>
                <w:w w:val="97"/>
              </w:rPr>
              <w:t>(Audited)</w:t>
            </w:r>
          </w:p>
        </w:tc>
        <w:tc>
          <w:tcPr>
            <w:tcW w:w="80" w:type="dxa"/>
            <w:vAlign w:val="bottom"/>
          </w:tcPr>
          <w:p>
            <w:pPr>
              <w:spacing w:after="0"/>
              <w:rPr>
                <w:sz w:val="8"/>
                <w:szCs w:val="8"/>
                <w:color w:val="auto"/>
              </w:rPr>
            </w:pPr>
          </w:p>
        </w:tc>
      </w:tr>
      <w:tr>
        <w:trPr>
          <w:trHeight w:val="152"/>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622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6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349,230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385,360</w:t>
            </w:r>
          </w:p>
        </w:tc>
      </w:tr>
      <w:tr>
        <w:trPr>
          <w:trHeight w:val="152"/>
        </w:trPr>
        <w:tc>
          <w:tcPr>
            <w:tcW w:w="62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Restricted cash</w:t>
            </w:r>
          </w:p>
        </w:tc>
        <w:tc>
          <w:tcPr>
            <w:tcW w:w="12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2,000</w:t>
            </w: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4,000</w:t>
            </w:r>
          </w:p>
        </w:tc>
      </w:tr>
      <w:tr>
        <w:trPr>
          <w:trHeight w:val="152"/>
        </w:trPr>
        <w:tc>
          <w:tcPr>
            <w:tcW w:w="6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Accounts receivable, net of allowance for doubtful accounts of $143 and $106, respectively</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17,755</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12,968</w:t>
            </w:r>
          </w:p>
        </w:tc>
      </w:tr>
      <w:tr>
        <w:trPr>
          <w:trHeight w:val="152"/>
        </w:trPr>
        <w:tc>
          <w:tcPr>
            <w:tcW w:w="62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Unbilled receivables</w:t>
            </w:r>
          </w:p>
        </w:tc>
        <w:tc>
          <w:tcPr>
            <w:tcW w:w="12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5,645</w:t>
            </w: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3,340</w:t>
            </w:r>
          </w:p>
        </w:tc>
      </w:tr>
      <w:tr>
        <w:trPr>
          <w:trHeight w:val="152"/>
        </w:trPr>
        <w:tc>
          <w:tcPr>
            <w:tcW w:w="6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Funds receivable from payment partners</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34,143</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28,286</w:t>
            </w:r>
          </w:p>
        </w:tc>
      </w:tr>
      <w:tr>
        <w:trPr>
          <w:trHeight w:val="152"/>
        </w:trPr>
        <w:tc>
          <w:tcPr>
            <w:tcW w:w="62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14,317</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9,834</w:t>
            </w:r>
          </w:p>
        </w:tc>
        <w:tc>
          <w:tcPr>
            <w:tcW w:w="80" w:type="dxa"/>
            <w:vAlign w:val="bottom"/>
          </w:tcPr>
          <w:p>
            <w:pPr>
              <w:spacing w:after="0"/>
              <w:rPr>
                <w:sz w:val="13"/>
                <w:szCs w:val="13"/>
                <w:color w:val="auto"/>
              </w:rPr>
            </w:pPr>
          </w:p>
        </w:tc>
      </w:tr>
      <w:tr>
        <w:trPr>
          <w:trHeight w:val="151"/>
        </w:trPr>
        <w:tc>
          <w:tcPr>
            <w:tcW w:w="62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Total current assets</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423,090</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443,788</w:t>
            </w:r>
          </w:p>
        </w:tc>
      </w:tr>
      <w:tr>
        <w:trPr>
          <w:trHeight w:val="152"/>
        </w:trPr>
        <w:tc>
          <w:tcPr>
            <w:tcW w:w="6220" w:type="dxa"/>
            <w:vAlign w:val="bottom"/>
          </w:tcPr>
          <w:p>
            <w:pPr>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12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12,098</w:t>
            </w: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9,442</w:t>
            </w:r>
          </w:p>
        </w:tc>
      </w:tr>
      <w:tr>
        <w:trPr>
          <w:trHeight w:val="152"/>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Intangible assets, net</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97,150</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93,598</w:t>
            </w:r>
          </w:p>
        </w:tc>
      </w:tr>
      <w:tr>
        <w:trPr>
          <w:trHeight w:val="152"/>
        </w:trPr>
        <w:tc>
          <w:tcPr>
            <w:tcW w:w="6220" w:type="dxa"/>
            <w:vAlign w:val="bottom"/>
          </w:tcPr>
          <w:p>
            <w:pPr>
              <w:spacing w:after="0"/>
              <w:rPr>
                <w:sz w:val="20"/>
                <w:szCs w:val="20"/>
                <w:color w:val="auto"/>
              </w:rPr>
            </w:pPr>
            <w:r>
              <w:rPr>
                <w:rFonts w:ascii="Times New Roman" w:cs="Times New Roman" w:eastAsia="Times New Roman" w:hAnsi="Times New Roman"/>
                <w:sz w:val="13"/>
                <w:szCs w:val="13"/>
                <w:color w:val="auto"/>
              </w:rPr>
              <w:t>Goodwill</w:t>
            </w:r>
          </w:p>
        </w:tc>
        <w:tc>
          <w:tcPr>
            <w:tcW w:w="12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95,239</w:t>
            </w: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85,841</w:t>
            </w:r>
          </w:p>
        </w:tc>
      </w:tr>
      <w:tr>
        <w:trPr>
          <w:trHeight w:val="152"/>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assets</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13,646</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7,176</w:t>
            </w:r>
          </w:p>
        </w:tc>
      </w:tr>
      <w:tr>
        <w:trPr>
          <w:trHeight w:val="159"/>
        </w:trPr>
        <w:tc>
          <w:tcPr>
            <w:tcW w:w="622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Total assets</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641,223</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639,845</w:t>
            </w:r>
          </w:p>
        </w:tc>
        <w:tc>
          <w:tcPr>
            <w:tcW w:w="80" w:type="dxa"/>
            <w:vAlign w:val="bottom"/>
          </w:tcPr>
          <w:p>
            <w:pPr>
              <w:spacing w:after="0"/>
              <w:rPr>
                <w:sz w:val="13"/>
                <w:szCs w:val="13"/>
                <w:color w:val="auto"/>
              </w:rPr>
            </w:pPr>
          </w:p>
        </w:tc>
      </w:tr>
      <w:tr>
        <w:trPr>
          <w:trHeight w:val="161"/>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52"/>
        </w:trPr>
        <w:tc>
          <w:tcPr>
            <w:tcW w:w="6220" w:type="dxa"/>
            <w:vAlign w:val="bottom"/>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6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Accounts payable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13,819</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10,242</w:t>
            </w:r>
          </w:p>
        </w:tc>
      </w:tr>
      <w:tr>
        <w:trPr>
          <w:trHeight w:val="152"/>
        </w:trPr>
        <w:tc>
          <w:tcPr>
            <w:tcW w:w="62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Funds payable to clients</w:t>
            </w:r>
          </w:p>
        </w:tc>
        <w:tc>
          <w:tcPr>
            <w:tcW w:w="12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71,574</w:t>
            </w: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71,302</w:t>
            </w:r>
          </w:p>
        </w:tc>
      </w:tr>
      <w:tr>
        <w:trPr>
          <w:trHeight w:val="152"/>
        </w:trPr>
        <w:tc>
          <w:tcPr>
            <w:tcW w:w="6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29,992</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22,726</w:t>
            </w:r>
          </w:p>
        </w:tc>
      </w:tr>
      <w:tr>
        <w:trPr>
          <w:trHeight w:val="152"/>
        </w:trPr>
        <w:tc>
          <w:tcPr>
            <w:tcW w:w="62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Deferred revenue</w:t>
            </w:r>
          </w:p>
        </w:tc>
        <w:tc>
          <w:tcPr>
            <w:tcW w:w="12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4,759</w:t>
            </w: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5,488</w:t>
            </w:r>
          </w:p>
        </w:tc>
      </w:tr>
      <w:tr>
        <w:trPr>
          <w:trHeight w:val="152"/>
        </w:trPr>
        <w:tc>
          <w:tcPr>
            <w:tcW w:w="6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Contingent consideration</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2,787</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7,719</w:t>
            </w:r>
          </w:p>
        </w:tc>
      </w:tr>
      <w:tr>
        <w:trPr>
          <w:trHeight w:val="151"/>
        </w:trPr>
        <w:tc>
          <w:tcPr>
            <w:tcW w:w="622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122,931</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117,477</w:t>
            </w:r>
          </w:p>
        </w:tc>
        <w:tc>
          <w:tcPr>
            <w:tcW w:w="80" w:type="dxa"/>
            <w:vAlign w:val="bottom"/>
          </w:tcPr>
          <w:p>
            <w:pPr>
              <w:spacing w:after="0"/>
              <w:rPr>
                <w:sz w:val="13"/>
                <w:szCs w:val="13"/>
                <w:color w:val="auto"/>
              </w:rPr>
            </w:pPr>
          </w:p>
        </w:tc>
      </w:tr>
      <w:tr>
        <w:trPr>
          <w:trHeight w:val="152"/>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tax liabilities</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12,640</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8,401</w:t>
            </w:r>
          </w:p>
        </w:tc>
      </w:tr>
      <w:tr>
        <w:trPr>
          <w:trHeight w:val="152"/>
        </w:trPr>
        <w:tc>
          <w:tcPr>
            <w:tcW w:w="6220" w:type="dxa"/>
            <w:vAlign w:val="bottom"/>
          </w:tcPr>
          <w:p>
            <w:pPr>
              <w:spacing w:after="0"/>
              <w:rPr>
                <w:sz w:val="20"/>
                <w:szCs w:val="20"/>
                <w:color w:val="auto"/>
              </w:rPr>
            </w:pPr>
            <w:r>
              <w:rPr>
                <w:rFonts w:ascii="Times New Roman" w:cs="Times New Roman" w:eastAsia="Times New Roman" w:hAnsi="Times New Roman"/>
                <w:sz w:val="13"/>
                <w:szCs w:val="13"/>
                <w:color w:val="auto"/>
              </w:rPr>
              <w:t>Contingent consideration, net of current portion</w:t>
            </w:r>
          </w:p>
        </w:tc>
        <w:tc>
          <w:tcPr>
            <w:tcW w:w="12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1,636</w:t>
            </w: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3,590</w:t>
            </w:r>
          </w:p>
        </w:tc>
      </w:tr>
      <w:tr>
        <w:trPr>
          <w:trHeight w:val="152"/>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Long-term debt</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25,939</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25,939</w:t>
            </w:r>
          </w:p>
        </w:tc>
      </w:tr>
      <w:tr>
        <w:trPr>
          <w:trHeight w:val="152"/>
        </w:trPr>
        <w:tc>
          <w:tcPr>
            <w:tcW w:w="6220" w:type="dxa"/>
            <w:vAlign w:val="bottom"/>
          </w:tcPr>
          <w:p>
            <w:pPr>
              <w:spacing w:after="0"/>
              <w:rPr>
                <w:sz w:val="20"/>
                <w:szCs w:val="20"/>
                <w:color w:val="auto"/>
              </w:rPr>
            </w:pPr>
            <w:r>
              <w:rPr>
                <w:rFonts w:ascii="Times New Roman" w:cs="Times New Roman" w:eastAsia="Times New Roman" w:hAnsi="Times New Roman"/>
                <w:sz w:val="13"/>
                <w:szCs w:val="13"/>
                <w:color w:val="auto"/>
              </w:rPr>
              <w:t>Other liabilities</w:t>
            </w: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3,479</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2,237</w:t>
            </w:r>
          </w:p>
        </w:tc>
        <w:tc>
          <w:tcPr>
            <w:tcW w:w="80" w:type="dxa"/>
            <w:vAlign w:val="bottom"/>
          </w:tcPr>
          <w:p>
            <w:pPr>
              <w:spacing w:after="0"/>
              <w:rPr>
                <w:sz w:val="13"/>
                <w:szCs w:val="13"/>
                <w:color w:val="auto"/>
              </w:rPr>
            </w:pPr>
          </w:p>
        </w:tc>
      </w:tr>
      <w:tr>
        <w:trPr>
          <w:trHeight w:val="151"/>
        </w:trPr>
        <w:tc>
          <w:tcPr>
            <w:tcW w:w="62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Total liabilities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166,625</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157,644</w:t>
            </w:r>
          </w:p>
        </w:tc>
      </w:tr>
      <w:tr>
        <w:trPr>
          <w:trHeight w:val="151"/>
        </w:trPr>
        <w:tc>
          <w:tcPr>
            <w:tcW w:w="6220" w:type="dxa"/>
            <w:vAlign w:val="bottom"/>
          </w:tcPr>
          <w:p>
            <w:pPr>
              <w:spacing w:after="0"/>
              <w:rPr>
                <w:sz w:val="20"/>
                <w:szCs w:val="20"/>
                <w:color w:val="auto"/>
              </w:rPr>
            </w:pPr>
            <w:r>
              <w:rPr>
                <w:rFonts w:ascii="Times New Roman" w:cs="Times New Roman" w:eastAsia="Times New Roman" w:hAnsi="Times New Roman"/>
                <w:sz w:val="13"/>
                <w:szCs w:val="13"/>
                <w:color w:val="auto"/>
              </w:rPr>
              <w:t>Stockholders’ equity:</w:t>
            </w: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39"/>
        </w:trPr>
        <w:tc>
          <w:tcPr>
            <w:tcW w:w="6220" w:type="dxa"/>
            <w:vAlign w:val="bottom"/>
            <w:shd w:val="clear" w:color="auto" w:fill="CCEEFF"/>
          </w:tcPr>
          <w:p>
            <w:pPr>
              <w:ind w:left="260"/>
              <w:spacing w:after="0" w:line="139" w:lineRule="exact"/>
              <w:rPr>
                <w:sz w:val="20"/>
                <w:szCs w:val="20"/>
                <w:color w:val="auto"/>
              </w:rPr>
            </w:pPr>
            <w:r>
              <w:rPr>
                <w:rFonts w:ascii="Times New Roman" w:cs="Times New Roman" w:eastAsia="Times New Roman" w:hAnsi="Times New Roman"/>
                <w:sz w:val="13"/>
                <w:szCs w:val="13"/>
                <w:color w:val="auto"/>
              </w:rPr>
              <w:t>Preferred stock, $0.0001 par value; 10,000,000 and 10,000,000 shares authorized as of September 30, 2022 and</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2"/>
        </w:trPr>
        <w:tc>
          <w:tcPr>
            <w:tcW w:w="6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December 31, 2021, respectively; and none issued and outstanding as of September 30, 2022 and December 31,</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4"/>
        </w:trPr>
        <w:tc>
          <w:tcPr>
            <w:tcW w:w="6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2021, respectively</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39"/>
        </w:trPr>
        <w:tc>
          <w:tcPr>
            <w:tcW w:w="6220" w:type="dxa"/>
            <w:vAlign w:val="bottom"/>
          </w:tcPr>
          <w:p>
            <w:pPr>
              <w:ind w:left="260"/>
              <w:spacing w:after="0" w:line="139" w:lineRule="exact"/>
              <w:rPr>
                <w:sz w:val="20"/>
                <w:szCs w:val="20"/>
                <w:color w:val="auto"/>
              </w:rPr>
            </w:pPr>
            <w:r>
              <w:rPr>
                <w:rFonts w:ascii="Times New Roman" w:cs="Times New Roman" w:eastAsia="Times New Roman" w:hAnsi="Times New Roman"/>
                <w:sz w:val="13"/>
                <w:szCs w:val="13"/>
                <w:color w:val="auto"/>
              </w:rPr>
              <w:t>Voting common stock, $0.0001 par value; 2,000,000,000 shares authorized as of September 30, 2022 and</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2"/>
        </w:trPr>
        <w:tc>
          <w:tcPr>
            <w:tcW w:w="62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December 31, 2021, respectively, 106,593,518 shares issued and 104,275,796 shares outstanding as of</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4"/>
        </w:trPr>
        <w:tc>
          <w:tcPr>
            <w:tcW w:w="62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September 30, 2022; 102,771,899 shares issued and 100,454,177 shares outstanding as of December 31, 2021</w:t>
            </w:r>
          </w:p>
        </w:tc>
        <w:tc>
          <w:tcPr>
            <w:tcW w:w="12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w:t>
            </w:r>
          </w:p>
        </w:tc>
      </w:tr>
      <w:tr>
        <w:trPr>
          <w:trHeight w:val="139"/>
        </w:trPr>
        <w:tc>
          <w:tcPr>
            <w:tcW w:w="6220" w:type="dxa"/>
            <w:vAlign w:val="bottom"/>
            <w:shd w:val="clear" w:color="auto" w:fill="CCEEFF"/>
          </w:tcPr>
          <w:p>
            <w:pPr>
              <w:ind w:left="260"/>
              <w:spacing w:after="0" w:line="139" w:lineRule="exact"/>
              <w:rPr>
                <w:sz w:val="20"/>
                <w:szCs w:val="20"/>
                <w:color w:val="auto"/>
              </w:rPr>
            </w:pPr>
            <w:r>
              <w:rPr>
                <w:rFonts w:ascii="Times New Roman" w:cs="Times New Roman" w:eastAsia="Times New Roman" w:hAnsi="Times New Roman"/>
                <w:sz w:val="13"/>
                <w:szCs w:val="13"/>
                <w:color w:val="auto"/>
              </w:rPr>
              <w:t>Non-voting common stock, $0.0001 par value; 10,000,000 shares authorized as of September 30, 2022 and</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2"/>
        </w:trPr>
        <w:tc>
          <w:tcPr>
            <w:tcW w:w="6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December 31, 2021; 4,608,841 and 5,988,378 issued and outstanding as of September 30, 2022 and</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4"/>
        </w:trPr>
        <w:tc>
          <w:tcPr>
            <w:tcW w:w="6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December 31, 2021, respectively</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w:t>
            </w:r>
          </w:p>
        </w:tc>
      </w:tr>
      <w:tr>
        <w:trPr>
          <w:trHeight w:val="152"/>
        </w:trPr>
        <w:tc>
          <w:tcPr>
            <w:tcW w:w="62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Treasury Stock, 2,317,722 shares as of September 30, 2022 and December 31, 2021, held at cost</w:t>
            </w:r>
          </w:p>
        </w:tc>
        <w:tc>
          <w:tcPr>
            <w:tcW w:w="12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(748)</w:t>
            </w:r>
          </w:p>
        </w:tc>
        <w:tc>
          <w:tcPr>
            <w:tcW w:w="8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(748)</w:t>
            </w:r>
          </w:p>
        </w:tc>
      </w:tr>
      <w:tr>
        <w:trPr>
          <w:trHeight w:val="152"/>
        </w:trPr>
        <w:tc>
          <w:tcPr>
            <w:tcW w:w="62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640,217</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609,194</w:t>
            </w:r>
          </w:p>
        </w:tc>
      </w:tr>
      <w:tr>
        <w:trPr>
          <w:trHeight w:val="152"/>
        </w:trPr>
        <w:tc>
          <w:tcPr>
            <w:tcW w:w="62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12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(807)</w:t>
            </w:r>
          </w:p>
        </w:tc>
        <w:tc>
          <w:tcPr>
            <w:tcW w:w="8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(399)</w:t>
            </w:r>
          </w:p>
        </w:tc>
      </w:tr>
      <w:tr>
        <w:trPr>
          <w:trHeight w:val="152"/>
        </w:trPr>
        <w:tc>
          <w:tcPr>
            <w:tcW w:w="62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Accumulated deficit</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(164,075)</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(125,857)</w:t>
            </w:r>
          </w:p>
        </w:tc>
      </w:tr>
      <w:tr>
        <w:trPr>
          <w:trHeight w:val="151"/>
        </w:trPr>
        <w:tc>
          <w:tcPr>
            <w:tcW w:w="622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1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474,598</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482,201</w:t>
            </w:r>
          </w:p>
        </w:tc>
        <w:tc>
          <w:tcPr>
            <w:tcW w:w="80" w:type="dxa"/>
            <w:vAlign w:val="bottom"/>
          </w:tcPr>
          <w:p>
            <w:pPr>
              <w:spacing w:after="0"/>
              <w:rPr>
                <w:sz w:val="13"/>
                <w:szCs w:val="13"/>
                <w:color w:val="auto"/>
              </w:rPr>
            </w:pPr>
          </w:p>
        </w:tc>
      </w:tr>
      <w:tr>
        <w:trPr>
          <w:trHeight w:val="159"/>
        </w:trPr>
        <w:tc>
          <w:tcPr>
            <w:tcW w:w="62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641,223</w:t>
            </w:r>
          </w:p>
        </w:tc>
        <w:tc>
          <w:tcPr>
            <w:tcW w:w="2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639,845</w:t>
            </w:r>
          </w:p>
        </w:tc>
        <w:tc>
          <w:tcPr>
            <w:tcW w:w="80" w:type="dxa"/>
            <w:vAlign w:val="bottom"/>
            <w:shd w:val="clear" w:color="auto" w:fill="CCEEFF"/>
          </w:tcPr>
          <w:p>
            <w:pPr>
              <w:spacing w:after="0"/>
              <w:rPr>
                <w:sz w:val="13"/>
                <w:szCs w:val="13"/>
                <w:color w:val="auto"/>
              </w:rPr>
            </w:pPr>
          </w:p>
        </w:tc>
      </w:tr>
    </w:tbl>
    <w:p>
      <w:pPr>
        <w:sectPr>
          <w:pgSz w:w="11900" w:h="16838" w:orient="portrait"/>
          <w:cols w:equalWidth="0" w:num="1">
            <w:col w:w="9019"/>
          </w:cols>
          <w:pgMar w:left="1440" w:top="229" w:right="1440"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Condensed Consolidated Statement of Cash Flows</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 (Amounts in thousands)</w:t>
      </w:r>
    </w:p>
    <w:p>
      <w:pPr>
        <w:spacing w:after="0" w:line="156" w:lineRule="exact"/>
        <w:rPr>
          <w:sz w:val="20"/>
          <w:szCs w:val="20"/>
          <w:color w:val="auto"/>
        </w:rPr>
      </w:pPr>
    </w:p>
    <w:tbl>
      <w:tblPr>
        <w:tblLayout w:type="fixed"/>
        <w:tblInd w:w="640" w:type="dxa"/>
        <w:tblCellMar>
          <w:top w:w="0" w:type="dxa"/>
          <w:left w:w="0" w:type="dxa"/>
          <w:bottom w:w="0" w:type="dxa"/>
          <w:right w:w="0" w:type="dxa"/>
        </w:tblCellMar>
      </w:tblPr>
      <w:tr>
        <w:trPr>
          <w:trHeight w:val="121"/>
        </w:trPr>
        <w:tc>
          <w:tcPr>
            <w:tcW w:w="6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0" w:type="dxa"/>
            <w:vAlign w:val="bottom"/>
            <w:gridSpan w:val="8"/>
          </w:tcPr>
          <w:p>
            <w:pPr>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r>
      <w:tr>
        <w:trPr>
          <w:trHeight w:val="94"/>
        </w:trPr>
        <w:tc>
          <w:tcPr>
            <w:tcW w:w="612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97"/>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20" w:type="dxa"/>
            <w:vAlign w:val="bottom"/>
            <w:tcBorders>
              <w:top w:val="single" w:sz="8" w:color="auto"/>
              <w:bottom w:val="single" w:sz="8" w:color="CCEEFF"/>
            </w:tcBorders>
          </w:tcPr>
          <w:p>
            <w:pPr>
              <w:spacing w:after="0"/>
              <w:rPr>
                <w:sz w:val="8"/>
                <w:szCs w:val="8"/>
                <w:color w:val="auto"/>
              </w:rPr>
            </w:pPr>
          </w:p>
        </w:tc>
        <w:tc>
          <w:tcPr>
            <w:tcW w:w="8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CCEEFF"/>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77"/>
              <w:spacing w:after="0" w:line="94" w:lineRule="exact"/>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Borders>
              <w:bottom w:val="single" w:sz="8" w:color="CCEEFF"/>
            </w:tcBorders>
          </w:tcPr>
          <w:p>
            <w:pPr>
              <w:spacing w:after="0"/>
              <w:rPr>
                <w:sz w:val="8"/>
                <w:szCs w:val="8"/>
                <w:color w:val="auto"/>
              </w:rPr>
            </w:pPr>
          </w:p>
        </w:tc>
      </w:tr>
      <w:tr>
        <w:trPr>
          <w:trHeight w:val="132"/>
        </w:trPr>
        <w:tc>
          <w:tcPr>
            <w:tcW w:w="612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2"/>
        </w:trPr>
        <w:tc>
          <w:tcPr>
            <w:tcW w:w="612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(38,218)</w:t>
            </w:r>
          </w:p>
        </w:tc>
        <w:tc>
          <w:tcPr>
            <w:tcW w:w="220" w:type="dxa"/>
            <w:vAlign w:val="bottom"/>
            <w:gridSpan w:val="2"/>
          </w:tcPr>
          <w:p>
            <w:pPr>
              <w:jc w:val="right"/>
              <w:ind w:right="4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(16,804)</w:t>
            </w:r>
          </w:p>
        </w:tc>
      </w:tr>
      <w:tr>
        <w:trPr>
          <w:trHeight w:val="152"/>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61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9,186</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6,571</w:t>
            </w:r>
          </w:p>
        </w:tc>
      </w:tr>
      <w:tr>
        <w:trPr>
          <w:trHeight w:val="152"/>
        </w:trPr>
        <w:tc>
          <w:tcPr>
            <w:tcW w:w="6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22,461</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15,538</w:t>
            </w:r>
          </w:p>
        </w:tc>
      </w:tr>
      <w:tr>
        <w:trPr>
          <w:trHeight w:val="152"/>
        </w:trPr>
        <w:tc>
          <w:tcPr>
            <w:tcW w:w="61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Amortization of deferred contract costs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243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179</w:t>
            </w:r>
          </w:p>
        </w:tc>
      </w:tr>
      <w:tr>
        <w:trPr>
          <w:trHeight w:val="152"/>
        </w:trPr>
        <w:tc>
          <w:tcPr>
            <w:tcW w:w="6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Change in fair value of preferred stock warrant liability</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10,758</w:t>
            </w:r>
          </w:p>
        </w:tc>
      </w:tr>
      <w:tr>
        <w:trPr>
          <w:trHeight w:val="152"/>
        </w:trPr>
        <w:tc>
          <w:tcPr>
            <w:tcW w:w="61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Change in fair value of contingent consideration</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297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2,072</w:t>
            </w:r>
          </w:p>
        </w:tc>
      </w:tr>
      <w:tr>
        <w:trPr>
          <w:trHeight w:val="152"/>
        </w:trPr>
        <w:tc>
          <w:tcPr>
            <w:tcW w:w="6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Deferred tax provision</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(527)</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127</w:t>
            </w:r>
          </w:p>
        </w:tc>
      </w:tr>
      <w:tr>
        <w:trPr>
          <w:trHeight w:val="152"/>
        </w:trPr>
        <w:tc>
          <w:tcPr>
            <w:tcW w:w="61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Bad debt expense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90</w:t>
            </w:r>
          </w:p>
        </w:tc>
      </w:tr>
      <w:tr>
        <w:trPr>
          <w:trHeight w:val="152"/>
        </w:trPr>
        <w:tc>
          <w:tcPr>
            <w:tcW w:w="6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Non-cash interest expense</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268</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171</w:t>
            </w:r>
          </w:p>
        </w:tc>
      </w:tr>
      <w:tr>
        <w:trPr>
          <w:trHeight w:val="152"/>
        </w:trPr>
        <w:tc>
          <w:tcPr>
            <w:tcW w:w="61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158</w:t>
            </w:r>
          </w:p>
        </w:tc>
      </w:tr>
      <w:tr>
        <w:trPr>
          <w:trHeight w:val="152"/>
        </w:trPr>
        <w:tc>
          <w:tcPr>
            <w:tcW w:w="6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Changes in operating assets and liabilities, net of acquisition:</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61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Accounts receivable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(4,316)</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(1,466)</w:t>
            </w:r>
          </w:p>
        </w:tc>
      </w:tr>
      <w:tr>
        <w:trPr>
          <w:trHeight w:val="152"/>
        </w:trPr>
        <w:tc>
          <w:tcPr>
            <w:tcW w:w="61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Unbilled receivables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(2,305)</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(62)</w:t>
            </w:r>
          </w:p>
        </w:tc>
      </w:tr>
      <w:tr>
        <w:trPr>
          <w:trHeight w:val="152"/>
        </w:trPr>
        <w:tc>
          <w:tcPr>
            <w:tcW w:w="61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Funds receivable from payment partners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(2,090)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585</w:t>
            </w:r>
          </w:p>
        </w:tc>
      </w:tr>
      <w:tr>
        <w:trPr>
          <w:trHeight w:val="152"/>
        </w:trPr>
        <w:tc>
          <w:tcPr>
            <w:tcW w:w="61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Prepaid expenses, other current assets and other assets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(7,674)</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(7,410)</w:t>
            </w:r>
          </w:p>
        </w:tc>
      </w:tr>
      <w:tr>
        <w:trPr>
          <w:trHeight w:val="152"/>
        </w:trPr>
        <w:tc>
          <w:tcPr>
            <w:tcW w:w="61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Funds payable to clients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(3,798)</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6,869</w:t>
            </w:r>
          </w:p>
        </w:tc>
      </w:tr>
      <w:tr>
        <w:trPr>
          <w:trHeight w:val="152"/>
        </w:trPr>
        <w:tc>
          <w:tcPr>
            <w:tcW w:w="61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Accounts payable, accrued expenses and other current liabilities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4,359</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10,903</w:t>
            </w:r>
          </w:p>
        </w:tc>
      </w:tr>
      <w:tr>
        <w:trPr>
          <w:trHeight w:val="152"/>
        </w:trPr>
        <w:tc>
          <w:tcPr>
            <w:tcW w:w="61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Contingent consideration</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(4,524)</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(3,212)</w:t>
            </w:r>
          </w:p>
        </w:tc>
      </w:tr>
      <w:tr>
        <w:trPr>
          <w:trHeight w:val="152"/>
        </w:trPr>
        <w:tc>
          <w:tcPr>
            <w:tcW w:w="61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Other liabilities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(446)</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(364)</w:t>
            </w:r>
          </w:p>
        </w:tc>
      </w:tr>
      <w:tr>
        <w:trPr>
          <w:trHeight w:val="152"/>
        </w:trPr>
        <w:tc>
          <w:tcPr>
            <w:tcW w:w="61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Deferred revenue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(730)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102</w:t>
            </w:r>
          </w:p>
        </w:tc>
      </w:tr>
      <w:tr>
        <w:trPr>
          <w:trHeight w:val="20"/>
        </w:trPr>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6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Net cash (used in) provided by operating activities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(27,728)</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24,805</w:t>
            </w:r>
          </w:p>
        </w:tc>
      </w:tr>
      <w:tr>
        <w:trPr>
          <w:trHeight w:val="151"/>
        </w:trPr>
        <w:tc>
          <w:tcPr>
            <w:tcW w:w="6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(5,188)</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(5,229)</w:t>
            </w:r>
          </w:p>
        </w:tc>
      </w:tr>
      <w:tr>
        <w:trPr>
          <w:trHeight w:val="152"/>
        </w:trPr>
        <w:tc>
          <w:tcPr>
            <w:tcW w:w="6120" w:type="dxa"/>
            <w:vAlign w:val="bottom"/>
          </w:tcPr>
          <w:p>
            <w:pPr>
              <w:spacing w:after="0"/>
              <w:rPr>
                <w:sz w:val="20"/>
                <w:szCs w:val="20"/>
                <w:color w:val="auto"/>
              </w:rPr>
            </w:pPr>
            <w:r>
              <w:rPr>
                <w:rFonts w:ascii="Times New Roman" w:cs="Times New Roman" w:eastAsia="Times New Roman" w:hAnsi="Times New Roman"/>
                <w:sz w:val="13"/>
                <w:szCs w:val="13"/>
                <w:color w:val="auto"/>
              </w:rPr>
              <w:t>Acquisition of businesses, net of cash acquired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(16,923)</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Asset acquisition, net of cash acquired</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(119)</w:t>
            </w:r>
          </w:p>
        </w:tc>
      </w:tr>
      <w:tr>
        <w:trPr>
          <w:trHeight w:val="152"/>
        </w:trPr>
        <w:tc>
          <w:tcPr>
            <w:tcW w:w="6120" w:type="dxa"/>
            <w:vAlign w:val="bottom"/>
          </w:tcPr>
          <w:p>
            <w:pPr>
              <w:spacing w:after="0"/>
              <w:rPr>
                <w:sz w:val="20"/>
                <w:szCs w:val="20"/>
                <w:color w:val="auto"/>
              </w:rPr>
            </w:pPr>
            <w:r>
              <w:rPr>
                <w:rFonts w:ascii="Times New Roman" w:cs="Times New Roman" w:eastAsia="Times New Roman" w:hAnsi="Times New Roman"/>
                <w:sz w:val="13"/>
                <w:szCs w:val="13"/>
                <w:color w:val="auto"/>
              </w:rPr>
              <w:t>Contingent consideration paid for acquisitions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(453)</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6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(22,564)</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(5,348)</w:t>
            </w:r>
          </w:p>
        </w:tc>
      </w:tr>
      <w:tr>
        <w:trPr>
          <w:trHeight w:val="151"/>
        </w:trPr>
        <w:tc>
          <w:tcPr>
            <w:tcW w:w="6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initial public offering, net of underwriting discounts and commissions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268,694</w:t>
            </w:r>
          </w:p>
        </w:tc>
      </w:tr>
      <w:tr>
        <w:trPr>
          <w:trHeight w:val="152"/>
        </w:trPr>
        <w:tc>
          <w:tcPr>
            <w:tcW w:w="6120" w:type="dxa"/>
            <w:vAlign w:val="bottom"/>
          </w:tcPr>
          <w:p>
            <w:pPr>
              <w:spacing w:after="0"/>
              <w:rPr>
                <w:sz w:val="20"/>
                <w:szCs w:val="20"/>
                <w:color w:val="auto"/>
              </w:rPr>
            </w:pPr>
            <w:r>
              <w:rPr>
                <w:rFonts w:ascii="Times New Roman" w:cs="Times New Roman" w:eastAsia="Times New Roman" w:hAnsi="Times New Roman"/>
                <w:sz w:val="13"/>
                <w:szCs w:val="13"/>
                <w:color w:val="auto"/>
              </w:rPr>
              <w:t>Payment of deferred offerring costs related to initial public offering</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(4,860)</w:t>
            </w:r>
          </w:p>
        </w:tc>
      </w:tr>
      <w:tr>
        <w:trPr>
          <w:trHeight w:val="152"/>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issuance of long-term debt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25,933</w:t>
            </w:r>
          </w:p>
        </w:tc>
      </w:tr>
      <w:tr>
        <w:trPr>
          <w:trHeight w:val="152"/>
        </w:trPr>
        <w:tc>
          <w:tcPr>
            <w:tcW w:w="6120" w:type="dxa"/>
            <w:vAlign w:val="bottom"/>
          </w:tcPr>
          <w:p>
            <w:pPr>
              <w:spacing w:after="0"/>
              <w:rPr>
                <w:sz w:val="20"/>
                <w:szCs w:val="20"/>
                <w:color w:val="auto"/>
              </w:rPr>
            </w:pPr>
            <w:r>
              <w:rPr>
                <w:rFonts w:ascii="Times New Roman" w:cs="Times New Roman" w:eastAsia="Times New Roman" w:hAnsi="Times New Roman"/>
                <w:sz w:val="13"/>
                <w:szCs w:val="13"/>
                <w:color w:val="auto"/>
              </w:rPr>
              <w:t>Payment of long-term debt issuance costs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(418)</w:t>
            </w:r>
          </w:p>
        </w:tc>
      </w:tr>
      <w:tr>
        <w:trPr>
          <w:trHeight w:val="152"/>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Repayment of long-term debt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(25,000)</w:t>
            </w:r>
          </w:p>
        </w:tc>
      </w:tr>
      <w:tr>
        <w:trPr>
          <w:trHeight w:val="152"/>
        </w:trPr>
        <w:tc>
          <w:tcPr>
            <w:tcW w:w="612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issuance of redeemable convertible preferred stock, net of issuance costs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59,735</w:t>
            </w:r>
          </w:p>
        </w:tc>
      </w:tr>
      <w:tr>
        <w:trPr>
          <w:trHeight w:val="152"/>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exercise of warrants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294</w:t>
            </w:r>
          </w:p>
        </w:tc>
      </w:tr>
      <w:tr>
        <w:trPr>
          <w:trHeight w:val="152"/>
        </w:trPr>
        <w:tc>
          <w:tcPr>
            <w:tcW w:w="6120" w:type="dxa"/>
            <w:vAlign w:val="bottom"/>
          </w:tcPr>
          <w:p>
            <w:pPr>
              <w:spacing w:after="0"/>
              <w:rPr>
                <w:sz w:val="20"/>
                <w:szCs w:val="20"/>
                <w:color w:val="auto"/>
              </w:rPr>
            </w:pPr>
            <w:r>
              <w:rPr>
                <w:rFonts w:ascii="Times New Roman" w:cs="Times New Roman" w:eastAsia="Times New Roman" w:hAnsi="Times New Roman"/>
                <w:sz w:val="13"/>
                <w:szCs w:val="13"/>
                <w:color w:val="auto"/>
              </w:rPr>
              <w:t>Contingent consideration paid for acquisitions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(3,320)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(3,800)</w:t>
            </w:r>
          </w:p>
        </w:tc>
      </w:tr>
      <w:tr>
        <w:trPr>
          <w:trHeight w:val="152"/>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Payments of tax withholdings for net settled option exercises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(2,564)</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612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issuance of stock under employee stock purchase plan</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1,271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5,222</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4,098</w:t>
            </w:r>
          </w:p>
        </w:tc>
      </w:tr>
      <w:tr>
        <w:trPr>
          <w:trHeight w:val="151"/>
        </w:trPr>
        <w:tc>
          <w:tcPr>
            <w:tcW w:w="612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324,676</w:t>
            </w:r>
          </w:p>
        </w:tc>
        <w:tc>
          <w:tcPr>
            <w:tcW w:w="80" w:type="dxa"/>
            <w:vAlign w:val="bottom"/>
          </w:tcPr>
          <w:p>
            <w:pPr>
              <w:spacing w:after="0"/>
              <w:rPr>
                <w:sz w:val="13"/>
                <w:szCs w:val="13"/>
                <w:color w:val="auto"/>
              </w:rPr>
            </w:pPr>
          </w:p>
        </w:tc>
      </w:tr>
      <w:tr>
        <w:trPr>
          <w:trHeight w:val="151"/>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Effect of exchange rate changes on cash and cash equivalents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11,553</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(55)</w:t>
            </w:r>
          </w:p>
        </w:tc>
      </w:tr>
      <w:tr>
        <w:trPr>
          <w:trHeight w:val="151"/>
        </w:trPr>
        <w:tc>
          <w:tcPr>
            <w:tcW w:w="6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(decrease) increase in cash, cash equivalents and restricted cash</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(38,130)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344,078</w:t>
            </w:r>
          </w:p>
        </w:tc>
        <w:tc>
          <w:tcPr>
            <w:tcW w:w="80" w:type="dxa"/>
            <w:vAlign w:val="bottom"/>
          </w:tcPr>
          <w:p>
            <w:pPr>
              <w:spacing w:after="0"/>
              <w:rPr>
                <w:sz w:val="13"/>
                <w:szCs w:val="13"/>
                <w:color w:val="auto"/>
              </w:rPr>
            </w:pPr>
          </w:p>
        </w:tc>
      </w:tr>
      <w:tr>
        <w:trPr>
          <w:trHeight w:val="152"/>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beginning of period</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389,360</w:t>
            </w:r>
          </w:p>
        </w:tc>
        <w:tc>
          <w:tcPr>
            <w:tcW w:w="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109,052</w:t>
            </w:r>
          </w:p>
        </w:tc>
      </w:tr>
      <w:tr>
        <w:trPr>
          <w:trHeight w:val="159"/>
        </w:trPr>
        <w:tc>
          <w:tcPr>
            <w:tcW w:w="6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end of period</w:t>
            </w: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351,230</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453,130</w:t>
            </w:r>
          </w:p>
        </w:tc>
        <w:tc>
          <w:tcPr>
            <w:tcW w:w="80" w:type="dxa"/>
            <w:vAlign w:val="bottom"/>
          </w:tcPr>
          <w:p>
            <w:pPr>
              <w:spacing w:after="0"/>
              <w:rPr>
                <w:sz w:val="13"/>
                <w:szCs w:val="13"/>
                <w:color w:val="auto"/>
              </w:rPr>
            </w:pPr>
          </w:p>
        </w:tc>
      </w:tr>
    </w:tbl>
    <w:p>
      <w:pPr>
        <w:sectPr>
          <w:pgSz w:w="11900" w:h="16838" w:orient="portrait"/>
          <w:cols w:equalWidth="0" w:num="1">
            <w:col w:w="9019"/>
          </w:cols>
          <w:pgMar w:left="1440" w:top="229" w:right="1440"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Reconciliation of Non-GAAP Financial Measures</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(Amounts in millions)</w:t>
      </w:r>
    </w:p>
    <w:p>
      <w:pPr>
        <w:spacing w:after="0" w:line="145"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4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gridSpan w:val="6"/>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9"/>
          </w:tcPr>
          <w:p>
            <w:pPr>
              <w:ind w:left="60"/>
              <w:spacing w:after="0"/>
              <w:rPr>
                <w:sz w:val="20"/>
                <w:szCs w:val="20"/>
                <w:color w:val="auto"/>
              </w:rPr>
            </w:pPr>
            <w:r>
              <w:rPr>
                <w:rFonts w:ascii="Times New Roman" w:cs="Times New Roman" w:eastAsia="Times New Roman" w:hAnsi="Times New Roman"/>
                <w:sz w:val="10"/>
                <w:szCs w:val="10"/>
                <w:b w:val="1"/>
                <w:bCs w:val="1"/>
                <w:color w:val="auto"/>
              </w:rPr>
              <w:t>Nine Months Ended</w:t>
            </w:r>
          </w:p>
        </w:tc>
      </w:tr>
      <w:tr>
        <w:trPr>
          <w:trHeight w:val="121"/>
        </w:trPr>
        <w:tc>
          <w:tcPr>
            <w:tcW w:w="4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gridSpan w:val="6"/>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8"/>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September 30,</w:t>
            </w:r>
          </w:p>
        </w:tc>
      </w:tr>
      <w:tr>
        <w:trPr>
          <w:trHeight w:val="94"/>
        </w:trPr>
        <w:tc>
          <w:tcPr>
            <w:tcW w:w="4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Borders>
              <w:top w:val="single" w:sz="8" w:color="auto"/>
            </w:tcBorders>
          </w:tcPr>
          <w:p>
            <w:pPr>
              <w:jc w:val="center"/>
              <w:spacing w:after="0" w:line="94" w:lineRule="exact"/>
              <w:rPr>
                <w:sz w:val="20"/>
                <w:szCs w:val="20"/>
                <w:color w:val="auto"/>
              </w:rPr>
            </w:pPr>
            <w:r>
              <w:rPr>
                <w:rFonts w:ascii="Times New Roman" w:cs="Times New Roman" w:eastAsia="Times New Roman" w:hAnsi="Times New Roman"/>
                <w:sz w:val="10"/>
                <w:szCs w:val="10"/>
                <w:b w:val="1"/>
                <w:bCs w:val="1"/>
                <w:color w:val="auto"/>
                <w:w w:val="99"/>
              </w:rPr>
              <w:t>2022</w:t>
            </w:r>
          </w:p>
        </w:tc>
        <w:tc>
          <w:tcPr>
            <w:tcW w:w="1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gridSpan w:val="3"/>
          </w:tcPr>
          <w:p>
            <w:pPr>
              <w:jc w:val="right"/>
              <w:ind w:right="17"/>
              <w:spacing w:after="0" w:line="94" w:lineRule="exact"/>
              <w:rPr>
                <w:sz w:val="20"/>
                <w:szCs w:val="20"/>
                <w:color w:val="auto"/>
              </w:rPr>
            </w:pPr>
            <w:r>
              <w:rPr>
                <w:rFonts w:ascii="Times New Roman" w:cs="Times New Roman" w:eastAsia="Times New Roman" w:hAnsi="Times New Roman"/>
                <w:sz w:val="10"/>
                <w:szCs w:val="10"/>
                <w:b w:val="1"/>
                <w:bCs w:val="1"/>
                <w:color w:val="auto"/>
              </w:rPr>
              <w:t>2021</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gridSpan w:val="2"/>
          </w:tcPr>
          <w:p>
            <w:pPr>
              <w:ind w:left="20"/>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2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jc w:val="right"/>
              <w:spacing w:after="0" w:line="94" w:lineRule="exact"/>
              <w:rPr>
                <w:sz w:val="20"/>
                <w:szCs w:val="20"/>
                <w:color w:val="auto"/>
              </w:rPr>
            </w:pPr>
            <w:r>
              <w:rPr>
                <w:rFonts w:ascii="Times New Roman" w:cs="Times New Roman" w:eastAsia="Times New Roman" w:hAnsi="Times New Roman"/>
                <w:sz w:val="10"/>
                <w:szCs w:val="10"/>
                <w:b w:val="1"/>
                <w:bCs w:val="1"/>
                <w:color w:val="auto"/>
                <w:w w:val="99"/>
              </w:rPr>
              <w:t>2021</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41"/>
        </w:trPr>
        <w:tc>
          <w:tcPr>
            <w:tcW w:w="436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4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right w:val="single" w:sz="8" w:color="CCEEFF"/>
            </w:tcBorders>
            <w:shd w:val="clear" w:color="auto" w:fill="CCEEFF"/>
          </w:tcPr>
          <w:p>
            <w:pPr>
              <w:spacing w:after="0"/>
              <w:rPr>
                <w:sz w:val="12"/>
                <w:szCs w:val="12"/>
                <w:color w:val="auto"/>
              </w:rPr>
            </w:pPr>
          </w:p>
        </w:tc>
        <w:tc>
          <w:tcPr>
            <w:tcW w:w="340" w:type="dxa"/>
            <w:vAlign w:val="bottom"/>
            <w:tcBorders>
              <w:top w:val="single" w:sz="8" w:color="auto"/>
              <w:left w:val="single" w:sz="8" w:color="CCEEFF"/>
              <w:right w:val="single" w:sz="8" w:color="CCEEFF"/>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2"/>
              </w:rPr>
              <w:t>$ 95.2</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right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70"/>
              </w:rPr>
              <w:t>67.8</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5"/>
              </w:rPr>
              <w:t>216.3</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88"/>
              </w:rPr>
              <w:t>149.8</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r>
      <w:tr>
        <w:trPr>
          <w:trHeight w:val="152"/>
        </w:trPr>
        <w:tc>
          <w:tcPr>
            <w:tcW w:w="4360" w:type="dxa"/>
            <w:vAlign w:val="bottom"/>
          </w:tcPr>
          <w:p>
            <w:pPr>
              <w:spacing w:after="0"/>
              <w:rPr>
                <w:sz w:val="20"/>
                <w:szCs w:val="20"/>
                <w:color w:val="auto"/>
              </w:rPr>
            </w:pPr>
            <w:r>
              <w:rPr>
                <w:rFonts w:ascii="Times New Roman" w:cs="Times New Roman" w:eastAsia="Times New Roman" w:hAnsi="Times New Roman"/>
                <w:sz w:val="13"/>
                <w:szCs w:val="13"/>
                <w:color w:val="auto"/>
              </w:rPr>
              <w:t>Adjusted to exclude gross up for:</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4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Pass-through cost for printing and mailing</w:t>
            </w: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spacing w:after="0"/>
              <w:rPr>
                <w:sz w:val="13"/>
                <w:szCs w:val="13"/>
                <w:color w:val="auto"/>
              </w:rPr>
            </w:pPr>
          </w:p>
        </w:tc>
        <w:tc>
          <w:tcPr>
            <w:tcW w:w="460" w:type="dxa"/>
            <w:vAlign w:val="bottom"/>
            <w:tcBorders>
              <w:left w:val="single" w:sz="8" w:color="CCEEFF"/>
            </w:tcBorders>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(5.4)</w:t>
            </w:r>
          </w:p>
        </w:tc>
        <w:tc>
          <w:tcPr>
            <w:tcW w:w="16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80"/>
              </w:rPr>
              <w:t>(5.0)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(15.1)</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(13.4)</w:t>
            </w:r>
          </w:p>
        </w:tc>
        <w:tc>
          <w:tcPr>
            <w:tcW w:w="80" w:type="dxa"/>
            <w:vAlign w:val="bottom"/>
            <w:shd w:val="clear" w:color="auto" w:fill="CCEEFF"/>
          </w:tcPr>
          <w:p>
            <w:pPr>
              <w:spacing w:after="0"/>
              <w:rPr>
                <w:sz w:val="13"/>
                <w:szCs w:val="13"/>
                <w:color w:val="auto"/>
              </w:rPr>
            </w:pPr>
          </w:p>
        </w:tc>
      </w:tr>
      <w:tr>
        <w:trPr>
          <w:trHeight w:val="152"/>
        </w:trPr>
        <w:tc>
          <w:tcPr>
            <w:tcW w:w="43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Marketing fees</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color w:val="auto"/>
              </w:rPr>
              <w:t>(0.9)</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w w:val="80"/>
              </w:rPr>
              <w:t>(0.8)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3"/>
                <w:szCs w:val="13"/>
                <w:color w:val="auto"/>
              </w:rPr>
            </w:pPr>
          </w:p>
        </w:tc>
      </w:tr>
      <w:tr>
        <w:trPr>
          <w:trHeight w:val="20"/>
        </w:trPr>
        <w:tc>
          <w:tcPr>
            <w:tcW w:w="4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3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 Less Ancillary Services</w:t>
            </w: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spacing w:after="0"/>
              <w:rPr>
                <w:sz w:val="13"/>
                <w:szCs w:val="13"/>
                <w:color w:val="auto"/>
              </w:rPr>
            </w:pPr>
          </w:p>
        </w:tc>
        <w:tc>
          <w:tcPr>
            <w:tcW w:w="34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$ 88.9</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0"/>
              </w:rPr>
              <w:t>62.0</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199.7</w:t>
            </w:r>
          </w:p>
        </w:tc>
        <w:tc>
          <w:tcPr>
            <w:tcW w:w="20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88"/>
              </w:rPr>
              <w:t>135.2</w:t>
            </w:r>
          </w:p>
        </w:tc>
        <w:tc>
          <w:tcPr>
            <w:tcW w:w="80" w:type="dxa"/>
            <w:vAlign w:val="bottom"/>
            <w:shd w:val="clear" w:color="auto" w:fill="CCEEFF"/>
          </w:tcPr>
          <w:p>
            <w:pPr>
              <w:spacing w:after="0"/>
              <w:rPr>
                <w:sz w:val="13"/>
                <w:szCs w:val="13"/>
                <w:color w:val="auto"/>
              </w:rPr>
            </w:pPr>
          </w:p>
        </w:tc>
      </w:tr>
      <w:tr>
        <w:trPr>
          <w:trHeight w:val="151"/>
        </w:trPr>
        <w:tc>
          <w:tcPr>
            <w:tcW w:w="4360" w:type="dxa"/>
            <w:vAlign w:val="bottom"/>
          </w:tcPr>
          <w:p>
            <w:pPr>
              <w:spacing w:after="0"/>
              <w:rPr>
                <w:sz w:val="20"/>
                <w:szCs w:val="20"/>
                <w:color w:val="auto"/>
              </w:rPr>
            </w:pPr>
            <w:r>
              <w:rPr>
                <w:rFonts w:ascii="Times New Roman" w:cs="Times New Roman" w:eastAsia="Times New Roman" w:hAnsi="Times New Roman"/>
                <w:sz w:val="13"/>
                <w:szCs w:val="13"/>
                <w:color w:val="auto"/>
              </w:rPr>
              <w:t>Payment processing services costs</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$ 32.3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70"/>
              </w:rPr>
              <w:t>21.7</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78.3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Hosting and amortization costs within technology and development expenses</w:t>
            </w: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spacing w:after="0"/>
              <w:rPr>
                <w:sz w:val="13"/>
                <w:szCs w:val="13"/>
                <w:color w:val="auto"/>
              </w:rPr>
            </w:pPr>
          </w:p>
        </w:tc>
        <w:tc>
          <w:tcPr>
            <w:tcW w:w="34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8"/>
              </w:rPr>
              <w:t>1.5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4.2</w:t>
            </w:r>
          </w:p>
        </w:tc>
        <w:tc>
          <w:tcPr>
            <w:tcW w:w="80" w:type="dxa"/>
            <w:vAlign w:val="bottom"/>
            <w:shd w:val="clear" w:color="auto" w:fill="CCEEFF"/>
          </w:tcPr>
          <w:p>
            <w:pPr>
              <w:spacing w:after="0"/>
              <w:rPr>
                <w:sz w:val="13"/>
                <w:szCs w:val="13"/>
                <w:color w:val="auto"/>
              </w:rPr>
            </w:pPr>
          </w:p>
        </w:tc>
      </w:tr>
      <w:tr>
        <w:trPr>
          <w:trHeight w:val="152"/>
        </w:trPr>
        <w:tc>
          <w:tcPr>
            <w:tcW w:w="4360" w:type="dxa"/>
            <w:vAlign w:val="bottom"/>
          </w:tcPr>
          <w:p>
            <w:pPr>
              <w:spacing w:after="0"/>
              <w:rPr>
                <w:sz w:val="20"/>
                <w:szCs w:val="20"/>
                <w:color w:val="auto"/>
              </w:rPr>
            </w:pPr>
            <w:r>
              <w:rPr>
                <w:rFonts w:ascii="Times New Roman" w:cs="Times New Roman" w:eastAsia="Times New Roman" w:hAnsi="Times New Roman"/>
                <w:sz w:val="13"/>
                <w:szCs w:val="13"/>
                <w:color w:val="auto"/>
              </w:rPr>
              <w:t>Adjusted to:</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4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Exclude printing and mailing costs</w:t>
            </w: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spacing w:after="0"/>
              <w:rPr>
                <w:sz w:val="13"/>
                <w:szCs w:val="13"/>
                <w:color w:val="auto"/>
              </w:rPr>
            </w:pPr>
          </w:p>
        </w:tc>
        <w:tc>
          <w:tcPr>
            <w:tcW w:w="460" w:type="dxa"/>
            <w:vAlign w:val="bottom"/>
            <w:tcBorders>
              <w:left w:val="single" w:sz="8" w:color="CCEEFF"/>
            </w:tcBorders>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(5.4)</w:t>
            </w:r>
          </w:p>
        </w:tc>
        <w:tc>
          <w:tcPr>
            <w:tcW w:w="16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80"/>
              </w:rPr>
              <w:t>(5.0)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(15.1)</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(13.4)</w:t>
            </w:r>
          </w:p>
        </w:tc>
        <w:tc>
          <w:tcPr>
            <w:tcW w:w="80" w:type="dxa"/>
            <w:vAlign w:val="bottom"/>
            <w:shd w:val="clear" w:color="auto" w:fill="CCEEFF"/>
          </w:tcPr>
          <w:p>
            <w:pPr>
              <w:spacing w:after="0"/>
              <w:rPr>
                <w:sz w:val="13"/>
                <w:szCs w:val="13"/>
                <w:color w:val="auto"/>
              </w:rPr>
            </w:pPr>
          </w:p>
        </w:tc>
      </w:tr>
      <w:tr>
        <w:trPr>
          <w:trHeight w:val="152"/>
        </w:trPr>
        <w:tc>
          <w:tcPr>
            <w:tcW w:w="43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Offset marketing fees against related costs</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color w:val="auto"/>
              </w:rPr>
              <w:t>(0.9)</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w w:val="80"/>
              </w:rPr>
              <w:t>(0.8)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3"/>
                <w:szCs w:val="13"/>
                <w:color w:val="auto"/>
              </w:rPr>
            </w:pPr>
          </w:p>
        </w:tc>
      </w:tr>
      <w:tr>
        <w:trPr>
          <w:trHeight w:val="20"/>
        </w:trPr>
        <w:tc>
          <w:tcPr>
            <w:tcW w:w="4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3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Costs of revenue less ancillary services</w:t>
            </w: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spacing w:after="0"/>
              <w:rPr>
                <w:sz w:val="13"/>
                <w:szCs w:val="13"/>
                <w:color w:val="auto"/>
              </w:rPr>
            </w:pPr>
          </w:p>
        </w:tc>
        <w:tc>
          <w:tcPr>
            <w:tcW w:w="34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$ 27.6</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0"/>
              </w:rPr>
              <w:t>17.4</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w:t>
            </w:r>
          </w:p>
        </w:tc>
        <w:tc>
          <w:tcPr>
            <w:tcW w:w="20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40.5</w:t>
            </w:r>
          </w:p>
        </w:tc>
        <w:tc>
          <w:tcPr>
            <w:tcW w:w="80" w:type="dxa"/>
            <w:vAlign w:val="bottom"/>
            <w:shd w:val="clear" w:color="auto" w:fill="CCEEFF"/>
          </w:tcPr>
          <w:p>
            <w:pPr>
              <w:spacing w:after="0"/>
              <w:rPr>
                <w:sz w:val="13"/>
                <w:szCs w:val="13"/>
                <w:color w:val="auto"/>
              </w:rPr>
            </w:pPr>
          </w:p>
        </w:tc>
      </w:tr>
      <w:tr>
        <w:trPr>
          <w:trHeight w:val="151"/>
        </w:trPr>
        <w:tc>
          <w:tcPr>
            <w:tcW w:w="4360" w:type="dxa"/>
            <w:vAlign w:val="bottom"/>
          </w:tcPr>
          <w:p>
            <w:pPr>
              <w:spacing w:after="0"/>
              <w:rPr>
                <w:sz w:val="20"/>
                <w:szCs w:val="20"/>
                <w:color w:val="auto"/>
              </w:rPr>
            </w:pPr>
            <w:r>
              <w:rPr>
                <w:rFonts w:ascii="Times New Roman" w:cs="Times New Roman" w:eastAsia="Times New Roman" w:hAnsi="Times New Roman"/>
                <w:sz w:val="13"/>
                <w:szCs w:val="13"/>
                <w:color w:val="auto"/>
              </w:rPr>
              <w:t>Gross Profit</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$ 61.3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70"/>
              </w:rPr>
              <w:t>44.6</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5"/>
              </w:rPr>
              <w:t>133.4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Gross Margin</w:t>
            </w: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spacing w:after="0"/>
              <w:rPr>
                <w:sz w:val="13"/>
                <w:szCs w:val="13"/>
                <w:color w:val="auto"/>
              </w:rPr>
            </w:pPr>
          </w:p>
        </w:tc>
        <w:tc>
          <w:tcPr>
            <w:tcW w:w="4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w:t>
            </w:r>
          </w:p>
        </w:tc>
        <w:tc>
          <w:tcPr>
            <w:tcW w:w="16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340" w:type="dxa"/>
            <w:vAlign w:val="bottom"/>
            <w:gridSpan w:val="3"/>
            <w:shd w:val="clear" w:color="auto" w:fill="CCEEFF"/>
          </w:tcPr>
          <w:p>
            <w:pPr>
              <w:jc w:val="right"/>
              <w:ind w:right="7"/>
              <w:spacing w:after="0"/>
              <w:rPr>
                <w:sz w:val="20"/>
                <w:szCs w:val="20"/>
                <w:color w:val="auto"/>
              </w:rPr>
            </w:pPr>
            <w:r>
              <w:rPr>
                <w:rFonts w:ascii="Times New Roman" w:cs="Times New Roman" w:eastAsia="Times New Roman" w:hAnsi="Times New Roman"/>
                <w:sz w:val="13"/>
                <w:szCs w:val="13"/>
                <w:color w:val="auto"/>
                <w:w w:val="77"/>
              </w:rPr>
              <w:t>65.8%</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61.7%</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63.2%</w:t>
            </w:r>
          </w:p>
        </w:tc>
      </w:tr>
      <w:tr>
        <w:trPr>
          <w:trHeight w:val="151"/>
        </w:trPr>
        <w:tc>
          <w:tcPr>
            <w:tcW w:w="4360" w:type="dxa"/>
            <w:vAlign w:val="bottom"/>
          </w:tcPr>
          <w:p>
            <w:pPr>
              <w:spacing w:after="0"/>
              <w:rPr>
                <w:sz w:val="20"/>
                <w:szCs w:val="20"/>
                <w:color w:val="auto"/>
              </w:rPr>
            </w:pPr>
            <w:r>
              <w:rPr>
                <w:rFonts w:ascii="Times New Roman" w:cs="Times New Roman" w:eastAsia="Times New Roman" w:hAnsi="Times New Roman"/>
                <w:sz w:val="13"/>
                <w:szCs w:val="13"/>
                <w:color w:val="auto"/>
              </w:rPr>
              <w:t>Adjusted Gross Profit</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$ 61.3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70"/>
              </w:rPr>
              <w:t>44.6</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5"/>
              </w:rPr>
              <w:t>133.4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Adjusted Gross Margin</w:t>
            </w: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spacing w:after="0"/>
              <w:rPr>
                <w:sz w:val="13"/>
                <w:szCs w:val="13"/>
                <w:color w:val="auto"/>
              </w:rPr>
            </w:pPr>
          </w:p>
        </w:tc>
        <w:tc>
          <w:tcPr>
            <w:tcW w:w="4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69.0%</w:t>
            </w:r>
          </w:p>
        </w:tc>
        <w:tc>
          <w:tcPr>
            <w:tcW w:w="16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340" w:type="dxa"/>
            <w:vAlign w:val="bottom"/>
            <w:gridSpan w:val="3"/>
            <w:shd w:val="clear" w:color="auto" w:fill="CCEEFF"/>
          </w:tcPr>
          <w:p>
            <w:pPr>
              <w:jc w:val="right"/>
              <w:ind w:right="7"/>
              <w:spacing w:after="0"/>
              <w:rPr>
                <w:sz w:val="20"/>
                <w:szCs w:val="20"/>
                <w:color w:val="auto"/>
              </w:rPr>
            </w:pPr>
            <w:r>
              <w:rPr>
                <w:rFonts w:ascii="Times New Roman" w:cs="Times New Roman" w:eastAsia="Times New Roman" w:hAnsi="Times New Roman"/>
                <w:sz w:val="13"/>
                <w:szCs w:val="13"/>
                <w:color w:val="auto"/>
                <w:w w:val="77"/>
              </w:rPr>
              <w:t>71.9%</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66.8%</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70.0%</w:t>
            </w:r>
          </w:p>
        </w:tc>
      </w:tr>
      <w:tr>
        <w:trPr>
          <w:trHeight w:val="20"/>
        </w:trPr>
        <w:tc>
          <w:tcPr>
            <w:tcW w:w="4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3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7"/>
        </w:trPr>
        <w:tc>
          <w:tcPr>
            <w:tcW w:w="4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5"/>
          </w:tcPr>
          <w:p>
            <w:pPr>
              <w:jc w:val="center"/>
              <w:ind w:right="57"/>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10"/>
          </w:tcPr>
          <w:p>
            <w:pPr>
              <w:ind w:left="100"/>
              <w:spacing w:after="0"/>
              <w:rPr>
                <w:sz w:val="20"/>
                <w:szCs w:val="20"/>
                <w:color w:val="auto"/>
              </w:rPr>
            </w:pPr>
            <w:r>
              <w:rPr>
                <w:rFonts w:ascii="Times New Roman" w:cs="Times New Roman" w:eastAsia="Times New Roman" w:hAnsi="Times New Roman"/>
                <w:sz w:val="10"/>
                <w:szCs w:val="10"/>
                <w:b w:val="1"/>
                <w:bCs w:val="1"/>
                <w:color w:val="auto"/>
              </w:rPr>
              <w:t>Nine Months Ended</w:t>
            </w:r>
          </w:p>
        </w:tc>
      </w:tr>
      <w:tr>
        <w:trPr>
          <w:trHeight w:val="121"/>
        </w:trPr>
        <w:tc>
          <w:tcPr>
            <w:tcW w:w="4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5"/>
          </w:tcPr>
          <w:p>
            <w:pPr>
              <w:jc w:val="center"/>
              <w:ind w:right="37"/>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8"/>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September 30,</w:t>
            </w:r>
          </w:p>
        </w:tc>
      </w:tr>
      <w:tr>
        <w:trPr>
          <w:trHeight w:val="94"/>
        </w:trPr>
        <w:tc>
          <w:tcPr>
            <w:tcW w:w="4360" w:type="dxa"/>
            <w:vAlign w:val="bottom"/>
            <w:tcBorders>
              <w:bottom w:val="single" w:sz="8" w:color="CCEEFF"/>
            </w:tcBorders>
          </w:tcPr>
          <w:p>
            <w:pPr>
              <w:spacing w:after="0"/>
              <w:rPr>
                <w:sz w:val="8"/>
                <w:szCs w:val="8"/>
                <w:color w:val="auto"/>
              </w:rPr>
            </w:pPr>
          </w:p>
        </w:tc>
        <w:tc>
          <w:tcPr>
            <w:tcW w:w="480" w:type="dxa"/>
            <w:vAlign w:val="bottom"/>
            <w:tcBorders>
              <w:bottom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9"/>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340" w:type="dxa"/>
            <w:vAlign w:val="bottom"/>
            <w:tcBorders>
              <w:top w:val="single" w:sz="8" w:color="auto"/>
              <w:bottom w:val="single" w:sz="8" w:color="CCEEFF"/>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360" w:type="dxa"/>
            <w:vAlign w:val="bottom"/>
            <w:tcBorders>
              <w:top w:val="single" w:sz="8" w:color="auto"/>
              <w:bottom w:val="single" w:sz="8" w:color="auto"/>
            </w:tcBorders>
            <w:gridSpan w:val="2"/>
          </w:tcPr>
          <w:p>
            <w:pPr>
              <w:jc w:val="right"/>
              <w:ind w:right="77"/>
              <w:spacing w:after="0" w:line="94" w:lineRule="exact"/>
              <w:rPr>
                <w:sz w:val="20"/>
                <w:szCs w:val="20"/>
                <w:color w:val="auto"/>
              </w:rPr>
            </w:pPr>
            <w:r>
              <w:rPr>
                <w:rFonts w:ascii="Times New Roman" w:cs="Times New Roman" w:eastAsia="Times New Roman" w:hAnsi="Times New Roman"/>
                <w:sz w:val="10"/>
                <w:szCs w:val="10"/>
                <w:b w:val="1"/>
                <w:bCs w:val="1"/>
                <w:color w:val="auto"/>
                <w:w w:val="99"/>
              </w:rPr>
              <w:t>2021</w:t>
            </w:r>
          </w:p>
        </w:tc>
        <w:tc>
          <w:tcPr>
            <w:tcW w:w="180" w:type="dxa"/>
            <w:vAlign w:val="bottom"/>
            <w:tcBorders>
              <w:bottom w:val="single" w:sz="8" w:color="CCEEFF"/>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gridSpan w:val="3"/>
          </w:tcPr>
          <w:p>
            <w:pPr>
              <w:jc w:val="right"/>
              <w:ind w:right="78"/>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100" w:type="dxa"/>
            <w:vAlign w:val="bottom"/>
            <w:tcBorders>
              <w:top w:val="single" w:sz="8" w:color="auto"/>
              <w:bottom w:val="single" w:sz="8" w:color="CCEEFF"/>
            </w:tcBorders>
          </w:tcPr>
          <w:p>
            <w:pPr>
              <w:spacing w:after="0"/>
              <w:rPr>
                <w:sz w:val="8"/>
                <w:szCs w:val="8"/>
                <w:color w:val="auto"/>
              </w:rPr>
            </w:pPr>
          </w:p>
        </w:tc>
        <w:tc>
          <w:tcPr>
            <w:tcW w:w="200" w:type="dxa"/>
            <w:vAlign w:val="bottom"/>
            <w:tcBorders>
              <w:top w:val="single" w:sz="8" w:color="auto"/>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280" w:type="dxa"/>
            <w:vAlign w:val="bottom"/>
            <w:tcBorders>
              <w:top w:val="single" w:sz="8" w:color="auto"/>
              <w:bottom w:val="single" w:sz="8" w:color="auto"/>
            </w:tcBorders>
          </w:tcPr>
          <w:p>
            <w:pPr>
              <w:jc w:val="right"/>
              <w:ind w:right="18"/>
              <w:spacing w:after="0" w:line="94" w:lineRule="exact"/>
              <w:rPr>
                <w:sz w:val="20"/>
                <w:szCs w:val="20"/>
                <w:color w:val="auto"/>
              </w:rPr>
            </w:pPr>
            <w:r>
              <w:rPr>
                <w:rFonts w:ascii="Times New Roman" w:cs="Times New Roman" w:eastAsia="Times New Roman" w:hAnsi="Times New Roman"/>
                <w:sz w:val="10"/>
                <w:szCs w:val="10"/>
                <w:b w:val="1"/>
                <w:bCs w:val="1"/>
                <w:color w:val="auto"/>
                <w:w w:val="89"/>
              </w:rPr>
              <w:t>2021</w:t>
            </w:r>
          </w:p>
        </w:tc>
        <w:tc>
          <w:tcPr>
            <w:tcW w:w="80" w:type="dxa"/>
            <w:vAlign w:val="bottom"/>
            <w:tcBorders>
              <w:top w:val="single" w:sz="8" w:color="auto"/>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r>
      <w:tr>
        <w:trPr>
          <w:trHeight w:val="141"/>
        </w:trPr>
        <w:tc>
          <w:tcPr>
            <w:tcW w:w="43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Net (loss) income</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right w:val="single" w:sz="8" w:color="CCEEFF"/>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(4.3)</w:t>
            </w:r>
          </w:p>
        </w:tc>
        <w:tc>
          <w:tcPr>
            <w:tcW w:w="340" w:type="dxa"/>
            <w:vAlign w:val="bottom"/>
            <w:tcBorders>
              <w:left w:val="single" w:sz="8" w:color="CCEEFF"/>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tcBorders>
              <w:right w:val="single" w:sz="8" w:color="CCEEFF"/>
            </w:tcBorders>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10.0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4"/>
            <w:shd w:val="clear" w:color="auto" w:fill="CCEEFF"/>
          </w:tcPr>
          <w:p>
            <w:pPr>
              <w:jc w:val="right"/>
              <w:ind w:right="60"/>
              <w:spacing w:after="0" w:line="141" w:lineRule="exact"/>
              <w:rPr>
                <w:sz w:val="20"/>
                <w:szCs w:val="20"/>
                <w:color w:val="auto"/>
              </w:rPr>
            </w:pPr>
            <w:r>
              <w:rPr>
                <w:rFonts w:ascii="Times New Roman" w:cs="Times New Roman" w:eastAsia="Times New Roman" w:hAnsi="Times New Roman"/>
                <w:sz w:val="13"/>
                <w:szCs w:val="13"/>
                <w:color w:val="auto"/>
              </w:rPr>
              <w:t>(38.2)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3"/>
                <w:szCs w:val="13"/>
                <w:color w:val="auto"/>
              </w:rPr>
              <w:t>(16.8)</w:t>
            </w:r>
          </w:p>
        </w:tc>
      </w:tr>
      <w:tr>
        <w:trPr>
          <w:trHeight w:val="152"/>
        </w:trPr>
        <w:tc>
          <w:tcPr>
            <w:tcW w:w="4360" w:type="dxa"/>
            <w:vAlign w:val="bottom"/>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3"/>
          </w:tcPr>
          <w:p>
            <w:pPr>
              <w:jc w:val="right"/>
              <w:ind w:right="117"/>
              <w:spacing w:after="0"/>
              <w:rPr>
                <w:sz w:val="20"/>
                <w:szCs w:val="20"/>
                <w:color w:val="auto"/>
              </w:rPr>
            </w:pPr>
            <w:r>
              <w:rPr>
                <w:rFonts w:ascii="Times New Roman" w:cs="Times New Roman" w:eastAsia="Times New Roman" w:hAnsi="Times New Roman"/>
                <w:sz w:val="13"/>
                <w:szCs w:val="13"/>
                <w:color w:val="auto"/>
              </w:rPr>
              <w:t>0.5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1.8</w:t>
            </w:r>
          </w:p>
        </w:tc>
      </w:tr>
      <w:tr>
        <w:trPr>
          <w:trHeight w:val="152"/>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340" w:type="dxa"/>
            <w:vAlign w:val="bottom"/>
            <w:tcBorders>
              <w:left w:val="single" w:sz="8" w:color="CCEEFF"/>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0.3</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2.9</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0.8</w:t>
            </w:r>
          </w:p>
        </w:tc>
      </w:tr>
      <w:tr>
        <w:trPr>
          <w:trHeight w:val="152"/>
        </w:trPr>
        <w:tc>
          <w:tcPr>
            <w:tcW w:w="4360" w:type="dxa"/>
            <w:vAlign w:val="bottom"/>
          </w:tcPr>
          <w:p>
            <w:pPr>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3"/>
          </w:tcPr>
          <w:p>
            <w:pPr>
              <w:jc w:val="right"/>
              <w:ind w:right="117"/>
              <w:spacing w:after="0"/>
              <w:rPr>
                <w:sz w:val="20"/>
                <w:szCs w:val="20"/>
                <w:color w:val="auto"/>
              </w:rPr>
            </w:pPr>
            <w:r>
              <w:rPr>
                <w:rFonts w:ascii="Times New Roman" w:cs="Times New Roman" w:eastAsia="Times New Roman" w:hAnsi="Times New Roman"/>
                <w:sz w:val="13"/>
                <w:szCs w:val="13"/>
                <w:color w:val="auto"/>
              </w:rPr>
              <w:t>2.3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6.6</w:t>
            </w:r>
          </w:p>
        </w:tc>
      </w:tr>
      <w:tr>
        <w:trPr>
          <w:trHeight w:val="20"/>
        </w:trPr>
        <w:tc>
          <w:tcPr>
            <w:tcW w:w="4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EBITDA</w:t>
            </w: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340" w:type="dxa"/>
            <w:vAlign w:val="bottom"/>
            <w:tcBorders>
              <w:left w:val="single" w:sz="8" w:color="CCEEFF"/>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13.1</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(25.2)</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(7.6)</w:t>
            </w:r>
          </w:p>
        </w:tc>
      </w:tr>
      <w:tr>
        <w:trPr>
          <w:trHeight w:val="152"/>
        </w:trPr>
        <w:tc>
          <w:tcPr>
            <w:tcW w:w="436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 and related taxes</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3"/>
          </w:tcPr>
          <w:p>
            <w:pPr>
              <w:jc w:val="right"/>
              <w:ind w:right="117"/>
              <w:spacing w:after="0"/>
              <w:rPr>
                <w:sz w:val="20"/>
                <w:szCs w:val="20"/>
                <w:color w:val="auto"/>
              </w:rPr>
            </w:pPr>
            <w:r>
              <w:rPr>
                <w:rFonts w:ascii="Times New Roman" w:cs="Times New Roman" w:eastAsia="Times New Roman" w:hAnsi="Times New Roman"/>
                <w:sz w:val="13"/>
                <w:szCs w:val="13"/>
                <w:color w:val="auto"/>
              </w:rPr>
              <w:t>2.8</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23.3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15.6</w:t>
            </w:r>
          </w:p>
        </w:tc>
      </w:tr>
      <w:tr>
        <w:trPr>
          <w:trHeight w:val="152"/>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fair value of contingent consideration</w:t>
            </w: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340" w:type="dxa"/>
            <w:vAlign w:val="bottom"/>
            <w:tcBorders>
              <w:left w:val="single" w:sz="8" w:color="CCEEFF"/>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0.5</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0.3</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2.1</w:t>
            </w:r>
          </w:p>
        </w:tc>
      </w:tr>
      <w:tr>
        <w:trPr>
          <w:trHeight w:val="152"/>
        </w:trPr>
        <w:tc>
          <w:tcPr>
            <w:tcW w:w="4360" w:type="dxa"/>
            <w:vAlign w:val="bottom"/>
          </w:tcPr>
          <w:p>
            <w:pPr>
              <w:spacing w:after="0"/>
              <w:rPr>
                <w:sz w:val="20"/>
                <w:szCs w:val="20"/>
                <w:color w:val="auto"/>
              </w:rPr>
            </w:pPr>
            <w:r>
              <w:rPr>
                <w:rFonts w:ascii="Times New Roman" w:cs="Times New Roman" w:eastAsia="Times New Roman" w:hAnsi="Times New Roman"/>
                <w:sz w:val="13"/>
                <w:szCs w:val="13"/>
                <w:color w:val="auto"/>
              </w:rPr>
              <w:t>Change in fair value of preferred stock warrant liability</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10.8</w:t>
            </w:r>
          </w:p>
        </w:tc>
      </w:tr>
      <w:tr>
        <w:trPr>
          <w:trHeight w:val="152"/>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(income) expense, net</w:t>
            </w: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340" w:type="dxa"/>
            <w:vAlign w:val="bottom"/>
            <w:tcBorders>
              <w:left w:val="single" w:sz="8" w:color="CCEEFF"/>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0.2</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13.6</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0.6</w:t>
            </w:r>
          </w:p>
        </w:tc>
      </w:tr>
      <w:tr>
        <w:trPr>
          <w:trHeight w:val="152"/>
        </w:trPr>
        <w:tc>
          <w:tcPr>
            <w:tcW w:w="4360" w:type="dxa"/>
            <w:vAlign w:val="bottom"/>
          </w:tcPr>
          <w:p>
            <w:pPr>
              <w:spacing w:after="0"/>
              <w:rPr>
                <w:sz w:val="20"/>
                <w:szCs w:val="20"/>
                <w:color w:val="auto"/>
              </w:rPr>
            </w:pPr>
            <w:r>
              <w:rPr>
                <w:rFonts w:ascii="Times New Roman" w:cs="Times New Roman" w:eastAsia="Times New Roman" w:hAnsi="Times New Roman"/>
                <w:sz w:val="13"/>
                <w:szCs w:val="13"/>
                <w:color w:val="auto"/>
              </w:rPr>
              <w:t>Indirect taxes related to intercompany activity</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Acquisition related transaction costs</w:t>
            </w: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340" w:type="dxa"/>
            <w:vAlign w:val="bottom"/>
            <w:tcBorders>
              <w:left w:val="single" w:sz="8" w:color="CCEEFF"/>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0.4</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4360" w:type="dxa"/>
            <w:vAlign w:val="bottom"/>
          </w:tcPr>
          <w:p>
            <w:pPr>
              <w:spacing w:after="0"/>
              <w:rPr>
                <w:sz w:val="20"/>
                <w:szCs w:val="20"/>
                <w:color w:val="auto"/>
              </w:rPr>
            </w:pPr>
            <w:r>
              <w:rPr>
                <w:rFonts w:ascii="Times New Roman" w:cs="Times New Roman" w:eastAsia="Times New Roman" w:hAnsi="Times New Roman"/>
                <w:sz w:val="13"/>
                <w:szCs w:val="13"/>
                <w:color w:val="auto"/>
              </w:rPr>
              <w:t>Acquisition related employee retention costs</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3"/>
          </w:tcPr>
          <w:p>
            <w:pPr>
              <w:jc w:val="right"/>
              <w:ind w:right="117"/>
              <w:spacing w:after="0"/>
              <w:rPr>
                <w:sz w:val="20"/>
                <w:szCs w:val="20"/>
                <w:color w:val="auto"/>
              </w:rPr>
            </w:pPr>
            <w:r>
              <w:rPr>
                <w:rFonts w:ascii="Times New Roman" w:cs="Times New Roman" w:eastAsia="Times New Roman" w:hAnsi="Times New Roman"/>
                <w:sz w:val="13"/>
                <w:szCs w:val="13"/>
                <w:color w:val="auto"/>
              </w:rPr>
              <w:t>1.0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3.1</w:t>
            </w:r>
          </w:p>
        </w:tc>
      </w:tr>
      <w:tr>
        <w:trPr>
          <w:trHeight w:val="20"/>
        </w:trPr>
        <w:tc>
          <w:tcPr>
            <w:tcW w:w="4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Adjusted EBITDA</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460" w:type="dxa"/>
            <w:vAlign w:val="bottom"/>
            <w:tcBorders>
              <w:left w:val="single" w:sz="8" w:color="CCEEFF"/>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3"/>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17.6</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13.9</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24.6</w:t>
            </w:r>
          </w:p>
        </w:tc>
      </w:tr>
      <w:tr>
        <w:trPr>
          <w:trHeight w:val="28"/>
        </w:trPr>
        <w:tc>
          <w:tcPr>
            <w:tcW w:w="4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ectPr>
          <w:pgSz w:w="11900" w:h="16838" w:orient="portrait"/>
          <w:cols w:equalWidth="0" w:num="1">
            <w:col w:w="9019"/>
          </w:cols>
          <w:pgMar w:left="1440" w:top="229" w:right="1440" w:bottom="1440" w:gutter="0" w:footer="0" w:header="0"/>
        </w:sectPr>
      </w:pPr>
    </w:p>
    <w:bookmarkStart w:id="15" w:name="page16"/>
    <w:bookmarkEnd w:id="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115"/>
        </w:trPr>
        <w:tc>
          <w:tcPr>
            <w:tcW w:w="3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7"/>
          </w:tcPr>
          <w:p>
            <w:pPr>
              <w:ind w:left="30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8"/>
          </w:tcPr>
          <w:p>
            <w:pPr>
              <w:jc w:val="center"/>
              <w:ind w:left="5"/>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7"/>
          </w:tcPr>
          <w:p>
            <w:pPr>
              <w:ind w:left="340"/>
              <w:spacing w:after="0"/>
              <w:rPr>
                <w:sz w:val="20"/>
                <w:szCs w:val="20"/>
                <w:color w:val="auto"/>
              </w:rPr>
            </w:pPr>
            <w:r>
              <w:rPr>
                <w:rFonts w:ascii="Times New Roman" w:cs="Times New Roman" w:eastAsia="Times New Roman" w:hAnsi="Times New Roman"/>
                <w:sz w:val="10"/>
                <w:szCs w:val="10"/>
                <w:b w:val="1"/>
                <w:bCs w:val="1"/>
                <w:color w:val="auto"/>
              </w:rPr>
              <w:t>September 30, 2022</w:t>
            </w: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8"/>
          </w:tcPr>
          <w:p>
            <w:pPr>
              <w:jc w:val="center"/>
              <w:ind w:left="5"/>
              <w:spacing w:after="0"/>
              <w:rPr>
                <w:sz w:val="20"/>
                <w:szCs w:val="20"/>
                <w:color w:val="auto"/>
              </w:rPr>
            </w:pPr>
            <w:r>
              <w:rPr>
                <w:rFonts w:ascii="Times New Roman" w:cs="Times New Roman" w:eastAsia="Times New Roman" w:hAnsi="Times New Roman"/>
                <w:sz w:val="10"/>
                <w:szCs w:val="10"/>
                <w:b w:val="1"/>
                <w:bCs w:val="1"/>
                <w:color w:val="auto"/>
              </w:rPr>
              <w:t>September 30, 2021</w:t>
            </w: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36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gridSpan w:val="4"/>
          </w:tcPr>
          <w:p>
            <w:pPr>
              <w:jc w:val="center"/>
              <w:ind w:right="167"/>
              <w:spacing w:after="0" w:line="77" w:lineRule="exact"/>
              <w:rPr>
                <w:sz w:val="20"/>
                <w:szCs w:val="20"/>
                <w:color w:val="auto"/>
              </w:rPr>
            </w:pPr>
            <w:r>
              <w:rPr>
                <w:rFonts w:ascii="Times New Roman" w:cs="Times New Roman" w:eastAsia="Times New Roman" w:hAnsi="Times New Roman"/>
                <w:sz w:val="8"/>
                <w:szCs w:val="8"/>
                <w:b w:val="1"/>
                <w:bCs w:val="1"/>
                <w:color w:val="auto"/>
              </w:rPr>
              <w:t>Platform</w:t>
            </w: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gridSpan w:val="4"/>
          </w:tcPr>
          <w:p>
            <w:pPr>
              <w:spacing w:after="0" w:line="77" w:lineRule="exact"/>
              <w:rPr>
                <w:sz w:val="20"/>
                <w:szCs w:val="20"/>
                <w:color w:val="auto"/>
              </w:rPr>
            </w:pPr>
            <w:r>
              <w:rPr>
                <w:rFonts w:ascii="Times New Roman" w:cs="Times New Roman" w:eastAsia="Times New Roman" w:hAnsi="Times New Roman"/>
                <w:sz w:val="8"/>
                <w:szCs w:val="8"/>
                <w:b w:val="1"/>
                <w:bCs w:val="1"/>
                <w:color w:val="auto"/>
              </w:rPr>
              <w:t>Platform</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3"/>
          </w:tcPr>
          <w:p>
            <w:pPr>
              <w:jc w:val="center"/>
              <w:ind w:right="247"/>
              <w:spacing w:after="0" w:line="104" w:lineRule="exact"/>
              <w:rPr>
                <w:sz w:val="20"/>
                <w:szCs w:val="20"/>
                <w:color w:val="auto"/>
              </w:rPr>
            </w:pPr>
            <w:r>
              <w:rPr>
                <w:rFonts w:ascii="Times New Roman" w:cs="Times New Roman" w:eastAsia="Times New Roman" w:hAnsi="Times New Roman"/>
                <w:sz w:val="10"/>
                <w:szCs w:val="10"/>
                <w:b w:val="1"/>
                <w:bCs w:val="1"/>
                <w:color w:val="auto"/>
                <w:w w:val="98"/>
              </w:rPr>
              <w:t>and</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3"/>
          </w:tcPr>
          <w:p>
            <w:pPr>
              <w:jc w:val="center"/>
              <w:ind w:right="307"/>
              <w:spacing w:after="0" w:line="104" w:lineRule="exact"/>
              <w:rPr>
                <w:sz w:val="20"/>
                <w:szCs w:val="20"/>
                <w:color w:val="auto"/>
              </w:rPr>
            </w:pPr>
            <w:r>
              <w:rPr>
                <w:rFonts w:ascii="Times New Roman" w:cs="Times New Roman" w:eastAsia="Times New Roman" w:hAnsi="Times New Roman"/>
                <w:sz w:val="10"/>
                <w:szCs w:val="10"/>
                <w:b w:val="1"/>
                <w:bCs w:val="1"/>
                <w:color w:val="auto"/>
              </w:rPr>
              <w:t>and</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gridSpan w:val="4"/>
          </w:tcPr>
          <w:p>
            <w:pPr>
              <w:jc w:val="center"/>
              <w:ind w:right="187"/>
              <w:spacing w:after="0" w:line="104" w:lineRule="exact"/>
              <w:rPr>
                <w:sz w:val="20"/>
                <w:szCs w:val="20"/>
                <w:color w:val="auto"/>
              </w:rPr>
            </w:pPr>
            <w:r>
              <w:rPr>
                <w:rFonts w:ascii="Times New Roman" w:cs="Times New Roman" w:eastAsia="Times New Roman" w:hAnsi="Times New Roman"/>
                <w:sz w:val="10"/>
                <w:szCs w:val="10"/>
                <w:b w:val="1"/>
                <w:bCs w:val="1"/>
                <w:color w:val="auto"/>
                <w:w w:val="96"/>
              </w:rPr>
              <w:t>Usage-</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4"/>
          </w:tcPr>
          <w:p>
            <w:pPr>
              <w:jc w:val="center"/>
              <w:ind w:right="207"/>
              <w:spacing w:after="0" w:line="104" w:lineRule="exact"/>
              <w:rPr>
                <w:sz w:val="20"/>
                <w:szCs w:val="20"/>
                <w:color w:val="auto"/>
              </w:rPr>
            </w:pPr>
            <w:r>
              <w:rPr>
                <w:rFonts w:ascii="Times New Roman" w:cs="Times New Roman" w:eastAsia="Times New Roman" w:hAnsi="Times New Roman"/>
                <w:sz w:val="10"/>
                <w:szCs w:val="10"/>
                <w:b w:val="1"/>
                <w:bCs w:val="1"/>
                <w:color w:val="auto"/>
              </w:rPr>
              <w:t>Usage-</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6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w w:val="96"/>
              </w:rPr>
              <w:t>Transaction</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3"/>
          </w:tcPr>
          <w:p>
            <w:pPr>
              <w:jc w:val="center"/>
              <w:ind w:right="227"/>
              <w:spacing w:after="0" w:line="104" w:lineRule="exact"/>
              <w:rPr>
                <w:sz w:val="20"/>
                <w:szCs w:val="20"/>
                <w:color w:val="auto"/>
              </w:rPr>
            </w:pPr>
            <w:r>
              <w:rPr>
                <w:rFonts w:ascii="Times New Roman" w:cs="Times New Roman" w:eastAsia="Times New Roman" w:hAnsi="Times New Roman"/>
                <w:sz w:val="10"/>
                <w:szCs w:val="10"/>
                <w:b w:val="1"/>
                <w:bCs w:val="1"/>
                <w:color w:val="auto"/>
              </w:rPr>
              <w:t>Based</w:t>
            </w:r>
          </w:p>
        </w:tc>
        <w:tc>
          <w:tcPr>
            <w:tcW w:w="40" w:type="dxa"/>
            <w:vAlign w:val="bottom"/>
          </w:tcPr>
          <w:p>
            <w:pPr>
              <w:spacing w:after="0"/>
              <w:rPr>
                <w:sz w:val="9"/>
                <w:szCs w:val="9"/>
                <w:color w:val="auto"/>
              </w:rPr>
            </w:pPr>
          </w:p>
        </w:tc>
        <w:tc>
          <w:tcPr>
            <w:tcW w:w="620" w:type="dxa"/>
            <w:vAlign w:val="bottom"/>
            <w:gridSpan w:val="4"/>
            <w:vMerge w:val="restart"/>
          </w:tcPr>
          <w:p>
            <w:pPr>
              <w:spacing w:after="0"/>
              <w:rPr>
                <w:sz w:val="20"/>
                <w:szCs w:val="20"/>
                <w:color w:val="auto"/>
              </w:rPr>
            </w:pPr>
            <w:r>
              <w:rPr>
                <w:rFonts w:ascii="Times New Roman" w:cs="Times New Roman" w:eastAsia="Times New Roman" w:hAnsi="Times New Roman"/>
                <w:sz w:val="10"/>
                <w:szCs w:val="10"/>
                <w:b w:val="1"/>
                <w:bCs w:val="1"/>
                <w:color w:val="auto"/>
              </w:rPr>
              <w:t>Revenue</w:t>
            </w:r>
          </w:p>
        </w:tc>
        <w:tc>
          <w:tcPr>
            <w:tcW w:w="600" w:type="dxa"/>
            <w:vAlign w:val="bottom"/>
            <w:gridSpan w:val="4"/>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Transaction</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4"/>
          </w:tcPr>
          <w:p>
            <w:pPr>
              <w:jc w:val="center"/>
              <w:ind w:right="207"/>
              <w:spacing w:after="0" w:line="104" w:lineRule="exact"/>
              <w:rPr>
                <w:sz w:val="20"/>
                <w:szCs w:val="20"/>
                <w:color w:val="auto"/>
              </w:rPr>
            </w:pPr>
            <w:r>
              <w:rPr>
                <w:rFonts w:ascii="Times New Roman" w:cs="Times New Roman" w:eastAsia="Times New Roman" w:hAnsi="Times New Roman"/>
                <w:sz w:val="10"/>
                <w:szCs w:val="10"/>
                <w:b w:val="1"/>
                <w:bCs w:val="1"/>
                <w:color w:val="auto"/>
              </w:rPr>
              <w:t>Based</w:t>
            </w:r>
          </w:p>
        </w:tc>
        <w:tc>
          <w:tcPr>
            <w:tcW w:w="54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w w:val="98"/>
              </w:rPr>
              <w:t>Revenue</w:t>
            </w:r>
          </w:p>
        </w:tc>
        <w:tc>
          <w:tcPr>
            <w:tcW w:w="0" w:type="dxa"/>
            <w:vAlign w:val="bottom"/>
          </w:tcPr>
          <w:p>
            <w:pPr>
              <w:spacing w:after="0"/>
              <w:rPr>
                <w:sz w:val="1"/>
                <w:szCs w:val="1"/>
                <w:color w:val="auto"/>
              </w:rPr>
            </w:pPr>
          </w:p>
        </w:tc>
      </w:tr>
      <w:tr>
        <w:trPr>
          <w:trHeight w:val="121"/>
        </w:trPr>
        <w:tc>
          <w:tcPr>
            <w:tcW w:w="3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gridSpan w:val="4"/>
            <w:vMerge w:val="continue"/>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3"/>
          </w:tcPr>
          <w:p>
            <w:pPr>
              <w:jc w:val="center"/>
              <w:ind w:right="247"/>
              <w:spacing w:after="0"/>
              <w:rPr>
                <w:sz w:val="20"/>
                <w:szCs w:val="20"/>
                <w:color w:val="auto"/>
              </w:rPr>
            </w:pPr>
            <w:r>
              <w:rPr>
                <w:rFonts w:ascii="Times New Roman" w:cs="Times New Roman" w:eastAsia="Times New Roman" w:hAnsi="Times New Roman"/>
                <w:sz w:val="10"/>
                <w:szCs w:val="10"/>
                <w:b w:val="1"/>
                <w:bCs w:val="1"/>
                <w:color w:val="auto"/>
              </w:rPr>
              <w:t>Fees</w:t>
            </w:r>
          </w:p>
        </w:tc>
        <w:tc>
          <w:tcPr>
            <w:tcW w:w="40" w:type="dxa"/>
            <w:vAlign w:val="bottom"/>
          </w:tcPr>
          <w:p>
            <w:pPr>
              <w:spacing w:after="0"/>
              <w:rPr>
                <w:sz w:val="10"/>
                <w:szCs w:val="10"/>
                <w:color w:val="auto"/>
              </w:rPr>
            </w:pPr>
          </w:p>
        </w:tc>
        <w:tc>
          <w:tcPr>
            <w:tcW w:w="620" w:type="dxa"/>
            <w:vAlign w:val="bottom"/>
            <w:gridSpan w:val="4"/>
            <w:vMerge w:val="continue"/>
          </w:tcPr>
          <w:p>
            <w:pPr>
              <w:spacing w:after="0"/>
              <w:rPr>
                <w:sz w:val="10"/>
                <w:szCs w:val="10"/>
                <w:color w:val="auto"/>
              </w:rPr>
            </w:pPr>
          </w:p>
        </w:tc>
        <w:tc>
          <w:tcPr>
            <w:tcW w:w="600" w:type="dxa"/>
            <w:vAlign w:val="bottom"/>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4"/>
          </w:tcPr>
          <w:p>
            <w:pPr>
              <w:jc w:val="center"/>
              <w:ind w:right="207"/>
              <w:spacing w:after="0"/>
              <w:rPr>
                <w:sz w:val="20"/>
                <w:szCs w:val="20"/>
                <w:color w:val="auto"/>
              </w:rPr>
            </w:pPr>
            <w:r>
              <w:rPr>
                <w:rFonts w:ascii="Times New Roman" w:cs="Times New Roman" w:eastAsia="Times New Roman" w:hAnsi="Times New Roman"/>
                <w:sz w:val="10"/>
                <w:szCs w:val="10"/>
                <w:b w:val="1"/>
                <w:bCs w:val="1"/>
                <w:color w:val="auto"/>
                <w:w w:val="95"/>
              </w:rPr>
              <w:t>Fees</w:t>
            </w:r>
          </w:p>
        </w:tc>
        <w:tc>
          <w:tcPr>
            <w:tcW w:w="5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68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77.1</w:t>
            </w:r>
          </w:p>
        </w:tc>
        <w:tc>
          <w:tcPr>
            <w:tcW w:w="80" w:type="dxa"/>
            <w:vAlign w:val="bottom"/>
            <w:tcBorders>
              <w:top w:val="single" w:sz="8" w:color="CCEEFF"/>
              <w:left w:val="single" w:sz="8" w:color="CCEEFF"/>
            </w:tcBorders>
            <w:shd w:val="clear" w:color="auto" w:fill="CCEEFF"/>
          </w:tcPr>
          <w:p>
            <w:pPr>
              <w:spacing w:after="0"/>
              <w:rPr>
                <w:sz w:val="12"/>
                <w:szCs w:val="12"/>
                <w:color w:val="auto"/>
              </w:rPr>
            </w:pPr>
          </w:p>
        </w:tc>
        <w:tc>
          <w:tcPr>
            <w:tcW w:w="220" w:type="dxa"/>
            <w:vAlign w:val="bottom"/>
            <w:tcBorders>
              <w:top w:val="single" w:sz="8" w:color="CCEEFF"/>
              <w:right w:val="single" w:sz="8" w:color="CCEEFF"/>
            </w:tcBorders>
            <w:shd w:val="clear" w:color="auto" w:fill="CCEEFF"/>
          </w:tcPr>
          <w:p>
            <w:pPr>
              <w:spacing w:after="0"/>
              <w:rPr>
                <w:sz w:val="12"/>
                <w:szCs w:val="12"/>
                <w:color w:val="auto"/>
              </w:rPr>
            </w:pPr>
          </w:p>
        </w:tc>
        <w:tc>
          <w:tcPr>
            <w:tcW w:w="6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18.1</w:t>
            </w:r>
          </w:p>
        </w:tc>
        <w:tc>
          <w:tcPr>
            <w:tcW w:w="140" w:type="dxa"/>
            <w:vAlign w:val="bottom"/>
            <w:tcBorders>
              <w:top w:val="single" w:sz="8" w:color="CCEEFF"/>
              <w:left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95.2</w:t>
            </w:r>
          </w:p>
        </w:tc>
        <w:tc>
          <w:tcPr>
            <w:tcW w:w="240" w:type="dxa"/>
            <w:vAlign w:val="bottom"/>
            <w:tcBorders>
              <w:top w:val="single" w:sz="8" w:color="CCEEFF"/>
              <w:left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53.0</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14.8</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67.8</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680" w:type="dxa"/>
            <w:vAlign w:val="bottom"/>
          </w:tcPr>
          <w:p>
            <w:pPr>
              <w:spacing w:after="0"/>
              <w:rPr>
                <w:sz w:val="20"/>
                <w:szCs w:val="20"/>
                <w:color w:val="auto"/>
              </w:rPr>
            </w:pPr>
            <w:r>
              <w:rPr>
                <w:rFonts w:ascii="Times New Roman" w:cs="Times New Roman" w:eastAsia="Times New Roman" w:hAnsi="Times New Roman"/>
                <w:sz w:val="13"/>
                <w:szCs w:val="13"/>
                <w:color w:val="auto"/>
              </w:rPr>
              <w:t>Adjusted to exclude gross up for:</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Pass through cost for printing and mailing</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CEEFF"/>
            </w:tcBorders>
            <w:shd w:val="clear" w:color="auto" w:fill="CCEEFF"/>
          </w:tcPr>
          <w:p>
            <w:pPr>
              <w:spacing w:after="0"/>
              <w:rPr>
                <w:sz w:val="13"/>
                <w:szCs w:val="13"/>
                <w:color w:val="auto"/>
              </w:rPr>
            </w:pPr>
          </w:p>
        </w:tc>
        <w:tc>
          <w:tcPr>
            <w:tcW w:w="60" w:type="dxa"/>
            <w:vAlign w:val="bottom"/>
            <w:tcBorders>
              <w:left w:val="single" w:sz="8" w:color="CCEEFF"/>
            </w:tcBorders>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3"/>
                <w:szCs w:val="13"/>
                <w:color w:val="auto"/>
              </w:rPr>
              <w:t>(5.4)</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6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Marketing fees</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jc w:val="right"/>
              <w:ind w:right="22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29"/>
              <w:spacing w:after="0"/>
              <w:rPr>
                <w:sz w:val="20"/>
                <w:szCs w:val="20"/>
                <w:color w:val="auto"/>
              </w:rPr>
            </w:pPr>
            <w:r>
              <w:rPr>
                <w:rFonts w:ascii="Times New Roman" w:cs="Times New Roman" w:eastAsia="Times New Roman" w:hAnsi="Times New Roman"/>
                <w:sz w:val="13"/>
                <w:szCs w:val="13"/>
                <w:color w:val="auto"/>
              </w:rPr>
              <w:t>(0.9)</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(0.8)</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3"/>
          </w:tcPr>
          <w:p>
            <w:pPr>
              <w:jc w:val="right"/>
              <w:ind w:right="26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 Less Ancillary Services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76.2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12.7</w:t>
            </w:r>
          </w:p>
        </w:tc>
        <w:tc>
          <w:tcPr>
            <w:tcW w:w="100" w:type="dxa"/>
            <w:vAlign w:val="bottom"/>
            <w:shd w:val="clear" w:color="auto" w:fill="CCEEFF"/>
          </w:tcPr>
          <w:p>
            <w:pPr>
              <w:spacing w:after="0"/>
              <w:rPr>
                <w:sz w:val="13"/>
                <w:szCs w:val="13"/>
                <w:color w:val="auto"/>
              </w:rPr>
            </w:pP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gridSpan w:val="2"/>
            <w:shd w:val="clear" w:color="auto" w:fill="CCEEFF"/>
          </w:tcPr>
          <w:p>
            <w:pPr>
              <w:jc w:val="right"/>
              <w:ind w:right="169"/>
              <w:spacing w:after="0"/>
              <w:rPr>
                <w:sz w:val="20"/>
                <w:szCs w:val="20"/>
                <w:color w:val="auto"/>
              </w:rPr>
            </w:pPr>
            <w:r>
              <w:rPr>
                <w:rFonts w:ascii="Times New Roman" w:cs="Times New Roman" w:eastAsia="Times New Roman" w:hAnsi="Times New Roman"/>
                <w:sz w:val="13"/>
                <w:szCs w:val="13"/>
                <w:color w:val="auto"/>
              </w:rPr>
              <w:t>88.9</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52.2</w:t>
            </w:r>
          </w:p>
        </w:tc>
        <w:tc>
          <w:tcPr>
            <w:tcW w:w="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9.8</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62.0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36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Percentage of Revenue</w:t>
            </w:r>
          </w:p>
        </w:tc>
        <w:tc>
          <w:tcPr>
            <w:tcW w:w="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Borders>
              <w:left w:val="single" w:sz="8" w:color="auto"/>
            </w:tcBorders>
            <w:gridSpan w:val="2"/>
          </w:tcPr>
          <w:p>
            <w:pPr>
              <w:spacing w:after="0"/>
              <w:rPr>
                <w:sz w:val="2"/>
                <w:szCs w:val="2"/>
                <w:color w:val="auto"/>
              </w:rPr>
            </w:pPr>
          </w:p>
        </w:tc>
        <w:tc>
          <w:tcPr>
            <w:tcW w:w="60" w:type="dxa"/>
            <w:vAlign w:val="bottom"/>
            <w:tcBorders>
              <w:left w:val="single" w:sz="8" w:color="auto"/>
            </w:tcBorders>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36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tcPr>
          <w:p>
            <w:pPr>
              <w:jc w:val="right"/>
              <w:ind w:right="97"/>
              <w:spacing w:after="0"/>
              <w:rPr>
                <w:sz w:val="20"/>
                <w:szCs w:val="20"/>
                <w:color w:val="auto"/>
              </w:rPr>
            </w:pPr>
            <w:r>
              <w:rPr>
                <w:rFonts w:ascii="Times New Roman" w:cs="Times New Roman" w:eastAsia="Times New Roman" w:hAnsi="Times New Roman"/>
                <w:sz w:val="13"/>
                <w:szCs w:val="13"/>
                <w:color w:val="auto"/>
              </w:rPr>
              <w:t>81.0%</w:t>
            </w:r>
          </w:p>
        </w:tc>
        <w:tc>
          <w:tcPr>
            <w:tcW w:w="6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19.0%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69"/>
              <w:spacing w:after="0"/>
              <w:rPr>
                <w:sz w:val="20"/>
                <w:szCs w:val="20"/>
                <w:color w:val="auto"/>
              </w:rPr>
            </w:pPr>
            <w:r>
              <w:rPr>
                <w:rFonts w:ascii="Times New Roman" w:cs="Times New Roman" w:eastAsia="Times New Roman" w:hAnsi="Times New Roman"/>
                <w:sz w:val="13"/>
                <w:szCs w:val="13"/>
                <w:color w:val="auto"/>
              </w:rPr>
              <w:t>100%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78.2%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21.8%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52"/>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Percentage of Revenue less Ancillary Services</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right w:val="single" w:sz="8" w:color="CCEEFF"/>
            </w:tcBorders>
            <w:gridSpan w:val="3"/>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85.7%</w:t>
            </w:r>
          </w:p>
        </w:tc>
        <w:tc>
          <w:tcPr>
            <w:tcW w:w="60" w:type="dxa"/>
            <w:vAlign w:val="bottom"/>
            <w:tcBorders>
              <w:left w:val="single" w:sz="8" w:color="CCEEFF"/>
            </w:tcBorders>
            <w:shd w:val="clear" w:color="auto" w:fill="CCEEFF"/>
          </w:tcPr>
          <w:p>
            <w:pPr>
              <w:spacing w:after="0"/>
              <w:rPr>
                <w:sz w:val="13"/>
                <w:szCs w:val="13"/>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14.3%</w:t>
            </w:r>
          </w:p>
        </w:tc>
        <w:tc>
          <w:tcPr>
            <w:tcW w:w="10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3"/>
                <w:szCs w:val="13"/>
                <w:color w:val="auto"/>
              </w:rPr>
              <w:t>100%</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84.2%</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15.8%</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258"/>
        </w:trPr>
        <w:tc>
          <w:tcPr>
            <w:tcW w:w="3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gridSpan w:val="7"/>
          </w:tcPr>
          <w:p>
            <w:pPr>
              <w:ind w:left="300"/>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8"/>
          </w:tcPr>
          <w:p>
            <w:pPr>
              <w:jc w:val="center"/>
              <w:ind w:left="5"/>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68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7"/>
          </w:tcPr>
          <w:p>
            <w:pPr>
              <w:ind w:left="320"/>
              <w:spacing w:after="0"/>
              <w:rPr>
                <w:sz w:val="20"/>
                <w:szCs w:val="20"/>
                <w:color w:val="auto"/>
              </w:rPr>
            </w:pPr>
            <w:r>
              <w:rPr>
                <w:rFonts w:ascii="Times New Roman" w:cs="Times New Roman" w:eastAsia="Times New Roman" w:hAnsi="Times New Roman"/>
                <w:sz w:val="10"/>
                <w:szCs w:val="10"/>
                <w:b w:val="1"/>
                <w:bCs w:val="1"/>
                <w:color w:val="auto"/>
              </w:rPr>
              <w:t>September 30, 2022</w:t>
            </w: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8"/>
          </w:tcPr>
          <w:p>
            <w:pPr>
              <w:jc w:val="center"/>
              <w:ind w:left="5"/>
              <w:spacing w:after="0"/>
              <w:rPr>
                <w:sz w:val="20"/>
                <w:szCs w:val="20"/>
                <w:color w:val="auto"/>
              </w:rPr>
            </w:pPr>
            <w:r>
              <w:rPr>
                <w:rFonts w:ascii="Times New Roman" w:cs="Times New Roman" w:eastAsia="Times New Roman" w:hAnsi="Times New Roman"/>
                <w:sz w:val="10"/>
                <w:szCs w:val="10"/>
                <w:b w:val="1"/>
                <w:bCs w:val="1"/>
                <w:color w:val="auto"/>
              </w:rPr>
              <w:t>September 30, 2021</w:t>
            </w: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36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gridSpan w:val="4"/>
          </w:tcPr>
          <w:p>
            <w:pPr>
              <w:jc w:val="center"/>
              <w:ind w:right="187"/>
              <w:spacing w:after="0" w:line="77" w:lineRule="exact"/>
              <w:rPr>
                <w:sz w:val="20"/>
                <w:szCs w:val="20"/>
                <w:color w:val="auto"/>
              </w:rPr>
            </w:pPr>
            <w:r>
              <w:rPr>
                <w:rFonts w:ascii="Times New Roman" w:cs="Times New Roman" w:eastAsia="Times New Roman" w:hAnsi="Times New Roman"/>
                <w:sz w:val="8"/>
                <w:szCs w:val="8"/>
                <w:b w:val="1"/>
                <w:bCs w:val="1"/>
                <w:color w:val="auto"/>
              </w:rPr>
              <w:t>Platform</w:t>
            </w: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gridSpan w:val="4"/>
          </w:tcPr>
          <w:p>
            <w:pPr>
              <w:jc w:val="center"/>
              <w:ind w:right="207"/>
              <w:spacing w:after="0" w:line="77" w:lineRule="exact"/>
              <w:rPr>
                <w:sz w:val="20"/>
                <w:szCs w:val="20"/>
                <w:color w:val="auto"/>
              </w:rPr>
            </w:pPr>
            <w:r>
              <w:rPr>
                <w:rFonts w:ascii="Times New Roman" w:cs="Times New Roman" w:eastAsia="Times New Roman" w:hAnsi="Times New Roman"/>
                <w:sz w:val="8"/>
                <w:szCs w:val="8"/>
                <w:b w:val="1"/>
                <w:bCs w:val="1"/>
                <w:color w:val="auto"/>
              </w:rPr>
              <w:t>Platform</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3"/>
          </w:tcPr>
          <w:p>
            <w:pPr>
              <w:jc w:val="center"/>
              <w:ind w:right="287"/>
              <w:spacing w:after="0" w:line="104" w:lineRule="exact"/>
              <w:rPr>
                <w:sz w:val="20"/>
                <w:szCs w:val="20"/>
                <w:color w:val="auto"/>
              </w:rPr>
            </w:pPr>
            <w:r>
              <w:rPr>
                <w:rFonts w:ascii="Times New Roman" w:cs="Times New Roman" w:eastAsia="Times New Roman" w:hAnsi="Times New Roman"/>
                <w:sz w:val="10"/>
                <w:szCs w:val="10"/>
                <w:b w:val="1"/>
                <w:bCs w:val="1"/>
                <w:color w:val="auto"/>
                <w:w w:val="98"/>
              </w:rPr>
              <w:t>and</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3"/>
          </w:tcPr>
          <w:p>
            <w:pPr>
              <w:jc w:val="center"/>
              <w:ind w:right="307"/>
              <w:spacing w:after="0" w:line="104" w:lineRule="exact"/>
              <w:rPr>
                <w:sz w:val="20"/>
                <w:szCs w:val="20"/>
                <w:color w:val="auto"/>
              </w:rPr>
            </w:pPr>
            <w:r>
              <w:rPr>
                <w:rFonts w:ascii="Times New Roman" w:cs="Times New Roman" w:eastAsia="Times New Roman" w:hAnsi="Times New Roman"/>
                <w:sz w:val="10"/>
                <w:szCs w:val="10"/>
                <w:b w:val="1"/>
                <w:bCs w:val="1"/>
                <w:color w:val="auto"/>
              </w:rPr>
              <w:t>and</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gridSpan w:val="4"/>
          </w:tcPr>
          <w:p>
            <w:pPr>
              <w:jc w:val="center"/>
              <w:ind w:right="207"/>
              <w:spacing w:after="0" w:line="104" w:lineRule="exact"/>
              <w:rPr>
                <w:sz w:val="20"/>
                <w:szCs w:val="20"/>
                <w:color w:val="auto"/>
              </w:rPr>
            </w:pPr>
            <w:r>
              <w:rPr>
                <w:rFonts w:ascii="Times New Roman" w:cs="Times New Roman" w:eastAsia="Times New Roman" w:hAnsi="Times New Roman"/>
                <w:sz w:val="10"/>
                <w:szCs w:val="10"/>
                <w:b w:val="1"/>
                <w:bCs w:val="1"/>
                <w:color w:val="auto"/>
              </w:rPr>
              <w:t>Usage-</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4"/>
          </w:tcPr>
          <w:p>
            <w:pPr>
              <w:jc w:val="center"/>
              <w:ind w:right="207"/>
              <w:spacing w:after="0" w:line="104" w:lineRule="exact"/>
              <w:rPr>
                <w:sz w:val="20"/>
                <w:szCs w:val="20"/>
                <w:color w:val="auto"/>
              </w:rPr>
            </w:pPr>
            <w:r>
              <w:rPr>
                <w:rFonts w:ascii="Times New Roman" w:cs="Times New Roman" w:eastAsia="Times New Roman" w:hAnsi="Times New Roman"/>
                <w:sz w:val="10"/>
                <w:szCs w:val="10"/>
                <w:b w:val="1"/>
                <w:bCs w:val="1"/>
                <w:color w:val="auto"/>
              </w:rPr>
              <w:t>Usage-</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680" w:type="dxa"/>
            <w:vAlign w:val="bottom"/>
          </w:tcPr>
          <w:p>
            <w:pPr>
              <w:spacing w:after="0"/>
              <w:rPr>
                <w:sz w:val="9"/>
                <w:szCs w:val="9"/>
                <w:color w:val="auto"/>
              </w:rPr>
            </w:pPr>
          </w:p>
        </w:tc>
        <w:tc>
          <w:tcPr>
            <w:tcW w:w="600" w:type="dxa"/>
            <w:vAlign w:val="bottom"/>
            <w:gridSpan w:val="5"/>
            <w:vMerge w:val="restart"/>
          </w:tcPr>
          <w:p>
            <w:pPr>
              <w:spacing w:after="0"/>
              <w:rPr>
                <w:sz w:val="20"/>
                <w:szCs w:val="20"/>
                <w:color w:val="auto"/>
              </w:rPr>
            </w:pPr>
            <w:r>
              <w:rPr>
                <w:rFonts w:ascii="Times New Roman" w:cs="Times New Roman" w:eastAsia="Times New Roman" w:hAnsi="Times New Roman"/>
                <w:sz w:val="10"/>
                <w:szCs w:val="10"/>
                <w:b w:val="1"/>
                <w:bCs w:val="1"/>
                <w:color w:val="auto"/>
              </w:rPr>
              <w:t>Transaction</w:t>
            </w:r>
          </w:p>
        </w:tc>
        <w:tc>
          <w:tcPr>
            <w:tcW w:w="220" w:type="dxa"/>
            <w:vAlign w:val="bottom"/>
          </w:tcPr>
          <w:p>
            <w:pPr>
              <w:spacing w:after="0"/>
              <w:rPr>
                <w:sz w:val="9"/>
                <w:szCs w:val="9"/>
                <w:color w:val="auto"/>
              </w:rPr>
            </w:pPr>
          </w:p>
        </w:tc>
        <w:tc>
          <w:tcPr>
            <w:tcW w:w="600" w:type="dxa"/>
            <w:vAlign w:val="bottom"/>
            <w:gridSpan w:val="4"/>
          </w:tcPr>
          <w:p>
            <w:pPr>
              <w:jc w:val="center"/>
              <w:ind w:right="207"/>
              <w:spacing w:after="0" w:line="104" w:lineRule="exact"/>
              <w:rPr>
                <w:sz w:val="20"/>
                <w:szCs w:val="20"/>
                <w:color w:val="auto"/>
              </w:rPr>
            </w:pPr>
            <w:r>
              <w:rPr>
                <w:rFonts w:ascii="Times New Roman" w:cs="Times New Roman" w:eastAsia="Times New Roman" w:hAnsi="Times New Roman"/>
                <w:sz w:val="10"/>
                <w:szCs w:val="10"/>
                <w:b w:val="1"/>
                <w:bCs w:val="1"/>
                <w:color w:val="auto"/>
              </w:rPr>
              <w:t>Based</w:t>
            </w:r>
          </w:p>
        </w:tc>
        <w:tc>
          <w:tcPr>
            <w:tcW w:w="40" w:type="dxa"/>
            <w:vAlign w:val="bottom"/>
          </w:tcPr>
          <w:p>
            <w:pPr>
              <w:spacing w:after="0"/>
              <w:rPr>
                <w:sz w:val="9"/>
                <w:szCs w:val="9"/>
                <w:color w:val="auto"/>
              </w:rPr>
            </w:pPr>
          </w:p>
        </w:tc>
        <w:tc>
          <w:tcPr>
            <w:tcW w:w="620" w:type="dxa"/>
            <w:vAlign w:val="bottom"/>
            <w:gridSpan w:val="4"/>
            <w:vMerge w:val="restart"/>
          </w:tcPr>
          <w:p>
            <w:pPr>
              <w:spacing w:after="0"/>
              <w:rPr>
                <w:sz w:val="20"/>
                <w:szCs w:val="20"/>
                <w:color w:val="auto"/>
              </w:rPr>
            </w:pPr>
            <w:r>
              <w:rPr>
                <w:rFonts w:ascii="Times New Roman" w:cs="Times New Roman" w:eastAsia="Times New Roman" w:hAnsi="Times New Roman"/>
                <w:sz w:val="10"/>
                <w:szCs w:val="10"/>
                <w:b w:val="1"/>
                <w:bCs w:val="1"/>
                <w:color w:val="auto"/>
              </w:rPr>
              <w:t>Revenue</w:t>
            </w:r>
          </w:p>
        </w:tc>
        <w:tc>
          <w:tcPr>
            <w:tcW w:w="600" w:type="dxa"/>
            <w:vAlign w:val="bottom"/>
            <w:gridSpan w:val="4"/>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Transaction</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4"/>
          </w:tcPr>
          <w:p>
            <w:pPr>
              <w:jc w:val="center"/>
              <w:ind w:right="207"/>
              <w:spacing w:after="0" w:line="104" w:lineRule="exact"/>
              <w:rPr>
                <w:sz w:val="20"/>
                <w:szCs w:val="20"/>
                <w:color w:val="auto"/>
              </w:rPr>
            </w:pPr>
            <w:r>
              <w:rPr>
                <w:rFonts w:ascii="Times New Roman" w:cs="Times New Roman" w:eastAsia="Times New Roman" w:hAnsi="Times New Roman"/>
                <w:sz w:val="10"/>
                <w:szCs w:val="10"/>
                <w:b w:val="1"/>
                <w:bCs w:val="1"/>
                <w:color w:val="auto"/>
              </w:rPr>
              <w:t>Based</w:t>
            </w:r>
          </w:p>
        </w:tc>
        <w:tc>
          <w:tcPr>
            <w:tcW w:w="54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w w:val="98"/>
              </w:rPr>
              <w:t>Revenue</w:t>
            </w:r>
          </w:p>
        </w:tc>
        <w:tc>
          <w:tcPr>
            <w:tcW w:w="0" w:type="dxa"/>
            <w:vAlign w:val="bottom"/>
          </w:tcPr>
          <w:p>
            <w:pPr>
              <w:spacing w:after="0"/>
              <w:rPr>
                <w:sz w:val="1"/>
                <w:szCs w:val="1"/>
                <w:color w:val="auto"/>
              </w:rPr>
            </w:pPr>
          </w:p>
        </w:tc>
      </w:tr>
      <w:tr>
        <w:trPr>
          <w:trHeight w:val="121"/>
        </w:trPr>
        <w:tc>
          <w:tcPr>
            <w:tcW w:w="3680" w:type="dxa"/>
            <w:vAlign w:val="bottom"/>
          </w:tcPr>
          <w:p>
            <w:pPr>
              <w:spacing w:after="0"/>
              <w:rPr>
                <w:sz w:val="10"/>
                <w:szCs w:val="10"/>
                <w:color w:val="auto"/>
              </w:rPr>
            </w:pPr>
          </w:p>
        </w:tc>
        <w:tc>
          <w:tcPr>
            <w:tcW w:w="600" w:type="dxa"/>
            <w:vAlign w:val="bottom"/>
            <w:gridSpan w:val="5"/>
            <w:vMerge w:val="continue"/>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3"/>
          </w:tcPr>
          <w:p>
            <w:pPr>
              <w:jc w:val="center"/>
              <w:ind w:right="287"/>
              <w:spacing w:after="0"/>
              <w:rPr>
                <w:sz w:val="20"/>
                <w:szCs w:val="20"/>
                <w:color w:val="auto"/>
              </w:rPr>
            </w:pPr>
            <w:r>
              <w:rPr>
                <w:rFonts w:ascii="Times New Roman" w:cs="Times New Roman" w:eastAsia="Times New Roman" w:hAnsi="Times New Roman"/>
                <w:sz w:val="10"/>
                <w:szCs w:val="10"/>
                <w:b w:val="1"/>
                <w:bCs w:val="1"/>
                <w:color w:val="auto"/>
              </w:rPr>
              <w:t>Fees</w:t>
            </w:r>
          </w:p>
        </w:tc>
        <w:tc>
          <w:tcPr>
            <w:tcW w:w="40" w:type="dxa"/>
            <w:vAlign w:val="bottom"/>
          </w:tcPr>
          <w:p>
            <w:pPr>
              <w:spacing w:after="0"/>
              <w:rPr>
                <w:sz w:val="10"/>
                <w:szCs w:val="10"/>
                <w:color w:val="auto"/>
              </w:rPr>
            </w:pPr>
          </w:p>
        </w:tc>
        <w:tc>
          <w:tcPr>
            <w:tcW w:w="620" w:type="dxa"/>
            <w:vAlign w:val="bottom"/>
            <w:gridSpan w:val="4"/>
            <w:vMerge w:val="continue"/>
          </w:tcPr>
          <w:p>
            <w:pPr>
              <w:spacing w:after="0"/>
              <w:rPr>
                <w:sz w:val="10"/>
                <w:szCs w:val="10"/>
                <w:color w:val="auto"/>
              </w:rPr>
            </w:pPr>
          </w:p>
        </w:tc>
        <w:tc>
          <w:tcPr>
            <w:tcW w:w="600" w:type="dxa"/>
            <w:vAlign w:val="bottom"/>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4"/>
          </w:tcPr>
          <w:p>
            <w:pPr>
              <w:jc w:val="center"/>
              <w:ind w:right="207"/>
              <w:spacing w:after="0"/>
              <w:rPr>
                <w:sz w:val="20"/>
                <w:szCs w:val="20"/>
                <w:color w:val="auto"/>
              </w:rPr>
            </w:pPr>
            <w:r>
              <w:rPr>
                <w:rFonts w:ascii="Times New Roman" w:cs="Times New Roman" w:eastAsia="Times New Roman" w:hAnsi="Times New Roman"/>
                <w:sz w:val="10"/>
                <w:szCs w:val="10"/>
                <w:b w:val="1"/>
                <w:bCs w:val="1"/>
                <w:color w:val="auto"/>
                <w:w w:val="95"/>
              </w:rPr>
              <w:t>Fees</w:t>
            </w:r>
          </w:p>
        </w:tc>
        <w:tc>
          <w:tcPr>
            <w:tcW w:w="5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68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100" w:type="dxa"/>
            <w:vAlign w:val="bottom"/>
            <w:tcBorders>
              <w:top w:val="single" w:sz="8" w:color="auto"/>
            </w:tcBorders>
            <w:gridSpan w:val="2"/>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167.5</w:t>
            </w:r>
          </w:p>
        </w:tc>
        <w:tc>
          <w:tcPr>
            <w:tcW w:w="80" w:type="dxa"/>
            <w:vAlign w:val="bottom"/>
            <w:tcBorders>
              <w:top w:val="single" w:sz="8" w:color="CCEEFF"/>
              <w:left w:val="single" w:sz="8" w:color="CCEEFF"/>
            </w:tcBorders>
            <w:shd w:val="clear" w:color="auto" w:fill="CCEEFF"/>
          </w:tcPr>
          <w:p>
            <w:pPr>
              <w:spacing w:after="0"/>
              <w:rPr>
                <w:sz w:val="12"/>
                <w:szCs w:val="12"/>
                <w:color w:val="auto"/>
              </w:rPr>
            </w:pPr>
          </w:p>
        </w:tc>
        <w:tc>
          <w:tcPr>
            <w:tcW w:w="220" w:type="dxa"/>
            <w:vAlign w:val="bottom"/>
            <w:tcBorders>
              <w:top w:val="single" w:sz="8" w:color="CCEEFF"/>
              <w:right w:val="single" w:sz="8" w:color="CCEEFF"/>
            </w:tcBorders>
            <w:shd w:val="clear" w:color="auto" w:fill="CCEEFF"/>
          </w:tcPr>
          <w:p>
            <w:pPr>
              <w:spacing w:after="0"/>
              <w:rPr>
                <w:sz w:val="12"/>
                <w:szCs w:val="12"/>
                <w:color w:val="auto"/>
              </w:rPr>
            </w:pPr>
          </w:p>
        </w:tc>
        <w:tc>
          <w:tcPr>
            <w:tcW w:w="6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48.8</w:t>
            </w:r>
          </w:p>
        </w:tc>
        <w:tc>
          <w:tcPr>
            <w:tcW w:w="140" w:type="dxa"/>
            <w:vAlign w:val="bottom"/>
            <w:tcBorders>
              <w:top w:val="single" w:sz="8" w:color="CCEEFF"/>
              <w:left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right w:val="single" w:sz="8" w:color="CCEEFF"/>
            </w:tcBorders>
            <w:shd w:val="clear" w:color="auto" w:fill="CCEEFF"/>
          </w:tcPr>
          <w:p>
            <w:pPr>
              <w:spacing w:after="0"/>
              <w:rPr>
                <w:sz w:val="12"/>
                <w:szCs w:val="12"/>
                <w:color w:val="auto"/>
              </w:rPr>
            </w:pPr>
          </w:p>
        </w:tc>
        <w:tc>
          <w:tcPr>
            <w:tcW w:w="36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87"/>
              </w:rPr>
              <w:t>$ 216.3</w:t>
            </w:r>
          </w:p>
        </w:tc>
        <w:tc>
          <w:tcPr>
            <w:tcW w:w="240" w:type="dxa"/>
            <w:vAlign w:val="bottom"/>
            <w:tcBorders>
              <w:top w:val="single" w:sz="8" w:color="CCEEFF"/>
              <w:left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109.7</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40.1</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gridSpan w:val="2"/>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w w:val="92"/>
              </w:rPr>
              <w:t>$ 149.8</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680" w:type="dxa"/>
            <w:vAlign w:val="bottom"/>
          </w:tcPr>
          <w:p>
            <w:pPr>
              <w:spacing w:after="0"/>
              <w:rPr>
                <w:sz w:val="20"/>
                <w:szCs w:val="20"/>
                <w:color w:val="auto"/>
              </w:rPr>
            </w:pPr>
            <w:r>
              <w:rPr>
                <w:rFonts w:ascii="Times New Roman" w:cs="Times New Roman" w:eastAsia="Times New Roman" w:hAnsi="Times New Roman"/>
                <w:sz w:val="13"/>
                <w:szCs w:val="13"/>
                <w:color w:val="auto"/>
              </w:rPr>
              <w:t>Adjusted to exclude gross up for:</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Pass through cost for printing and mailing</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CEEFF"/>
            </w:tcBorders>
            <w:shd w:val="clear" w:color="auto" w:fill="CCEEFF"/>
          </w:tcPr>
          <w:p>
            <w:pPr>
              <w:spacing w:after="0"/>
              <w:rPr>
                <w:sz w:val="13"/>
                <w:szCs w:val="13"/>
                <w:color w:val="auto"/>
              </w:rPr>
            </w:pPr>
          </w:p>
        </w:tc>
        <w:tc>
          <w:tcPr>
            <w:tcW w:w="60" w:type="dxa"/>
            <w:vAlign w:val="bottom"/>
            <w:tcBorders>
              <w:left w:val="single" w:sz="8" w:color="CCEEFF"/>
            </w:tcBorders>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(15.1)</w:t>
            </w:r>
          </w:p>
        </w:tc>
        <w:tc>
          <w:tcPr>
            <w:tcW w:w="10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3"/>
                <w:szCs w:val="13"/>
                <w:color w:val="auto"/>
                <w:w w:val="95"/>
              </w:rPr>
              <w:t>(15.1)</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5"/>
              </w:rPr>
              <w:t>(13.4)</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(13.4)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6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Marketing fees</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jc w:val="right"/>
              <w:ind w:right="24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49"/>
              <w:spacing w:after="0"/>
              <w:rPr>
                <w:sz w:val="20"/>
                <w:szCs w:val="20"/>
                <w:color w:val="auto"/>
              </w:rPr>
            </w:pPr>
            <w:r>
              <w:rPr>
                <w:rFonts w:ascii="Times New Roman" w:cs="Times New Roman" w:eastAsia="Times New Roman" w:hAnsi="Times New Roman"/>
                <w:sz w:val="13"/>
                <w:szCs w:val="13"/>
                <w:color w:val="auto"/>
              </w:rPr>
              <w:t>(1.5)</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(1.2)</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3"/>
          </w:tcPr>
          <w:p>
            <w:pPr>
              <w:jc w:val="right"/>
              <w:ind w:right="26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 Less Ancillary Services</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166.0</w:t>
            </w:r>
          </w:p>
        </w:tc>
        <w:tc>
          <w:tcPr>
            <w:tcW w:w="80" w:type="dxa"/>
            <w:vAlign w:val="bottom"/>
            <w:tcBorders>
              <w:left w:val="single" w:sz="8" w:color="CCEEFF"/>
            </w:tcBorders>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14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$ 199.7</w:t>
            </w:r>
          </w:p>
        </w:tc>
        <w:tc>
          <w:tcPr>
            <w:tcW w:w="240" w:type="dxa"/>
            <w:vAlign w:val="bottom"/>
            <w:tcBorders>
              <w:lef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108.5</w:t>
            </w:r>
          </w:p>
        </w:tc>
        <w:tc>
          <w:tcPr>
            <w:tcW w:w="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26.7</w:t>
            </w:r>
          </w:p>
        </w:tc>
        <w:tc>
          <w:tcPr>
            <w:tcW w:w="14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2"/>
              </w:rPr>
              <w:t>$ 135.2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36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Percentage of Revenue</w:t>
            </w:r>
          </w:p>
        </w:tc>
        <w:tc>
          <w:tcPr>
            <w:tcW w:w="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Borders>
              <w:right w:val="single" w:sz="8" w:color="auto"/>
            </w:tcBorders>
            <w:gridSpan w:val="2"/>
          </w:tcPr>
          <w:p>
            <w:pPr>
              <w:spacing w:after="0"/>
              <w:rPr>
                <w:sz w:val="2"/>
                <w:szCs w:val="2"/>
                <w:color w:val="auto"/>
              </w:rPr>
            </w:pPr>
          </w:p>
        </w:tc>
        <w:tc>
          <w:tcPr>
            <w:tcW w:w="60" w:type="dxa"/>
            <w:vAlign w:val="bottom"/>
            <w:tcBorders>
              <w:left w:val="single" w:sz="8" w:color="auto"/>
            </w:tcBorders>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36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tcPr>
          <w:p>
            <w:pPr>
              <w:jc w:val="right"/>
              <w:ind w:right="117"/>
              <w:spacing w:after="0"/>
              <w:rPr>
                <w:sz w:val="20"/>
                <w:szCs w:val="20"/>
                <w:color w:val="auto"/>
              </w:rPr>
            </w:pPr>
            <w:r>
              <w:rPr>
                <w:rFonts w:ascii="Times New Roman" w:cs="Times New Roman" w:eastAsia="Times New Roman" w:hAnsi="Times New Roman"/>
                <w:sz w:val="13"/>
                <w:szCs w:val="13"/>
                <w:color w:val="auto"/>
              </w:rPr>
              <w:t>77.4%</w:t>
            </w:r>
          </w:p>
        </w:tc>
        <w:tc>
          <w:tcPr>
            <w:tcW w:w="60" w:type="dxa"/>
            <w:vAlign w:val="bottom"/>
          </w:tcPr>
          <w:p>
            <w:pPr>
              <w:spacing w:after="0"/>
              <w:rPr>
                <w:sz w:val="14"/>
                <w:szCs w:val="14"/>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22.6%</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89"/>
              <w:spacing w:after="0"/>
              <w:rPr>
                <w:sz w:val="20"/>
                <w:szCs w:val="20"/>
                <w:color w:val="auto"/>
              </w:rPr>
            </w:pPr>
            <w:r>
              <w:rPr>
                <w:rFonts w:ascii="Times New Roman" w:cs="Times New Roman" w:eastAsia="Times New Roman" w:hAnsi="Times New Roman"/>
                <w:sz w:val="13"/>
                <w:szCs w:val="13"/>
                <w:color w:val="auto"/>
              </w:rPr>
              <w:t>100%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73.2%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26.8%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52"/>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Percentage of Revenue less Ancillary Services</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right w:val="single" w:sz="8" w:color="CCEEFF"/>
            </w:tcBorders>
            <w:gridSpan w:val="3"/>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83.1%</w:t>
            </w:r>
          </w:p>
        </w:tc>
        <w:tc>
          <w:tcPr>
            <w:tcW w:w="60" w:type="dxa"/>
            <w:vAlign w:val="bottom"/>
            <w:tcBorders>
              <w:left w:val="single" w:sz="8" w:color="CCEEFF"/>
            </w:tcBorders>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16.9%</w:t>
            </w:r>
          </w:p>
        </w:tc>
        <w:tc>
          <w:tcPr>
            <w:tcW w:w="10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3"/>
                <w:szCs w:val="13"/>
                <w:color w:val="auto"/>
              </w:rPr>
              <w:t>100%</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80.3%</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19.7%</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258"/>
        </w:trPr>
        <w:tc>
          <w:tcPr>
            <w:tcW w:w="3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w w:val="97"/>
              </w:rPr>
              <w:t>Guidance</w:t>
            </w:r>
          </w:p>
        </w:tc>
        <w:tc>
          <w:tcPr>
            <w:tcW w:w="140" w:type="dxa"/>
            <w:vAlign w:val="bottom"/>
          </w:tcPr>
          <w:p>
            <w:pPr>
              <w:spacing w:after="0"/>
              <w:rPr>
                <w:sz w:val="22"/>
                <w:szCs w:val="22"/>
                <w:color w:val="auto"/>
              </w:rPr>
            </w:pPr>
          </w:p>
        </w:tc>
        <w:tc>
          <w:tcPr>
            <w:tcW w:w="1640" w:type="dxa"/>
            <w:vAlign w:val="bottom"/>
            <w:gridSpan w:val="12"/>
            <w:vMerge w:val="restart"/>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Year Ended December 31, 2022</w:t>
            </w:r>
          </w:p>
        </w:tc>
        <w:tc>
          <w:tcPr>
            <w:tcW w:w="0" w:type="dxa"/>
            <w:vAlign w:val="bottom"/>
          </w:tcPr>
          <w:p>
            <w:pPr>
              <w:spacing w:after="0"/>
              <w:rPr>
                <w:sz w:val="1"/>
                <w:szCs w:val="1"/>
                <w:color w:val="auto"/>
              </w:rPr>
            </w:pPr>
          </w:p>
        </w:tc>
      </w:tr>
      <w:tr>
        <w:trPr>
          <w:trHeight w:val="121"/>
        </w:trPr>
        <w:tc>
          <w:tcPr>
            <w:tcW w:w="3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00" w:type="dxa"/>
            <w:vAlign w:val="bottom"/>
            <w:gridSpan w:val="12"/>
          </w:tcPr>
          <w:p>
            <w:pPr>
              <w:ind w:left="20"/>
              <w:spacing w:after="0"/>
              <w:rPr>
                <w:sz w:val="20"/>
                <w:szCs w:val="20"/>
                <w:color w:val="auto"/>
              </w:rPr>
            </w:pPr>
            <w:r>
              <w:rPr>
                <w:rFonts w:ascii="Times New Roman" w:cs="Times New Roman" w:eastAsia="Times New Roman" w:hAnsi="Times New Roman"/>
                <w:sz w:val="10"/>
                <w:szCs w:val="10"/>
                <w:b w:val="1"/>
                <w:bCs w:val="1"/>
                <w:color w:val="auto"/>
              </w:rPr>
              <w:t>Three Months Ended December 31, 2022</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40" w:type="dxa"/>
            <w:vAlign w:val="bottom"/>
            <w:gridSpan w:val="1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68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gridSpan w:val="2"/>
          </w:tcPr>
          <w:p>
            <w:pPr>
              <w:ind w:left="180"/>
              <w:spacing w:after="0" w:line="94" w:lineRule="exact"/>
              <w:rPr>
                <w:sz w:val="20"/>
                <w:szCs w:val="20"/>
                <w:color w:val="auto"/>
              </w:rPr>
            </w:pPr>
            <w:r>
              <w:rPr>
                <w:rFonts w:ascii="Times New Roman" w:cs="Times New Roman" w:eastAsia="Times New Roman" w:hAnsi="Times New Roman"/>
                <w:sz w:val="10"/>
                <w:szCs w:val="10"/>
                <w:b w:val="1"/>
                <w:bCs w:val="1"/>
                <w:color w:val="auto"/>
              </w:rPr>
              <w:t>Low</w:t>
            </w:r>
          </w:p>
        </w:tc>
        <w:tc>
          <w:tcPr>
            <w:tcW w:w="220" w:type="dxa"/>
            <w:vAlign w:val="bottom"/>
            <w:tcBorders>
              <w:top w:val="single" w:sz="8" w:color="auto"/>
              <w:bottom w:val="single" w:sz="8" w:color="auto"/>
            </w:tcBorders>
          </w:tcPr>
          <w:p>
            <w:pPr>
              <w:spacing w:after="0"/>
              <w:rPr>
                <w:sz w:val="8"/>
                <w:szCs w:val="8"/>
                <w:color w:val="auto"/>
              </w:rPr>
            </w:pPr>
          </w:p>
        </w:tc>
        <w:tc>
          <w:tcPr>
            <w:tcW w:w="60" w:type="dxa"/>
            <w:vAlign w:val="bottom"/>
            <w:tcBorders>
              <w:top w:val="single" w:sz="8" w:color="auto"/>
              <w:bottom w:val="single" w:sz="8" w:color="CCEEFF"/>
            </w:tcBorders>
          </w:tcPr>
          <w:p>
            <w:pPr>
              <w:spacing w:after="0"/>
              <w:rPr>
                <w:sz w:val="8"/>
                <w:szCs w:val="8"/>
                <w:color w:val="auto"/>
              </w:rPr>
            </w:pPr>
          </w:p>
        </w:tc>
        <w:tc>
          <w:tcPr>
            <w:tcW w:w="300" w:type="dxa"/>
            <w:vAlign w:val="bottom"/>
            <w:tcBorders>
              <w:top w:val="single" w:sz="8" w:color="auto"/>
              <w:bottom w:val="single" w:sz="8" w:color="CCEEFF"/>
            </w:tcBorders>
          </w:tcPr>
          <w:p>
            <w:pPr>
              <w:spacing w:after="0"/>
              <w:rPr>
                <w:sz w:val="8"/>
                <w:szCs w:val="8"/>
                <w:color w:val="auto"/>
              </w:rPr>
            </w:pPr>
          </w:p>
        </w:tc>
        <w:tc>
          <w:tcPr>
            <w:tcW w:w="140" w:type="dxa"/>
            <w:vAlign w:val="bottom"/>
            <w:tcBorders>
              <w:top w:val="single" w:sz="8" w:color="auto"/>
              <w:bottom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gridSpan w:val="2"/>
          </w:tcPr>
          <w:p>
            <w:pPr>
              <w:jc w:val="right"/>
              <w:ind w:right="209"/>
              <w:spacing w:after="0" w:line="94" w:lineRule="exact"/>
              <w:rPr>
                <w:sz w:val="20"/>
                <w:szCs w:val="20"/>
                <w:color w:val="auto"/>
              </w:rPr>
            </w:pPr>
            <w:r>
              <w:rPr>
                <w:rFonts w:ascii="Times New Roman" w:cs="Times New Roman" w:eastAsia="Times New Roman" w:hAnsi="Times New Roman"/>
                <w:sz w:val="10"/>
                <w:szCs w:val="10"/>
                <w:b w:val="1"/>
                <w:bCs w:val="1"/>
                <w:color w:val="auto"/>
              </w:rPr>
              <w:t>High</w:t>
            </w:r>
          </w:p>
        </w:tc>
        <w:tc>
          <w:tcPr>
            <w:tcW w:w="20" w:type="dxa"/>
            <w:vAlign w:val="bottom"/>
            <w:tcBorders>
              <w:bottom w:val="single" w:sz="8" w:color="CCEEFF"/>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560" w:type="dxa"/>
            <w:vAlign w:val="bottom"/>
            <w:tcBorders>
              <w:top w:val="single" w:sz="8" w:color="auto"/>
              <w:bottom w:val="single" w:sz="8" w:color="auto"/>
            </w:tcBorders>
            <w:gridSpan w:val="5"/>
          </w:tcPr>
          <w:p>
            <w:pPr>
              <w:ind w:left="180"/>
              <w:spacing w:after="0" w:line="94" w:lineRule="exact"/>
              <w:rPr>
                <w:sz w:val="20"/>
                <w:szCs w:val="20"/>
                <w:color w:val="auto"/>
              </w:rPr>
            </w:pPr>
            <w:r>
              <w:rPr>
                <w:rFonts w:ascii="Times New Roman" w:cs="Times New Roman" w:eastAsia="Times New Roman" w:hAnsi="Times New Roman"/>
                <w:sz w:val="10"/>
                <w:szCs w:val="10"/>
                <w:b w:val="1"/>
                <w:bCs w:val="1"/>
                <w:color w:val="auto"/>
              </w:rPr>
              <w:t>Low</w:t>
            </w:r>
          </w:p>
        </w:tc>
        <w:tc>
          <w:tcPr>
            <w:tcW w:w="280" w:type="dxa"/>
            <w:vAlign w:val="bottom"/>
            <w:tcBorders>
              <w:top w:val="single" w:sz="8" w:color="auto"/>
              <w:bottom w:val="single" w:sz="8" w:color="CCEEFF"/>
            </w:tcBorders>
          </w:tcPr>
          <w:p>
            <w:pPr>
              <w:spacing w:after="0"/>
              <w:rPr>
                <w:sz w:val="8"/>
                <w:szCs w:val="8"/>
                <w:color w:val="auto"/>
              </w:rPr>
            </w:pPr>
          </w:p>
        </w:tc>
        <w:tc>
          <w:tcPr>
            <w:tcW w:w="120" w:type="dxa"/>
            <w:vAlign w:val="bottom"/>
            <w:tcBorders>
              <w:top w:val="single" w:sz="8" w:color="auto"/>
              <w:bottom w:val="single" w:sz="8" w:color="CCEEFF"/>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gridSpan w:val="3"/>
          </w:tcPr>
          <w:p>
            <w:pPr>
              <w:jc w:val="right"/>
              <w:ind w:right="200"/>
              <w:spacing w:after="0" w:line="94" w:lineRule="exact"/>
              <w:rPr>
                <w:sz w:val="20"/>
                <w:szCs w:val="20"/>
                <w:color w:val="auto"/>
              </w:rPr>
            </w:pPr>
            <w:r>
              <w:rPr>
                <w:rFonts w:ascii="Times New Roman" w:cs="Times New Roman" w:eastAsia="Times New Roman" w:hAnsi="Times New Roman"/>
                <w:sz w:val="10"/>
                <w:szCs w:val="10"/>
                <w:b w:val="1"/>
                <w:bCs w:val="1"/>
                <w:color w:val="auto"/>
              </w:rPr>
              <w:t>High</w:t>
            </w:r>
          </w:p>
        </w:tc>
        <w:tc>
          <w:tcPr>
            <w:tcW w:w="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36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100" w:type="dxa"/>
            <w:vAlign w:val="bottom"/>
            <w:gridSpan w:val="2"/>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87"/>
              </w:rPr>
              <w:t>69.3</w:t>
            </w:r>
          </w:p>
        </w:tc>
        <w:tc>
          <w:tcPr>
            <w:tcW w:w="60" w:type="dxa"/>
            <w:vAlign w:val="bottom"/>
            <w:tcBorders>
              <w:lef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72.6</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300" w:type="dxa"/>
            <w:vAlign w:val="bottom"/>
            <w:gridSpan w:val="3"/>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5"/>
              </w:rPr>
              <w:t>285.4</w:t>
            </w:r>
          </w:p>
        </w:tc>
        <w:tc>
          <w:tcPr>
            <w:tcW w:w="400" w:type="dxa"/>
            <w:vAlign w:val="bottom"/>
            <w:gridSpan w:val="2"/>
            <w:shd w:val="clear" w:color="auto" w:fill="CCEEFF"/>
          </w:tcPr>
          <w:p>
            <w:pPr>
              <w:spacing w:after="0"/>
              <w:rPr>
                <w:sz w:val="12"/>
                <w:szCs w:val="12"/>
                <w:color w:val="auto"/>
              </w:rPr>
            </w:pP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288.7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680" w:type="dxa"/>
            <w:vAlign w:val="bottom"/>
          </w:tcPr>
          <w:p>
            <w:pPr>
              <w:spacing w:after="0"/>
              <w:rPr>
                <w:sz w:val="20"/>
                <w:szCs w:val="20"/>
                <w:color w:val="auto"/>
              </w:rPr>
            </w:pPr>
            <w:r>
              <w:rPr>
                <w:rFonts w:ascii="Times New Roman" w:cs="Times New Roman" w:eastAsia="Times New Roman" w:hAnsi="Times New Roman"/>
                <w:sz w:val="13"/>
                <w:szCs w:val="13"/>
                <w:color w:val="auto"/>
              </w:rPr>
              <w:t>Adjusted to exclude gross up for:</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Pass through cost for printing and mailing</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30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4"/>
            <w:shd w:val="clear" w:color="auto" w:fill="CCEEFF"/>
          </w:tcPr>
          <w:p>
            <w:pPr>
              <w:jc w:val="right"/>
              <w:ind w:right="121"/>
              <w:spacing w:after="0"/>
              <w:rPr>
                <w:sz w:val="20"/>
                <w:szCs w:val="20"/>
                <w:color w:val="auto"/>
              </w:rPr>
            </w:pPr>
            <w:r>
              <w:rPr>
                <w:rFonts w:ascii="Times New Roman" w:cs="Times New Roman" w:eastAsia="Times New Roman" w:hAnsi="Times New Roman"/>
                <w:sz w:val="13"/>
                <w:szCs w:val="13"/>
                <w:color w:val="auto"/>
              </w:rPr>
              <w:t>(5.3)</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179"/>
              <w:spacing w:after="0"/>
              <w:rPr>
                <w:sz w:val="20"/>
                <w:szCs w:val="20"/>
                <w:color w:val="auto"/>
              </w:rPr>
            </w:pPr>
            <w:r>
              <w:rPr>
                <w:rFonts w:ascii="Times New Roman" w:cs="Times New Roman" w:eastAsia="Times New Roman" w:hAnsi="Times New Roman"/>
                <w:sz w:val="13"/>
                <w:szCs w:val="13"/>
                <w:color w:val="auto"/>
                <w:w w:val="88"/>
              </w:rPr>
              <w:t>(20.1)</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(20.4)</w:t>
            </w:r>
          </w:p>
        </w:tc>
        <w:tc>
          <w:tcPr>
            <w:tcW w:w="0" w:type="dxa"/>
            <w:vAlign w:val="bottom"/>
          </w:tcPr>
          <w:p>
            <w:pPr>
              <w:spacing w:after="0"/>
              <w:rPr>
                <w:sz w:val="1"/>
                <w:szCs w:val="1"/>
                <w:color w:val="auto"/>
              </w:rPr>
            </w:pPr>
          </w:p>
        </w:tc>
      </w:tr>
      <w:tr>
        <w:trPr>
          <w:trHeight w:val="152"/>
        </w:trPr>
        <w:tc>
          <w:tcPr>
            <w:tcW w:w="36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Marketing fees</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4"/>
          </w:tcPr>
          <w:p>
            <w:pPr>
              <w:jc w:val="right"/>
              <w:ind w:right="121"/>
              <w:spacing w:after="0"/>
              <w:rPr>
                <w:sz w:val="20"/>
                <w:szCs w:val="20"/>
                <w:color w:val="auto"/>
              </w:rPr>
            </w:pPr>
            <w:r>
              <w:rPr>
                <w:rFonts w:ascii="Times New Roman" w:cs="Times New Roman" w:eastAsia="Times New Roman" w:hAnsi="Times New Roman"/>
                <w:sz w:val="13"/>
                <w:szCs w:val="13"/>
                <w:color w:val="auto"/>
              </w:rPr>
              <w:t>(0.3)</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3"/>
          </w:tcPr>
          <w:p>
            <w:pPr>
              <w:jc w:val="right"/>
              <w:ind w:right="179"/>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 Less Ancillary Services</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2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87"/>
              </w:rPr>
              <w:t>64.0</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67.0</w:t>
            </w:r>
          </w:p>
        </w:tc>
        <w:tc>
          <w:tcPr>
            <w:tcW w:w="2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263.5</w:t>
            </w:r>
          </w:p>
        </w:tc>
        <w:tc>
          <w:tcPr>
            <w:tcW w:w="540" w:type="dxa"/>
            <w:vAlign w:val="bottom"/>
            <w:gridSpan w:val="3"/>
            <w:shd w:val="clear" w:color="auto" w:fill="CCEEFF"/>
          </w:tcPr>
          <w:p>
            <w:pPr>
              <w:jc w:val="right"/>
              <w:ind w:right="2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266.5</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16" w:right="1440" w:bottom="1440"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500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50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lvl w:ilvl="1">
      <w:lvlJc w:val="left"/>
      <w:lvlText w:val="(%2)"/>
      <w:numFmt w:val="lowerRoman"/>
      <w:start w:val="3"/>
    </w:lvl>
  </w:abstractNum>
  <w:abstractNum w:abstractNumId="7">
    <w:nsid w:val="7545E146"/>
    <w:multiLevelType w:val="hybridMultilevel"/>
    <w:lvl w:ilvl="0">
      <w:lvlJc w:val="left"/>
      <w:lvlText w:val="•"/>
      <w:numFmt w:val="bullet"/>
      <w:start w:val="1"/>
    </w:lvl>
    <w:lvl w:ilvl="1">
      <w:lvlJc w:val="left"/>
      <w:lvlText w:val="(%2)"/>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2022-11-08T17:04:35Z</dcterms:created>
  <dcterms:modified xsi:type="dcterms:W3CDTF">2022-11-08T17:04:35Z</dcterms:modified>
</cp:coreProperties>
</file>