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80" w:type="dxa"/>
            <w:vAlign w:val="bottom"/>
          </w:tcPr>
          <w:p>
            <w:pPr>
              <w:ind w:left="40"/>
              <w:spacing w:after="0"/>
              <w:rPr>
                <w:sz w:val="20"/>
                <w:szCs w:val="20"/>
                <w:color w:val="auto"/>
              </w:rPr>
            </w:pPr>
            <w:r>
              <w:rPr>
                <w:rFonts w:ascii="Arial" w:cs="Arial" w:eastAsia="Arial" w:hAnsi="Arial"/>
                <w:sz w:val="22"/>
                <w:szCs w:val="22"/>
                <w:color w:val="auto"/>
              </w:rPr>
              <w:t>0001767194</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49"/>
        </w:trPr>
        <w:tc>
          <w:tcPr>
            <w:tcW w:w="6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617-329-4524</w:t>
            </w:r>
          </w:p>
        </w:tc>
      </w:tr>
      <w:tr>
        <w:trPr>
          <w:trHeight w:val="297"/>
        </w:trPr>
        <w:tc>
          <w:tcPr>
            <w:tcW w:w="608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3840" w:type="dxa"/>
            <w:vAlign w:val="bottom"/>
          </w:tcPr>
          <w:p>
            <w:pPr>
              <w:ind w:left="340"/>
              <w:spacing w:after="0"/>
              <w:rPr>
                <w:sz w:val="20"/>
                <w:szCs w:val="20"/>
                <w:color w:val="auto"/>
              </w:rPr>
            </w:pPr>
            <w:r>
              <w:rPr>
                <w:rFonts w:ascii="Arial" w:cs="Arial" w:eastAsia="Arial" w:hAnsi="Arial"/>
                <w:sz w:val="22"/>
                <w:szCs w:val="22"/>
                <w:color w:val="auto"/>
                <w:w w:val="87"/>
              </w:rPr>
              <w:t>Bain Capital Venture Partners 2014,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129491</w:t>
            </w:r>
          </w:p>
        </w:tc>
        <w:tc>
          <w:tcPr>
            <w:tcW w:w="1280" w:type="dxa"/>
            <w:vAlign w:val="bottom"/>
          </w:tcPr>
          <w:p>
            <w:pPr>
              <w:jc w:val="right"/>
              <w:ind w:right="352"/>
              <w:spacing w:after="0"/>
              <w:rPr>
                <w:sz w:val="20"/>
                <w:szCs w:val="20"/>
                <w:color w:val="auto"/>
              </w:rPr>
            </w:pPr>
            <w:r>
              <w:rPr>
                <w:rFonts w:ascii="Arial" w:cs="Arial" w:eastAsia="Arial" w:hAnsi="Arial"/>
                <w:sz w:val="22"/>
                <w:szCs w:val="22"/>
                <w:color w:val="auto"/>
                <w:w w:val="93"/>
              </w:rPr>
              <w:t>4125583</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72"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1"/>
                <w:szCs w:val="21"/>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Arial" w:cs="Arial" w:eastAsia="Arial" w:hAnsi="Arial"/>
                <w:sz w:val="22"/>
                <w:szCs w:val="22"/>
                <w:b w:val="1"/>
                <w:bCs w:val="1"/>
                <w:color w:val="auto"/>
              </w:rPr>
              <w:t>Date you</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Acquired</w:t>
            </w:r>
          </w:p>
        </w:tc>
        <w:tc>
          <w:tcPr>
            <w:tcW w:w="156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60" w:type="dxa"/>
            <w:vAlign w:val="bottom"/>
            <w:vMerge w:val="continue"/>
          </w:tcPr>
          <w:p>
            <w:pPr>
              <w:spacing w:after="0"/>
              <w:rPr>
                <w:sz w:val="10"/>
                <w:szCs w:val="10"/>
                <w:color w:val="auto"/>
              </w:rPr>
            </w:pPr>
          </w:p>
        </w:tc>
        <w:tc>
          <w:tcPr>
            <w:tcW w:w="15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0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Conversion of</w:t>
      </w:r>
    </w:p>
    <w:p>
      <w:pPr>
        <w:ind w:left="980"/>
        <w:spacing w:after="0" w:line="238" w:lineRule="auto"/>
        <w:rPr>
          <w:sz w:val="20"/>
          <w:szCs w:val="20"/>
          <w:color w:val="auto"/>
        </w:rPr>
      </w:pPr>
      <w:r>
        <w:rPr>
          <w:rFonts w:ascii="Arial" w:cs="Arial" w:eastAsia="Arial" w:hAnsi="Arial"/>
          <w:sz w:val="22"/>
          <w:szCs w:val="22"/>
          <w:color w:val="auto"/>
        </w:rPr>
        <w:t>preferred stock</w:t>
      </w:r>
    </w:p>
    <w:p>
      <w:pPr>
        <w:ind w:left="980"/>
        <w:spacing w:after="0" w:line="230" w:lineRule="auto"/>
        <w:rPr>
          <w:sz w:val="20"/>
          <w:szCs w:val="20"/>
          <w:color w:val="auto"/>
        </w:rPr>
      </w:pPr>
      <w:r>
        <w:rPr>
          <w:rFonts w:ascii="Arial" w:cs="Arial" w:eastAsia="Arial" w:hAnsi="Arial"/>
          <w:sz w:val="22"/>
          <w:szCs w:val="22"/>
          <w:color w:val="auto"/>
        </w:rPr>
        <w:t>purchased prior to</w:t>
      </w:r>
    </w:p>
    <w:p>
      <w:pPr>
        <w:ind w:left="980"/>
        <w:spacing w:after="0" w:line="231" w:lineRule="auto"/>
        <w:rPr>
          <w:sz w:val="20"/>
          <w:szCs w:val="20"/>
          <w:color w:val="auto"/>
        </w:rPr>
      </w:pPr>
      <w:r>
        <w:rPr>
          <w:rFonts w:ascii="Arial" w:cs="Arial" w:eastAsia="Arial" w:hAnsi="Arial"/>
          <w:sz w:val="22"/>
          <w:szCs w:val="22"/>
          <w:color w:val="auto"/>
        </w:rPr>
        <w:t>the IPO into Class</w:t>
      </w:r>
    </w:p>
    <w:p>
      <w:pPr>
        <w:ind w:left="980"/>
        <w:spacing w:after="0" w:line="230" w:lineRule="auto"/>
        <w:rPr>
          <w:sz w:val="20"/>
          <w:szCs w:val="20"/>
          <w:color w:val="auto"/>
        </w:rPr>
      </w:pPr>
      <w:r>
        <w:rPr>
          <w:rFonts w:ascii="Arial" w:cs="Arial" w:eastAsia="Arial" w:hAnsi="Arial"/>
          <w:sz w:val="22"/>
          <w:szCs w:val="22"/>
          <w:color w:val="auto"/>
        </w:rPr>
        <w:t>A Common Stock,</w:t>
      </w:r>
    </w:p>
    <w:p>
      <w:pPr>
        <w:ind w:left="980"/>
        <w:spacing w:after="0" w:line="231" w:lineRule="auto"/>
        <w:rPr>
          <w:sz w:val="20"/>
          <w:szCs w:val="20"/>
          <w:color w:val="auto"/>
        </w:rPr>
      </w:pPr>
      <w:r>
        <w:rPr>
          <w:rFonts w:ascii="Arial" w:cs="Arial" w:eastAsia="Arial" w:hAnsi="Arial"/>
          <w:sz w:val="22"/>
          <w:szCs w:val="22"/>
          <w:color w:val="auto"/>
        </w:rPr>
        <w:t>reclassification of</w:t>
      </w:r>
    </w:p>
    <w:p>
      <w:pPr>
        <w:ind w:left="980"/>
        <w:spacing w:after="0" w:line="230" w:lineRule="auto"/>
        <w:rPr>
          <w:sz w:val="20"/>
          <w:szCs w:val="20"/>
          <w:color w:val="auto"/>
        </w:rPr>
      </w:pPr>
      <w:r>
        <w:rPr>
          <w:rFonts w:ascii="Arial" w:cs="Arial" w:eastAsia="Arial" w:hAnsi="Arial"/>
          <w:sz w:val="22"/>
          <w:szCs w:val="22"/>
          <w:color w:val="auto"/>
        </w:rPr>
        <w:t>the Class A</w:t>
      </w:r>
    </w:p>
    <w:p>
      <w:pPr>
        <w:spacing w:after="0" w:line="1" w:lineRule="exact"/>
        <w:rPr>
          <w:sz w:val="20"/>
          <w:szCs w:val="20"/>
          <w:color w:val="auto"/>
        </w:rPr>
      </w:pPr>
    </w:p>
    <w:p>
      <w:pPr>
        <w:ind w:left="980" w:right="460" w:hanging="1037"/>
        <w:spacing w:after="0"/>
        <w:rPr>
          <w:sz w:val="20"/>
          <w:szCs w:val="20"/>
          <w:color w:val="auto"/>
        </w:rPr>
      </w:pPr>
      <w:r>
        <w:rPr>
          <w:rFonts w:ascii="Arial" w:cs="Arial" w:eastAsia="Arial" w:hAnsi="Arial"/>
          <w:sz w:val="22"/>
          <w:szCs w:val="22"/>
          <w:color w:val="auto"/>
        </w:rPr>
        <w:t xml:space="preserve">05/28/2021 </w:t>
      </w:r>
      <w:r>
        <w:rPr>
          <w:rFonts w:ascii="Arial" w:cs="Arial" w:eastAsia="Arial" w:hAnsi="Arial"/>
          <w:sz w:val="43"/>
          <w:szCs w:val="43"/>
          <w:color w:val="auto"/>
          <w:vertAlign w:val="superscript"/>
        </w:rPr>
        <w:t>Common Stock</w:t>
      </w:r>
      <w:r>
        <w:rPr>
          <w:sz w:val="20"/>
          <w:szCs w:val="20"/>
          <w:color w:val="auto"/>
        </w:rPr>
        <w:t xml:space="preserve"> </w:t>
      </w:r>
      <w:r>
        <w:rPr>
          <w:rFonts w:ascii="Arial" w:cs="Arial" w:eastAsia="Arial" w:hAnsi="Arial"/>
          <w:sz w:val="22"/>
          <w:szCs w:val="22"/>
          <w:color w:val="auto"/>
        </w:rPr>
        <w:t>Issuer 129491 into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980"/>
        <w:spacing w:after="0" w:line="230" w:lineRule="auto"/>
        <w:rPr>
          <w:sz w:val="20"/>
          <w:szCs w:val="20"/>
          <w:color w:val="auto"/>
        </w:rPr>
      </w:pPr>
      <w:r>
        <w:rPr>
          <w:rFonts w:ascii="Arial" w:cs="Arial" w:eastAsia="Arial" w:hAnsi="Arial"/>
          <w:sz w:val="22"/>
          <w:szCs w:val="22"/>
          <w:color w:val="auto"/>
        </w:rPr>
        <w:t>Common Stock</w:t>
      </w:r>
    </w:p>
    <w:p>
      <w:pPr>
        <w:ind w:left="980"/>
        <w:spacing w:after="0" w:line="231" w:lineRule="auto"/>
        <w:rPr>
          <w:sz w:val="20"/>
          <w:szCs w:val="20"/>
          <w:color w:val="auto"/>
        </w:rPr>
      </w:pPr>
      <w:r>
        <w:rPr>
          <w:rFonts w:ascii="Arial" w:cs="Arial" w:eastAsia="Arial" w:hAnsi="Arial"/>
          <w:sz w:val="22"/>
          <w:szCs w:val="22"/>
          <w:color w:val="auto"/>
        </w:rPr>
        <w:t>and a subsequent</w:t>
      </w:r>
    </w:p>
    <w:p>
      <w:pPr>
        <w:ind w:left="980"/>
        <w:spacing w:after="0" w:line="230" w:lineRule="auto"/>
        <w:rPr>
          <w:sz w:val="20"/>
          <w:szCs w:val="20"/>
          <w:color w:val="auto"/>
        </w:rPr>
      </w:pPr>
      <w:r>
        <w:rPr>
          <w:rFonts w:ascii="Arial" w:cs="Arial" w:eastAsia="Arial" w:hAnsi="Arial"/>
          <w:sz w:val="22"/>
          <w:szCs w:val="22"/>
          <w:color w:val="auto"/>
        </w:rPr>
        <w:t>pro rata</w:t>
      </w:r>
    </w:p>
    <w:p>
      <w:pPr>
        <w:ind w:left="980"/>
        <w:spacing w:after="0" w:line="231" w:lineRule="auto"/>
        <w:rPr>
          <w:sz w:val="20"/>
          <w:szCs w:val="20"/>
          <w:color w:val="auto"/>
        </w:rPr>
      </w:pPr>
      <w:r>
        <w:rPr>
          <w:rFonts w:ascii="Arial" w:cs="Arial" w:eastAsia="Arial" w:hAnsi="Arial"/>
          <w:sz w:val="22"/>
          <w:szCs w:val="22"/>
          <w:color w:val="auto"/>
        </w:rPr>
        <w:t>distribution in-kind</w:t>
      </w:r>
    </w:p>
    <w:p>
      <w:pPr>
        <w:ind w:left="980"/>
        <w:spacing w:after="0" w:line="230" w:lineRule="auto"/>
        <w:rPr>
          <w:sz w:val="20"/>
          <w:szCs w:val="20"/>
          <w:color w:val="auto"/>
        </w:rPr>
      </w:pPr>
      <w:r>
        <w:rPr>
          <w:rFonts w:ascii="Arial" w:cs="Arial" w:eastAsia="Arial" w:hAnsi="Arial"/>
          <w:sz w:val="22"/>
          <w:szCs w:val="22"/>
          <w:color w:val="auto"/>
        </w:rPr>
        <w:t>from Bain Capital</w:t>
      </w:r>
    </w:p>
    <w:p>
      <w:pPr>
        <w:ind w:left="980"/>
        <w:spacing w:after="0" w:line="231" w:lineRule="auto"/>
        <w:rPr>
          <w:sz w:val="20"/>
          <w:szCs w:val="20"/>
          <w:color w:val="auto"/>
        </w:rPr>
      </w:pPr>
      <w:r>
        <w:rPr>
          <w:rFonts w:ascii="Arial" w:cs="Arial" w:eastAsia="Arial" w:hAnsi="Arial"/>
          <w:sz w:val="22"/>
          <w:szCs w:val="22"/>
          <w:color w:val="auto"/>
        </w:rPr>
        <w:t>Venture Fund</w:t>
      </w:r>
    </w:p>
    <w:p>
      <w:pPr>
        <w:ind w:left="980"/>
        <w:spacing w:after="0"/>
        <w:rPr>
          <w:sz w:val="20"/>
          <w:szCs w:val="20"/>
          <w:color w:val="auto"/>
        </w:rPr>
      </w:pPr>
      <w:r>
        <w:rPr>
          <w:rFonts w:ascii="Arial" w:cs="Arial" w:eastAsia="Arial" w:hAnsi="Arial"/>
          <w:sz w:val="22"/>
          <w:szCs w:val="22"/>
          <w:color w:val="auto"/>
        </w:rPr>
        <w:t>2014, L.P.</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380"/>
        <w:spacing w:after="0" w:line="258" w:lineRule="auto"/>
        <w:rPr>
          <w:sz w:val="20"/>
          <w:szCs w:val="20"/>
          <w:color w:val="auto"/>
        </w:rPr>
      </w:pPr>
      <w:r>
        <w:rPr>
          <w:rFonts w:ascii="Arial" w:cs="Arial" w:eastAsia="Arial" w:hAnsi="Arial"/>
          <w:sz w:val="38"/>
          <w:szCs w:val="38"/>
          <w:color w:val="auto"/>
          <w:vertAlign w:val="subscript"/>
        </w:rPr>
        <w:t>05/28/2021</w:t>
      </w:r>
      <w:r>
        <w:rPr>
          <w:rFonts w:ascii="Arial" w:cs="Arial" w:eastAsia="Arial" w:hAnsi="Arial"/>
          <w:sz w:val="20"/>
          <w:szCs w:val="20"/>
          <w:color w:val="auto"/>
        </w:rPr>
        <w:t xml:space="preserve"> Conversion of preferred stock</w:t>
      </w:r>
    </w:p>
    <w:p>
      <w:pPr>
        <w:spacing w:after="0" w:line="1865" w:lineRule="exact"/>
        <w:rPr>
          <w:sz w:val="20"/>
          <w:szCs w:val="20"/>
          <w:color w:val="auto"/>
        </w:rPr>
      </w:pPr>
    </w:p>
    <w:p>
      <w:pPr>
        <w:sectPr>
          <w:pgSz w:w="11900" w:h="16857" w:orient="portrait"/>
          <w:cols w:equalWidth="0" w:num="3">
            <w:col w:w="1400" w:space="180"/>
            <w:col w:w="6760" w:space="180"/>
            <w:col w:w="2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57"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57"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2014,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05/26/2023 50051</w:t>
            </w:r>
          </w:p>
        </w:tc>
        <w:tc>
          <w:tcPr>
            <w:tcW w:w="1160" w:type="dxa"/>
            <w:vAlign w:val="bottom"/>
          </w:tcPr>
          <w:p>
            <w:pPr>
              <w:ind w:left="280"/>
              <w:spacing w:after="0"/>
              <w:rPr>
                <w:sz w:val="20"/>
                <w:szCs w:val="20"/>
                <w:color w:val="auto"/>
              </w:rPr>
            </w:pPr>
            <w:r>
              <w:rPr>
                <w:rFonts w:ascii="Arial" w:cs="Arial" w:eastAsia="Arial" w:hAnsi="Arial"/>
                <w:sz w:val="22"/>
                <w:szCs w:val="22"/>
                <w:color w:val="auto"/>
              </w:rPr>
              <w:t>1492040</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05/26/2023 219</w:t>
            </w:r>
          </w:p>
        </w:tc>
        <w:tc>
          <w:tcPr>
            <w:tcW w:w="1160" w:type="dxa"/>
            <w:vAlign w:val="bottom"/>
          </w:tcPr>
          <w:p>
            <w:pPr>
              <w:ind w:left="280"/>
              <w:spacing w:after="0"/>
              <w:rPr>
                <w:sz w:val="20"/>
                <w:szCs w:val="20"/>
                <w:color w:val="auto"/>
              </w:rPr>
            </w:pPr>
            <w:r>
              <w:rPr>
                <w:rFonts w:ascii="Arial" w:cs="Arial" w:eastAsia="Arial" w:hAnsi="Arial"/>
                <w:sz w:val="22"/>
                <w:szCs w:val="22"/>
                <w:color w:val="auto"/>
              </w:rPr>
              <w:t>6528</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bl>
    <w:p>
      <w:pPr>
        <w:sectPr>
          <w:pgSz w:w="11900" w:h="16857" w:orient="portrait"/>
          <w:cols w:equalWidth="0" w:num="3">
            <w:col w:w="3600" w:space="80"/>
            <w:col w:w="2900" w:space="720"/>
            <w:col w:w="3940"/>
          </w:cols>
          <w:pgMar w:left="320" w:top="143" w:right="339" w:bottom="0" w:gutter="0" w:footer="0" w:header="0"/>
          <w:type w:val="continuous"/>
        </w:sectPr>
      </w:pPr>
    </w:p>
    <w:bookmarkStart w:id="2" w:name="page3"/>
    <w:bookmarkEnd w:id="2"/>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II</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Partners,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05/18/2023 1024</w:t>
            </w:r>
          </w:p>
        </w:tc>
        <w:tc>
          <w:tcPr>
            <w:tcW w:w="1100" w:type="dxa"/>
            <w:vAlign w:val="bottom"/>
          </w:tcPr>
          <w:p>
            <w:pPr>
              <w:ind w:left="340"/>
              <w:spacing w:after="0"/>
              <w:rPr>
                <w:sz w:val="20"/>
                <w:szCs w:val="20"/>
                <w:color w:val="auto"/>
              </w:rPr>
            </w:pPr>
            <w:r>
              <w:rPr>
                <w:rFonts w:ascii="Arial" w:cs="Arial" w:eastAsia="Arial" w:hAnsi="Arial"/>
                <w:sz w:val="22"/>
                <w:szCs w:val="22"/>
                <w:color w:val="auto"/>
              </w:rPr>
              <w:t>31334</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2920</w:t>
            </w:r>
          </w:p>
        </w:tc>
        <w:tc>
          <w:tcPr>
            <w:tcW w:w="1100" w:type="dxa"/>
            <w:vAlign w:val="bottom"/>
          </w:tcPr>
          <w:p>
            <w:pPr>
              <w:ind w:left="340"/>
              <w:spacing w:after="0"/>
              <w:rPr>
                <w:sz w:val="20"/>
                <w:szCs w:val="20"/>
                <w:color w:val="auto"/>
              </w:rPr>
            </w:pPr>
            <w:r>
              <w:rPr>
                <w:rFonts w:ascii="Arial" w:cs="Arial" w:eastAsia="Arial" w:hAnsi="Arial"/>
                <w:sz w:val="22"/>
                <w:szCs w:val="22"/>
                <w:color w:val="auto"/>
              </w:rPr>
              <w:t>86169</w:t>
            </w:r>
          </w:p>
        </w:tc>
      </w:tr>
      <w:tr>
        <w:trPr>
          <w:trHeight w:val="904"/>
        </w:trPr>
        <w:tc>
          <w:tcPr>
            <w:tcW w:w="2040" w:type="dxa"/>
            <w:vAlign w:val="bottom"/>
          </w:tcPr>
          <w:p>
            <w:pPr>
              <w:spacing w:after="0"/>
              <w:rPr>
                <w:sz w:val="20"/>
                <w:szCs w:val="20"/>
                <w:color w:val="auto"/>
              </w:rPr>
            </w:pPr>
            <w:r>
              <w:rPr>
                <w:rFonts w:ascii="Arial" w:cs="Arial" w:eastAsia="Arial" w:hAnsi="Arial"/>
                <w:sz w:val="22"/>
                <w:szCs w:val="22"/>
                <w:color w:val="auto"/>
              </w:rPr>
              <w:t>05/26/2023 106</w:t>
            </w:r>
          </w:p>
        </w:tc>
        <w:tc>
          <w:tcPr>
            <w:tcW w:w="1100" w:type="dxa"/>
            <w:vAlign w:val="bottom"/>
          </w:tcPr>
          <w:p>
            <w:pPr>
              <w:ind w:left="340"/>
              <w:spacing w:after="0"/>
              <w:rPr>
                <w:sz w:val="20"/>
                <w:szCs w:val="20"/>
                <w:color w:val="auto"/>
              </w:rPr>
            </w:pPr>
            <w:r>
              <w:rPr>
                <w:rFonts w:ascii="Arial" w:cs="Arial" w:eastAsia="Arial" w:hAnsi="Arial"/>
                <w:sz w:val="22"/>
                <w:szCs w:val="22"/>
                <w:color w:val="auto"/>
              </w:rPr>
              <w:t>3160</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101095</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3013642</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8621</w:t>
            </w:r>
          </w:p>
        </w:tc>
        <w:tc>
          <w:tcPr>
            <w:tcW w:w="1100" w:type="dxa"/>
            <w:vAlign w:val="bottom"/>
          </w:tcPr>
          <w:p>
            <w:pPr>
              <w:ind w:left="340"/>
              <w:spacing w:after="0"/>
              <w:rPr>
                <w:sz w:val="20"/>
                <w:szCs w:val="20"/>
                <w:color w:val="auto"/>
              </w:rPr>
            </w:pPr>
            <w:r>
              <w:rPr>
                <w:rFonts w:ascii="Arial" w:cs="Arial" w:eastAsia="Arial" w:hAnsi="Arial"/>
                <w:sz w:val="22"/>
                <w:szCs w:val="22"/>
                <w:color w:val="auto"/>
              </w:rPr>
              <w:t>256992</w:t>
            </w:r>
          </w:p>
        </w:tc>
      </w:tr>
      <w:tr>
        <w:trPr>
          <w:trHeight w:val="905"/>
        </w:trPr>
        <w:tc>
          <w:tcPr>
            <w:tcW w:w="2040" w:type="dxa"/>
            <w:vAlign w:val="bottom"/>
          </w:tcPr>
          <w:p>
            <w:pPr>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8554</w:t>
            </w:r>
          </w:p>
        </w:tc>
        <w:tc>
          <w:tcPr>
            <w:tcW w:w="1100" w:type="dxa"/>
            <w:vAlign w:val="bottom"/>
          </w:tcPr>
          <w:p>
            <w:pPr>
              <w:ind w:left="340"/>
              <w:spacing w:after="0"/>
              <w:rPr>
                <w:sz w:val="20"/>
                <w:szCs w:val="20"/>
                <w:color w:val="auto"/>
              </w:rPr>
            </w:pPr>
            <w:r>
              <w:rPr>
                <w:rFonts w:ascii="Arial" w:cs="Arial" w:eastAsia="Arial" w:hAnsi="Arial"/>
                <w:sz w:val="22"/>
                <w:szCs w:val="22"/>
                <w:color w:val="auto"/>
              </w:rPr>
              <w:t>254995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1070</w:t>
            </w:r>
          </w:p>
        </w:tc>
        <w:tc>
          <w:tcPr>
            <w:tcW w:w="1100" w:type="dxa"/>
            <w:vAlign w:val="bottom"/>
          </w:tcPr>
          <w:p>
            <w:pPr>
              <w:ind w:left="340"/>
              <w:spacing w:after="0"/>
              <w:rPr>
                <w:sz w:val="20"/>
                <w:szCs w:val="20"/>
                <w:color w:val="auto"/>
              </w:rPr>
            </w:pPr>
            <w:r>
              <w:rPr>
                <w:rFonts w:ascii="Arial" w:cs="Arial" w:eastAsia="Arial" w:hAnsi="Arial"/>
                <w:sz w:val="22"/>
                <w:szCs w:val="22"/>
                <w:color w:val="auto"/>
              </w:rPr>
              <w:t>31897</w:t>
            </w:r>
          </w:p>
        </w:tc>
      </w:tr>
    </w:tbl>
    <w:p>
      <w:pPr>
        <w:spacing w:after="0" w:line="441" w:lineRule="exact"/>
        <w:rPr>
          <w:sz w:val="20"/>
          <w:szCs w:val="20"/>
          <w:color w:val="auto"/>
        </w:rPr>
      </w:pPr>
    </w:p>
    <w:p>
      <w:pPr>
        <w:sectPr>
          <w:pgSz w:w="11900" w:h="16871" w:orient="portrait"/>
          <w:cols w:equalWidth="0" w:num="3">
            <w:col w:w="3300" w:space="380"/>
            <w:col w:w="2900" w:space="720"/>
            <w:col w:w="3900"/>
          </w:cols>
          <w:pgMar w:left="320" w:top="132" w:right="379" w:bottom="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71" w:orient="portrait"/>
          <w:cols w:equalWidth="0" w:num="1">
            <w:col w:w="11200"/>
          </w:cols>
          <w:pgMar w:left="320" w:top="132" w:right="379" w:bottom="0" w:gutter="0" w:footer="0" w:header="0"/>
          <w:type w:val="continuous"/>
        </w:sectPr>
      </w:pPr>
    </w:p>
    <w:bookmarkStart w:id="3" w:name="page4"/>
    <w:bookmarkEnd w:id="3"/>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Partner of Bain Capital Venture 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2023-06-16T15:42:23Z</dcterms:created>
  <dcterms:modified xsi:type="dcterms:W3CDTF">2023-06-16T15:42:23Z</dcterms:modified>
</cp:coreProperties>
</file>