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Orgel Rob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480"/>
        <w:spacing w:after="0" w:line="32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FLYWIRE CORPORATION 141 TREMONT STREET, SUITE 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Flywire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FLYW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09/03/2024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9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and COO</w:t>
      </w:r>
    </w:p>
    <w:p>
      <w:pPr>
        <w:spacing w:after="0" w:line="4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</w:tcPr>
          <w:p>
            <w:pPr>
              <w:ind w:left="42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BOSTON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02111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Voting 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09/03/2024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4,552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18.043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477,472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16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shares of common stock were automatically sold in a non-discretionary transaction by the Reporting Person in order to cover tax withholding obligations upon the settlement of certain time-based restricted stock unit awards.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Adjusted to reflect 628 shares acquired under the Issuer's Employee Stock Purchase Plan.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Rob Orgel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09/05/2024</w:t>
            </w: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62049" TargetMode="External"/><Relationship Id="rId14" Type="http://schemas.openxmlformats.org/officeDocument/2006/relationships/hyperlink" Target="http://www.sec.gov/cgi-bin/browse-edgar?action=getcompany&amp;CIK=000158056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2024-09-05T16:50:36Z</dcterms:created>
  <dcterms:modified xsi:type="dcterms:W3CDTF">2024-09-05T16:50:36Z</dcterms:modified>
</cp:coreProperties>
</file>