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70485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Spark Management Partners 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137 NEWBURY STREET, FLOOR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Flywire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05/28/2021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0000FF"/>
              </w:rPr>
              <w:t>BOSTON</w:t>
            </w:r>
          </w:p>
        </w:tc>
        <w:tc>
          <w:tcPr>
            <w:tcW w:w="1100" w:type="dxa"/>
            <w:vAlign w:val="bottom"/>
          </w:tcPr>
          <w:p>
            <w:pPr>
              <w:ind w:left="300"/>
              <w:spacing w:after="0"/>
              <w:rPr>
                <w:sz w:val="20"/>
                <w:szCs w:val="20"/>
                <w:color w:val="auto"/>
              </w:rPr>
            </w:pPr>
            <w:r>
              <w:rPr>
                <w:rFonts w:ascii="Arial" w:cs="Arial" w:eastAsia="Arial" w:hAnsi="Arial"/>
                <w:sz w:val="16"/>
                <w:szCs w:val="16"/>
                <w:color w:val="0000FF"/>
              </w:rPr>
              <w:t>MA</w:t>
            </w:r>
          </w:p>
        </w:tc>
        <w:tc>
          <w:tcPr>
            <w:tcW w:w="1620" w:type="dxa"/>
            <w:vAlign w:val="bottom"/>
          </w:tcPr>
          <w:p>
            <w:pPr>
              <w:ind w:left="420"/>
              <w:spacing w:after="0"/>
              <w:rPr>
                <w:sz w:val="20"/>
                <w:szCs w:val="20"/>
                <w:color w:val="auto"/>
              </w:rPr>
            </w:pPr>
            <w:r>
              <w:rPr>
                <w:rFonts w:ascii="Arial" w:cs="Arial" w:eastAsia="Arial" w:hAnsi="Arial"/>
                <w:sz w:val="16"/>
                <w:szCs w:val="16"/>
                <w:color w:val="0000FF"/>
              </w:rPr>
              <w:t>02116</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jc w:val="both"/>
        <w:ind w:left="4040"/>
        <w:spacing w:after="0" w:line="23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8" w:lineRule="exact"/>
        <w:rPr>
          <w:sz w:val="24"/>
          <w:szCs w:val="24"/>
          <w:color w:val="auto"/>
        </w:rPr>
      </w:pPr>
    </w:p>
    <w:p>
      <w:pPr>
        <w:sectPr>
          <w:pgSz w:w="11900" w:h="16838"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jc w:val="center"/>
              <w:ind w:left="662"/>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28"/>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53,250</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53,877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8,139,309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8,235,213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7,359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61,236</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1,125,039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9,360,252</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15,945</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77,181</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2,437,785</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11,798,037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19,983</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97,164</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3,054,843</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14,852,880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309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97,473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3,534</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10,257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357,141</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1,036,509</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47,301</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14,900,181</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97,473</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10,257</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1,036,509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14,900,181</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97,473</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97,473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10,257</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10,257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1,036,509</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1,036,509</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820" w:type="dxa"/>
            <w:vAlign w:val="bottom"/>
            <w:vMerge w:val="restart"/>
          </w:tcPr>
          <w:p>
            <w:pPr>
              <w:jc w:val="center"/>
              <w:ind w:left="682"/>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20"/>
                <w:szCs w:val="20"/>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(6)</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92"/>
              </w:rPr>
              <w:t>14,900,181</w:t>
            </w: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right"/>
              <w:ind w:right="188"/>
              <w:spacing w:after="0"/>
              <w:rPr>
                <w:sz w:val="20"/>
                <w:szCs w:val="20"/>
                <w:color w:val="auto"/>
              </w:rPr>
            </w:pPr>
            <w:r>
              <w:rPr>
                <w:rFonts w:ascii="Arial" w:cs="Arial" w:eastAsia="Arial" w:hAnsi="Arial"/>
                <w:sz w:val="10"/>
                <w:szCs w:val="10"/>
                <w:color w:val="008000"/>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14,900,181</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2C2C2C"/>
            </w:tcBorders>
          </w:tcPr>
          <w:p>
            <w:pPr>
              <w:spacing w:after="0"/>
              <w:rPr>
                <w:sz w:val="15"/>
                <w:szCs w:val="15"/>
                <w:color w:val="auto"/>
              </w:rPr>
            </w:pPr>
          </w:p>
        </w:tc>
        <w:tc>
          <w:tcPr>
            <w:tcW w:w="248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vMerge w:val="continue"/>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8"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7. Title</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220" w:type="dxa"/>
            <w:vAlign w:val="bottom"/>
            <w:gridSpan w:val="15"/>
          </w:tcPr>
          <w:p>
            <w:pPr>
              <w:jc w:val="right"/>
              <w:ind w:right="230"/>
              <w:spacing w:after="0" w:line="50" w:lineRule="exact"/>
              <w:rPr>
                <w:sz w:val="20"/>
                <w:szCs w:val="20"/>
                <w:color w:val="auto"/>
              </w:rPr>
            </w:pPr>
            <w:r>
              <w:rPr>
                <w:rFonts w:ascii="Arial" w:cs="Arial" w:eastAsia="Arial" w:hAnsi="Arial"/>
                <w:sz w:val="5"/>
                <w:szCs w:val="5"/>
                <w:b w:val="1"/>
                <w:bCs w:val="1"/>
                <w:color w:val="auto"/>
              </w:rPr>
              <w:t xml:space="preserve">Table II - Derivative Securities Acquired, Disposed of, or </w:t>
            </w:r>
            <w:r>
              <w:rPr>
                <w:rFonts w:ascii="Arial" w:cs="Arial" w:eastAsia="Arial" w:hAnsi="Arial"/>
                <w:sz w:val="4"/>
                <w:szCs w:val="4"/>
                <w:b w:val="1"/>
                <w:bCs w:val="1"/>
                <w:color w:val="auto"/>
              </w:rPr>
              <w:t>Beneficially</w:t>
            </w:r>
            <w:r>
              <w:rPr>
                <w:rFonts w:ascii="Arial" w:cs="Arial" w:eastAsia="Arial" w:hAnsi="Arial"/>
                <w:sz w:val="5"/>
                <w:szCs w:val="5"/>
                <w:b w:val="1"/>
                <w:bCs w:val="1"/>
                <w:color w:val="auto"/>
              </w:rPr>
              <w:t xml:space="preserve"> Owned</w:t>
            </w: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20" w:type="dxa"/>
            <w:vAlign w:val="bottom"/>
            <w:gridSpan w:val="4"/>
          </w:tcPr>
          <w:p>
            <w:pPr>
              <w:ind w:left="40"/>
              <w:spacing w:after="0" w:line="75" w:lineRule="exact"/>
              <w:rPr>
                <w:sz w:val="20"/>
                <w:szCs w:val="20"/>
                <w:color w:val="auto"/>
              </w:rPr>
            </w:pPr>
            <w:r>
              <w:rPr>
                <w:rFonts w:ascii="Arial" w:cs="Arial" w:eastAsia="Arial" w:hAnsi="Arial"/>
                <w:sz w:val="8"/>
                <w:szCs w:val="8"/>
                <w:b w:val="1"/>
                <w:bCs w:val="1"/>
                <w:color w:val="auto"/>
              </w:rPr>
              <w:t>Execution Date,</w:t>
            </w:r>
          </w:p>
        </w:tc>
        <w:tc>
          <w:tcPr>
            <w:tcW w:w="840" w:type="dxa"/>
            <w:vAlign w:val="bottom"/>
            <w:gridSpan w:val="4"/>
          </w:tcPr>
          <w:p>
            <w:pPr>
              <w:ind w:left="60"/>
              <w:spacing w:after="0" w:line="75" w:lineRule="exact"/>
              <w:rPr>
                <w:sz w:val="20"/>
                <w:szCs w:val="20"/>
                <w:color w:val="auto"/>
              </w:rPr>
            </w:pPr>
            <w:r>
              <w:rPr>
                <w:rFonts w:ascii="Arial" w:cs="Arial" w:eastAsia="Arial" w:hAnsi="Arial"/>
                <w:sz w:val="8"/>
                <w:szCs w:val="8"/>
                <w:b w:val="1"/>
                <w:bCs w:val="1"/>
                <w:color w:val="auto"/>
              </w:rPr>
              <w:t>Transaction</w:t>
            </w:r>
          </w:p>
        </w:tc>
        <w:tc>
          <w:tcPr>
            <w:tcW w:w="860" w:type="dxa"/>
            <w:vAlign w:val="bottom"/>
            <w:gridSpan w:val="2"/>
          </w:tcPr>
          <w:p>
            <w:pPr>
              <w:spacing w:after="0" w:line="75" w:lineRule="exact"/>
              <w:rPr>
                <w:sz w:val="20"/>
                <w:szCs w:val="20"/>
                <w:color w:val="auto"/>
              </w:rPr>
            </w:pPr>
            <w:r>
              <w:rPr>
                <w:rFonts w:ascii="Arial" w:cs="Arial" w:eastAsia="Arial" w:hAnsi="Arial"/>
                <w:sz w:val="8"/>
                <w:szCs w:val="8"/>
                <w:b w:val="1"/>
                <w:bCs w:val="1"/>
                <w:color w:val="auto"/>
              </w:rPr>
              <w:t>Derivative</w:t>
            </w:r>
          </w:p>
        </w:tc>
        <w:tc>
          <w:tcPr>
            <w:tcW w:w="1440" w:type="dxa"/>
            <w:vAlign w:val="bottom"/>
            <w:gridSpan w:val="2"/>
          </w:tcPr>
          <w:p>
            <w:pPr>
              <w:ind w:left="60"/>
              <w:spacing w:after="0" w:line="75" w:lineRule="exact"/>
              <w:rPr>
                <w:sz w:val="20"/>
                <w:szCs w:val="20"/>
                <w:color w:val="auto"/>
              </w:rPr>
            </w:pPr>
            <w:r>
              <w:rPr>
                <w:rFonts w:ascii="Arial" w:cs="Arial" w:eastAsia="Arial" w:hAnsi="Arial"/>
                <w:sz w:val="8"/>
                <w:szCs w:val="8"/>
                <w:b w:val="1"/>
                <w:bCs w:val="1"/>
                <w:color w:val="auto"/>
              </w:rPr>
              <w:t>Expiration Date</w:t>
            </w:r>
          </w:p>
        </w:tc>
        <w:tc>
          <w:tcPr>
            <w:tcW w:w="1380" w:type="dxa"/>
            <w:vAlign w:val="bottom"/>
            <w:gridSpan w:val="2"/>
          </w:tcPr>
          <w:p>
            <w:pPr>
              <w:ind w:left="80"/>
              <w:spacing w:after="0" w:line="75" w:lineRule="exact"/>
              <w:rPr>
                <w:sz w:val="20"/>
                <w:szCs w:val="20"/>
                <w:color w:val="auto"/>
              </w:rPr>
            </w:pPr>
            <w:r>
              <w:rPr>
                <w:rFonts w:ascii="Arial" w:cs="Arial" w:eastAsia="Arial" w:hAnsi="Arial"/>
                <w:sz w:val="8"/>
                <w:szCs w:val="8"/>
                <w:b w:val="1"/>
                <w:bCs w:val="1"/>
                <w:color w:val="auto"/>
              </w:rPr>
              <w:t>Securities Underlying</w:t>
            </w:r>
          </w:p>
        </w:tc>
        <w:tc>
          <w:tcPr>
            <w:tcW w:w="68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Derivative</w:t>
            </w: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360" w:type="dxa"/>
            <w:vAlign w:val="bottom"/>
          </w:tcPr>
          <w:p>
            <w:pPr>
              <w:ind w:left="40"/>
              <w:spacing w:after="0"/>
              <w:rPr>
                <w:sz w:val="20"/>
                <w:szCs w:val="20"/>
                <w:color w:val="auto"/>
              </w:rPr>
            </w:pPr>
            <w:r>
              <w:rPr>
                <w:rFonts w:ascii="Arial" w:cs="Arial" w:eastAsia="Arial" w:hAnsi="Arial"/>
                <w:sz w:val="2"/>
                <w:szCs w:val="2"/>
                <w:b w:val="1"/>
                <w:bCs w:val="1"/>
                <w:color w:val="auto"/>
              </w:rPr>
              <w:t>if any</w:t>
            </w:r>
          </w:p>
        </w:tc>
        <w:tc>
          <w:tcPr>
            <w:tcW w:w="160" w:type="dxa"/>
            <w:vAlign w:val="bottom"/>
          </w:tcPr>
          <w:p>
            <w:pPr>
              <w:spacing w:after="0"/>
              <w:rPr>
                <w:sz w:val="2"/>
                <w:szCs w:val="2"/>
                <w:color w:val="auto"/>
              </w:rPr>
            </w:pPr>
          </w:p>
        </w:tc>
        <w:tc>
          <w:tcPr>
            <w:tcW w:w="5020" w:type="dxa"/>
            <w:vAlign w:val="bottom"/>
            <w:gridSpan w:val="12"/>
          </w:tcPr>
          <w:p>
            <w:pPr>
              <w:ind w:left="26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4"/>
          </w:tcPr>
          <w:p>
            <w:pPr>
              <w:ind w:left="60"/>
              <w:spacing w:after="0" w:line="111"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spacing w:after="0" w:line="111"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11" w:lineRule="exact"/>
              <w:rPr>
                <w:sz w:val="20"/>
                <w:szCs w:val="20"/>
                <w:color w:val="auto"/>
              </w:rPr>
            </w:pPr>
            <w:r>
              <w:rPr>
                <w:rFonts w:ascii="Arial" w:cs="Arial" w:eastAsia="Arial" w:hAnsi="Arial"/>
                <w:sz w:val="11"/>
                <w:szCs w:val="11"/>
                <w:b w:val="1"/>
                <w:bCs w:val="1"/>
                <w:color w:val="auto"/>
              </w:rPr>
              <w:t>(Mon h/Day/Year)</w:t>
            </w:r>
          </w:p>
        </w:tc>
        <w:tc>
          <w:tcPr>
            <w:tcW w:w="1380" w:type="dxa"/>
            <w:vAlign w:val="bottom"/>
            <w:gridSpan w:val="2"/>
          </w:tcPr>
          <w:p>
            <w:pPr>
              <w:ind w:left="80"/>
              <w:spacing w:after="0" w:line="111" w:lineRule="exact"/>
              <w:rPr>
                <w:sz w:val="20"/>
                <w:szCs w:val="20"/>
                <w:color w:val="auto"/>
              </w:rPr>
            </w:pPr>
            <w:r>
              <w:rPr>
                <w:rFonts w:ascii="Arial" w:cs="Arial" w:eastAsia="Arial" w:hAnsi="Arial"/>
                <w:sz w:val="11"/>
                <w:szCs w:val="11"/>
                <w:b w:val="1"/>
                <w:bCs w:val="1"/>
                <w:color w:val="auto"/>
              </w:rPr>
              <w:t>D rivative Security</w:t>
            </w: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2.Derivative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9"/>
                <w:szCs w:val="9"/>
                <w:b w:val="1"/>
                <w:bCs w:val="1"/>
                <w:color w:val="auto"/>
                <w:w w:val="75"/>
              </w:rPr>
              <w:t>5.or NumberDisposedofof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w w:val="81"/>
              </w:rPr>
              <w:t>9.OwnedNumber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w w:val="96"/>
              </w:rPr>
              <w:t>10or.Indirect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w w:val="70"/>
              </w:rPr>
              <w:t>11.(InstrNature.4)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9"/>
                <w:szCs w:val="9"/>
                <w:b w:val="1"/>
                <w:bCs w:val="1"/>
                <w:color w:val="auto"/>
                <w:w w:val="77"/>
              </w:rPr>
              <w:t>ConversionSecurity</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w w:val="71"/>
              </w:rPr>
              <w:t>Derivative(D)(Instr.3, 4</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79"/>
              </w:rPr>
              <w:t>derivativeFollowing</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w w:val="72"/>
              </w:rPr>
              <w:t>Ownership(I)(Instr.4)</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Securitiesand5)</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w w:val="78"/>
              </w:rPr>
              <w:t>Security</w:t>
            </w:r>
            <w:r>
              <w:rPr>
                <w:rFonts w:ascii="Arial" w:cs="Arial" w:eastAsia="Arial" w:hAnsi="Arial"/>
                <w:sz w:val="8"/>
                <w:szCs w:val="8"/>
                <w:b w:val="1"/>
                <w:bCs w:val="1"/>
                <w:color w:val="auto"/>
                <w:w w:val="78"/>
              </w:rPr>
              <w:t>SRecuritiesported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w w:val="73"/>
              </w:rPr>
              <w:t>BeneficiallyTransaction(s)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Owned(Instr.4)</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40" w:type="dxa"/>
            <w:vAlign w:val="bottom"/>
            <w:gridSpan w:val="2"/>
          </w:tcPr>
          <w:p>
            <w:pPr>
              <w:ind w:left="80"/>
              <w:spacing w:after="0"/>
              <w:rPr>
                <w:sz w:val="20"/>
                <w:szCs w:val="20"/>
                <w:color w:val="auto"/>
              </w:rPr>
            </w:pPr>
            <w:r>
              <w:rPr>
                <w:rFonts w:ascii="Arial" w:cs="Arial" w:eastAsia="Arial" w:hAnsi="Arial"/>
                <w:sz w:val="11"/>
                <w:szCs w:val="11"/>
                <w:b w:val="1"/>
                <w:bCs w:val="1"/>
                <w:color w:val="auto"/>
              </w:rPr>
              <w:t>V</w:t>
            </w:r>
          </w:p>
        </w:tc>
        <w:tc>
          <w:tcPr>
            <w:tcW w:w="220" w:type="dxa"/>
            <w:vAlign w:val="bottom"/>
          </w:tcPr>
          <w:p>
            <w:pPr>
              <w:spacing w:after="0"/>
              <w:rPr>
                <w:sz w:val="20"/>
                <w:szCs w:val="20"/>
                <w:color w:val="auto"/>
              </w:rPr>
            </w:pPr>
            <w:r>
              <w:rPr>
                <w:rFonts w:ascii="Arial" w:cs="Arial" w:eastAsia="Arial" w:hAnsi="Arial"/>
                <w:sz w:val="9"/>
                <w:szCs w:val="9"/>
                <w:b w:val="1"/>
                <w:bCs w:val="1"/>
                <w:color w:val="auto"/>
                <w:w w:val="70"/>
              </w:rPr>
              <w:t>and(A)</w:t>
            </w:r>
          </w:p>
        </w:tc>
        <w:tc>
          <w:tcPr>
            <w:tcW w:w="640" w:type="dxa"/>
            <w:vAlign w:val="bottom"/>
          </w:tcPr>
          <w:p>
            <w:pPr>
              <w:jc w:val="right"/>
              <w:ind w:right="340"/>
              <w:spacing w:after="0"/>
              <w:rPr>
                <w:sz w:val="20"/>
                <w:szCs w:val="20"/>
                <w:color w:val="auto"/>
              </w:rPr>
            </w:pPr>
            <w:r>
              <w:rPr>
                <w:rFonts w:ascii="Arial" w:cs="Arial" w:eastAsia="Arial" w:hAnsi="Arial"/>
                <w:sz w:val="11"/>
                <w:szCs w:val="11"/>
                <w:b w:val="1"/>
                <w:bCs w:val="1"/>
                <w:color w:val="auto"/>
                <w:w w:val="87"/>
              </w:rPr>
              <w:t>5)(D)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Transaction(s)</w:t>
            </w: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Series A</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3"/>
                <w:szCs w:val="13"/>
                <w:color w:val="0000FF"/>
                <w:w w:val="84"/>
              </w:rPr>
              <w:t>Class A</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3"/>
                <w:szCs w:val="13"/>
                <w:color w:val="0000FF"/>
              </w:rPr>
              <w:t>Preferred</w:t>
            </w:r>
          </w:p>
        </w:tc>
        <w:tc>
          <w:tcPr>
            <w:tcW w:w="760" w:type="dxa"/>
            <w:vAlign w:val="bottom"/>
          </w:tcPr>
          <w:p>
            <w:pPr>
              <w:jc w:val="right"/>
              <w:ind w:right="269"/>
              <w:spacing w:after="0"/>
              <w:rPr>
                <w:sz w:val="20"/>
                <w:szCs w:val="20"/>
                <w:color w:val="auto"/>
              </w:rPr>
            </w:pPr>
            <w:r>
              <w:rPr>
                <w:rFonts w:ascii="Arial" w:cs="Arial" w:eastAsia="Arial" w:hAnsi="Arial"/>
                <w:sz w:val="10"/>
                <w:szCs w:val="10"/>
                <w:color w:val="008000"/>
              </w:rPr>
              <w:t>(1)</w:t>
            </w:r>
          </w:p>
        </w:tc>
        <w:tc>
          <w:tcPr>
            <w:tcW w:w="1080" w:type="dxa"/>
            <w:vAlign w:val="bottom"/>
            <w:gridSpan w:val="2"/>
          </w:tcPr>
          <w:p>
            <w:pPr>
              <w:ind w:left="240"/>
              <w:spacing w:after="0" w:line="123" w:lineRule="exact"/>
              <w:rPr>
                <w:sz w:val="20"/>
                <w:szCs w:val="20"/>
                <w:color w:val="auto"/>
              </w:rPr>
            </w:pPr>
            <w:r>
              <w:rPr>
                <w:rFonts w:ascii="Arial" w:cs="Arial" w:eastAsia="Arial" w:hAnsi="Arial"/>
                <w:sz w:val="13"/>
                <w:szCs w:val="13"/>
                <w:color w:val="0000FF"/>
              </w:rPr>
              <w:t>05/28/2021</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center"/>
              <w:spacing w:after="0" w:line="123" w:lineRule="exact"/>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3"/>
                <w:szCs w:val="13"/>
                <w:color w:val="0000FF"/>
                <w:w w:val="85"/>
              </w:rPr>
              <w:t>53,250</w:t>
            </w:r>
          </w:p>
        </w:tc>
        <w:tc>
          <w:tcPr>
            <w:tcW w:w="7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 xml:space="preserve">Date </w:t>
            </w:r>
            <w:r>
              <w:rPr>
                <w:rFonts w:ascii="Arial" w:cs="Arial" w:eastAsia="Arial" w:hAnsi="Arial"/>
                <w:sz w:val="10"/>
                <w:szCs w:val="10"/>
                <w:color w:val="008000"/>
              </w:rPr>
              <w:t>(1)</w:t>
            </w:r>
          </w:p>
        </w:tc>
        <w:tc>
          <w:tcPr>
            <w:tcW w:w="6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4"/>
              </w:rPr>
              <w:t>Expiration</w:t>
            </w:r>
            <w:r>
              <w:rPr>
                <w:rFonts w:ascii="Arial" w:cs="Arial" w:eastAsia="Arial" w:hAnsi="Arial"/>
                <w:sz w:val="10"/>
                <w:szCs w:val="10"/>
                <w:color w:val="008000"/>
                <w:w w:val="84"/>
              </w:rPr>
              <w:t>(1)</w:t>
            </w:r>
          </w:p>
        </w:tc>
        <w:tc>
          <w:tcPr>
            <w:tcW w:w="560" w:type="dxa"/>
            <w:vAlign w:val="bottom"/>
          </w:tcPr>
          <w:p>
            <w:pPr>
              <w:jc w:val="center"/>
              <w:spacing w:after="0" w:line="123" w:lineRule="exact"/>
              <w:rPr>
                <w:sz w:val="20"/>
                <w:szCs w:val="20"/>
                <w:color w:val="auto"/>
              </w:rPr>
            </w:pPr>
            <w:r>
              <w:rPr>
                <w:rFonts w:ascii="Arial" w:cs="Arial" w:eastAsia="Arial" w:hAnsi="Arial"/>
                <w:sz w:val="13"/>
                <w:szCs w:val="13"/>
                <w:color w:val="0000FF"/>
                <w:w w:val="87"/>
              </w:rPr>
              <w:t>Common</w:t>
            </w:r>
          </w:p>
        </w:tc>
        <w:tc>
          <w:tcPr>
            <w:tcW w:w="820" w:type="dxa"/>
            <w:vAlign w:val="bottom"/>
          </w:tcPr>
          <w:p>
            <w:pPr>
              <w:ind w:left="120"/>
              <w:spacing w:after="0" w:line="116"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jc w:val="right"/>
              <w:ind w:right="362"/>
              <w:spacing w:after="0" w:line="123"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3" w:lineRule="exact"/>
              <w:rPr>
                <w:sz w:val="20"/>
                <w:szCs w:val="20"/>
                <w:color w:val="auto"/>
              </w:rPr>
            </w:pPr>
            <w:r>
              <w:rPr>
                <w:rFonts w:ascii="Arial" w:cs="Arial" w:eastAsia="Arial" w:hAnsi="Arial"/>
                <w:sz w:val="13"/>
                <w:szCs w:val="13"/>
                <w:color w:val="0000FF"/>
              </w:rPr>
              <w:t>I</w:t>
            </w: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rPr>
              <w:t>Code</w:t>
            </w:r>
          </w:p>
        </w:tc>
        <w:tc>
          <w:tcPr>
            <w:tcW w:w="44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V</w:t>
            </w:r>
          </w:p>
        </w:tc>
        <w:tc>
          <w:tcPr>
            <w:tcW w:w="220" w:type="dxa"/>
            <w:vAlign w:val="bottom"/>
          </w:tcPr>
          <w:p>
            <w:pPr>
              <w:spacing w:after="0" w:line="119" w:lineRule="exact"/>
              <w:rPr>
                <w:sz w:val="20"/>
                <w:szCs w:val="20"/>
                <w:color w:val="auto"/>
              </w:rPr>
            </w:pPr>
            <w:r>
              <w:rPr>
                <w:rFonts w:ascii="Arial" w:cs="Arial" w:eastAsia="Arial" w:hAnsi="Arial"/>
                <w:sz w:val="11"/>
                <w:szCs w:val="11"/>
                <w:b w:val="1"/>
                <w:bCs w:val="1"/>
                <w:color w:val="auto"/>
              </w:rPr>
              <w:t>(A)</w:t>
            </w:r>
          </w:p>
        </w:tc>
        <w:tc>
          <w:tcPr>
            <w:tcW w:w="640" w:type="dxa"/>
            <w:vAlign w:val="bottom"/>
          </w:tcPr>
          <w:p>
            <w:pPr>
              <w:jc w:val="right"/>
              <w:ind w:right="340"/>
              <w:spacing w:after="0" w:line="119" w:lineRule="exact"/>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Title</w:t>
            </w:r>
          </w:p>
        </w:tc>
        <w:tc>
          <w:tcPr>
            <w:tcW w:w="82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gridSpan w:val="2"/>
          </w:tcPr>
          <w:p>
            <w:pPr>
              <w:ind w:left="60"/>
              <w:spacing w:after="0" w:line="119"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808080"/>
            </w:tcBorders>
            <w:gridSpan w:val="3"/>
            <w:vMerge w:val="continue"/>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jc w:val="center"/>
              <w:spacing w:after="0" w:line="75" w:lineRule="exact"/>
              <w:rPr>
                <w:sz w:val="20"/>
                <w:szCs w:val="20"/>
                <w:color w:val="auto"/>
              </w:rPr>
            </w:pPr>
            <w:r>
              <w:rPr>
                <w:rFonts w:ascii="Arial" w:cs="Arial" w:eastAsia="Arial" w:hAnsi="Arial"/>
                <w:sz w:val="8"/>
                <w:szCs w:val="8"/>
                <w:color w:val="0000FF"/>
              </w:rPr>
              <w:t>Stock</w:t>
            </w:r>
          </w:p>
        </w:tc>
        <w:tc>
          <w:tcPr>
            <w:tcW w:w="82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8,139,309</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line="96" w:lineRule="exact"/>
              <w:rPr>
                <w:sz w:val="20"/>
                <w:szCs w:val="20"/>
                <w:color w:val="auto"/>
              </w:rPr>
            </w:pPr>
            <w:r>
              <w:rPr>
                <w:rFonts w:ascii="Arial" w:cs="Arial" w:eastAsia="Arial" w:hAnsi="Arial"/>
                <w:sz w:val="11"/>
                <w:szCs w:val="11"/>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8,139,309</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line="96" w:lineRule="exact"/>
              <w:rPr>
                <w:sz w:val="20"/>
                <w:szCs w:val="20"/>
                <w:color w:val="auto"/>
              </w:rPr>
            </w:pPr>
            <w:r>
              <w:rPr>
                <w:rFonts w:ascii="Arial" w:cs="Arial" w:eastAsia="Arial" w:hAnsi="Arial"/>
                <w:sz w:val="11"/>
                <w:szCs w:val="11"/>
                <w:color w:val="0000FF"/>
              </w:rPr>
              <w:t>0</w:t>
            </w:r>
          </w:p>
        </w:tc>
        <w:tc>
          <w:tcPr>
            <w:tcW w:w="7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gridSpan w:val="2"/>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5"/>
              </w:rPr>
              <w:t>Series B-1</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7,359</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5"/>
              </w:rPr>
              <w:t>7,359</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5"/>
              </w:rPr>
              <w:t>Series B-1</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1,125,039</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line="96" w:lineRule="exact"/>
              <w:rPr>
                <w:sz w:val="20"/>
                <w:szCs w:val="20"/>
                <w:color w:val="auto"/>
              </w:rPr>
            </w:pPr>
            <w:r>
              <w:rPr>
                <w:rFonts w:ascii="Arial" w:cs="Arial" w:eastAsia="Arial" w:hAnsi="Arial"/>
                <w:sz w:val="11"/>
                <w:szCs w:val="11"/>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1,125,039</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line="96" w:lineRule="exact"/>
              <w:rPr>
                <w:sz w:val="20"/>
                <w:szCs w:val="20"/>
                <w:color w:val="auto"/>
              </w:rPr>
            </w:pPr>
            <w:r>
              <w:rPr>
                <w:rFonts w:ascii="Arial" w:cs="Arial" w:eastAsia="Arial" w:hAnsi="Arial"/>
                <w:sz w:val="11"/>
                <w:szCs w:val="11"/>
                <w:color w:val="0000FF"/>
              </w:rPr>
              <w:t>0</w:t>
            </w:r>
          </w:p>
        </w:tc>
        <w:tc>
          <w:tcPr>
            <w:tcW w:w="7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gridSpan w:val="2"/>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15,945</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5"/>
              </w:rPr>
              <w:t>15,945</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2,437,785</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line="96" w:lineRule="exact"/>
              <w:rPr>
                <w:sz w:val="20"/>
                <w:szCs w:val="20"/>
                <w:color w:val="auto"/>
              </w:rPr>
            </w:pPr>
            <w:r>
              <w:rPr>
                <w:rFonts w:ascii="Arial" w:cs="Arial" w:eastAsia="Arial" w:hAnsi="Arial"/>
                <w:sz w:val="11"/>
                <w:szCs w:val="11"/>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2,437,785</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line="96" w:lineRule="exact"/>
              <w:rPr>
                <w:sz w:val="20"/>
                <w:szCs w:val="20"/>
                <w:color w:val="auto"/>
              </w:rPr>
            </w:pPr>
            <w:r>
              <w:rPr>
                <w:rFonts w:ascii="Arial" w:cs="Arial" w:eastAsia="Arial" w:hAnsi="Arial"/>
                <w:sz w:val="11"/>
                <w:szCs w:val="11"/>
                <w:color w:val="0000FF"/>
              </w:rPr>
              <w:t>0</w:t>
            </w:r>
          </w:p>
        </w:tc>
        <w:tc>
          <w:tcPr>
            <w:tcW w:w="7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gridSpan w:val="2"/>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19,983</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5"/>
              </w:rPr>
              <w:t>19,983</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3,054,843</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line="96" w:lineRule="exact"/>
              <w:rPr>
                <w:sz w:val="20"/>
                <w:szCs w:val="20"/>
                <w:color w:val="auto"/>
              </w:rPr>
            </w:pPr>
            <w:r>
              <w:rPr>
                <w:rFonts w:ascii="Arial" w:cs="Arial" w:eastAsia="Arial" w:hAnsi="Arial"/>
                <w:sz w:val="11"/>
                <w:szCs w:val="11"/>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3,054,843</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line="96" w:lineRule="exact"/>
              <w:rPr>
                <w:sz w:val="20"/>
                <w:szCs w:val="20"/>
                <w:color w:val="auto"/>
              </w:rPr>
            </w:pPr>
            <w:r>
              <w:rPr>
                <w:rFonts w:ascii="Arial" w:cs="Arial" w:eastAsia="Arial" w:hAnsi="Arial"/>
                <w:sz w:val="11"/>
                <w:szCs w:val="11"/>
                <w:color w:val="0000FF"/>
              </w:rPr>
              <w:t>0</w:t>
            </w:r>
          </w:p>
        </w:tc>
        <w:tc>
          <w:tcPr>
            <w:tcW w:w="7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gridSpan w:val="2"/>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6"/>
              </w:rPr>
              <w:t>Series F-1</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309</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2"/>
              </w:rPr>
              <w:t>309</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6"/>
              </w:rPr>
              <w:t>Series F-1</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3,534</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5"/>
              </w:rPr>
              <w:t>3,534</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6"/>
              </w:rPr>
              <w:t>Series F-1</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357,141</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357,141</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6"/>
              </w:rPr>
              <w:t>Series F-1</w:t>
            </w:r>
          </w:p>
        </w:tc>
        <w:tc>
          <w:tcPr>
            <w:tcW w:w="760" w:type="dxa"/>
            <w:vAlign w:val="bottom"/>
            <w:vMerge w:val="restart"/>
          </w:tcPr>
          <w:p>
            <w:pPr>
              <w:jc w:val="right"/>
              <w:ind w:right="269"/>
              <w:spacing w:after="0"/>
              <w:rPr>
                <w:sz w:val="20"/>
                <w:szCs w:val="20"/>
                <w:color w:val="auto"/>
              </w:rPr>
            </w:pPr>
            <w:r>
              <w:rPr>
                <w:rFonts w:ascii="Arial" w:cs="Arial" w:eastAsia="Arial" w:hAnsi="Arial"/>
                <w:sz w:val="10"/>
                <w:szCs w:val="10"/>
                <w:color w:val="008000"/>
              </w:rPr>
              <w:t>(1)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47,301</w:t>
            </w:r>
          </w:p>
        </w:tc>
        <w:tc>
          <w:tcPr>
            <w:tcW w:w="680" w:type="dxa"/>
            <w:vAlign w:val="bottom"/>
            <w:vMerge w:val="restart"/>
          </w:tcPr>
          <w:p>
            <w:pPr>
              <w:jc w:val="right"/>
              <w:ind w:right="23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3"/>
                <w:szCs w:val="3"/>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05/28/2021</w:t>
            </w: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5"/>
              </w:rPr>
              <w:t>47,301</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restart"/>
          </w:tcPr>
          <w:p>
            <w:pPr>
              <w:jc w:val="right"/>
              <w:ind w:right="362"/>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8"/>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Spark Management Partners II, LLC</w:t>
              </w:r>
            </w:hyperlink>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rPr>
              <w:t>137 NEWBURY STREET, FLOOR 8</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080" w:type="dxa"/>
            <w:vAlign w:val="bottom"/>
            <w:gridSpan w:val="2"/>
          </w:tcPr>
          <w:p>
            <w:pPr>
              <w:ind w:left="80"/>
              <w:spacing w:after="0"/>
              <w:rPr>
                <w:sz w:val="20"/>
                <w:szCs w:val="20"/>
                <w:color w:val="auto"/>
              </w:rPr>
            </w:pPr>
            <w:r>
              <w:rPr>
                <w:rFonts w:ascii="Arial" w:cs="Arial" w:eastAsia="Arial" w:hAnsi="Arial"/>
                <w:sz w:val="16"/>
                <w:szCs w:val="16"/>
                <w:color w:val="0000FF"/>
              </w:rPr>
              <w:t>MA</w:t>
            </w:r>
          </w:p>
        </w:tc>
        <w:tc>
          <w:tcPr>
            <w:tcW w:w="36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6"/>
                <w:szCs w:val="16"/>
                <w:color w:val="0000FF"/>
              </w:rPr>
              <w:t>02116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36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10"/>
          </w:tcPr>
          <w:p>
            <w:pPr>
              <w:spacing w:after="0" w:line="208" w:lineRule="exact"/>
              <w:rPr>
                <w:rFonts w:ascii="Arial" w:cs="Arial" w:eastAsia="Arial" w:hAnsi="Arial"/>
                <w:sz w:val="20"/>
                <w:szCs w:val="20"/>
                <w:color w:val="0000EE"/>
                <w:w w:val="99"/>
              </w:rPr>
            </w:pPr>
            <w:hyperlink r:id="rId14">
              <w:r>
                <w:rPr>
                  <w:rFonts w:ascii="Arial" w:cs="Arial" w:eastAsia="Arial" w:hAnsi="Arial"/>
                  <w:sz w:val="20"/>
                  <w:szCs w:val="20"/>
                  <w:color w:val="0000EE"/>
                  <w:w w:val="99"/>
                </w:rPr>
                <w:t>SPARK CAPITAL FOUNDERS FUND II LP</w:t>
              </w:r>
            </w:hyperlink>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rPr>
              <w:t>137 NEWBURY STREET, FLOOR 8</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6"/>
                <w:szCs w:val="16"/>
                <w:color w:val="0000FF"/>
              </w:rPr>
              <w:t>02116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36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8"/>
          </w:tcPr>
          <w:p>
            <w:pPr>
              <w:spacing w:after="0" w:line="208" w:lineRule="exact"/>
              <w:rPr>
                <w:rFonts w:ascii="Arial" w:cs="Arial" w:eastAsia="Arial" w:hAnsi="Arial"/>
                <w:sz w:val="20"/>
                <w:szCs w:val="20"/>
                <w:color w:val="0000EE"/>
                <w:w w:val="92"/>
              </w:rPr>
            </w:pPr>
            <w:hyperlink r:id="rId15">
              <w:r>
                <w:rPr>
                  <w:rFonts w:ascii="Arial" w:cs="Arial" w:eastAsia="Arial" w:hAnsi="Arial"/>
                  <w:sz w:val="20"/>
                  <w:szCs w:val="20"/>
                  <w:color w:val="0000EE"/>
                  <w:w w:val="92"/>
                </w:rPr>
                <w:t>Spark Growth Management Partners LLC</w:t>
              </w:r>
            </w:hyperlink>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rPr>
              <w:t>137 NEWBURY STREET, FLOOR 8</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080" w:type="dxa"/>
            <w:vAlign w:val="bottom"/>
            <w:gridSpan w:val="2"/>
          </w:tcPr>
          <w:p>
            <w:pPr>
              <w:ind w:left="80"/>
              <w:spacing w:after="0"/>
              <w:rPr>
                <w:sz w:val="20"/>
                <w:szCs w:val="20"/>
                <w:color w:val="auto"/>
              </w:rPr>
            </w:pPr>
            <w:r>
              <w:rPr>
                <w:rFonts w:ascii="Arial" w:cs="Arial" w:eastAsia="Arial" w:hAnsi="Arial"/>
                <w:sz w:val="16"/>
                <w:szCs w:val="16"/>
                <w:color w:val="0000FF"/>
              </w:rPr>
              <w:t>MA</w:t>
            </w:r>
          </w:p>
        </w:tc>
        <w:tc>
          <w:tcPr>
            <w:tcW w:w="36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6"/>
                <w:szCs w:val="16"/>
                <w:color w:val="0000FF"/>
              </w:rPr>
              <w:t>02116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36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4"/>
          </w:tcPr>
          <w:p>
            <w:pPr>
              <w:spacing w:after="0" w:line="208" w:lineRule="exact"/>
              <w:rPr>
                <w:rFonts w:ascii="Arial" w:cs="Arial" w:eastAsia="Arial" w:hAnsi="Arial"/>
                <w:sz w:val="20"/>
                <w:szCs w:val="20"/>
                <w:color w:val="0000EE"/>
              </w:rPr>
            </w:pPr>
            <w:hyperlink r:id="rId16">
              <w:r>
                <w:rPr>
                  <w:rFonts w:ascii="Arial" w:cs="Arial" w:eastAsia="Arial" w:hAnsi="Arial"/>
                  <w:sz w:val="20"/>
                  <w:szCs w:val="20"/>
                  <w:color w:val="0000EE"/>
                </w:rPr>
                <w:t>Spark Capital II LP</w:t>
              </w:r>
            </w:hyperlink>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460" w:top="176" w:right="359" w:bottom="0" w:gutter="0" w:footer="0" w:header="0"/>
        </w:sect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137 NEWBURY STREET, FLOOR 8</w:t>
      </w:r>
    </w:p>
    <w:p>
      <w:pPr>
        <w:sectPr>
          <w:pgSz w:w="11900" w:h="16838" w:orient="portrait"/>
          <w:cols w:equalWidth="0" w:num="1">
            <w:col w:w="11080"/>
          </w:cols>
          <w:pgMar w:left="460" w:top="176" w:right="359" w:bottom="0" w:gutter="0" w:footer="0" w:header="0"/>
          <w:type w:val="continuous"/>
        </w:sectPr>
      </w:pPr>
    </w:p>
    <w:bookmarkStart w:id="2" w:name="page3"/>
    <w:bookmarkEnd w:id="2"/>
    <w:tbl>
      <w:tblPr>
        <w:tblLayout w:type="fixed"/>
        <w:tblInd w:w="60" w:type="dxa"/>
        <w:tblCellMar>
          <w:top w:w="0" w:type="dxa"/>
          <w:left w:w="0" w:type="dxa"/>
          <w:bottom w:w="0" w:type="dxa"/>
          <w:right w:w="0" w:type="dxa"/>
        </w:tblCellMar>
      </w:tblPr>
      <w:tr>
        <w:trPr>
          <w:trHeight w:val="14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6"/>
                <w:szCs w:val="16"/>
                <w:color w:val="0000FF"/>
              </w:rPr>
              <w:t>BOSTON</w:t>
            </w:r>
          </w:p>
        </w:tc>
        <w:tc>
          <w:tcPr>
            <w:tcW w:w="1260" w:type="dxa"/>
            <w:vAlign w:val="bottom"/>
          </w:tcPr>
          <w:p>
            <w:pPr>
              <w:ind w:left="380"/>
              <w:spacing w:after="0"/>
              <w:rPr>
                <w:sz w:val="20"/>
                <w:szCs w:val="20"/>
                <w:color w:val="auto"/>
              </w:rPr>
            </w:pPr>
            <w:r>
              <w:rPr>
                <w:rFonts w:ascii="Arial" w:cs="Arial" w:eastAsia="Arial" w:hAnsi="Arial"/>
                <w:sz w:val="16"/>
                <w:szCs w:val="16"/>
                <w:color w:val="0000FF"/>
              </w:rPr>
              <w:t>MA</w:t>
            </w:r>
          </w:p>
        </w:tc>
        <w:tc>
          <w:tcPr>
            <w:tcW w:w="1880" w:type="dxa"/>
            <w:vAlign w:val="bottom"/>
          </w:tcPr>
          <w:p>
            <w:pPr>
              <w:ind w:left="520"/>
              <w:spacing w:after="0"/>
              <w:rPr>
                <w:sz w:val="20"/>
                <w:szCs w:val="20"/>
                <w:color w:val="auto"/>
              </w:rPr>
            </w:pPr>
            <w:r>
              <w:rPr>
                <w:rFonts w:ascii="Arial" w:cs="Arial" w:eastAsia="Arial" w:hAnsi="Arial"/>
                <w:sz w:val="16"/>
                <w:szCs w:val="16"/>
                <w:color w:val="0000FF"/>
              </w:rPr>
              <w:t>02116</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3856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2415" cy="38563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Spark Capital Growth Founders' Fund, L.P.</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rPr>
                <w:sz w:val="20"/>
                <w:szCs w:val="20"/>
                <w:color w:val="auto"/>
              </w:rPr>
            </w:pPr>
            <w:r>
              <w:rPr>
                <w:rFonts w:ascii="Arial" w:cs="Arial" w:eastAsia="Arial" w:hAnsi="Arial"/>
                <w:sz w:val="16"/>
                <w:szCs w:val="16"/>
                <w:color w:val="0000FF"/>
              </w:rPr>
              <w:t>137 NEWBURY STREET, FLOOR 8</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620" w:type="dxa"/>
            <w:vAlign w:val="bottom"/>
            <w:gridSpan w:val="2"/>
          </w:tcPr>
          <w:p>
            <w:pPr>
              <w:ind w:left="380"/>
              <w:spacing w:after="0"/>
              <w:rPr>
                <w:sz w:val="20"/>
                <w:szCs w:val="20"/>
                <w:color w:val="auto"/>
              </w:rPr>
            </w:pPr>
            <w:r>
              <w:rPr>
                <w:rFonts w:ascii="Arial" w:cs="Arial" w:eastAsia="Arial" w:hAnsi="Arial"/>
                <w:sz w:val="16"/>
                <w:szCs w:val="16"/>
                <w:color w:val="0000FF"/>
              </w:rPr>
              <w:t>MA</w:t>
            </w:r>
          </w:p>
        </w:tc>
        <w:tc>
          <w:tcPr>
            <w:tcW w:w="1520" w:type="dxa"/>
            <w:vAlign w:val="bottom"/>
          </w:tcPr>
          <w:p>
            <w:pPr>
              <w:ind w:left="16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3"/>
          </w:tcPr>
          <w:p>
            <w:pPr>
              <w:spacing w:after="0" w:line="208" w:lineRule="exact"/>
              <w:rPr>
                <w:rFonts w:ascii="Arial" w:cs="Arial" w:eastAsia="Arial" w:hAnsi="Arial"/>
                <w:sz w:val="20"/>
                <w:szCs w:val="20"/>
                <w:color w:val="0000EE"/>
                <w:w w:val="96"/>
              </w:rPr>
            </w:pPr>
            <w:hyperlink r:id="rId20">
              <w:r>
                <w:rPr>
                  <w:rFonts w:ascii="Arial" w:cs="Arial" w:eastAsia="Arial" w:hAnsi="Arial"/>
                  <w:sz w:val="20"/>
                  <w:szCs w:val="20"/>
                  <w:color w:val="0000EE"/>
                  <w:w w:val="96"/>
                </w:rPr>
                <w:t>Spark Capital Growth Fund LP</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148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rPr>
                <w:sz w:val="20"/>
                <w:szCs w:val="20"/>
                <w:color w:val="auto"/>
              </w:rPr>
            </w:pPr>
            <w:r>
              <w:rPr>
                <w:rFonts w:ascii="Arial" w:cs="Arial" w:eastAsia="Arial" w:hAnsi="Arial"/>
                <w:sz w:val="16"/>
                <w:szCs w:val="16"/>
                <w:color w:val="0000FF"/>
              </w:rPr>
              <w:t>137 NEWBURY STREET, FLOOR 8</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620" w:type="dxa"/>
            <w:vAlign w:val="bottom"/>
            <w:gridSpan w:val="2"/>
          </w:tcPr>
          <w:p>
            <w:pPr>
              <w:ind w:left="380"/>
              <w:spacing w:after="0"/>
              <w:rPr>
                <w:sz w:val="20"/>
                <w:szCs w:val="20"/>
                <w:color w:val="auto"/>
              </w:rPr>
            </w:pPr>
            <w:r>
              <w:rPr>
                <w:rFonts w:ascii="Arial" w:cs="Arial" w:eastAsia="Arial" w:hAnsi="Arial"/>
                <w:sz w:val="16"/>
                <w:szCs w:val="16"/>
                <w:color w:val="0000FF"/>
              </w:rPr>
              <w:t>MA</w:t>
            </w:r>
          </w:p>
        </w:tc>
        <w:tc>
          <w:tcPr>
            <w:tcW w:w="1520" w:type="dxa"/>
            <w:vAlign w:val="bottom"/>
          </w:tcPr>
          <w:p>
            <w:pPr>
              <w:ind w:left="16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18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the Issuer's preferred stock automatically converted on a one for one basis into Class A Common Stock immediately prior to the closing of the Issuer's initial public offering (the "Conversion"). The shares have no expiration date.</w:t>
      </w:r>
    </w:p>
    <w:p>
      <w:pPr>
        <w:spacing w:after="0" w:line="31" w:lineRule="exact"/>
        <w:rPr>
          <w:rFonts w:ascii="Arial" w:cs="Arial" w:eastAsia="Arial" w:hAnsi="Arial"/>
          <w:sz w:val="13"/>
          <w:szCs w:val="13"/>
          <w:color w:val="008000"/>
        </w:rPr>
      </w:pPr>
    </w:p>
    <w:p>
      <w:pPr>
        <w:ind w:left="20" w:hanging="2"/>
        <w:spacing w:after="0" w:line="280"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are held of record by Spark Capital Founders' Fund II, L.P. ("Spark Capital FF II"). Spark Management Partners II, LLC ("SMP II") is the general partner of Spark Capital FF II. Paul Conway, Bijan Sabet, Santo Politi, and Alexander J, Finkelstein, a member of the Issuer's board of directors (the "Managing Members") are the managing members of SMP II. Each of the Managing Members may be deemed to share investment, voting and dispositive power over these shares. Each of SMP II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10" w:lineRule="exact"/>
        <w:rPr>
          <w:rFonts w:ascii="Arial" w:cs="Arial" w:eastAsia="Arial" w:hAnsi="Arial"/>
          <w:sz w:val="11"/>
          <w:szCs w:val="11"/>
          <w:color w:val="008000"/>
        </w:rPr>
      </w:pPr>
    </w:p>
    <w:p>
      <w:pPr>
        <w:ind w:left="20" w:right="60" w:hanging="2"/>
        <w:spacing w:after="0" w:line="228"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Growth Founders' Fund, L.P. ("Spark Capital Growth FF"). Spark Growth Management Partners, LLC ("SGMP") is the general partner of Spark Capital Growth FF. The Managing Members are the managing members of SGMP. Each of the Managing Members may be deemed to share investment, voting and dispositive power over these shares. Each of SGMP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32" w:lineRule="exact"/>
        <w:rPr>
          <w:rFonts w:ascii="Arial" w:cs="Arial" w:eastAsia="Arial" w:hAnsi="Arial"/>
          <w:sz w:val="13"/>
          <w:szCs w:val="13"/>
          <w:color w:val="008000"/>
        </w:rPr>
      </w:pPr>
    </w:p>
    <w:p>
      <w:pPr>
        <w:jc w:val="both"/>
        <w:ind w:left="20" w:right="60" w:hanging="2"/>
        <w:spacing w:after="0" w:line="228"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Growth Fund, L.P. ("Spark Capital Growth"). SGMP is the general partner of Spark Capital Growth. The Managing Members are the managing members of SGMP. Each of the Managing Members may be deemed to share investment, voting and dispositive power over these shares. Each of SGMP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32" w:lineRule="exact"/>
        <w:rPr>
          <w:rFonts w:ascii="Arial" w:cs="Arial" w:eastAsia="Arial" w:hAnsi="Arial"/>
          <w:sz w:val="13"/>
          <w:szCs w:val="13"/>
          <w:color w:val="008000"/>
        </w:rPr>
      </w:pPr>
    </w:p>
    <w:p>
      <w:pPr>
        <w:ind w:left="20" w:right="60" w:hanging="2"/>
        <w:spacing w:after="0" w:line="290"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are held of record by Spark Capital II, L.P. ("Spark Capital II"). SMP II is the general partner of Spark Capital II. The Managing Members are the managing members of SMP II. Each of the Managing Members may be deemed to share investment, voting and dispositive power over these shares. Each of SMP II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4" w:lineRule="exact"/>
        <w:rPr>
          <w:rFonts w:ascii="Arial" w:cs="Arial" w:eastAsia="Arial" w:hAnsi="Arial"/>
          <w:sz w:val="11"/>
          <w:szCs w:val="11"/>
          <w:color w:val="008000"/>
        </w:rPr>
      </w:pPr>
    </w:p>
    <w:p>
      <w:pPr>
        <w:ind w:left="20" w:right="32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 reclassification exempt under Rule 16b-7, each share of the Issuer's Class A Common Stock was automatically reclassified into one share of Voting Common Stock following the Conversion, and immediately prior to the closing of the Issuer's initial public offering.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880"/>
          </w:cols>
          <w:pgMar w:left="480" w:top="389" w:right="539" w:bottom="279" w:gutter="0" w:footer="0" w:header="0"/>
        </w:sectPr>
      </w:pPr>
    </w:p>
    <w:p>
      <w:pPr>
        <w:spacing w:after="0" w:line="1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Spark Growth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146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Partners, LLC, /s/ Alex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960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Finkelstein,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0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51"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Spark Management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0</wp:posOffset>
            </wp:positionV>
            <wp:extent cx="1289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LLC, /s/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80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79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Spark Capital II, L.P., /s/ Alex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247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Finkelstein,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04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of Spark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81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11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Spark Capital Founders'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6350</wp:posOffset>
            </wp:positionV>
            <wp:extent cx="13519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46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Managing Member of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72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Partners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0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745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Spark Capital Growth Founders'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6350</wp:posOffset>
            </wp:positionV>
            <wp:extent cx="13347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Fund, L.P., /s/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Managing Member of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72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Gworth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00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991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Spark Capital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169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46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Managing Member of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72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Growth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00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991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8700" w:space="80"/>
            <w:col w:w="2100"/>
          </w:cols>
          <w:pgMar w:left="480" w:top="389" w:right="539" w:bottom="279"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4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389" w:right="539" w:bottom="2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12" Type="http://schemas.openxmlformats.org/officeDocument/2006/relationships/hyperlink" Target="http://www.sec.gov/cgi-bin/browse-edgar?action=getcompany&amp;CIK=0001600213"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1430606" TargetMode="External"/><Relationship Id="rId15" Type="http://schemas.openxmlformats.org/officeDocument/2006/relationships/hyperlink" Target="http://www.sec.gov/cgi-bin/browse-edgar?action=getcompany&amp;CIK=0001608856" TargetMode="External"/><Relationship Id="rId16" Type="http://schemas.openxmlformats.org/officeDocument/2006/relationships/hyperlink" Target="http://www.sec.gov/cgi-bin/browse-edgar?action=getcompany&amp;CIK=0001407645" TargetMode="External"/><Relationship Id="rId19" Type="http://schemas.openxmlformats.org/officeDocument/2006/relationships/hyperlink" Target="http://www.sec.gov/cgi-bin/browse-edgar?action=getcompany&amp;CIK=0001640667" TargetMode="External"/><Relationship Id="rId20" Type="http://schemas.openxmlformats.org/officeDocument/2006/relationships/hyperlink" Target="http://www.sec.gov/cgi-bin/browse-edgar?action=getcompany&amp;CIK=0001608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2021-05-29T02:18:42Z</dcterms:created>
  <dcterms:modified xsi:type="dcterms:W3CDTF">2021-05-29T02:18:42Z</dcterms:modified>
</cp:coreProperties>
</file>